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767733" w14:textId="77777777" w:rsidR="008015D9" w:rsidRPr="000D3432" w:rsidRDefault="008015D9" w:rsidP="00A95498">
      <w:pPr>
        <w:jc w:val="center"/>
        <w:outlineLvl w:val="1"/>
        <w:rPr>
          <w:rFonts w:asciiTheme="minorHAnsi" w:hAnsiTheme="minorHAnsi" w:cs="Arial"/>
          <w:b/>
          <w:bCs/>
          <w:color w:val="1F497D"/>
          <w:szCs w:val="24"/>
          <w:lang w:val="es-ES_tradnl"/>
        </w:rPr>
      </w:pPr>
      <w:r w:rsidRPr="000D3432">
        <w:rPr>
          <w:rFonts w:asciiTheme="minorHAnsi" w:hAnsiTheme="minorHAnsi" w:cs="Arial"/>
          <w:b/>
          <w:noProof/>
          <w:color w:val="1F497D"/>
          <w:szCs w:val="24"/>
        </w:rPr>
        <w:drawing>
          <wp:inline distT="0" distB="0" distL="0" distR="0" wp14:anchorId="7CBC22CE" wp14:editId="5890288E">
            <wp:extent cx="914400" cy="657225"/>
            <wp:effectExtent l="0" t="0" r="0" b="3175"/>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p>
    <w:p w14:paraId="6BC7AE46" w14:textId="77777777" w:rsidR="008015D9" w:rsidRPr="000D3432" w:rsidRDefault="008015D9" w:rsidP="00A95498">
      <w:pPr>
        <w:jc w:val="center"/>
        <w:outlineLvl w:val="1"/>
        <w:rPr>
          <w:rFonts w:asciiTheme="minorHAnsi" w:hAnsiTheme="minorHAnsi" w:cs="Arial"/>
          <w:b/>
          <w:bCs/>
          <w:color w:val="1F497D"/>
          <w:szCs w:val="24"/>
          <w:lang w:val="es-ES_tradnl"/>
        </w:rPr>
      </w:pPr>
    </w:p>
    <w:p w14:paraId="6675AFF5" w14:textId="77777777" w:rsidR="008356A1" w:rsidRPr="000D3432" w:rsidRDefault="008356A1" w:rsidP="00A95498">
      <w:pPr>
        <w:jc w:val="center"/>
        <w:outlineLvl w:val="1"/>
        <w:rPr>
          <w:rFonts w:asciiTheme="minorHAnsi" w:hAnsiTheme="minorHAnsi" w:cs="Arial"/>
          <w:b/>
          <w:bCs/>
          <w:color w:val="1F497D"/>
          <w:szCs w:val="24"/>
          <w:lang w:val="es-ES_tradnl"/>
        </w:rPr>
      </w:pPr>
      <w:r w:rsidRPr="000D3432">
        <w:rPr>
          <w:rFonts w:asciiTheme="minorHAnsi" w:hAnsiTheme="minorHAnsi" w:cs="Arial"/>
          <w:b/>
          <w:bCs/>
          <w:color w:val="1F497D"/>
          <w:szCs w:val="24"/>
          <w:lang w:val="es-ES_tradnl"/>
        </w:rPr>
        <w:t>AZ TODO DERECHO</w:t>
      </w:r>
    </w:p>
    <w:p w14:paraId="4BEC4603" w14:textId="77777777" w:rsidR="008356A1" w:rsidRPr="000D3432" w:rsidRDefault="008356A1" w:rsidP="00A95498">
      <w:pPr>
        <w:ind w:left="142"/>
        <w:jc w:val="center"/>
        <w:rPr>
          <w:rFonts w:asciiTheme="minorHAnsi" w:hAnsiTheme="minorHAnsi" w:cs="Arial"/>
          <w:szCs w:val="24"/>
          <w:lang w:val="es-ES_tradnl"/>
        </w:rPr>
      </w:pPr>
      <w:r w:rsidRPr="000D3432">
        <w:rPr>
          <w:rFonts w:asciiTheme="minorHAnsi" w:hAnsiTheme="minorHAnsi" w:cs="Arial"/>
          <w:szCs w:val="24"/>
          <w:lang w:val="es-ES_tradnl"/>
        </w:rPr>
        <w:t xml:space="preserve">Centro promotor </w:t>
      </w:r>
      <w:r w:rsidRPr="000D3432">
        <w:rPr>
          <w:rFonts w:asciiTheme="minorHAnsi" w:hAnsiTheme="minorHAnsi" w:cs="Arial"/>
          <w:szCs w:val="24"/>
          <w:lang w:val="es-ES_tradnl"/>
        </w:rPr>
        <w:softHyphen/>
        <w:t>del</w:t>
      </w:r>
    </w:p>
    <w:p w14:paraId="4246AC2B" w14:textId="77777777" w:rsidR="008356A1" w:rsidRPr="000D3432" w:rsidRDefault="008356A1" w:rsidP="00A95498">
      <w:pPr>
        <w:ind w:left="142"/>
        <w:jc w:val="center"/>
        <w:rPr>
          <w:rFonts w:asciiTheme="minorHAnsi" w:hAnsiTheme="minorHAnsi" w:cs="Arial"/>
          <w:szCs w:val="24"/>
          <w:lang w:val="es-ES_tradnl"/>
        </w:rPr>
      </w:pPr>
      <w:r w:rsidRPr="000D3432">
        <w:rPr>
          <w:rFonts w:asciiTheme="minorHAnsi" w:hAnsiTheme="minorHAnsi" w:cs="Arial"/>
          <w:szCs w:val="24"/>
          <w:lang w:val="es-ES_tradnl"/>
        </w:rPr>
        <w:t>Derecho, la Empresa y el Arte</w:t>
      </w:r>
    </w:p>
    <w:p w14:paraId="2C47C79D" w14:textId="77777777" w:rsidR="008356A1" w:rsidRPr="000D3432" w:rsidRDefault="008356A1" w:rsidP="00A95498">
      <w:pPr>
        <w:jc w:val="center"/>
        <w:rPr>
          <w:rFonts w:asciiTheme="minorHAnsi" w:hAnsiTheme="minorHAnsi" w:cs="Arial"/>
          <w:b/>
          <w:bCs/>
          <w:color w:val="1F497D"/>
          <w:szCs w:val="24"/>
          <w:lang w:val="es-ES_tradnl"/>
        </w:rPr>
      </w:pPr>
    </w:p>
    <w:p w14:paraId="58C18B47" w14:textId="77777777" w:rsidR="008356A1" w:rsidRPr="000D3432" w:rsidRDefault="008356A1" w:rsidP="00A95498">
      <w:pPr>
        <w:jc w:val="right"/>
        <w:outlineLvl w:val="1"/>
        <w:rPr>
          <w:rFonts w:asciiTheme="minorHAnsi" w:hAnsiTheme="minorHAnsi" w:cs="Arial"/>
          <w:b/>
          <w:bCs/>
          <w:color w:val="1F497D"/>
          <w:szCs w:val="24"/>
          <w:lang w:val="es-ES_tradnl"/>
        </w:rPr>
      </w:pPr>
    </w:p>
    <w:p w14:paraId="14091A4E" w14:textId="77777777" w:rsidR="008356A1" w:rsidRDefault="008356A1" w:rsidP="00A95498">
      <w:pPr>
        <w:tabs>
          <w:tab w:val="left" w:pos="2520"/>
        </w:tabs>
        <w:outlineLvl w:val="1"/>
        <w:rPr>
          <w:rFonts w:asciiTheme="minorHAnsi" w:hAnsiTheme="minorHAnsi" w:cs="Arial"/>
          <w:b/>
          <w:bCs/>
          <w:color w:val="1F497D"/>
          <w:szCs w:val="24"/>
          <w:lang w:val="es-ES_tradnl"/>
        </w:rPr>
      </w:pPr>
      <w:r w:rsidRPr="000D3432">
        <w:rPr>
          <w:rFonts w:asciiTheme="minorHAnsi" w:hAnsiTheme="minorHAnsi" w:cs="Arial"/>
          <w:b/>
          <w:bCs/>
          <w:color w:val="1F497D"/>
          <w:szCs w:val="24"/>
          <w:lang w:val="es-ES_tradnl"/>
        </w:rPr>
        <w:tab/>
      </w:r>
    </w:p>
    <w:p w14:paraId="211CE789" w14:textId="77777777" w:rsidR="00845DA7" w:rsidRDefault="00845DA7" w:rsidP="00A95498">
      <w:pPr>
        <w:tabs>
          <w:tab w:val="left" w:pos="2520"/>
        </w:tabs>
        <w:outlineLvl w:val="1"/>
        <w:rPr>
          <w:rFonts w:asciiTheme="minorHAnsi" w:hAnsiTheme="minorHAnsi" w:cs="Arial"/>
          <w:b/>
          <w:bCs/>
          <w:color w:val="1F497D"/>
          <w:szCs w:val="24"/>
          <w:lang w:val="es-ES_tradnl"/>
        </w:rPr>
      </w:pPr>
    </w:p>
    <w:p w14:paraId="6CEB2E8F" w14:textId="77777777" w:rsidR="00845DA7" w:rsidRDefault="00845DA7" w:rsidP="00A95498">
      <w:pPr>
        <w:tabs>
          <w:tab w:val="left" w:pos="2520"/>
        </w:tabs>
        <w:outlineLvl w:val="1"/>
        <w:rPr>
          <w:rFonts w:asciiTheme="minorHAnsi" w:hAnsiTheme="minorHAnsi" w:cs="Arial"/>
          <w:b/>
          <w:bCs/>
          <w:color w:val="1F497D"/>
          <w:szCs w:val="24"/>
          <w:lang w:val="es-ES_tradnl"/>
        </w:rPr>
      </w:pPr>
    </w:p>
    <w:p w14:paraId="15662235" w14:textId="77777777" w:rsidR="00845DA7" w:rsidRDefault="00845DA7" w:rsidP="00A95498">
      <w:pPr>
        <w:tabs>
          <w:tab w:val="left" w:pos="2520"/>
        </w:tabs>
        <w:outlineLvl w:val="1"/>
        <w:rPr>
          <w:rFonts w:asciiTheme="minorHAnsi" w:hAnsiTheme="minorHAnsi" w:cs="Arial"/>
          <w:b/>
          <w:bCs/>
          <w:color w:val="1F497D"/>
          <w:szCs w:val="24"/>
          <w:lang w:val="es-ES_tradnl"/>
        </w:rPr>
      </w:pPr>
    </w:p>
    <w:p w14:paraId="7D095726" w14:textId="77777777" w:rsidR="00475E09" w:rsidRDefault="00475E09" w:rsidP="00A95498">
      <w:pPr>
        <w:tabs>
          <w:tab w:val="left" w:pos="2520"/>
        </w:tabs>
        <w:outlineLvl w:val="1"/>
        <w:rPr>
          <w:rFonts w:asciiTheme="minorHAnsi" w:hAnsiTheme="minorHAnsi" w:cs="Arial"/>
          <w:b/>
          <w:bCs/>
          <w:color w:val="1F497D"/>
          <w:szCs w:val="24"/>
          <w:lang w:val="es-ES_tradnl"/>
        </w:rPr>
      </w:pPr>
    </w:p>
    <w:p w14:paraId="6A614CA1" w14:textId="4AF28F68" w:rsidR="00475E09" w:rsidRPr="00475E09" w:rsidRDefault="00475E09" w:rsidP="00475E09">
      <w:pPr>
        <w:tabs>
          <w:tab w:val="left" w:pos="2520"/>
        </w:tabs>
        <w:jc w:val="center"/>
        <w:outlineLvl w:val="1"/>
        <w:rPr>
          <w:rFonts w:asciiTheme="minorHAnsi" w:hAnsiTheme="minorHAnsi" w:cs="Arial"/>
          <w:b/>
          <w:bCs/>
          <w:color w:val="C0504D" w:themeColor="accent2"/>
          <w:sz w:val="40"/>
          <w:szCs w:val="24"/>
          <w:lang w:val="es-ES_tradnl"/>
        </w:rPr>
      </w:pPr>
      <w:r w:rsidRPr="00475E09">
        <w:rPr>
          <w:rFonts w:asciiTheme="minorHAnsi" w:hAnsiTheme="minorHAnsi" w:cs="Arial"/>
          <w:b/>
          <w:bCs/>
          <w:color w:val="C0504D" w:themeColor="accent2"/>
          <w:sz w:val="40"/>
          <w:szCs w:val="24"/>
          <w:lang w:val="es-ES_tradnl"/>
        </w:rPr>
        <w:t>LAS CURVAS DEL DERECHO</w:t>
      </w:r>
    </w:p>
    <w:p w14:paraId="6C8A3C43" w14:textId="025F3535" w:rsidR="00475E09" w:rsidRPr="00475E09" w:rsidRDefault="00475E09" w:rsidP="00475E09">
      <w:pPr>
        <w:tabs>
          <w:tab w:val="left" w:pos="2520"/>
        </w:tabs>
        <w:jc w:val="center"/>
        <w:outlineLvl w:val="1"/>
        <w:rPr>
          <w:rFonts w:asciiTheme="minorHAnsi" w:hAnsiTheme="minorHAnsi" w:cs="Arial"/>
          <w:b/>
          <w:bCs/>
          <w:smallCaps/>
          <w:color w:val="1F497D"/>
          <w:sz w:val="32"/>
          <w:szCs w:val="24"/>
          <w:lang w:val="es-ES_tradnl"/>
        </w:rPr>
      </w:pPr>
      <w:r w:rsidRPr="00475E09">
        <w:rPr>
          <w:rFonts w:asciiTheme="minorHAnsi" w:hAnsiTheme="minorHAnsi" w:cs="Arial"/>
          <w:b/>
          <w:bCs/>
          <w:smallCaps/>
          <w:color w:val="1F497D"/>
          <w:sz w:val="32"/>
          <w:szCs w:val="24"/>
          <w:lang w:val="es-ES_tradnl"/>
        </w:rPr>
        <w:t>y los delitos contra la administración pública</w:t>
      </w:r>
    </w:p>
    <w:p w14:paraId="16866B6A" w14:textId="77777777" w:rsidR="00475E09" w:rsidRDefault="00475E09" w:rsidP="00845DA7">
      <w:pPr>
        <w:outlineLvl w:val="1"/>
        <w:rPr>
          <w:rFonts w:asciiTheme="minorHAnsi" w:hAnsiTheme="minorHAnsi" w:cs="Arial"/>
          <w:b/>
          <w:bCs/>
          <w:color w:val="1F497D"/>
          <w:szCs w:val="24"/>
          <w:lang w:val="es-ES_tradnl"/>
        </w:rPr>
      </w:pPr>
    </w:p>
    <w:p w14:paraId="3A94FB8A" w14:textId="77777777" w:rsidR="008356A1" w:rsidRPr="000D3432" w:rsidRDefault="008356A1" w:rsidP="00A95498">
      <w:pPr>
        <w:jc w:val="center"/>
        <w:rPr>
          <w:rFonts w:asciiTheme="minorHAnsi" w:hAnsiTheme="minorHAnsi" w:cs="Arial"/>
          <w:szCs w:val="24"/>
          <w:lang w:val="es-ES_tradnl" w:eastAsia="es-PE"/>
        </w:rPr>
      </w:pPr>
    </w:p>
    <w:p w14:paraId="0082B494" w14:textId="77777777" w:rsidR="008356A1" w:rsidRPr="000D3432" w:rsidRDefault="008356A1" w:rsidP="00A95498">
      <w:pPr>
        <w:jc w:val="center"/>
        <w:rPr>
          <w:rFonts w:asciiTheme="minorHAnsi" w:hAnsiTheme="minorHAnsi" w:cs="Arial"/>
          <w:b/>
          <w:szCs w:val="24"/>
          <w:lang w:val="es-ES_tradnl" w:eastAsia="es-PE"/>
        </w:rPr>
      </w:pPr>
      <w:r w:rsidRPr="000D3432">
        <w:rPr>
          <w:rFonts w:asciiTheme="minorHAnsi" w:hAnsiTheme="minorHAnsi" w:cs="Arial"/>
          <w:b/>
          <w:szCs w:val="24"/>
          <w:lang w:val="es-ES_tradnl" w:eastAsia="es-PE"/>
        </w:rPr>
        <w:t>Alex R. Zambrano Torres</w:t>
      </w:r>
    </w:p>
    <w:p w14:paraId="31564445" w14:textId="77777777" w:rsidR="008356A1" w:rsidRPr="000D3432" w:rsidRDefault="008356A1" w:rsidP="00A95498">
      <w:pPr>
        <w:jc w:val="both"/>
        <w:rPr>
          <w:rFonts w:asciiTheme="minorHAnsi" w:hAnsiTheme="minorHAnsi" w:cs="Arial"/>
          <w:b/>
          <w:bCs/>
          <w:color w:val="17365D"/>
          <w:szCs w:val="24"/>
          <w:u w:val="single"/>
          <w:lang w:val="es-ES_tradnl"/>
        </w:rPr>
      </w:pPr>
    </w:p>
    <w:p w14:paraId="5585CEE0" w14:textId="77777777" w:rsidR="008356A1" w:rsidRPr="000D3432" w:rsidRDefault="008356A1" w:rsidP="00A95498">
      <w:pPr>
        <w:jc w:val="both"/>
        <w:rPr>
          <w:rFonts w:asciiTheme="minorHAnsi" w:hAnsiTheme="minorHAnsi" w:cs="Arial"/>
          <w:b/>
          <w:bCs/>
          <w:color w:val="17365D"/>
          <w:szCs w:val="24"/>
          <w:u w:val="single"/>
          <w:lang w:val="es-ES_tradnl"/>
        </w:rPr>
      </w:pPr>
    </w:p>
    <w:p w14:paraId="095E5B7B" w14:textId="77777777" w:rsidR="008356A1" w:rsidRPr="000D3432" w:rsidRDefault="008356A1" w:rsidP="00A95498">
      <w:pPr>
        <w:jc w:val="both"/>
        <w:rPr>
          <w:rFonts w:asciiTheme="minorHAnsi" w:hAnsiTheme="minorHAnsi" w:cs="Arial"/>
          <w:b/>
          <w:color w:val="000000"/>
          <w:szCs w:val="24"/>
          <w:lang w:val="es-ES_tradnl"/>
        </w:rPr>
      </w:pPr>
    </w:p>
    <w:p w14:paraId="32D590B5" w14:textId="77777777" w:rsidR="00845DA7" w:rsidRPr="000D3432" w:rsidRDefault="00845DA7" w:rsidP="00845DA7">
      <w:pPr>
        <w:jc w:val="center"/>
        <w:rPr>
          <w:rFonts w:asciiTheme="minorHAnsi" w:hAnsiTheme="minorHAnsi" w:cs="Arial"/>
          <w:szCs w:val="24"/>
          <w:lang w:val="es-ES_tradnl" w:eastAsia="es-PE"/>
        </w:rPr>
      </w:pPr>
    </w:p>
    <w:p w14:paraId="461D4E03" w14:textId="77777777" w:rsidR="00845DA7" w:rsidRPr="000D3432" w:rsidRDefault="00845DA7" w:rsidP="00845DA7">
      <w:pPr>
        <w:jc w:val="center"/>
        <w:rPr>
          <w:rFonts w:asciiTheme="minorHAnsi" w:hAnsiTheme="minorHAnsi" w:cs="Arial"/>
          <w:szCs w:val="24"/>
          <w:lang w:val="es-ES_tradnl" w:eastAsia="es-PE"/>
        </w:rPr>
      </w:pPr>
    </w:p>
    <w:p w14:paraId="6D46B642" w14:textId="77777777" w:rsidR="00845DA7" w:rsidRPr="000D3432" w:rsidRDefault="00845DA7" w:rsidP="00845DA7">
      <w:pPr>
        <w:jc w:val="center"/>
        <w:rPr>
          <w:rFonts w:asciiTheme="minorHAnsi" w:hAnsiTheme="minorHAnsi" w:cs="Arial"/>
          <w:szCs w:val="24"/>
          <w:lang w:val="es-ES_tradnl" w:eastAsia="es-PE"/>
        </w:rPr>
      </w:pPr>
    </w:p>
    <w:p w14:paraId="4CCAF4C4" w14:textId="77777777" w:rsidR="00845DA7" w:rsidRPr="00845DA7" w:rsidRDefault="00845DA7" w:rsidP="00845DA7">
      <w:pPr>
        <w:jc w:val="center"/>
        <w:rPr>
          <w:rFonts w:asciiTheme="minorHAnsi" w:hAnsiTheme="minorHAnsi" w:cs="Arial"/>
          <w:b/>
          <w:szCs w:val="24"/>
          <w:u w:val="single"/>
          <w:lang w:val="es-ES_tradnl" w:eastAsia="es-PE"/>
        </w:rPr>
      </w:pPr>
      <w:r w:rsidRPr="00845DA7">
        <w:rPr>
          <w:rFonts w:asciiTheme="minorHAnsi" w:hAnsiTheme="minorHAnsi" w:cs="Arial"/>
          <w:b/>
          <w:szCs w:val="24"/>
          <w:u w:val="single"/>
          <w:lang w:val="es-ES_tradnl" w:eastAsia="es-PE"/>
        </w:rPr>
        <w:t>TOMO I</w:t>
      </w:r>
    </w:p>
    <w:p w14:paraId="03E82F4A" w14:textId="77777777" w:rsidR="008356A1" w:rsidRPr="000D3432" w:rsidRDefault="008356A1" w:rsidP="00A95498">
      <w:pPr>
        <w:jc w:val="center"/>
        <w:outlineLvl w:val="1"/>
        <w:rPr>
          <w:rFonts w:asciiTheme="minorHAnsi" w:hAnsiTheme="minorHAnsi" w:cs="Arial"/>
          <w:b/>
          <w:bCs/>
          <w:color w:val="17365D"/>
          <w:szCs w:val="24"/>
          <w:u w:val="single"/>
          <w:lang w:val="es-ES_tradnl"/>
        </w:rPr>
      </w:pPr>
    </w:p>
    <w:p w14:paraId="7D6AE6CC" w14:textId="77777777" w:rsidR="008356A1" w:rsidRPr="000D3432" w:rsidRDefault="008356A1" w:rsidP="00A95498">
      <w:pPr>
        <w:jc w:val="center"/>
        <w:outlineLvl w:val="1"/>
        <w:rPr>
          <w:rFonts w:asciiTheme="minorHAnsi" w:hAnsiTheme="minorHAnsi" w:cs="Arial"/>
          <w:b/>
          <w:bCs/>
          <w:color w:val="17365D"/>
          <w:szCs w:val="24"/>
          <w:u w:val="single"/>
          <w:lang w:val="es-ES_tradnl"/>
        </w:rPr>
      </w:pPr>
    </w:p>
    <w:p w14:paraId="092513CD" w14:textId="77777777" w:rsidR="008356A1" w:rsidRPr="000D3432" w:rsidRDefault="008356A1" w:rsidP="00A95498">
      <w:pPr>
        <w:jc w:val="center"/>
        <w:outlineLvl w:val="1"/>
        <w:rPr>
          <w:rFonts w:asciiTheme="minorHAnsi" w:hAnsiTheme="minorHAnsi" w:cs="Arial"/>
          <w:b/>
          <w:bCs/>
          <w:color w:val="17365D"/>
          <w:szCs w:val="24"/>
          <w:u w:val="single"/>
          <w:lang w:val="es-ES_tradnl"/>
        </w:rPr>
      </w:pPr>
    </w:p>
    <w:p w14:paraId="6E756454" w14:textId="77777777" w:rsidR="008356A1" w:rsidRPr="000D3432" w:rsidRDefault="008356A1" w:rsidP="00A95498">
      <w:pPr>
        <w:jc w:val="center"/>
        <w:outlineLvl w:val="1"/>
        <w:rPr>
          <w:rFonts w:asciiTheme="minorHAnsi" w:hAnsiTheme="minorHAnsi" w:cs="Arial"/>
          <w:b/>
          <w:bCs/>
          <w:color w:val="17365D"/>
          <w:szCs w:val="24"/>
          <w:u w:val="single"/>
          <w:lang w:val="es-ES_tradnl"/>
        </w:rPr>
      </w:pPr>
    </w:p>
    <w:p w14:paraId="2896E7F3" w14:textId="77777777" w:rsidR="008356A1" w:rsidRPr="000D3432" w:rsidRDefault="008356A1" w:rsidP="00A95498">
      <w:pPr>
        <w:outlineLvl w:val="1"/>
        <w:rPr>
          <w:rFonts w:asciiTheme="minorHAnsi" w:hAnsiTheme="minorHAnsi" w:cs="Arial"/>
          <w:b/>
          <w:bCs/>
          <w:color w:val="17365D"/>
          <w:szCs w:val="24"/>
          <w:u w:val="single"/>
          <w:lang w:val="es-ES_tradnl"/>
        </w:rPr>
      </w:pPr>
    </w:p>
    <w:p w14:paraId="404D0B73" w14:textId="77777777" w:rsidR="008356A1" w:rsidRPr="000D3432" w:rsidRDefault="008356A1" w:rsidP="00A95498">
      <w:pPr>
        <w:outlineLvl w:val="1"/>
        <w:rPr>
          <w:rFonts w:asciiTheme="minorHAnsi" w:hAnsiTheme="minorHAnsi" w:cs="Arial"/>
          <w:b/>
          <w:bCs/>
          <w:color w:val="17365D"/>
          <w:szCs w:val="24"/>
          <w:u w:val="single"/>
          <w:lang w:val="es-ES_tradnl"/>
        </w:rPr>
      </w:pPr>
    </w:p>
    <w:p w14:paraId="66BD2121" w14:textId="77777777" w:rsidR="008356A1" w:rsidRPr="000D3432" w:rsidRDefault="008356A1" w:rsidP="00A95498">
      <w:pPr>
        <w:outlineLvl w:val="1"/>
        <w:rPr>
          <w:rFonts w:asciiTheme="minorHAnsi" w:hAnsiTheme="minorHAnsi" w:cs="Arial"/>
          <w:b/>
          <w:bCs/>
          <w:color w:val="17365D"/>
          <w:szCs w:val="24"/>
          <w:u w:val="single"/>
          <w:lang w:val="es-ES_tradnl"/>
        </w:rPr>
      </w:pPr>
    </w:p>
    <w:p w14:paraId="10FE110D" w14:textId="77777777" w:rsidR="00F049E8" w:rsidRPr="000D3432" w:rsidRDefault="00F049E8" w:rsidP="00A95498">
      <w:pPr>
        <w:outlineLvl w:val="1"/>
        <w:rPr>
          <w:rFonts w:asciiTheme="minorHAnsi" w:hAnsiTheme="minorHAnsi" w:cs="Arial"/>
          <w:b/>
          <w:bCs/>
          <w:color w:val="17365D"/>
          <w:szCs w:val="24"/>
          <w:u w:val="single"/>
          <w:lang w:val="es-ES_tradnl"/>
        </w:rPr>
      </w:pPr>
    </w:p>
    <w:p w14:paraId="7DE0E81A" w14:textId="77777777" w:rsidR="00F049E8" w:rsidRPr="000D3432" w:rsidRDefault="00F049E8" w:rsidP="00A95498">
      <w:pPr>
        <w:outlineLvl w:val="1"/>
        <w:rPr>
          <w:rFonts w:asciiTheme="minorHAnsi" w:hAnsiTheme="minorHAnsi" w:cs="Arial"/>
          <w:b/>
          <w:bCs/>
          <w:color w:val="17365D"/>
          <w:szCs w:val="24"/>
          <w:u w:val="single"/>
          <w:lang w:val="es-ES_tradnl"/>
        </w:rPr>
      </w:pPr>
    </w:p>
    <w:p w14:paraId="3835191E" w14:textId="77777777" w:rsidR="00F049E8" w:rsidRPr="000D3432" w:rsidRDefault="00F049E8" w:rsidP="00A95498">
      <w:pPr>
        <w:outlineLvl w:val="1"/>
        <w:rPr>
          <w:rFonts w:asciiTheme="minorHAnsi" w:hAnsiTheme="minorHAnsi" w:cs="Arial"/>
          <w:b/>
          <w:bCs/>
          <w:color w:val="17365D"/>
          <w:szCs w:val="24"/>
          <w:u w:val="single"/>
          <w:lang w:val="es-ES_tradnl"/>
        </w:rPr>
      </w:pPr>
    </w:p>
    <w:p w14:paraId="68116E7C" w14:textId="77777777" w:rsidR="00F049E8" w:rsidRPr="000D3432" w:rsidRDefault="00F049E8" w:rsidP="00A95498">
      <w:pPr>
        <w:outlineLvl w:val="1"/>
        <w:rPr>
          <w:rFonts w:asciiTheme="minorHAnsi" w:hAnsiTheme="minorHAnsi" w:cs="Arial"/>
          <w:b/>
          <w:bCs/>
          <w:color w:val="17365D"/>
          <w:szCs w:val="24"/>
          <w:u w:val="single"/>
          <w:lang w:val="es-ES_tradnl"/>
        </w:rPr>
      </w:pPr>
    </w:p>
    <w:p w14:paraId="7FC87C09" w14:textId="77777777" w:rsidR="00F049E8" w:rsidRPr="000D3432" w:rsidRDefault="00F049E8" w:rsidP="00A95498">
      <w:pPr>
        <w:outlineLvl w:val="1"/>
        <w:rPr>
          <w:rFonts w:asciiTheme="minorHAnsi" w:hAnsiTheme="minorHAnsi" w:cs="Arial"/>
          <w:b/>
          <w:bCs/>
          <w:color w:val="17365D"/>
          <w:szCs w:val="24"/>
          <w:u w:val="single"/>
          <w:lang w:val="es-ES_tradnl"/>
        </w:rPr>
      </w:pPr>
    </w:p>
    <w:p w14:paraId="494B622D" w14:textId="77777777" w:rsidR="00F049E8" w:rsidRPr="000D3432" w:rsidRDefault="00F049E8" w:rsidP="00A95498">
      <w:pPr>
        <w:outlineLvl w:val="1"/>
        <w:rPr>
          <w:rFonts w:asciiTheme="minorHAnsi" w:hAnsiTheme="minorHAnsi" w:cs="Arial"/>
          <w:b/>
          <w:bCs/>
          <w:color w:val="17365D"/>
          <w:szCs w:val="24"/>
          <w:u w:val="single"/>
          <w:lang w:val="es-ES_tradnl"/>
        </w:rPr>
      </w:pPr>
    </w:p>
    <w:p w14:paraId="00ACCD7A" w14:textId="6F61F960" w:rsidR="008356A1" w:rsidRPr="000D3432" w:rsidRDefault="00F049E8" w:rsidP="00F049E8">
      <w:pPr>
        <w:jc w:val="center"/>
        <w:outlineLvl w:val="1"/>
        <w:rPr>
          <w:rFonts w:asciiTheme="minorHAnsi" w:hAnsiTheme="minorHAnsi" w:cs="Arial"/>
          <w:b/>
          <w:bCs/>
          <w:color w:val="17365D"/>
          <w:szCs w:val="24"/>
          <w:lang w:val="es-ES_tradnl"/>
        </w:rPr>
      </w:pPr>
      <w:r w:rsidRPr="000D3432">
        <w:rPr>
          <w:rFonts w:asciiTheme="minorHAnsi" w:hAnsiTheme="minorHAnsi" w:cs="Arial"/>
          <w:b/>
          <w:bCs/>
          <w:color w:val="17365D"/>
          <w:szCs w:val="24"/>
          <w:u w:val="single"/>
          <w:lang w:val="es-ES_tradnl"/>
        </w:rPr>
        <w:t>Serie</w:t>
      </w:r>
    </w:p>
    <w:p w14:paraId="09C8F8BB" w14:textId="60976D7A" w:rsidR="008356A1" w:rsidRPr="000D3432" w:rsidRDefault="00F049E8" w:rsidP="00F049E8">
      <w:pPr>
        <w:jc w:val="center"/>
        <w:outlineLvl w:val="1"/>
        <w:rPr>
          <w:rFonts w:asciiTheme="minorHAnsi" w:hAnsiTheme="minorHAnsi" w:cs="Arial"/>
          <w:b/>
          <w:bCs/>
          <w:color w:val="17365D"/>
          <w:szCs w:val="24"/>
          <w:u w:val="single"/>
          <w:lang w:val="es-ES_tradnl"/>
        </w:rPr>
      </w:pPr>
      <w:r w:rsidRPr="000D3432">
        <w:rPr>
          <w:rFonts w:asciiTheme="minorHAnsi" w:hAnsiTheme="minorHAnsi" w:cs="Arial"/>
          <w:b/>
          <w:bCs/>
          <w:color w:val="17365D"/>
          <w:szCs w:val="24"/>
          <w:lang w:val="es-ES_tradnl"/>
        </w:rPr>
        <w:t>Repensando el Derecho</w:t>
      </w:r>
    </w:p>
    <w:p w14:paraId="4A47C2C6" w14:textId="2708E164" w:rsidR="007D6ABF" w:rsidRPr="000D3432" w:rsidRDefault="007D6ABF" w:rsidP="007D6ABF">
      <w:pPr>
        <w:jc w:val="both"/>
        <w:rPr>
          <w:rFonts w:asciiTheme="minorHAnsi" w:hAnsiTheme="minorHAnsi" w:cs="Andalus"/>
          <w:b/>
          <w:szCs w:val="24"/>
          <w:lang w:val="es-ES_tradnl"/>
        </w:rPr>
      </w:pPr>
      <w:r w:rsidRPr="000D3432">
        <w:rPr>
          <w:rFonts w:asciiTheme="minorHAnsi" w:hAnsiTheme="minorHAnsi" w:cstheme="minorHAnsi"/>
          <w:b/>
          <w:bCs/>
          <w:noProof/>
          <w:color w:val="1F497D"/>
          <w:szCs w:val="24"/>
        </w:rPr>
        <mc:AlternateContent>
          <mc:Choice Requires="wps">
            <w:drawing>
              <wp:anchor distT="0" distB="0" distL="114300" distR="114300" simplePos="0" relativeHeight="251673600" behindDoc="0" locked="0" layoutInCell="1" allowOverlap="1" wp14:anchorId="517DA614" wp14:editId="5C5920E2">
                <wp:simplePos x="0" y="0"/>
                <wp:positionH relativeFrom="column">
                  <wp:posOffset>-302497</wp:posOffset>
                </wp:positionH>
                <wp:positionV relativeFrom="paragraph">
                  <wp:posOffset>866727</wp:posOffset>
                </wp:positionV>
                <wp:extent cx="5639435" cy="380365"/>
                <wp:effectExtent l="0" t="0" r="18415" b="19685"/>
                <wp:wrapNone/>
                <wp:docPr id="17" name="10 Rectángulo"/>
                <wp:cNvGraphicFramePr/>
                <a:graphic xmlns:a="http://schemas.openxmlformats.org/drawingml/2006/main">
                  <a:graphicData uri="http://schemas.microsoft.com/office/word/2010/wordprocessingShape">
                    <wps:wsp>
                      <wps:cNvSpPr/>
                      <wps:spPr>
                        <a:xfrm>
                          <a:off x="0" y="0"/>
                          <a:ext cx="5639435" cy="3803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 Rectángulo" o:spid="_x0000_s1026" style="position:absolute;margin-left:-23.75pt;margin-top:68.25pt;width:444.05pt;height:29.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" fillcolor="white [3212]" strokecolor="white [3212]" strokeweight="2pt"/>
            </w:pict>
          </mc:Fallback>
        </mc:AlternateContent>
      </w:r>
      <w:r w:rsidRPr="000D3432">
        <w:rPr>
          <w:rFonts w:asciiTheme="minorHAnsi" w:hAnsiTheme="minorHAnsi" w:cstheme="minorHAnsi"/>
          <w:b/>
          <w:bCs/>
          <w:color w:val="000080"/>
          <w:szCs w:val="24"/>
          <w:lang w:val="es-ES_tradnl"/>
        </w:rPr>
        <w:br w:type="page"/>
      </w:r>
      <w:r w:rsidRPr="000D3432">
        <w:rPr>
          <w:rFonts w:asciiTheme="minorHAnsi" w:hAnsiTheme="minorHAnsi" w:cs="Andalus"/>
          <w:b/>
          <w:szCs w:val="24"/>
          <w:lang w:val="es-ES_tradnl"/>
        </w:rPr>
        <w:lastRenderedPageBreak/>
        <w:t xml:space="preserve">AZ TODO DERECHO </w:t>
      </w:r>
    </w:p>
    <w:p w14:paraId="3E080491" w14:textId="77777777" w:rsidR="007D6ABF" w:rsidRPr="000D3432" w:rsidRDefault="007D6ABF" w:rsidP="00845DA7">
      <w:pPr>
        <w:jc w:val="both"/>
        <w:rPr>
          <w:rFonts w:asciiTheme="minorHAnsi" w:hAnsiTheme="minorHAnsi" w:cs="Andalus"/>
          <w:szCs w:val="24"/>
          <w:lang w:val="es-ES_tradnl"/>
        </w:rPr>
      </w:pPr>
      <w:r w:rsidRPr="000D3432">
        <w:rPr>
          <w:rFonts w:asciiTheme="minorHAnsi" w:hAnsiTheme="minorHAnsi" w:cs="Andalus"/>
          <w:szCs w:val="24"/>
          <w:lang w:val="es-ES_tradnl"/>
        </w:rPr>
        <w:t>Centro promotor del Derecho, la Empresa y el Arte</w:t>
      </w:r>
    </w:p>
    <w:p w14:paraId="54A3F1F6" w14:textId="1ABB88FB" w:rsidR="007D6ABF" w:rsidRPr="000D3432" w:rsidRDefault="00845DA7" w:rsidP="00845DA7">
      <w:pPr>
        <w:jc w:val="both"/>
        <w:rPr>
          <w:rFonts w:asciiTheme="minorHAnsi" w:hAnsiTheme="minorHAnsi" w:cs="Andalus"/>
          <w:szCs w:val="24"/>
          <w:lang w:val="es-ES_tradnl"/>
        </w:rPr>
      </w:pPr>
      <w:r>
        <w:rPr>
          <w:rFonts w:asciiTheme="minorHAnsi" w:hAnsiTheme="minorHAnsi" w:cs="Andalus"/>
          <w:szCs w:val="24"/>
          <w:lang w:val="es-ES_tradnl"/>
        </w:rPr>
        <w:t>Serie</w:t>
      </w:r>
      <w:r w:rsidR="007D6ABF" w:rsidRPr="000D3432">
        <w:rPr>
          <w:rFonts w:asciiTheme="minorHAnsi" w:hAnsiTheme="minorHAnsi" w:cs="Andalus"/>
          <w:szCs w:val="24"/>
          <w:lang w:val="es-ES_tradnl"/>
        </w:rPr>
        <w:t xml:space="preserve">: </w:t>
      </w:r>
      <w:r w:rsidR="007D6ABF" w:rsidRPr="000D3432">
        <w:rPr>
          <w:rFonts w:asciiTheme="minorHAnsi" w:hAnsiTheme="minorHAnsi" w:cs="Andalus"/>
          <w:i/>
          <w:szCs w:val="24"/>
          <w:lang w:val="es-ES_tradnl"/>
        </w:rPr>
        <w:t>Repensando el Derecho</w:t>
      </w:r>
    </w:p>
    <w:p w14:paraId="2A9A2F6D" w14:textId="2782BBE2" w:rsidR="007D6ABF" w:rsidRPr="000D3432" w:rsidRDefault="007D6ABF" w:rsidP="00845DA7">
      <w:pPr>
        <w:jc w:val="both"/>
        <w:rPr>
          <w:rFonts w:asciiTheme="minorHAnsi" w:hAnsiTheme="minorHAnsi" w:cs="Andalus"/>
          <w:szCs w:val="24"/>
          <w:lang w:val="es-ES_tradnl"/>
        </w:rPr>
      </w:pPr>
      <w:r w:rsidRPr="000D3432">
        <w:rPr>
          <w:rFonts w:asciiTheme="minorHAnsi" w:hAnsiTheme="minorHAnsi" w:cs="Andalus"/>
          <w:szCs w:val="24"/>
          <w:lang w:val="es-ES_tradnl"/>
        </w:rPr>
        <w:t>Lima– Perú – 2016</w:t>
      </w:r>
    </w:p>
    <w:p w14:paraId="781A3924" w14:textId="77777777" w:rsidR="007D6ABF" w:rsidRPr="000D3432" w:rsidRDefault="007D6ABF" w:rsidP="007D6ABF">
      <w:pPr>
        <w:jc w:val="both"/>
        <w:rPr>
          <w:rFonts w:asciiTheme="minorHAnsi" w:hAnsiTheme="minorHAnsi" w:cs="Andalus"/>
          <w:b/>
          <w:bCs/>
          <w:color w:val="1F497D"/>
          <w:szCs w:val="24"/>
          <w:u w:val="single"/>
          <w:lang w:val="es-ES_tradnl"/>
        </w:rPr>
      </w:pPr>
    </w:p>
    <w:p w14:paraId="210F2466" w14:textId="77777777" w:rsidR="007D6ABF" w:rsidRPr="000D3432" w:rsidRDefault="007D6ABF" w:rsidP="007D6ABF">
      <w:pPr>
        <w:jc w:val="both"/>
        <w:rPr>
          <w:rFonts w:asciiTheme="minorHAnsi" w:hAnsiTheme="minorHAnsi" w:cs="Andalus"/>
          <w:b/>
          <w:bCs/>
          <w:color w:val="1F497D"/>
          <w:szCs w:val="24"/>
          <w:u w:val="single"/>
          <w:lang w:val="es-ES_tradnl"/>
        </w:rPr>
      </w:pPr>
    </w:p>
    <w:p w14:paraId="5CF41C84" w14:textId="77777777" w:rsidR="007D6ABF" w:rsidRPr="000D3432" w:rsidRDefault="007D6ABF" w:rsidP="00845DA7">
      <w:pPr>
        <w:jc w:val="both"/>
        <w:rPr>
          <w:rFonts w:asciiTheme="minorHAnsi" w:hAnsiTheme="minorHAnsi" w:cs="Andalus"/>
          <w:b/>
          <w:szCs w:val="24"/>
          <w:lang w:val="es-ES_tradnl"/>
        </w:rPr>
      </w:pPr>
      <w:r w:rsidRPr="000D3432">
        <w:rPr>
          <w:rFonts w:asciiTheme="minorHAnsi" w:hAnsiTheme="minorHAnsi" w:cs="Andalus"/>
          <w:b/>
          <w:szCs w:val="24"/>
          <w:lang w:val="es-ES_tradnl"/>
        </w:rPr>
        <w:t>Alex R. Zambrano Torres</w:t>
      </w:r>
    </w:p>
    <w:p w14:paraId="3CCA0FC0" w14:textId="77777777" w:rsidR="00475E09" w:rsidRDefault="007D6ABF" w:rsidP="00845DA7">
      <w:pPr>
        <w:jc w:val="both"/>
        <w:rPr>
          <w:rFonts w:asciiTheme="minorHAnsi" w:hAnsiTheme="minorHAnsi" w:cs="Andalus"/>
          <w:szCs w:val="24"/>
          <w:lang w:val="es-ES_tradnl"/>
        </w:rPr>
      </w:pPr>
      <w:r w:rsidRPr="000D3432">
        <w:rPr>
          <w:rFonts w:asciiTheme="minorHAnsi" w:hAnsiTheme="minorHAnsi" w:cs="Andalus"/>
          <w:szCs w:val="24"/>
          <w:lang w:val="es-ES_tradnl"/>
        </w:rPr>
        <w:t>Abogado, Consultor, Inventor y Artista Digital</w:t>
      </w:r>
    </w:p>
    <w:p w14:paraId="6B241E29" w14:textId="41864627" w:rsidR="007D6ABF" w:rsidRPr="00475E09" w:rsidRDefault="007D6ABF" w:rsidP="00845DA7">
      <w:pPr>
        <w:jc w:val="both"/>
        <w:rPr>
          <w:rFonts w:asciiTheme="minorHAnsi" w:hAnsiTheme="minorHAnsi" w:cs="Andalus"/>
          <w:szCs w:val="24"/>
          <w:lang w:val="es-ES_tradnl"/>
        </w:rPr>
      </w:pPr>
      <w:r w:rsidRPr="000D3432">
        <w:rPr>
          <w:rFonts w:asciiTheme="minorHAnsi" w:hAnsiTheme="minorHAnsi" w:cs="Andalus"/>
          <w:szCs w:val="24"/>
          <w:lang w:val="es-ES_tradnl"/>
        </w:rPr>
        <w:t>Presidente Ejecutivo de “AZ Todo Derecho”</w:t>
      </w:r>
    </w:p>
    <w:p w14:paraId="63A5EEB2" w14:textId="77777777" w:rsidR="007D6ABF" w:rsidRPr="000D3432" w:rsidRDefault="007D6ABF" w:rsidP="007D6ABF">
      <w:pPr>
        <w:jc w:val="both"/>
        <w:rPr>
          <w:rFonts w:asciiTheme="minorHAnsi" w:hAnsiTheme="minorHAnsi" w:cs="Andalus"/>
          <w:szCs w:val="24"/>
          <w:lang w:val="es-ES_tradnl"/>
        </w:rPr>
      </w:pPr>
    </w:p>
    <w:p w14:paraId="587559B0" w14:textId="77777777" w:rsidR="00475E09" w:rsidRPr="000D3432" w:rsidRDefault="00475E09" w:rsidP="00475E09">
      <w:pPr>
        <w:jc w:val="both"/>
        <w:rPr>
          <w:rFonts w:asciiTheme="minorHAnsi" w:hAnsiTheme="minorHAnsi" w:cs="Andalus"/>
          <w:szCs w:val="24"/>
          <w:lang w:val="es-ES_tradnl"/>
        </w:rPr>
      </w:pPr>
    </w:p>
    <w:p w14:paraId="379F0EC0" w14:textId="77777777" w:rsidR="007D6ABF" w:rsidRPr="000D3432" w:rsidRDefault="007D6ABF" w:rsidP="00845DA7">
      <w:pPr>
        <w:jc w:val="both"/>
        <w:rPr>
          <w:rFonts w:asciiTheme="minorHAnsi" w:hAnsiTheme="minorHAnsi" w:cs="Andalus"/>
          <w:szCs w:val="24"/>
          <w:lang w:val="es-ES_tradnl"/>
        </w:rPr>
      </w:pPr>
      <w:r w:rsidRPr="000D3432">
        <w:rPr>
          <w:rFonts w:asciiTheme="minorHAnsi" w:hAnsiTheme="minorHAnsi" w:cs="Andalus"/>
          <w:szCs w:val="24"/>
          <w:lang w:val="es-ES_tradnl"/>
        </w:rPr>
        <w:t>Dibujo de portada y foto de contraportada:</w:t>
      </w:r>
    </w:p>
    <w:p w14:paraId="6C05AD6B" w14:textId="58FD3C9C" w:rsidR="007D6ABF" w:rsidRPr="000D3432" w:rsidRDefault="007D6ABF" w:rsidP="00845DA7">
      <w:pPr>
        <w:jc w:val="both"/>
        <w:rPr>
          <w:rFonts w:asciiTheme="minorHAnsi" w:hAnsiTheme="minorHAnsi" w:cs="Andalus"/>
          <w:szCs w:val="24"/>
          <w:lang w:val="es-ES_tradnl"/>
        </w:rPr>
      </w:pPr>
      <w:r w:rsidRPr="000D3432">
        <w:rPr>
          <w:rFonts w:asciiTheme="minorHAnsi" w:hAnsiTheme="minorHAnsi" w:cs="Andalus"/>
          <w:szCs w:val="24"/>
          <w:lang w:val="es-ES_tradnl"/>
        </w:rPr>
        <w:t>A</w:t>
      </w:r>
      <w:r w:rsidR="00845DA7">
        <w:rPr>
          <w:rFonts w:asciiTheme="minorHAnsi" w:hAnsiTheme="minorHAnsi" w:cs="Andalus"/>
          <w:szCs w:val="24"/>
          <w:lang w:val="es-ES_tradnl"/>
        </w:rPr>
        <w:t xml:space="preserve">.R.Z.T. </w:t>
      </w:r>
    </w:p>
    <w:p w14:paraId="30DAE1A0" w14:textId="77777777" w:rsidR="007D6ABF" w:rsidRPr="000D3432" w:rsidRDefault="007D6ABF" w:rsidP="007D6ABF">
      <w:pPr>
        <w:ind w:left="142"/>
        <w:jc w:val="both"/>
        <w:rPr>
          <w:rFonts w:asciiTheme="minorHAnsi" w:hAnsiTheme="minorHAnsi" w:cs="Andalus"/>
          <w:szCs w:val="24"/>
          <w:lang w:val="es-ES_tradnl"/>
        </w:rPr>
      </w:pPr>
    </w:p>
    <w:p w14:paraId="580E856D" w14:textId="77777777" w:rsidR="007D6ABF" w:rsidRPr="000D3432" w:rsidRDefault="007D6ABF" w:rsidP="007D6ABF">
      <w:pPr>
        <w:ind w:left="142"/>
        <w:jc w:val="both"/>
        <w:rPr>
          <w:rFonts w:asciiTheme="minorHAnsi" w:hAnsiTheme="minorHAnsi" w:cs="Andalus"/>
          <w:szCs w:val="24"/>
          <w:lang w:val="es-ES_tradnl"/>
        </w:rPr>
      </w:pPr>
    </w:p>
    <w:p w14:paraId="40217952" w14:textId="77777777" w:rsidR="007D6ABF" w:rsidRPr="000D3432" w:rsidRDefault="007D6ABF" w:rsidP="007D6ABF">
      <w:pPr>
        <w:ind w:left="142"/>
        <w:jc w:val="both"/>
        <w:rPr>
          <w:rFonts w:asciiTheme="minorHAnsi" w:hAnsiTheme="minorHAnsi" w:cs="Andalus"/>
          <w:szCs w:val="24"/>
          <w:lang w:val="es-ES_tradnl"/>
        </w:rPr>
      </w:pPr>
    </w:p>
    <w:p w14:paraId="5F3806A5" w14:textId="77777777" w:rsidR="007D6ABF" w:rsidRPr="000D3432" w:rsidRDefault="007D6ABF" w:rsidP="007D6ABF">
      <w:pPr>
        <w:jc w:val="both"/>
        <w:rPr>
          <w:rFonts w:asciiTheme="minorHAnsi" w:hAnsiTheme="minorHAnsi" w:cs="Andalus"/>
          <w:szCs w:val="24"/>
          <w:lang w:val="es-ES_tradnl"/>
        </w:rPr>
      </w:pPr>
    </w:p>
    <w:p w14:paraId="0363C934" w14:textId="77777777" w:rsidR="007D6ABF" w:rsidRPr="000D3432" w:rsidRDefault="007D6ABF" w:rsidP="007D6ABF">
      <w:pPr>
        <w:jc w:val="both"/>
        <w:rPr>
          <w:rFonts w:asciiTheme="minorHAnsi" w:hAnsiTheme="minorHAnsi" w:cs="Andalus"/>
          <w:szCs w:val="24"/>
          <w:lang w:val="es-ES_tradnl"/>
        </w:rPr>
      </w:pPr>
    </w:p>
    <w:p w14:paraId="262A7A87" w14:textId="77777777" w:rsidR="007D6ABF" w:rsidRPr="000D3432" w:rsidRDefault="007D6ABF" w:rsidP="007D6ABF">
      <w:pPr>
        <w:jc w:val="both"/>
        <w:rPr>
          <w:rFonts w:asciiTheme="minorHAnsi" w:hAnsiTheme="minorHAnsi" w:cs="Andalus"/>
          <w:szCs w:val="24"/>
          <w:lang w:val="es-ES_tradnl"/>
        </w:rPr>
      </w:pPr>
    </w:p>
    <w:p w14:paraId="7B79AEA6" w14:textId="77777777" w:rsidR="007D6ABF" w:rsidRPr="000D3432" w:rsidRDefault="007D6ABF" w:rsidP="007D6ABF">
      <w:pPr>
        <w:ind w:left="142"/>
        <w:jc w:val="both"/>
        <w:rPr>
          <w:rFonts w:asciiTheme="minorHAnsi" w:hAnsiTheme="minorHAnsi" w:cs="Andalus"/>
          <w:szCs w:val="24"/>
          <w:lang w:val="es-ES_tradnl"/>
        </w:rPr>
      </w:pPr>
    </w:p>
    <w:p w14:paraId="062E20ED" w14:textId="77777777" w:rsidR="007D6ABF" w:rsidRPr="000D3432" w:rsidRDefault="007D6ABF" w:rsidP="007D6ABF">
      <w:pPr>
        <w:ind w:left="142"/>
        <w:jc w:val="both"/>
        <w:rPr>
          <w:rFonts w:asciiTheme="minorHAnsi" w:hAnsiTheme="minorHAnsi" w:cs="Andalus"/>
          <w:szCs w:val="24"/>
          <w:lang w:val="es-ES_tradnl"/>
        </w:rPr>
      </w:pPr>
    </w:p>
    <w:p w14:paraId="32B1D913" w14:textId="77777777" w:rsidR="007D6ABF" w:rsidRPr="000D3432" w:rsidRDefault="007D6ABF" w:rsidP="007D6ABF">
      <w:pPr>
        <w:ind w:left="142"/>
        <w:jc w:val="both"/>
        <w:rPr>
          <w:rFonts w:asciiTheme="minorHAnsi" w:hAnsiTheme="minorHAnsi" w:cs="Andalus"/>
          <w:szCs w:val="24"/>
          <w:lang w:val="es-ES_tradnl"/>
        </w:rPr>
      </w:pPr>
    </w:p>
    <w:p w14:paraId="6BE1717C" w14:textId="77777777" w:rsidR="007D6ABF" w:rsidRPr="000D3432" w:rsidRDefault="007D6ABF" w:rsidP="007D6ABF">
      <w:pPr>
        <w:ind w:left="142"/>
        <w:jc w:val="both"/>
        <w:rPr>
          <w:rFonts w:asciiTheme="minorHAnsi" w:hAnsiTheme="minorHAnsi" w:cs="Andalus"/>
          <w:szCs w:val="24"/>
          <w:lang w:val="es-ES_tradnl"/>
        </w:rPr>
      </w:pPr>
    </w:p>
    <w:p w14:paraId="42CB9C1B" w14:textId="77777777" w:rsidR="007D6ABF" w:rsidRDefault="007D6ABF" w:rsidP="007D6ABF">
      <w:pPr>
        <w:ind w:left="142"/>
        <w:jc w:val="both"/>
        <w:rPr>
          <w:rFonts w:asciiTheme="minorHAnsi" w:hAnsiTheme="minorHAnsi" w:cs="Andalus"/>
          <w:szCs w:val="24"/>
          <w:lang w:val="es-ES_tradnl"/>
        </w:rPr>
      </w:pPr>
    </w:p>
    <w:p w14:paraId="060B2250" w14:textId="77777777" w:rsidR="00845DA7" w:rsidRDefault="00845DA7" w:rsidP="007D6ABF">
      <w:pPr>
        <w:ind w:left="142"/>
        <w:jc w:val="both"/>
        <w:rPr>
          <w:rFonts w:asciiTheme="minorHAnsi" w:hAnsiTheme="minorHAnsi" w:cs="Andalus"/>
          <w:szCs w:val="24"/>
          <w:lang w:val="es-ES_tradnl"/>
        </w:rPr>
      </w:pPr>
    </w:p>
    <w:p w14:paraId="74301147" w14:textId="77777777" w:rsidR="00845DA7" w:rsidRDefault="00845DA7" w:rsidP="007D6ABF">
      <w:pPr>
        <w:ind w:left="142"/>
        <w:jc w:val="both"/>
        <w:rPr>
          <w:rFonts w:asciiTheme="minorHAnsi" w:hAnsiTheme="minorHAnsi" w:cs="Andalus"/>
          <w:szCs w:val="24"/>
          <w:lang w:val="es-ES_tradnl"/>
        </w:rPr>
      </w:pPr>
    </w:p>
    <w:p w14:paraId="7313D62A" w14:textId="77777777" w:rsidR="00845DA7" w:rsidRDefault="00845DA7" w:rsidP="007D6ABF">
      <w:pPr>
        <w:ind w:left="142"/>
        <w:jc w:val="both"/>
        <w:rPr>
          <w:rFonts w:asciiTheme="minorHAnsi" w:hAnsiTheme="minorHAnsi" w:cs="Andalus"/>
          <w:szCs w:val="24"/>
          <w:lang w:val="es-ES_tradnl"/>
        </w:rPr>
      </w:pPr>
    </w:p>
    <w:p w14:paraId="5B0BEF62" w14:textId="77777777" w:rsidR="00845DA7" w:rsidRDefault="00845DA7" w:rsidP="007D6ABF">
      <w:pPr>
        <w:ind w:left="142"/>
        <w:jc w:val="both"/>
        <w:rPr>
          <w:rFonts w:asciiTheme="minorHAnsi" w:hAnsiTheme="minorHAnsi" w:cs="Andalus"/>
          <w:szCs w:val="24"/>
          <w:lang w:val="es-ES_tradnl"/>
        </w:rPr>
      </w:pPr>
    </w:p>
    <w:p w14:paraId="73EB729E" w14:textId="77777777" w:rsidR="00845DA7" w:rsidRDefault="00845DA7" w:rsidP="007D6ABF">
      <w:pPr>
        <w:ind w:left="142"/>
        <w:jc w:val="both"/>
        <w:rPr>
          <w:rFonts w:asciiTheme="minorHAnsi" w:hAnsiTheme="minorHAnsi" w:cs="Andalus"/>
          <w:szCs w:val="24"/>
          <w:lang w:val="es-ES_tradnl"/>
        </w:rPr>
      </w:pPr>
    </w:p>
    <w:p w14:paraId="2A990672" w14:textId="77777777" w:rsidR="00845DA7" w:rsidRDefault="00845DA7" w:rsidP="007D6ABF">
      <w:pPr>
        <w:ind w:left="142"/>
        <w:jc w:val="both"/>
        <w:rPr>
          <w:rFonts w:asciiTheme="minorHAnsi" w:hAnsiTheme="minorHAnsi" w:cs="Andalus"/>
          <w:szCs w:val="24"/>
          <w:lang w:val="es-ES_tradnl"/>
        </w:rPr>
      </w:pPr>
    </w:p>
    <w:p w14:paraId="4B98FE62" w14:textId="77777777" w:rsidR="00845DA7" w:rsidRDefault="00845DA7" w:rsidP="007D6ABF">
      <w:pPr>
        <w:ind w:left="142"/>
        <w:jc w:val="both"/>
        <w:rPr>
          <w:rFonts w:asciiTheme="minorHAnsi" w:hAnsiTheme="minorHAnsi" w:cs="Andalus"/>
          <w:szCs w:val="24"/>
          <w:lang w:val="es-ES_tradnl"/>
        </w:rPr>
      </w:pPr>
    </w:p>
    <w:p w14:paraId="4763CD91" w14:textId="77777777" w:rsidR="00845DA7" w:rsidRDefault="00845DA7" w:rsidP="007D6ABF">
      <w:pPr>
        <w:ind w:left="142"/>
        <w:jc w:val="both"/>
        <w:rPr>
          <w:rFonts w:asciiTheme="minorHAnsi" w:hAnsiTheme="minorHAnsi" w:cs="Andalus"/>
          <w:szCs w:val="24"/>
          <w:lang w:val="es-ES_tradnl"/>
        </w:rPr>
      </w:pPr>
    </w:p>
    <w:p w14:paraId="5AD216F4" w14:textId="77777777" w:rsidR="00845DA7" w:rsidRDefault="00845DA7" w:rsidP="007D6ABF">
      <w:pPr>
        <w:ind w:left="142"/>
        <w:jc w:val="both"/>
        <w:rPr>
          <w:rFonts w:asciiTheme="minorHAnsi" w:hAnsiTheme="minorHAnsi" w:cs="Andalus"/>
          <w:szCs w:val="24"/>
          <w:lang w:val="es-ES_tradnl"/>
        </w:rPr>
      </w:pPr>
    </w:p>
    <w:p w14:paraId="48C78254" w14:textId="77777777" w:rsidR="00845DA7" w:rsidRDefault="00845DA7" w:rsidP="007D6ABF">
      <w:pPr>
        <w:ind w:left="142"/>
        <w:jc w:val="both"/>
        <w:rPr>
          <w:rFonts w:asciiTheme="minorHAnsi" w:hAnsiTheme="minorHAnsi" w:cs="Andalus"/>
          <w:szCs w:val="24"/>
          <w:lang w:val="es-ES_tradnl"/>
        </w:rPr>
      </w:pPr>
    </w:p>
    <w:p w14:paraId="28DFBBBD" w14:textId="77777777" w:rsidR="00845DA7" w:rsidRPr="000D3432" w:rsidRDefault="00845DA7" w:rsidP="007D6ABF">
      <w:pPr>
        <w:ind w:left="142"/>
        <w:jc w:val="both"/>
        <w:rPr>
          <w:rFonts w:asciiTheme="minorHAnsi" w:hAnsiTheme="minorHAnsi" w:cs="Andalus"/>
          <w:szCs w:val="24"/>
          <w:lang w:val="es-ES_tradnl"/>
        </w:rPr>
      </w:pPr>
    </w:p>
    <w:p w14:paraId="18308D9B" w14:textId="77777777" w:rsidR="007D6ABF" w:rsidRPr="000D3432" w:rsidRDefault="007D6ABF" w:rsidP="007D6ABF">
      <w:pPr>
        <w:ind w:left="142"/>
        <w:jc w:val="both"/>
        <w:rPr>
          <w:rFonts w:asciiTheme="minorHAnsi" w:hAnsiTheme="minorHAnsi" w:cs="Andalus"/>
          <w:szCs w:val="24"/>
          <w:lang w:val="es-ES_tradnl"/>
        </w:rPr>
      </w:pPr>
    </w:p>
    <w:p w14:paraId="19B525F6" w14:textId="77777777" w:rsidR="007D6ABF" w:rsidRPr="000D3432" w:rsidRDefault="007D6ABF" w:rsidP="007D6ABF">
      <w:pPr>
        <w:ind w:left="142" w:right="1559"/>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Copyright 2016</w:t>
      </w:r>
    </w:p>
    <w:p w14:paraId="557E201D" w14:textId="77777777" w:rsidR="007D6ABF" w:rsidRPr="000D3432" w:rsidRDefault="007D6ABF" w:rsidP="007D6ABF">
      <w:pPr>
        <w:ind w:left="142" w:right="1559"/>
        <w:jc w:val="both"/>
        <w:rPr>
          <w:rFonts w:asciiTheme="minorHAnsi" w:hAnsiTheme="minorHAnsi" w:cs="Arial"/>
          <w:color w:val="000000"/>
          <w:szCs w:val="24"/>
          <w:lang w:val="es-ES_tradnl"/>
        </w:rPr>
      </w:pPr>
      <w:r w:rsidRPr="000D3432">
        <w:rPr>
          <w:rFonts w:asciiTheme="minorHAnsi" w:hAnsiTheme="minorHAnsi" w:cs="Andalus"/>
          <w:szCs w:val="24"/>
          <w:lang w:val="es-ES_tradnl"/>
        </w:rPr>
        <w:t>ISBN</w:t>
      </w:r>
    </w:p>
    <w:p w14:paraId="62A2D8E4" w14:textId="77777777" w:rsidR="007D6ABF" w:rsidRPr="000D3432" w:rsidRDefault="007D6ABF" w:rsidP="007D6ABF">
      <w:pPr>
        <w:ind w:left="142" w:right="992"/>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Derechos de Autor reservados conforme a ley.</w:t>
      </w:r>
    </w:p>
    <w:p w14:paraId="1C67934C" w14:textId="77777777" w:rsidR="007D6ABF" w:rsidRPr="000D3432" w:rsidRDefault="007D6ABF" w:rsidP="007D6ABF">
      <w:pPr>
        <w:ind w:left="142" w:right="992"/>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Queda autorizada la reproducción total o parcial de este texto,</w:t>
      </w:r>
    </w:p>
    <w:p w14:paraId="4C8A96BC" w14:textId="77777777" w:rsidR="007D6ABF" w:rsidRPr="000D3432" w:rsidRDefault="007D6ABF" w:rsidP="007D6ABF">
      <w:pPr>
        <w:ind w:left="142" w:right="992"/>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con previa comunicación y autorización de los autores.</w:t>
      </w:r>
    </w:p>
    <w:p w14:paraId="7BC5991D" w14:textId="77777777" w:rsidR="007D6ABF" w:rsidRPr="000D3432" w:rsidRDefault="007D6ABF" w:rsidP="007D6ABF">
      <w:pPr>
        <w:ind w:left="142" w:right="2422"/>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Printed in Lima – Perú 2016</w:t>
      </w:r>
    </w:p>
    <w:p w14:paraId="668FE02C" w14:textId="77777777" w:rsidR="007D6ABF" w:rsidRPr="000D3432" w:rsidRDefault="007D6ABF" w:rsidP="007D6ABF">
      <w:pPr>
        <w:jc w:val="both"/>
        <w:rPr>
          <w:rFonts w:asciiTheme="minorHAnsi" w:hAnsiTheme="minorHAnsi"/>
          <w:szCs w:val="24"/>
          <w:u w:val="single"/>
          <w:lang w:val="es-ES_tradnl"/>
        </w:rPr>
      </w:pPr>
    </w:p>
    <w:p w14:paraId="3897F4E4" w14:textId="77777777" w:rsidR="007D6ABF" w:rsidRPr="000D3432" w:rsidRDefault="007D6ABF" w:rsidP="007D6ABF">
      <w:pPr>
        <w:jc w:val="both"/>
        <w:rPr>
          <w:rFonts w:asciiTheme="minorHAnsi" w:hAnsiTheme="minorHAnsi"/>
          <w:szCs w:val="24"/>
          <w:u w:val="single"/>
          <w:lang w:val="es-ES_tradnl"/>
        </w:rPr>
      </w:pPr>
    </w:p>
    <w:p w14:paraId="389AA0CD" w14:textId="77777777" w:rsidR="007D6ABF" w:rsidRPr="000D3432" w:rsidRDefault="007D6ABF" w:rsidP="007D6ABF">
      <w:pPr>
        <w:ind w:left="142"/>
        <w:jc w:val="both"/>
        <w:rPr>
          <w:rFonts w:asciiTheme="minorHAnsi" w:hAnsiTheme="minorHAnsi"/>
          <w:szCs w:val="24"/>
          <w:u w:val="single"/>
          <w:lang w:val="es-ES_tradnl"/>
        </w:rPr>
      </w:pPr>
      <w:r w:rsidRPr="000D3432">
        <w:rPr>
          <w:rFonts w:asciiTheme="minorHAnsi" w:hAnsiTheme="minorHAnsi"/>
          <w:szCs w:val="24"/>
          <w:u w:val="single"/>
          <w:lang w:val="es-ES_tradnl"/>
        </w:rPr>
        <w:t xml:space="preserve">Referencia: </w:t>
      </w:r>
    </w:p>
    <w:p w14:paraId="1F17A760" w14:textId="77777777" w:rsidR="007D6ABF" w:rsidRPr="000D3432" w:rsidRDefault="007D6ABF" w:rsidP="007D6ABF">
      <w:pPr>
        <w:ind w:left="142"/>
        <w:jc w:val="both"/>
        <w:rPr>
          <w:rFonts w:asciiTheme="minorHAnsi" w:hAnsiTheme="minorHAnsi"/>
          <w:szCs w:val="24"/>
          <w:lang w:val="es-ES_tradnl"/>
        </w:rPr>
      </w:pPr>
      <w:r w:rsidRPr="000D3432">
        <w:rPr>
          <w:rFonts w:asciiTheme="minorHAnsi" w:hAnsiTheme="minorHAnsi"/>
          <w:szCs w:val="24"/>
          <w:lang w:val="es-ES_tradnl"/>
        </w:rPr>
        <w:t xml:space="preserve">La presente edición es sólo con fines de trabajo,  </w:t>
      </w:r>
    </w:p>
    <w:p w14:paraId="697CCB9D" w14:textId="2C4FCB0C" w:rsidR="007D6ABF" w:rsidRPr="000D3432" w:rsidRDefault="00F049E8" w:rsidP="007D6ABF">
      <w:pPr>
        <w:ind w:right="2422"/>
        <w:jc w:val="both"/>
        <w:rPr>
          <w:rFonts w:asciiTheme="minorHAnsi" w:hAnsiTheme="minorHAnsi" w:cs="Arial"/>
          <w:szCs w:val="24"/>
        </w:rPr>
      </w:pPr>
      <w:r w:rsidRPr="000D3432">
        <w:rPr>
          <w:rFonts w:asciiTheme="minorHAnsi" w:hAnsiTheme="minorHAnsi"/>
          <w:szCs w:val="24"/>
          <w:lang w:val="es-ES_tradnl"/>
        </w:rPr>
        <w:t xml:space="preserve">   </w:t>
      </w:r>
      <w:r w:rsidR="007D6ABF" w:rsidRPr="000D3432">
        <w:rPr>
          <w:rFonts w:asciiTheme="minorHAnsi" w:hAnsiTheme="minorHAnsi"/>
          <w:szCs w:val="24"/>
          <w:lang w:val="es-ES_tradnl"/>
        </w:rPr>
        <w:t>análisis y promoción de la cultura jurídica</w:t>
      </w:r>
    </w:p>
    <w:p w14:paraId="0A153BF5" w14:textId="77777777" w:rsidR="001925CE" w:rsidRPr="000D3432" w:rsidRDefault="001925CE" w:rsidP="00A95498">
      <w:pPr>
        <w:jc w:val="both"/>
        <w:rPr>
          <w:rFonts w:asciiTheme="minorHAnsi" w:hAnsiTheme="minorHAnsi"/>
          <w:b/>
          <w:color w:val="000000"/>
          <w:szCs w:val="24"/>
        </w:rPr>
      </w:pPr>
      <w:r w:rsidRPr="000D3432">
        <w:rPr>
          <w:rFonts w:asciiTheme="minorHAnsi" w:hAnsiTheme="minorHAnsi"/>
          <w:b/>
          <w:color w:val="000000"/>
          <w:szCs w:val="24"/>
        </w:rPr>
        <w:br w:type="page"/>
      </w:r>
    </w:p>
    <w:p w14:paraId="49AAC7D0" w14:textId="77777777" w:rsidR="00475E09" w:rsidRPr="000D3432" w:rsidRDefault="00475E09" w:rsidP="00475E09">
      <w:pPr>
        <w:jc w:val="center"/>
        <w:outlineLvl w:val="1"/>
        <w:rPr>
          <w:rFonts w:asciiTheme="minorHAnsi" w:hAnsiTheme="minorHAnsi" w:cs="Arial"/>
          <w:b/>
          <w:bCs/>
          <w:color w:val="1F497D"/>
          <w:szCs w:val="24"/>
          <w:lang w:val="es-ES_tradnl"/>
        </w:rPr>
      </w:pPr>
    </w:p>
    <w:p w14:paraId="37C0459D" w14:textId="77777777" w:rsidR="00475E09" w:rsidRDefault="00475E09" w:rsidP="00475E09">
      <w:pPr>
        <w:tabs>
          <w:tab w:val="left" w:pos="1130"/>
          <w:tab w:val="right" w:pos="8505"/>
        </w:tabs>
        <w:jc w:val="center"/>
        <w:outlineLvl w:val="1"/>
        <w:rPr>
          <w:rFonts w:asciiTheme="minorHAnsi" w:hAnsiTheme="minorHAnsi" w:cs="Arial"/>
          <w:b/>
          <w:bCs/>
          <w:szCs w:val="24"/>
          <w:lang w:val="es-ES_tradnl"/>
        </w:rPr>
      </w:pPr>
    </w:p>
    <w:p w14:paraId="770E218B" w14:textId="77777777" w:rsidR="00845DA7" w:rsidRPr="000D3432" w:rsidRDefault="00845DA7" w:rsidP="00475E09">
      <w:pPr>
        <w:tabs>
          <w:tab w:val="left" w:pos="1130"/>
          <w:tab w:val="right" w:pos="8505"/>
        </w:tabs>
        <w:jc w:val="center"/>
        <w:outlineLvl w:val="1"/>
        <w:rPr>
          <w:rFonts w:asciiTheme="minorHAnsi" w:hAnsiTheme="minorHAnsi" w:cs="Arial"/>
          <w:b/>
          <w:bCs/>
          <w:szCs w:val="24"/>
          <w:lang w:val="es-ES_tradnl"/>
        </w:rPr>
      </w:pPr>
    </w:p>
    <w:p w14:paraId="663B63B6" w14:textId="77777777" w:rsidR="00475E09" w:rsidRPr="000D3432" w:rsidRDefault="00475E09" w:rsidP="00475E09">
      <w:pPr>
        <w:jc w:val="center"/>
        <w:rPr>
          <w:rFonts w:asciiTheme="minorHAnsi" w:hAnsiTheme="minorHAnsi"/>
          <w:b/>
          <w:color w:val="943634"/>
          <w:szCs w:val="24"/>
          <w:lang w:val="es-ES_tradnl"/>
        </w:rPr>
      </w:pPr>
      <w:r w:rsidRPr="000D3432">
        <w:rPr>
          <w:rFonts w:asciiTheme="minorHAnsi" w:hAnsiTheme="minorHAnsi"/>
          <w:b/>
          <w:color w:val="943634"/>
          <w:szCs w:val="24"/>
          <w:u w:val="single"/>
          <w:lang w:val="es-ES_tradnl"/>
        </w:rPr>
        <w:t>LAS CURVAS DEL DERECHO</w:t>
      </w:r>
    </w:p>
    <w:p w14:paraId="0F6D287E" w14:textId="77777777" w:rsidR="00475E09" w:rsidRPr="000D3432" w:rsidRDefault="00475E09" w:rsidP="00475E09">
      <w:pPr>
        <w:jc w:val="center"/>
        <w:rPr>
          <w:rFonts w:asciiTheme="minorHAnsi" w:hAnsiTheme="minorHAnsi" w:cs="Arial"/>
          <w:color w:val="000000"/>
          <w:szCs w:val="24"/>
        </w:rPr>
      </w:pPr>
      <w:r w:rsidRPr="000D3432">
        <w:rPr>
          <w:rFonts w:asciiTheme="minorHAnsi" w:hAnsiTheme="minorHAnsi" w:cs="Arial"/>
          <w:color w:val="000000"/>
          <w:szCs w:val="24"/>
        </w:rPr>
        <w:t>(Escritos profanos sobre Derecho, Economía y Empresa)</w:t>
      </w:r>
    </w:p>
    <w:p w14:paraId="69B72869" w14:textId="77777777" w:rsidR="00475E09" w:rsidRPr="000D3432" w:rsidRDefault="00475E09" w:rsidP="00475E09">
      <w:pPr>
        <w:jc w:val="center"/>
        <w:rPr>
          <w:rFonts w:asciiTheme="minorHAnsi" w:hAnsiTheme="minorHAnsi" w:cs="Arial"/>
          <w:szCs w:val="24"/>
          <w:lang w:val="es-ES_tradnl" w:eastAsia="es-PE"/>
        </w:rPr>
      </w:pPr>
    </w:p>
    <w:p w14:paraId="32963EA7" w14:textId="77777777" w:rsidR="00475E09" w:rsidRPr="000D3432" w:rsidRDefault="00475E09" w:rsidP="00475E09">
      <w:pPr>
        <w:jc w:val="center"/>
        <w:rPr>
          <w:rFonts w:asciiTheme="minorHAnsi" w:hAnsiTheme="minorHAnsi" w:cs="Arial"/>
          <w:szCs w:val="24"/>
          <w:lang w:val="es-ES_tradnl" w:eastAsia="es-PE"/>
        </w:rPr>
      </w:pPr>
      <w:r w:rsidRPr="000D3432">
        <w:rPr>
          <w:rFonts w:asciiTheme="minorHAnsi" w:hAnsiTheme="minorHAnsi" w:cs="Arial"/>
          <w:szCs w:val="24"/>
          <w:lang w:val="es-ES_tradnl" w:eastAsia="es-PE"/>
        </w:rPr>
        <w:t>Con un capítulo denominado:</w:t>
      </w:r>
    </w:p>
    <w:p w14:paraId="48EE65D5" w14:textId="77777777" w:rsidR="00475E09" w:rsidRPr="000D3432" w:rsidRDefault="00475E09" w:rsidP="00475E09">
      <w:pPr>
        <w:jc w:val="center"/>
        <w:rPr>
          <w:rFonts w:asciiTheme="minorHAnsi" w:hAnsiTheme="minorHAnsi" w:cs="Arial"/>
          <w:b/>
          <w:szCs w:val="24"/>
          <w:u w:val="single"/>
          <w:lang w:val="es-ES_tradnl" w:eastAsia="es-PE"/>
        </w:rPr>
      </w:pPr>
      <w:r w:rsidRPr="000D3432">
        <w:rPr>
          <w:rFonts w:asciiTheme="minorHAnsi" w:hAnsiTheme="minorHAnsi" w:cs="Arial"/>
          <w:b/>
          <w:szCs w:val="24"/>
          <w:u w:val="single"/>
          <w:lang w:val="es-ES_tradnl" w:eastAsia="es-PE"/>
        </w:rPr>
        <w:t>¿YO EL DELINCUENTE?</w:t>
      </w:r>
    </w:p>
    <w:p w14:paraId="7CC57C0F" w14:textId="77777777" w:rsidR="00475E09" w:rsidRPr="000D3432" w:rsidRDefault="00475E09" w:rsidP="00475E09">
      <w:pPr>
        <w:jc w:val="center"/>
        <w:rPr>
          <w:rFonts w:asciiTheme="minorHAnsi" w:hAnsiTheme="minorHAnsi" w:cs="Arial"/>
          <w:szCs w:val="24"/>
          <w:lang w:val="es-ES_tradnl" w:eastAsia="es-PE"/>
        </w:rPr>
      </w:pPr>
      <w:r w:rsidRPr="000D3432">
        <w:rPr>
          <w:rFonts w:asciiTheme="minorHAnsi" w:hAnsiTheme="minorHAnsi" w:cs="Arial"/>
          <w:szCs w:val="24"/>
          <w:lang w:val="es-ES_tradnl" w:eastAsia="es-PE"/>
        </w:rPr>
        <w:t>“DELITOS COMETIDOS POR FUNCIONARIOS, SERVIDORES PÚBLICOS Y PARTICULARES CONTRA LA ADMINISTRACIÓN PÚBLICA</w:t>
      </w:r>
    </w:p>
    <w:p w14:paraId="3F3549EE" w14:textId="77777777" w:rsidR="00475E09" w:rsidRPr="000D3432" w:rsidRDefault="00475E09" w:rsidP="00475E09">
      <w:pPr>
        <w:jc w:val="center"/>
        <w:rPr>
          <w:rFonts w:asciiTheme="minorHAnsi" w:hAnsiTheme="minorHAnsi" w:cs="Arial"/>
          <w:b/>
          <w:szCs w:val="24"/>
          <w:lang w:val="es-ES_tradnl" w:eastAsia="es-PE"/>
        </w:rPr>
      </w:pPr>
    </w:p>
    <w:p w14:paraId="6BA9D2F5" w14:textId="77777777" w:rsidR="001925CE" w:rsidRDefault="001925CE" w:rsidP="00A95498">
      <w:pPr>
        <w:jc w:val="both"/>
        <w:rPr>
          <w:rFonts w:asciiTheme="minorHAnsi" w:hAnsiTheme="minorHAnsi"/>
          <w:b/>
          <w:color w:val="000000"/>
          <w:szCs w:val="24"/>
        </w:rPr>
      </w:pPr>
    </w:p>
    <w:p w14:paraId="573E2F84" w14:textId="77777777" w:rsidR="00475E09" w:rsidRDefault="00475E09" w:rsidP="00A95498">
      <w:pPr>
        <w:jc w:val="both"/>
        <w:rPr>
          <w:rFonts w:asciiTheme="minorHAnsi" w:hAnsiTheme="minorHAnsi"/>
          <w:b/>
          <w:color w:val="000000"/>
          <w:szCs w:val="24"/>
        </w:rPr>
      </w:pPr>
    </w:p>
    <w:p w14:paraId="07B1C3A2" w14:textId="77777777" w:rsidR="00475E09" w:rsidRPr="000D3432" w:rsidRDefault="00475E09" w:rsidP="00A95498">
      <w:pPr>
        <w:jc w:val="both"/>
        <w:rPr>
          <w:rFonts w:asciiTheme="minorHAnsi" w:hAnsiTheme="minorHAnsi"/>
          <w:b/>
          <w:color w:val="000000"/>
          <w:szCs w:val="24"/>
        </w:rPr>
      </w:pPr>
    </w:p>
    <w:p w14:paraId="6D0F009B"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CONTENIDO</w:t>
      </w:r>
    </w:p>
    <w:p w14:paraId="73972108" w14:textId="77777777" w:rsidR="001925CE" w:rsidRPr="000D3432" w:rsidRDefault="001925CE" w:rsidP="00A95498">
      <w:pPr>
        <w:jc w:val="center"/>
        <w:rPr>
          <w:rFonts w:asciiTheme="minorHAnsi" w:hAnsiTheme="minorHAnsi" w:cs="Arial"/>
          <w:szCs w:val="24"/>
        </w:rPr>
      </w:pPr>
      <w:r w:rsidRPr="000D3432">
        <w:rPr>
          <w:rFonts w:asciiTheme="minorHAnsi" w:hAnsiTheme="minorHAnsi" w:cs="Arial"/>
          <w:szCs w:val="24"/>
        </w:rPr>
        <w:t>______________</w:t>
      </w:r>
    </w:p>
    <w:p w14:paraId="07DB3150" w14:textId="77777777" w:rsidR="001925CE" w:rsidRPr="000D3432" w:rsidRDefault="001925CE" w:rsidP="00A95498">
      <w:pPr>
        <w:jc w:val="both"/>
        <w:rPr>
          <w:rFonts w:asciiTheme="minorHAnsi" w:hAnsiTheme="minorHAnsi" w:cs="Arial"/>
          <w:szCs w:val="24"/>
        </w:rPr>
      </w:pPr>
    </w:p>
    <w:p w14:paraId="7EFF71D9" w14:textId="77777777" w:rsidR="001925CE" w:rsidRPr="000D3432" w:rsidRDefault="001925CE" w:rsidP="00A95498">
      <w:pPr>
        <w:jc w:val="both"/>
        <w:rPr>
          <w:rFonts w:asciiTheme="minorHAnsi" w:hAnsiTheme="minorHAnsi" w:cs="Arial"/>
          <w:szCs w:val="24"/>
        </w:rPr>
      </w:pPr>
    </w:p>
    <w:p w14:paraId="28BF7CFB" w14:textId="77777777" w:rsidR="001925CE" w:rsidRPr="000D3432" w:rsidRDefault="001925CE" w:rsidP="00A95498">
      <w:pPr>
        <w:jc w:val="both"/>
        <w:rPr>
          <w:rFonts w:asciiTheme="minorHAnsi" w:hAnsiTheme="minorHAnsi" w:cs="Arial"/>
          <w:szCs w:val="24"/>
        </w:rPr>
      </w:pPr>
    </w:p>
    <w:p w14:paraId="552A796E" w14:textId="77777777" w:rsidR="001925CE" w:rsidRPr="000D3432" w:rsidRDefault="001925CE" w:rsidP="00A95498">
      <w:pPr>
        <w:jc w:val="both"/>
        <w:rPr>
          <w:rFonts w:asciiTheme="minorHAnsi" w:hAnsiTheme="minorHAnsi" w:cs="Arial"/>
          <w:b/>
          <w:szCs w:val="24"/>
          <w:u w:val="single"/>
        </w:rPr>
      </w:pPr>
      <w:r w:rsidRPr="000D3432">
        <w:rPr>
          <w:rFonts w:asciiTheme="minorHAnsi" w:hAnsiTheme="minorHAnsi" w:cs="Arial"/>
          <w:b/>
          <w:szCs w:val="24"/>
          <w:u w:val="single"/>
        </w:rPr>
        <w:t>Presentación</w:t>
      </w:r>
    </w:p>
    <w:p w14:paraId="59815F67" w14:textId="77777777" w:rsidR="001925CE" w:rsidRPr="000D3432" w:rsidRDefault="001925CE" w:rsidP="00A95498">
      <w:pPr>
        <w:jc w:val="both"/>
        <w:rPr>
          <w:rFonts w:asciiTheme="minorHAnsi" w:hAnsiTheme="minorHAnsi" w:cs="Arial"/>
          <w:szCs w:val="24"/>
        </w:rPr>
      </w:pPr>
    </w:p>
    <w:p w14:paraId="5335E894"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INTRODUCCIÓN</w:t>
      </w:r>
    </w:p>
    <w:p w14:paraId="562860C3" w14:textId="77777777" w:rsidR="001925CE" w:rsidRPr="000D3432" w:rsidRDefault="001925CE" w:rsidP="00A95498">
      <w:pPr>
        <w:jc w:val="both"/>
        <w:rPr>
          <w:rFonts w:asciiTheme="minorHAnsi" w:hAnsiTheme="minorHAnsi" w:cs="Arial"/>
          <w:szCs w:val="24"/>
        </w:rPr>
      </w:pPr>
    </w:p>
    <w:p w14:paraId="6615015D" w14:textId="77777777" w:rsidR="001925CE" w:rsidRPr="000D3432" w:rsidRDefault="001925CE" w:rsidP="00A95498">
      <w:pPr>
        <w:jc w:val="both"/>
        <w:rPr>
          <w:rFonts w:asciiTheme="minorHAnsi" w:hAnsiTheme="minorHAnsi" w:cs="Arial"/>
          <w:b/>
          <w:szCs w:val="24"/>
          <w:u w:val="single"/>
        </w:rPr>
      </w:pPr>
      <w:r w:rsidRPr="000D3432">
        <w:rPr>
          <w:rFonts w:asciiTheme="minorHAnsi" w:hAnsiTheme="minorHAnsi" w:cs="Arial"/>
          <w:b/>
          <w:szCs w:val="24"/>
          <w:u w:val="single"/>
        </w:rPr>
        <w:t>PRIMER BLOQUE</w:t>
      </w:r>
    </w:p>
    <w:p w14:paraId="4EE23589"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EL DERECHO Y LA FILOSOFÍA DEL DERECHO</w:t>
      </w:r>
    </w:p>
    <w:p w14:paraId="572CA00F"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(1.- Extravíos sobre Filosofía del Derecho...)</w:t>
      </w:r>
    </w:p>
    <w:p w14:paraId="660550BD" w14:textId="77777777" w:rsidR="001925CE" w:rsidRPr="000D3432" w:rsidRDefault="001925CE" w:rsidP="00A95498">
      <w:pPr>
        <w:jc w:val="both"/>
        <w:rPr>
          <w:rFonts w:asciiTheme="minorHAnsi" w:hAnsiTheme="minorHAnsi" w:cs="Arial"/>
          <w:szCs w:val="24"/>
        </w:rPr>
      </w:pPr>
    </w:p>
    <w:p w14:paraId="74F75513" w14:textId="77777777" w:rsidR="001925CE" w:rsidRPr="000D3432" w:rsidRDefault="001925CE" w:rsidP="00A95498">
      <w:pPr>
        <w:jc w:val="both"/>
        <w:rPr>
          <w:rFonts w:asciiTheme="minorHAnsi" w:hAnsiTheme="minorHAnsi" w:cs="Arial"/>
          <w:szCs w:val="24"/>
        </w:rPr>
      </w:pPr>
    </w:p>
    <w:p w14:paraId="4F87A1C1"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DERECHO Y FILOSOFÍA</w:t>
      </w:r>
    </w:p>
    <w:p w14:paraId="215539AA" w14:textId="77777777" w:rsidR="001925CE" w:rsidRPr="000D3432" w:rsidRDefault="001925CE" w:rsidP="00A95498">
      <w:pPr>
        <w:rPr>
          <w:rFonts w:asciiTheme="minorHAnsi" w:hAnsiTheme="minorHAnsi"/>
          <w:b/>
          <w:szCs w:val="24"/>
        </w:rPr>
      </w:pPr>
      <w:r w:rsidRPr="000D3432">
        <w:rPr>
          <w:rFonts w:asciiTheme="minorHAnsi" w:hAnsiTheme="minorHAnsi" w:cs="Arial"/>
          <w:szCs w:val="24"/>
        </w:rPr>
        <w:t>I.-Buscando el sentido de la Filosofía</w:t>
      </w:r>
    </w:p>
    <w:p w14:paraId="5D91EC59"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II.- LA FILOSOFÍA DEL DERECHO</w:t>
      </w:r>
    </w:p>
    <w:p w14:paraId="4224F803"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III.- JUSTIFICACIÓN DE LA FILOSOFÍA</w:t>
      </w:r>
    </w:p>
    <w:p w14:paraId="1F4B513A" w14:textId="77777777" w:rsidR="001925CE" w:rsidRPr="000D3432" w:rsidRDefault="001925CE" w:rsidP="00A95498">
      <w:pPr>
        <w:jc w:val="both"/>
        <w:rPr>
          <w:rFonts w:asciiTheme="minorHAnsi" w:hAnsiTheme="minorHAnsi" w:cs="Arial"/>
          <w:szCs w:val="24"/>
        </w:rPr>
      </w:pPr>
    </w:p>
    <w:p w14:paraId="2777D226" w14:textId="77777777" w:rsidR="001925CE" w:rsidRPr="000D3432" w:rsidRDefault="001925CE" w:rsidP="00A95498">
      <w:pPr>
        <w:jc w:val="both"/>
        <w:rPr>
          <w:rFonts w:asciiTheme="minorHAnsi" w:hAnsiTheme="minorHAnsi" w:cs="Arial"/>
          <w:b/>
          <w:szCs w:val="24"/>
          <w:u w:val="single"/>
        </w:rPr>
      </w:pPr>
      <w:r w:rsidRPr="000D3432">
        <w:rPr>
          <w:rFonts w:asciiTheme="minorHAnsi" w:hAnsiTheme="minorHAnsi" w:cs="Arial"/>
          <w:b/>
          <w:szCs w:val="24"/>
          <w:u w:val="single"/>
        </w:rPr>
        <w:t>SEGUNDO BLOQUE</w:t>
      </w:r>
    </w:p>
    <w:p w14:paraId="3AC5B87F"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LA CONCEPCIÓN DEL DERECHO</w:t>
      </w:r>
    </w:p>
    <w:p w14:paraId="4E43BEEC"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(2.- La Anticoncepción del Derecho...)</w:t>
      </w:r>
    </w:p>
    <w:p w14:paraId="180034F6" w14:textId="77777777" w:rsidR="001925CE" w:rsidRPr="000D3432" w:rsidRDefault="001925CE" w:rsidP="00A95498">
      <w:pPr>
        <w:jc w:val="both"/>
        <w:rPr>
          <w:rFonts w:asciiTheme="minorHAnsi" w:hAnsiTheme="minorHAnsi" w:cs="Arial"/>
          <w:szCs w:val="24"/>
        </w:rPr>
      </w:pPr>
    </w:p>
    <w:p w14:paraId="5AFC70F2" w14:textId="77777777" w:rsidR="001925CE" w:rsidRPr="000D3432" w:rsidRDefault="001925CE" w:rsidP="00A95498">
      <w:pPr>
        <w:tabs>
          <w:tab w:val="right" w:pos="8505"/>
        </w:tabs>
        <w:jc w:val="both"/>
        <w:rPr>
          <w:rFonts w:asciiTheme="minorHAnsi" w:hAnsiTheme="minorHAnsi" w:cs="Arial"/>
          <w:szCs w:val="24"/>
        </w:rPr>
      </w:pPr>
      <w:r w:rsidRPr="000D3432">
        <w:rPr>
          <w:rFonts w:asciiTheme="minorHAnsi" w:hAnsiTheme="minorHAnsi" w:cs="Arial"/>
          <w:szCs w:val="24"/>
        </w:rPr>
        <w:t xml:space="preserve">I.- LA CONCEPCIÓN DEL DERECHO   . . </w:t>
      </w:r>
      <w:r w:rsidRPr="000D3432">
        <w:rPr>
          <w:rFonts w:asciiTheme="minorHAnsi" w:hAnsiTheme="minorHAnsi" w:cs="Arial"/>
          <w:szCs w:val="24"/>
        </w:rPr>
        <w:tab/>
      </w:r>
    </w:p>
    <w:p w14:paraId="2185DADE" w14:textId="77777777" w:rsidR="001925CE" w:rsidRPr="000D3432" w:rsidRDefault="001925CE" w:rsidP="00A95498">
      <w:pPr>
        <w:tabs>
          <w:tab w:val="right" w:pos="8505"/>
        </w:tabs>
        <w:ind w:left="567" w:firstLine="567"/>
        <w:jc w:val="both"/>
        <w:rPr>
          <w:rFonts w:asciiTheme="minorHAnsi" w:hAnsiTheme="minorHAnsi" w:cs="Arial"/>
          <w:szCs w:val="24"/>
        </w:rPr>
      </w:pPr>
      <w:r w:rsidRPr="000D3432">
        <w:rPr>
          <w:rFonts w:asciiTheme="minorHAnsi" w:hAnsiTheme="minorHAnsi" w:cs="Arial"/>
          <w:szCs w:val="24"/>
        </w:rPr>
        <w:t>- Capacidad y Voluntad Crítica. . . . . . . . . . . . . . . . . . .</w:t>
      </w:r>
      <w:r w:rsidRPr="000D3432">
        <w:rPr>
          <w:rFonts w:asciiTheme="minorHAnsi" w:hAnsiTheme="minorHAnsi" w:cs="Arial"/>
          <w:szCs w:val="24"/>
        </w:rPr>
        <w:tab/>
      </w:r>
    </w:p>
    <w:p w14:paraId="272A4028" w14:textId="77777777" w:rsidR="001925CE" w:rsidRPr="000D3432" w:rsidRDefault="001925CE" w:rsidP="00A95498">
      <w:pPr>
        <w:tabs>
          <w:tab w:val="right" w:pos="8505"/>
        </w:tabs>
        <w:ind w:firstLine="567"/>
        <w:jc w:val="both"/>
        <w:rPr>
          <w:rFonts w:asciiTheme="minorHAnsi" w:hAnsiTheme="minorHAnsi" w:cs="Arial"/>
          <w:szCs w:val="24"/>
        </w:rPr>
      </w:pPr>
      <w:r w:rsidRPr="000D3432">
        <w:rPr>
          <w:rFonts w:asciiTheme="minorHAnsi" w:hAnsiTheme="minorHAnsi" w:cs="Arial"/>
          <w:i/>
          <w:szCs w:val="24"/>
        </w:rPr>
        <w:t xml:space="preserve">1.- </w:t>
      </w:r>
      <w:r w:rsidRPr="000D3432">
        <w:rPr>
          <w:rFonts w:asciiTheme="minorHAnsi" w:hAnsiTheme="minorHAnsi" w:cs="Arial"/>
          <w:i/>
          <w:smallCaps/>
          <w:szCs w:val="24"/>
        </w:rPr>
        <w:t>Derecho</w:t>
      </w:r>
      <w:r w:rsidRPr="000D3432">
        <w:rPr>
          <w:rFonts w:asciiTheme="minorHAnsi" w:hAnsiTheme="minorHAnsi" w:cs="Arial"/>
          <w:szCs w:val="24"/>
        </w:rPr>
        <w:t xml:space="preserve"> . . . . . . . . . . . . . . . . . . . . . . . . . . . . . . . . . . . . . . . . . </w:t>
      </w:r>
    </w:p>
    <w:p w14:paraId="1AEBF947"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a.- El problema del concepto del Derecho. . . . . . . . . . . </w:t>
      </w:r>
    </w:p>
    <w:p w14:paraId="69C6DBDA"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b.- Principales teorías filosóficas-jurídicas. . . . . . . . </w:t>
      </w:r>
    </w:p>
    <w:p w14:paraId="0CED29D8"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1) Concepción Normativista</w:t>
      </w:r>
      <w:r w:rsidRPr="000D3432">
        <w:rPr>
          <w:rFonts w:asciiTheme="minorHAnsi" w:hAnsiTheme="minorHAnsi" w:cs="Arial"/>
          <w:szCs w:val="24"/>
        </w:rPr>
        <w:t xml:space="preserve">    . . . . . . . . . . . </w:t>
      </w:r>
    </w:p>
    <w:p w14:paraId="016AE950"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2) Concepción Institucionalista</w:t>
      </w:r>
      <w:r w:rsidRPr="000D3432">
        <w:rPr>
          <w:rFonts w:asciiTheme="minorHAnsi" w:hAnsiTheme="minorHAnsi" w:cs="Arial"/>
          <w:szCs w:val="24"/>
        </w:rPr>
        <w:t xml:space="preserve">  . . . . . . . . . </w:t>
      </w:r>
    </w:p>
    <w:p w14:paraId="7D854B1F"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3) Concepción Relacionista</w:t>
      </w:r>
      <w:r w:rsidRPr="000D3432">
        <w:rPr>
          <w:rFonts w:asciiTheme="minorHAnsi" w:hAnsiTheme="minorHAnsi" w:cs="Arial"/>
          <w:szCs w:val="24"/>
        </w:rPr>
        <w:t xml:space="preserve">     . . . . . . . . . . . </w:t>
      </w:r>
    </w:p>
    <w:p w14:paraId="7D9FD2C7"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4) Concepción Conductista</w:t>
      </w:r>
      <w:r w:rsidRPr="000D3432">
        <w:rPr>
          <w:rFonts w:asciiTheme="minorHAnsi" w:hAnsiTheme="minorHAnsi" w:cs="Arial"/>
          <w:szCs w:val="24"/>
        </w:rPr>
        <w:t xml:space="preserve">      . . . . . . . . . . . </w:t>
      </w:r>
    </w:p>
    <w:p w14:paraId="77662509"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c.- Corrientes del Pensamiento Jurídico . . . . . . . . . </w:t>
      </w:r>
    </w:p>
    <w:p w14:paraId="24A7B724"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1) Jusnaturalismo</w:t>
      </w:r>
      <w:r w:rsidRPr="000D3432">
        <w:rPr>
          <w:rFonts w:asciiTheme="minorHAnsi" w:hAnsiTheme="minorHAnsi" w:cs="Arial"/>
          <w:szCs w:val="24"/>
        </w:rPr>
        <w:t xml:space="preserve">   . . . . . . . . . . . . . . . . . . . . </w:t>
      </w:r>
    </w:p>
    <w:p w14:paraId="5129B712"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2) Positivismo</w:t>
      </w:r>
      <w:r w:rsidRPr="000D3432">
        <w:rPr>
          <w:rFonts w:asciiTheme="minorHAnsi" w:hAnsiTheme="minorHAnsi" w:cs="Arial"/>
          <w:szCs w:val="24"/>
        </w:rPr>
        <w:t xml:space="preserve"> . . . . . . . . . . . . . . . . . . . . . . . . </w:t>
      </w:r>
    </w:p>
    <w:p w14:paraId="486102F5" w14:textId="77777777" w:rsidR="001925CE" w:rsidRPr="000D3432" w:rsidRDefault="001925CE" w:rsidP="00A95498">
      <w:pPr>
        <w:tabs>
          <w:tab w:val="right" w:pos="8505"/>
        </w:tabs>
        <w:ind w:firstLine="567"/>
        <w:jc w:val="both"/>
        <w:rPr>
          <w:rFonts w:asciiTheme="minorHAnsi" w:hAnsiTheme="minorHAnsi" w:cs="Arial"/>
          <w:szCs w:val="24"/>
        </w:rPr>
      </w:pPr>
      <w:r w:rsidRPr="000D3432">
        <w:rPr>
          <w:rFonts w:asciiTheme="minorHAnsi" w:hAnsiTheme="minorHAnsi" w:cs="Arial"/>
          <w:i/>
          <w:smallCaps/>
          <w:szCs w:val="24"/>
        </w:rPr>
        <w:t>2.- Orden</w:t>
      </w:r>
      <w:r w:rsidRPr="000D3432">
        <w:rPr>
          <w:rFonts w:asciiTheme="minorHAnsi" w:hAnsiTheme="minorHAnsi" w:cs="Arial"/>
          <w:szCs w:val="24"/>
        </w:rPr>
        <w:t xml:space="preserve">    . . . . . . . . . . . . . . . . . . . . . . . . . . . . . . . . . . . . . . . . . </w:t>
      </w:r>
    </w:p>
    <w:p w14:paraId="4CBB4D8A"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a.- Los Sistemas Jurídicos . . . . . . . . . . . . . . . . . . . . . </w:t>
      </w:r>
    </w:p>
    <w:p w14:paraId="489A8D7C"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1) La Familia anglo-Sajona</w:t>
      </w:r>
      <w:r w:rsidRPr="000D3432">
        <w:rPr>
          <w:rFonts w:asciiTheme="minorHAnsi" w:hAnsiTheme="minorHAnsi" w:cs="Arial"/>
          <w:szCs w:val="24"/>
        </w:rPr>
        <w:t xml:space="preserve"> . . . . . . . . . . . . . </w:t>
      </w:r>
    </w:p>
    <w:p w14:paraId="6C32AC87"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 xml:space="preserve">2) La Fam. de los derechos. fundamentales en creenciasreligiosas </w:t>
      </w:r>
      <w:r w:rsidRPr="000D3432">
        <w:rPr>
          <w:rFonts w:asciiTheme="minorHAnsi" w:hAnsiTheme="minorHAnsi" w:cs="Arial"/>
          <w:szCs w:val="24"/>
        </w:rPr>
        <w:t xml:space="preserve">. . . . . . . . . . . . . . . . . . . . . . . . . </w:t>
      </w:r>
    </w:p>
    <w:p w14:paraId="6F11B91E" w14:textId="77777777" w:rsidR="001925CE" w:rsidRPr="000D3432" w:rsidRDefault="001925CE" w:rsidP="00A95498">
      <w:pPr>
        <w:tabs>
          <w:tab w:val="right" w:pos="8505"/>
        </w:tabs>
        <w:ind w:left="1416" w:firstLine="708"/>
        <w:jc w:val="both"/>
        <w:rPr>
          <w:rFonts w:asciiTheme="minorHAnsi" w:hAnsiTheme="minorHAnsi" w:cs="Arial"/>
          <w:szCs w:val="24"/>
        </w:rPr>
      </w:pPr>
      <w:r w:rsidRPr="000D3432">
        <w:rPr>
          <w:rFonts w:asciiTheme="minorHAnsi" w:hAnsiTheme="minorHAnsi" w:cs="Arial"/>
          <w:i/>
          <w:szCs w:val="24"/>
        </w:rPr>
        <w:t>3) La Familia Romano-Germánica</w:t>
      </w:r>
      <w:r w:rsidRPr="000D3432">
        <w:rPr>
          <w:rFonts w:asciiTheme="minorHAnsi" w:hAnsiTheme="minorHAnsi" w:cs="Arial"/>
          <w:szCs w:val="24"/>
        </w:rPr>
        <w:t xml:space="preserve"> . . . . . . . </w:t>
      </w:r>
    </w:p>
    <w:p w14:paraId="15F79A54" w14:textId="77777777" w:rsidR="001925CE" w:rsidRPr="000D3432" w:rsidRDefault="001925CE" w:rsidP="00A95498">
      <w:pPr>
        <w:tabs>
          <w:tab w:val="right" w:pos="8505"/>
        </w:tabs>
        <w:ind w:left="1416" w:firstLine="708"/>
        <w:jc w:val="both"/>
        <w:rPr>
          <w:rFonts w:asciiTheme="minorHAnsi" w:hAnsiTheme="minorHAnsi" w:cs="Arial"/>
          <w:szCs w:val="24"/>
        </w:rPr>
      </w:pPr>
    </w:p>
    <w:p w14:paraId="56E847AE" w14:textId="77777777" w:rsidR="001925CE" w:rsidRPr="000D3432" w:rsidRDefault="001925CE" w:rsidP="00A95498">
      <w:pPr>
        <w:tabs>
          <w:tab w:val="right" w:pos="8505"/>
        </w:tabs>
        <w:ind w:firstLine="708"/>
        <w:jc w:val="both"/>
        <w:rPr>
          <w:rFonts w:asciiTheme="minorHAnsi" w:hAnsiTheme="minorHAnsi" w:cs="Arial"/>
          <w:szCs w:val="24"/>
        </w:rPr>
      </w:pPr>
      <w:r w:rsidRPr="000D3432">
        <w:rPr>
          <w:rFonts w:asciiTheme="minorHAnsi" w:hAnsiTheme="minorHAnsi" w:cs="Arial"/>
          <w:i/>
          <w:smallCaps/>
          <w:szCs w:val="24"/>
        </w:rPr>
        <w:t>3.- Poder</w:t>
      </w:r>
      <w:r w:rsidRPr="000D3432">
        <w:rPr>
          <w:rFonts w:asciiTheme="minorHAnsi" w:hAnsiTheme="minorHAnsi" w:cs="Arial"/>
          <w:szCs w:val="24"/>
        </w:rPr>
        <w:t xml:space="preserve"> . . . . . . . . . . . . . . . . . . . . . . . . . . . . . . . . . . . . . . . . . .</w:t>
      </w:r>
      <w:r w:rsidRPr="000D3432">
        <w:rPr>
          <w:rFonts w:asciiTheme="minorHAnsi" w:hAnsiTheme="minorHAnsi" w:cs="Arial"/>
          <w:szCs w:val="24"/>
        </w:rPr>
        <w:tab/>
      </w:r>
    </w:p>
    <w:p w14:paraId="2812BCC6"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a.- El poder divino . . . . . . . . . . . . . . . . . . . . . . . . . . . </w:t>
      </w:r>
    </w:p>
    <w:p w14:paraId="71E0B43F" w14:textId="77777777" w:rsidR="001925CE" w:rsidRPr="000D3432" w:rsidRDefault="001925CE" w:rsidP="00A95498">
      <w:pPr>
        <w:tabs>
          <w:tab w:val="right" w:pos="8505"/>
        </w:tabs>
        <w:ind w:left="1701" w:firstLine="567"/>
        <w:jc w:val="both"/>
        <w:rPr>
          <w:rFonts w:asciiTheme="minorHAnsi" w:hAnsiTheme="minorHAnsi" w:cs="Arial"/>
          <w:szCs w:val="24"/>
        </w:rPr>
      </w:pPr>
      <w:r w:rsidRPr="000D3432">
        <w:rPr>
          <w:rFonts w:asciiTheme="minorHAnsi" w:hAnsiTheme="minorHAnsi" w:cs="Arial"/>
          <w:i/>
          <w:szCs w:val="24"/>
        </w:rPr>
        <w:t>1) El Derecho divino de los papas</w:t>
      </w:r>
      <w:r w:rsidRPr="000D3432">
        <w:rPr>
          <w:rFonts w:asciiTheme="minorHAnsi" w:hAnsiTheme="minorHAnsi" w:cs="Arial"/>
          <w:szCs w:val="24"/>
        </w:rPr>
        <w:t xml:space="preserve"> . . . . . . . </w:t>
      </w:r>
    </w:p>
    <w:p w14:paraId="546FB731" w14:textId="77777777" w:rsidR="001925CE" w:rsidRPr="000D3432" w:rsidRDefault="001925CE" w:rsidP="00A95498">
      <w:pPr>
        <w:tabs>
          <w:tab w:val="right" w:pos="8505"/>
        </w:tabs>
        <w:ind w:left="1701" w:firstLine="567"/>
        <w:jc w:val="both"/>
        <w:rPr>
          <w:rFonts w:asciiTheme="minorHAnsi" w:hAnsiTheme="minorHAnsi" w:cs="Arial"/>
          <w:szCs w:val="24"/>
        </w:rPr>
      </w:pPr>
      <w:r w:rsidRPr="000D3432">
        <w:rPr>
          <w:rFonts w:asciiTheme="minorHAnsi" w:hAnsiTheme="minorHAnsi" w:cs="Arial"/>
          <w:i/>
          <w:szCs w:val="24"/>
        </w:rPr>
        <w:t>2) Derecho divino de los reyes</w:t>
      </w:r>
      <w:r w:rsidRPr="000D3432">
        <w:rPr>
          <w:rFonts w:asciiTheme="minorHAnsi" w:hAnsiTheme="minorHAnsi" w:cs="Arial"/>
          <w:szCs w:val="24"/>
        </w:rPr>
        <w:t xml:space="preserve"> . . . . . . . . . . </w:t>
      </w:r>
    </w:p>
    <w:p w14:paraId="5CD3B8A0"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b.- Poder humano . . . . . . . . . . . . . . . . . . . . . . . . . . . </w:t>
      </w:r>
    </w:p>
    <w:p w14:paraId="415ECC8F" w14:textId="77777777" w:rsidR="001925CE" w:rsidRPr="000D3432" w:rsidRDefault="001925CE" w:rsidP="00A95498">
      <w:pPr>
        <w:tabs>
          <w:tab w:val="right" w:pos="8505"/>
        </w:tabs>
        <w:ind w:left="1701" w:firstLine="567"/>
        <w:jc w:val="both"/>
        <w:rPr>
          <w:rFonts w:asciiTheme="minorHAnsi" w:hAnsiTheme="minorHAnsi" w:cs="Arial"/>
          <w:szCs w:val="24"/>
        </w:rPr>
      </w:pPr>
      <w:r w:rsidRPr="000D3432">
        <w:rPr>
          <w:rFonts w:asciiTheme="minorHAnsi" w:hAnsiTheme="minorHAnsi" w:cs="Arial"/>
          <w:i/>
          <w:szCs w:val="24"/>
        </w:rPr>
        <w:lastRenderedPageBreak/>
        <w:t xml:space="preserve">1) La Teoría del Contrato </w:t>
      </w:r>
      <w:r w:rsidRPr="000D3432">
        <w:rPr>
          <w:rFonts w:asciiTheme="minorHAnsi" w:hAnsiTheme="minorHAnsi" w:cs="Arial"/>
          <w:szCs w:val="24"/>
        </w:rPr>
        <w:t>. . . . . . . . . . . . .</w:t>
      </w:r>
      <w:r w:rsidRPr="000D3432">
        <w:rPr>
          <w:rFonts w:asciiTheme="minorHAnsi" w:hAnsiTheme="minorHAnsi" w:cs="Arial"/>
          <w:szCs w:val="24"/>
        </w:rPr>
        <w:tab/>
      </w:r>
    </w:p>
    <w:p w14:paraId="6CDA5C25" w14:textId="77777777" w:rsidR="001925CE" w:rsidRPr="000D3432" w:rsidRDefault="001925CE" w:rsidP="00A95498">
      <w:pPr>
        <w:jc w:val="center"/>
        <w:rPr>
          <w:rFonts w:asciiTheme="minorHAnsi" w:hAnsiTheme="minorHAnsi" w:cs="Arial"/>
          <w:szCs w:val="24"/>
        </w:rPr>
      </w:pPr>
    </w:p>
    <w:p w14:paraId="100DDB40" w14:textId="77777777" w:rsidR="001925CE" w:rsidRPr="000D3432" w:rsidRDefault="001925CE" w:rsidP="00A95498">
      <w:pPr>
        <w:jc w:val="both"/>
        <w:rPr>
          <w:rFonts w:asciiTheme="minorHAnsi" w:hAnsiTheme="minorHAnsi" w:cs="Arial"/>
          <w:b/>
          <w:szCs w:val="24"/>
          <w:u w:val="single"/>
        </w:rPr>
      </w:pPr>
      <w:r w:rsidRPr="000D3432">
        <w:rPr>
          <w:rFonts w:asciiTheme="minorHAnsi" w:hAnsiTheme="minorHAnsi" w:cs="Arial"/>
          <w:b/>
          <w:szCs w:val="24"/>
          <w:u w:val="single"/>
        </w:rPr>
        <w:t>TERCER BLOQUE</w:t>
      </w:r>
    </w:p>
    <w:p w14:paraId="7EA0D7A0"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EL DERECHO EN LA MENTE DE LOS FILÓSOFOS</w:t>
      </w:r>
    </w:p>
    <w:p w14:paraId="7B7D09DC"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(3.- El Derecho en la Mente de los Filósofos...)</w:t>
      </w:r>
    </w:p>
    <w:p w14:paraId="06F03D21" w14:textId="77777777" w:rsidR="001925CE" w:rsidRPr="000D3432" w:rsidRDefault="001925CE" w:rsidP="00A95498">
      <w:pPr>
        <w:rPr>
          <w:rFonts w:asciiTheme="minorHAnsi" w:hAnsiTheme="minorHAnsi" w:cs="Arial"/>
          <w:szCs w:val="24"/>
        </w:rPr>
      </w:pPr>
    </w:p>
    <w:p w14:paraId="4965C65F" w14:textId="77777777" w:rsidR="001925CE" w:rsidRPr="000D3432" w:rsidRDefault="001925CE" w:rsidP="00A95498">
      <w:pPr>
        <w:pStyle w:val="Textodecuerpo"/>
        <w:widowControl/>
        <w:tabs>
          <w:tab w:val="right" w:pos="8505"/>
        </w:tabs>
        <w:spacing w:line="240" w:lineRule="auto"/>
        <w:rPr>
          <w:rFonts w:asciiTheme="minorHAnsi" w:hAnsiTheme="minorHAnsi" w:cs="Arial"/>
          <w:sz w:val="24"/>
          <w:szCs w:val="24"/>
        </w:rPr>
      </w:pPr>
      <w:r w:rsidRPr="000D3432">
        <w:rPr>
          <w:rFonts w:asciiTheme="minorHAnsi" w:hAnsiTheme="minorHAnsi" w:cs="Arial"/>
          <w:sz w:val="24"/>
          <w:szCs w:val="24"/>
        </w:rPr>
        <w:t>I.-  EL DERECHO EN LA MENTE DE LOS FILÓSOFOS</w:t>
      </w:r>
    </w:p>
    <w:p w14:paraId="60780ADE" w14:textId="77777777" w:rsidR="001925CE" w:rsidRPr="000D3432" w:rsidRDefault="001925CE" w:rsidP="00A95498">
      <w:pPr>
        <w:tabs>
          <w:tab w:val="right" w:pos="8505"/>
        </w:tabs>
        <w:ind w:firstLine="708"/>
        <w:jc w:val="both"/>
        <w:rPr>
          <w:rFonts w:asciiTheme="minorHAnsi" w:hAnsiTheme="minorHAnsi" w:cs="Arial"/>
          <w:szCs w:val="24"/>
        </w:rPr>
      </w:pPr>
      <w:r w:rsidRPr="000D3432">
        <w:rPr>
          <w:rFonts w:asciiTheme="minorHAnsi" w:hAnsiTheme="minorHAnsi" w:cs="Arial"/>
          <w:i/>
          <w:smallCaps/>
          <w:szCs w:val="24"/>
        </w:rPr>
        <w:t>1.- Pensamiento Premoderno</w:t>
      </w:r>
      <w:r w:rsidRPr="000D3432">
        <w:rPr>
          <w:rFonts w:asciiTheme="minorHAnsi" w:hAnsiTheme="minorHAnsi" w:cs="Arial"/>
          <w:szCs w:val="24"/>
        </w:rPr>
        <w:t xml:space="preserve">.  .  .  .  .  .  .  .  .  .  .  .  .  .  .  .  </w:t>
      </w:r>
    </w:p>
    <w:p w14:paraId="7845D71D" w14:textId="77777777" w:rsidR="001925CE" w:rsidRPr="000D3432" w:rsidRDefault="001925CE" w:rsidP="00A95498">
      <w:pPr>
        <w:tabs>
          <w:tab w:val="right" w:pos="8505"/>
        </w:tabs>
        <w:ind w:left="708" w:firstLine="708"/>
        <w:jc w:val="both"/>
        <w:rPr>
          <w:rFonts w:asciiTheme="minorHAnsi" w:hAnsiTheme="minorHAnsi" w:cs="Arial"/>
          <w:szCs w:val="24"/>
        </w:rPr>
      </w:pPr>
      <w:r w:rsidRPr="000D3432">
        <w:rPr>
          <w:rFonts w:asciiTheme="minorHAnsi" w:hAnsiTheme="minorHAnsi" w:cs="Arial"/>
          <w:szCs w:val="24"/>
        </w:rPr>
        <w:t xml:space="preserve">a.-El Derecho como visión mítica  .  .  .  .  .  .  .  .  .  </w:t>
      </w:r>
    </w:p>
    <w:p w14:paraId="2A5A6607"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b.- El Derecho y la naturaleza   .  .  .  .  .  .  .  .  .  .  .  </w:t>
      </w:r>
    </w:p>
    <w:p w14:paraId="6908E2FF"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c.- Sócrates . .  .  .  .  .  .  .  .  .  .  .  .  .  .  .  .  .  .  .  .  .  .  </w:t>
      </w:r>
    </w:p>
    <w:p w14:paraId="14F94348"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d.- Platón.  .  .  .  .  .  .  .  .  .  .  .  .  .  .  .  .  .  .  .  .  .  .  .  </w:t>
      </w:r>
    </w:p>
    <w:p w14:paraId="3996D130"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e.- Aristóteles .  .  .  .  .  .  .  .  .  .  .  .  .  .  .  . .  .  .  .  .  </w:t>
      </w:r>
    </w:p>
    <w:p w14:paraId="69E3E278"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f.- Santo Tomás de Aquino.  .  .  .  .  .  .  .  .  .  .  . .  .  </w:t>
      </w:r>
    </w:p>
    <w:p w14:paraId="66741319" w14:textId="77777777" w:rsidR="001925CE" w:rsidRPr="000D3432" w:rsidRDefault="001925CE" w:rsidP="00A95498">
      <w:pPr>
        <w:tabs>
          <w:tab w:val="right" w:pos="8505"/>
        </w:tabs>
        <w:ind w:left="851" w:firstLine="567"/>
        <w:jc w:val="both"/>
        <w:rPr>
          <w:rFonts w:asciiTheme="minorHAnsi" w:hAnsiTheme="minorHAnsi" w:cs="Arial"/>
          <w:szCs w:val="24"/>
        </w:rPr>
      </w:pPr>
    </w:p>
    <w:p w14:paraId="0E0D8971" w14:textId="77777777" w:rsidR="001925CE" w:rsidRPr="000D3432" w:rsidRDefault="001925CE" w:rsidP="00A95498">
      <w:pPr>
        <w:tabs>
          <w:tab w:val="right" w:pos="8505"/>
        </w:tabs>
        <w:ind w:firstLine="567"/>
        <w:jc w:val="both"/>
        <w:rPr>
          <w:rFonts w:asciiTheme="minorHAnsi" w:hAnsiTheme="minorHAnsi" w:cs="Arial"/>
          <w:szCs w:val="24"/>
        </w:rPr>
      </w:pPr>
      <w:r w:rsidRPr="000D3432">
        <w:rPr>
          <w:rFonts w:asciiTheme="minorHAnsi" w:hAnsiTheme="minorHAnsi" w:cs="Arial"/>
          <w:i/>
          <w:smallCaps/>
          <w:szCs w:val="24"/>
        </w:rPr>
        <w:t>2.- Pensamiento Moderno</w:t>
      </w:r>
      <w:r w:rsidRPr="000D3432">
        <w:rPr>
          <w:rFonts w:asciiTheme="minorHAnsi" w:hAnsiTheme="minorHAnsi" w:cs="Arial"/>
          <w:szCs w:val="24"/>
        </w:rPr>
        <w:t xml:space="preserve">  .  .  .  .  .  .  .  .  .  .  .  . .  .  .  .  .  .  .  </w:t>
      </w:r>
      <w:r w:rsidRPr="000D3432">
        <w:rPr>
          <w:rFonts w:asciiTheme="minorHAnsi" w:hAnsiTheme="minorHAnsi" w:cs="Arial"/>
          <w:szCs w:val="24"/>
        </w:rPr>
        <w:tab/>
      </w:r>
    </w:p>
    <w:p w14:paraId="385E61FC"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a.- René Descartes.  .  .  .  .  .  .  .  .  .  .  . .  .  .  .  .  .  .  </w:t>
      </w:r>
    </w:p>
    <w:p w14:paraId="17E1C14A"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b.- Spinoza.  .  .  .  .  .  .  .  .  .  .  . .  .  .  .  .  .  .  .  .  .  .  </w:t>
      </w:r>
    </w:p>
    <w:p w14:paraId="4AC0E4F6"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c.- Pascal.  .  .  .  .  .  .  .  .  .  . .  .  .  .  .  .  .  .  .  .  .  . .  </w:t>
      </w:r>
    </w:p>
    <w:p w14:paraId="651C8A3B"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d.- Maquiavelo . .  .  .  .  .  .  .  .  .  .  . .  .  .  .  .  .  .  .  .  </w:t>
      </w:r>
    </w:p>
    <w:p w14:paraId="12EFE39C" w14:textId="77777777" w:rsidR="001925CE" w:rsidRPr="000D3432" w:rsidRDefault="001925CE" w:rsidP="00A95498">
      <w:pPr>
        <w:tabs>
          <w:tab w:val="right" w:pos="8505"/>
        </w:tabs>
        <w:ind w:left="851" w:firstLine="567"/>
        <w:jc w:val="both"/>
        <w:rPr>
          <w:rFonts w:asciiTheme="minorHAnsi" w:hAnsiTheme="minorHAnsi" w:cs="Arial"/>
          <w:szCs w:val="24"/>
          <w:lang w:val="fr-FR"/>
        </w:rPr>
      </w:pPr>
      <w:r w:rsidRPr="000D3432">
        <w:rPr>
          <w:rFonts w:asciiTheme="minorHAnsi" w:hAnsiTheme="minorHAnsi" w:cs="Arial"/>
          <w:szCs w:val="24"/>
          <w:lang w:val="fr-FR"/>
        </w:rPr>
        <w:t xml:space="preserve">e.- Hobbes.  .  .   .  .  .  .  .  .  .  .  .  .  .  .  .  .  .  .  .  .  .  .  </w:t>
      </w:r>
    </w:p>
    <w:p w14:paraId="17FB99E9" w14:textId="77777777" w:rsidR="001925CE" w:rsidRPr="000D3432" w:rsidRDefault="001925CE" w:rsidP="00A95498">
      <w:pPr>
        <w:tabs>
          <w:tab w:val="right" w:pos="8505"/>
        </w:tabs>
        <w:ind w:left="851" w:firstLine="567"/>
        <w:jc w:val="both"/>
        <w:rPr>
          <w:rFonts w:asciiTheme="minorHAnsi" w:hAnsiTheme="minorHAnsi" w:cs="Arial"/>
          <w:szCs w:val="24"/>
          <w:lang w:val="fr-FR"/>
        </w:rPr>
      </w:pPr>
      <w:r w:rsidRPr="000D3432">
        <w:rPr>
          <w:rFonts w:asciiTheme="minorHAnsi" w:hAnsiTheme="minorHAnsi" w:cs="Arial"/>
          <w:szCs w:val="24"/>
          <w:lang w:val="fr-FR"/>
        </w:rPr>
        <w:t xml:space="preserve">f.- Locke.  .  .  .  .  .  .  .  .  .  . .  .  .  .  .  .  .  .  .  .  .  . .  .  </w:t>
      </w:r>
    </w:p>
    <w:p w14:paraId="2A4C4900" w14:textId="77777777" w:rsidR="001925CE" w:rsidRPr="000D3432" w:rsidRDefault="001925CE" w:rsidP="00A95498">
      <w:pPr>
        <w:tabs>
          <w:tab w:val="right" w:pos="8505"/>
        </w:tabs>
        <w:ind w:left="851" w:firstLine="567"/>
        <w:jc w:val="both"/>
        <w:rPr>
          <w:rFonts w:asciiTheme="minorHAnsi" w:hAnsiTheme="minorHAnsi" w:cs="Arial"/>
          <w:szCs w:val="24"/>
          <w:lang w:val="fr-FR"/>
        </w:rPr>
      </w:pPr>
      <w:r w:rsidRPr="000D3432">
        <w:rPr>
          <w:rFonts w:asciiTheme="minorHAnsi" w:hAnsiTheme="minorHAnsi" w:cs="Arial"/>
          <w:szCs w:val="24"/>
          <w:lang w:val="fr-FR"/>
        </w:rPr>
        <w:t xml:space="preserve">g.- Rousseau .  .  .  .  .  .  .  .  .  .  . .  .  .  .  .  .  .  .  .  .  .  </w:t>
      </w:r>
    </w:p>
    <w:p w14:paraId="4B99582C" w14:textId="77777777" w:rsidR="001925CE" w:rsidRPr="000D3432" w:rsidRDefault="001925CE" w:rsidP="00A95498">
      <w:pPr>
        <w:tabs>
          <w:tab w:val="right" w:pos="8505"/>
        </w:tabs>
        <w:ind w:left="851" w:firstLine="567"/>
        <w:jc w:val="both"/>
        <w:rPr>
          <w:rFonts w:asciiTheme="minorHAnsi" w:hAnsiTheme="minorHAnsi" w:cs="Arial"/>
          <w:szCs w:val="24"/>
          <w:lang w:val="en-US"/>
        </w:rPr>
      </w:pPr>
      <w:r w:rsidRPr="000D3432">
        <w:rPr>
          <w:rFonts w:asciiTheme="minorHAnsi" w:hAnsiTheme="minorHAnsi" w:cs="Arial"/>
          <w:szCs w:val="24"/>
          <w:lang w:val="en-US"/>
        </w:rPr>
        <w:t xml:space="preserve">h.- David Hume .  .  .  .  .  .  .  .  .  .  .  .  .  . .  .  .  .  .  .  </w:t>
      </w:r>
    </w:p>
    <w:p w14:paraId="54D85B49" w14:textId="77777777" w:rsidR="001925CE" w:rsidRPr="000D3432" w:rsidRDefault="001925CE" w:rsidP="00A95498">
      <w:pPr>
        <w:tabs>
          <w:tab w:val="right" w:pos="8505"/>
        </w:tabs>
        <w:ind w:left="851" w:firstLine="565"/>
        <w:jc w:val="both"/>
        <w:rPr>
          <w:rFonts w:asciiTheme="minorHAnsi" w:hAnsiTheme="minorHAnsi" w:cs="Arial"/>
          <w:szCs w:val="24"/>
          <w:lang w:val="en-US"/>
        </w:rPr>
      </w:pPr>
      <w:r w:rsidRPr="000D3432">
        <w:rPr>
          <w:rFonts w:asciiTheme="minorHAnsi" w:hAnsiTheme="minorHAnsi" w:cs="Arial"/>
          <w:szCs w:val="24"/>
          <w:lang w:val="en-US"/>
        </w:rPr>
        <w:t xml:space="preserve">i.- Kant  .  .  .  .  .  .  .  .  .  .  .  .  .  .  .  . .  .  .  .  .  .  .  .  </w:t>
      </w:r>
    </w:p>
    <w:p w14:paraId="0B32EE6B"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j.- Hegel.  .  .  .  .  .  .  .  .  .  . .  .  .  .  .  .  .  .  .  .  .  . .  .  </w:t>
      </w:r>
    </w:p>
    <w:p w14:paraId="3BF12BC1"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k.- Marx.  .  .  .  .  .  .  .  .  .  . .  .  .  .  .  .  .  .  .  .  .  . .  .  </w:t>
      </w:r>
    </w:p>
    <w:p w14:paraId="2E285D63"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l.- Kelsen.  .  .  .  .  .  .  .  .  .  . .  .  .  .  .  .  .  .  .  .  .  . .  </w:t>
      </w:r>
    </w:p>
    <w:p w14:paraId="5D93635F" w14:textId="77777777" w:rsidR="001925CE" w:rsidRPr="000D3432" w:rsidRDefault="001925CE" w:rsidP="00A95498">
      <w:pPr>
        <w:tabs>
          <w:tab w:val="right" w:pos="8505"/>
        </w:tabs>
        <w:ind w:left="851" w:firstLine="567"/>
        <w:jc w:val="both"/>
        <w:rPr>
          <w:rFonts w:asciiTheme="minorHAnsi" w:hAnsiTheme="minorHAnsi" w:cs="Arial"/>
          <w:szCs w:val="24"/>
        </w:rPr>
      </w:pPr>
    </w:p>
    <w:p w14:paraId="7A582D7E" w14:textId="77777777" w:rsidR="001925CE" w:rsidRPr="000D3432" w:rsidRDefault="001925CE" w:rsidP="00A95498">
      <w:pPr>
        <w:tabs>
          <w:tab w:val="right" w:pos="8505"/>
        </w:tabs>
        <w:ind w:firstLine="708"/>
        <w:jc w:val="both"/>
        <w:rPr>
          <w:rFonts w:asciiTheme="minorHAnsi" w:hAnsiTheme="minorHAnsi" w:cs="Arial"/>
          <w:szCs w:val="24"/>
        </w:rPr>
      </w:pPr>
      <w:r w:rsidRPr="000D3432">
        <w:rPr>
          <w:rFonts w:asciiTheme="minorHAnsi" w:hAnsiTheme="minorHAnsi" w:cs="Arial"/>
          <w:i/>
          <w:smallCaps/>
          <w:szCs w:val="24"/>
        </w:rPr>
        <w:t>3.- Pensamiento Postmoderno</w:t>
      </w:r>
      <w:r w:rsidRPr="000D3432">
        <w:rPr>
          <w:rFonts w:asciiTheme="minorHAnsi" w:hAnsiTheme="minorHAnsi" w:cs="Arial"/>
          <w:szCs w:val="24"/>
        </w:rPr>
        <w:t xml:space="preserve"> .  .  .  .  .  .  .  .  .  .  . .  .  .  .  .  </w:t>
      </w:r>
      <w:r w:rsidRPr="000D3432">
        <w:rPr>
          <w:rFonts w:asciiTheme="minorHAnsi" w:hAnsiTheme="minorHAnsi" w:cs="Arial"/>
          <w:szCs w:val="24"/>
        </w:rPr>
        <w:tab/>
      </w:r>
    </w:p>
    <w:p w14:paraId="23D62FE3" w14:textId="77777777" w:rsidR="001925CE" w:rsidRPr="000D3432" w:rsidRDefault="001925CE" w:rsidP="00A95498">
      <w:pPr>
        <w:tabs>
          <w:tab w:val="right" w:pos="8505"/>
        </w:tabs>
        <w:ind w:left="851" w:firstLine="567"/>
        <w:jc w:val="both"/>
        <w:rPr>
          <w:rFonts w:asciiTheme="minorHAnsi" w:hAnsiTheme="minorHAnsi" w:cs="Arial"/>
          <w:szCs w:val="24"/>
        </w:rPr>
      </w:pPr>
      <w:r w:rsidRPr="000D3432">
        <w:rPr>
          <w:rFonts w:asciiTheme="minorHAnsi" w:hAnsiTheme="minorHAnsi" w:cs="Arial"/>
          <w:szCs w:val="24"/>
        </w:rPr>
        <w:t xml:space="preserve">a.- Nietzsche.  .  .  .  .  .  .  .  .  .  . .  .  .  .  .  .  .  .  .  .  .  </w:t>
      </w:r>
    </w:p>
    <w:p w14:paraId="6AF7EDB4" w14:textId="77777777" w:rsidR="001925CE" w:rsidRPr="000D3432" w:rsidRDefault="001925CE" w:rsidP="00A95498">
      <w:pPr>
        <w:jc w:val="both"/>
        <w:rPr>
          <w:rFonts w:asciiTheme="minorHAnsi" w:hAnsiTheme="minorHAnsi" w:cs="Arial"/>
          <w:szCs w:val="24"/>
          <w:u w:val="single"/>
        </w:rPr>
      </w:pPr>
    </w:p>
    <w:p w14:paraId="44671537" w14:textId="77777777" w:rsidR="001925CE" w:rsidRPr="000D3432" w:rsidRDefault="001925CE" w:rsidP="00A95498">
      <w:pPr>
        <w:jc w:val="both"/>
        <w:rPr>
          <w:rFonts w:asciiTheme="minorHAnsi" w:hAnsiTheme="minorHAnsi" w:cs="Arial"/>
          <w:b/>
          <w:szCs w:val="24"/>
          <w:u w:val="single"/>
        </w:rPr>
      </w:pPr>
      <w:r w:rsidRPr="000D3432">
        <w:rPr>
          <w:rFonts w:asciiTheme="minorHAnsi" w:hAnsiTheme="minorHAnsi" w:cs="Arial"/>
          <w:b/>
          <w:szCs w:val="24"/>
          <w:u w:val="single"/>
        </w:rPr>
        <w:t>CUARTO BLOQUE</w:t>
      </w:r>
    </w:p>
    <w:p w14:paraId="41A5BE84" w14:textId="77777777" w:rsidR="001925CE" w:rsidRPr="000D3432" w:rsidRDefault="001925CE" w:rsidP="00A95498">
      <w:pPr>
        <w:jc w:val="both"/>
        <w:rPr>
          <w:rFonts w:asciiTheme="minorHAnsi" w:hAnsiTheme="minorHAnsi" w:cs="Arial"/>
          <w:b/>
          <w:szCs w:val="24"/>
        </w:rPr>
      </w:pPr>
      <w:r w:rsidRPr="000D3432">
        <w:rPr>
          <w:rFonts w:asciiTheme="minorHAnsi" w:hAnsiTheme="minorHAnsi" w:cs="Arial"/>
          <w:b/>
          <w:szCs w:val="24"/>
        </w:rPr>
        <w:t>LA DIALÉCTICA DEL DERECHO</w:t>
      </w:r>
    </w:p>
    <w:p w14:paraId="0E8A9823" w14:textId="77777777" w:rsidR="001925CE" w:rsidRPr="000D3432" w:rsidRDefault="001925CE" w:rsidP="00A95498">
      <w:pPr>
        <w:rPr>
          <w:rFonts w:asciiTheme="minorHAnsi" w:hAnsiTheme="minorHAnsi" w:cs="Arial"/>
          <w:b/>
          <w:szCs w:val="24"/>
        </w:rPr>
      </w:pPr>
      <w:r w:rsidRPr="000D3432">
        <w:rPr>
          <w:rFonts w:asciiTheme="minorHAnsi" w:hAnsiTheme="minorHAnsi" w:cs="Arial"/>
          <w:b/>
          <w:szCs w:val="24"/>
        </w:rPr>
        <w:t>(4.- El Almuerzo Desnudo...)</w:t>
      </w:r>
    </w:p>
    <w:p w14:paraId="75FB2372" w14:textId="77777777" w:rsidR="001925CE" w:rsidRPr="000D3432" w:rsidRDefault="001925CE" w:rsidP="00A95498">
      <w:pPr>
        <w:jc w:val="both"/>
        <w:rPr>
          <w:rFonts w:asciiTheme="minorHAnsi" w:hAnsiTheme="minorHAnsi" w:cs="Arial"/>
          <w:szCs w:val="24"/>
        </w:rPr>
      </w:pPr>
    </w:p>
    <w:p w14:paraId="3E8BB71D"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I.-EL CORPUS JURIS CIVILES DE JUSTINIANO</w:t>
      </w:r>
    </w:p>
    <w:p w14:paraId="10FCA031"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Codex Iustinianus</w:t>
      </w:r>
    </w:p>
    <w:p w14:paraId="469A244F"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2.- El Digesto o Pandectas</w:t>
      </w:r>
    </w:p>
    <w:p w14:paraId="226FC07F"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3.- Las Institutas</w:t>
      </w:r>
    </w:p>
    <w:p w14:paraId="34387ACA"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4.- Las Novelas</w:t>
      </w:r>
    </w:p>
    <w:p w14:paraId="75CB6920"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5.- Los motivos de Justiniano</w:t>
      </w:r>
    </w:p>
    <w:p w14:paraId="178CF759"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6.- Teodora según Procopio: De cortesana a emperatriz</w:t>
      </w:r>
    </w:p>
    <w:p w14:paraId="15F9DB97" w14:textId="77777777" w:rsidR="001925CE" w:rsidRPr="000D3432" w:rsidRDefault="001925CE" w:rsidP="00A95498">
      <w:pPr>
        <w:jc w:val="both"/>
        <w:rPr>
          <w:rFonts w:asciiTheme="minorHAnsi" w:hAnsiTheme="minorHAnsi" w:cs="Arial"/>
          <w:szCs w:val="24"/>
        </w:rPr>
      </w:pPr>
    </w:p>
    <w:p w14:paraId="2D69E38F"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II.- EL ABOGADO</w:t>
      </w:r>
    </w:p>
    <w:p w14:paraId="524BA529"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EL DEFENSOR DE LOS INTERESES AJENOS</w:t>
      </w:r>
    </w:p>
    <w:p w14:paraId="3B0C0949" w14:textId="77777777" w:rsidR="001925CE" w:rsidRPr="000D3432" w:rsidRDefault="001925CE" w:rsidP="00A95498">
      <w:pPr>
        <w:jc w:val="both"/>
        <w:rPr>
          <w:rFonts w:asciiTheme="minorHAnsi" w:hAnsiTheme="minorHAnsi" w:cs="Arial"/>
          <w:szCs w:val="24"/>
        </w:rPr>
      </w:pPr>
    </w:p>
    <w:p w14:paraId="57CD04DE"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¿Qué es el abogado?  El defensor de los intereses ajenos</w:t>
      </w:r>
    </w:p>
    <w:p w14:paraId="6F40A032"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lastRenderedPageBreak/>
        <w:t>2.- Los abogados y la función pública</w:t>
      </w:r>
    </w:p>
    <w:p w14:paraId="1D4E9F6B"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3.- Carácter público de la función de los abogados</w:t>
      </w:r>
    </w:p>
    <w:p w14:paraId="6C468C15"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4.- Demasiados abogados</w:t>
      </w:r>
    </w:p>
    <w:p w14:paraId="6978F504"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5.- Los que escribieron sobre los abogados</w:t>
      </w:r>
    </w:p>
    <w:p w14:paraId="605C902A" w14:textId="77777777" w:rsidR="001925CE" w:rsidRPr="000D3432" w:rsidRDefault="001925CE" w:rsidP="00A95498">
      <w:pPr>
        <w:jc w:val="both"/>
        <w:rPr>
          <w:rFonts w:asciiTheme="minorHAnsi" w:hAnsiTheme="minorHAnsi" w:cs="Arial"/>
          <w:szCs w:val="24"/>
        </w:rPr>
      </w:pPr>
    </w:p>
    <w:p w14:paraId="5A1382CF"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III.- ENTRANDO EN EL ATAÚD</w:t>
      </w:r>
    </w:p>
    <w:p w14:paraId="398E1A17"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(Algunos abogados de mi predilección)</w:t>
      </w:r>
    </w:p>
    <w:p w14:paraId="1B8BA47F" w14:textId="77777777" w:rsidR="001925CE" w:rsidRPr="000D3432" w:rsidRDefault="001925CE" w:rsidP="00A95498">
      <w:pPr>
        <w:jc w:val="both"/>
        <w:rPr>
          <w:rFonts w:asciiTheme="minorHAnsi" w:hAnsiTheme="minorHAnsi" w:cs="Arial"/>
          <w:szCs w:val="24"/>
        </w:rPr>
      </w:pPr>
    </w:p>
    <w:p w14:paraId="57326232"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Francesco Carnelutti</w:t>
      </w:r>
    </w:p>
    <w:p w14:paraId="42EDEBA2" w14:textId="77777777" w:rsidR="001925CE" w:rsidRPr="000D3432" w:rsidRDefault="001925CE" w:rsidP="00A95498">
      <w:pPr>
        <w:ind w:left="2124"/>
        <w:jc w:val="both"/>
        <w:rPr>
          <w:rFonts w:asciiTheme="minorHAnsi" w:hAnsiTheme="minorHAnsi" w:cs="Arial"/>
          <w:szCs w:val="24"/>
        </w:rPr>
      </w:pPr>
      <w:r w:rsidRPr="000D3432">
        <w:rPr>
          <w:rFonts w:asciiTheme="minorHAnsi" w:hAnsiTheme="minorHAnsi" w:cs="Arial"/>
          <w:szCs w:val="24"/>
        </w:rPr>
        <w:t>a) Tragando el anzuelo</w:t>
      </w:r>
    </w:p>
    <w:p w14:paraId="3C758D07" w14:textId="77777777" w:rsidR="001925CE" w:rsidRPr="000D3432" w:rsidRDefault="001925CE" w:rsidP="00A95498">
      <w:pPr>
        <w:ind w:left="2124"/>
        <w:jc w:val="both"/>
        <w:rPr>
          <w:rFonts w:asciiTheme="minorHAnsi" w:hAnsiTheme="minorHAnsi" w:cs="Arial"/>
          <w:szCs w:val="24"/>
        </w:rPr>
      </w:pPr>
      <w:r w:rsidRPr="000D3432">
        <w:rPr>
          <w:rFonts w:asciiTheme="minorHAnsi" w:hAnsiTheme="minorHAnsi" w:cs="Arial"/>
          <w:szCs w:val="24"/>
        </w:rPr>
        <w:t>b) Francesco Carnelutti</w:t>
      </w:r>
    </w:p>
    <w:p w14:paraId="04B023F5" w14:textId="77777777" w:rsidR="001925CE" w:rsidRPr="000D3432" w:rsidRDefault="001925CE" w:rsidP="00A95498">
      <w:pPr>
        <w:ind w:left="2124"/>
        <w:jc w:val="both"/>
        <w:rPr>
          <w:rFonts w:asciiTheme="minorHAnsi" w:hAnsiTheme="minorHAnsi" w:cs="Arial"/>
          <w:szCs w:val="24"/>
        </w:rPr>
      </w:pPr>
      <w:r w:rsidRPr="000D3432">
        <w:rPr>
          <w:rFonts w:asciiTheme="minorHAnsi" w:hAnsiTheme="minorHAnsi" w:cs="Arial"/>
          <w:szCs w:val="24"/>
        </w:rPr>
        <w:t>c) Arte del Derecho</w:t>
      </w:r>
    </w:p>
    <w:p w14:paraId="74601C62" w14:textId="77777777" w:rsidR="001925CE" w:rsidRPr="000D3432" w:rsidRDefault="001925CE" w:rsidP="00A95498">
      <w:pPr>
        <w:ind w:left="2124"/>
        <w:jc w:val="both"/>
        <w:rPr>
          <w:rFonts w:asciiTheme="minorHAnsi" w:hAnsiTheme="minorHAnsi" w:cs="Arial"/>
          <w:szCs w:val="24"/>
        </w:rPr>
      </w:pPr>
      <w:r w:rsidRPr="000D3432">
        <w:rPr>
          <w:rFonts w:asciiTheme="minorHAnsi" w:hAnsiTheme="minorHAnsi" w:cs="Arial"/>
          <w:szCs w:val="24"/>
        </w:rPr>
        <w:t>d) La intuición y el instinto en el Derecho.</w:t>
      </w:r>
    </w:p>
    <w:p w14:paraId="262DC62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Theme="minorHAnsi" w:hAnsiTheme="minorHAnsi" w:cs="Arial"/>
          <w:caps/>
          <w:szCs w:val="24"/>
        </w:rPr>
      </w:pPr>
    </w:p>
    <w:p w14:paraId="45178508"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jc w:val="both"/>
        <w:rPr>
          <w:rFonts w:asciiTheme="minorHAnsi" w:hAnsiTheme="minorHAnsi" w:cs="Arial"/>
          <w:i/>
          <w:szCs w:val="24"/>
        </w:rPr>
      </w:pPr>
      <w:r w:rsidRPr="000D3432">
        <w:rPr>
          <w:rFonts w:asciiTheme="minorHAnsi" w:hAnsiTheme="minorHAnsi" w:cs="Arial"/>
          <w:caps/>
          <w:szCs w:val="24"/>
        </w:rPr>
        <w:t xml:space="preserve">2.- </w:t>
      </w:r>
      <w:r w:rsidRPr="000D3432">
        <w:rPr>
          <w:rFonts w:asciiTheme="minorHAnsi" w:hAnsiTheme="minorHAnsi" w:cs="Arial"/>
          <w:szCs w:val="24"/>
        </w:rPr>
        <w:t>JORGE BASADRE G.</w:t>
      </w:r>
    </w:p>
    <w:p w14:paraId="32576CF5" w14:textId="77777777" w:rsidR="001925CE" w:rsidRPr="000D3432" w:rsidRDefault="001925CE" w:rsidP="00A95498">
      <w:pPr>
        <w:jc w:val="both"/>
        <w:rPr>
          <w:rFonts w:asciiTheme="minorHAnsi" w:hAnsiTheme="minorHAnsi" w:cs="Arial"/>
          <w:szCs w:val="24"/>
        </w:rPr>
      </w:pPr>
    </w:p>
    <w:p w14:paraId="5EFBBFCE" w14:textId="77777777" w:rsidR="001925CE" w:rsidRPr="000D3432" w:rsidRDefault="001925CE" w:rsidP="00A95498">
      <w:pPr>
        <w:jc w:val="both"/>
        <w:rPr>
          <w:rFonts w:asciiTheme="minorHAnsi" w:hAnsiTheme="minorHAnsi" w:cs="Arial"/>
          <w:smallCaps/>
          <w:szCs w:val="24"/>
        </w:rPr>
      </w:pPr>
      <w:r w:rsidRPr="000D3432">
        <w:rPr>
          <w:rFonts w:asciiTheme="minorHAnsi" w:hAnsiTheme="minorHAnsi" w:cs="Arial"/>
          <w:smallCaps/>
          <w:szCs w:val="24"/>
        </w:rPr>
        <w:t xml:space="preserve">IV.- DERECHO Y RELIGIÓN </w:t>
      </w:r>
    </w:p>
    <w:p w14:paraId="7AFA22A4" w14:textId="77777777" w:rsidR="001925CE" w:rsidRPr="000D3432" w:rsidRDefault="001925CE" w:rsidP="00A95498">
      <w:pPr>
        <w:jc w:val="both"/>
        <w:rPr>
          <w:rFonts w:asciiTheme="minorHAnsi" w:hAnsiTheme="minorHAnsi" w:cs="Arial"/>
          <w:szCs w:val="24"/>
        </w:rPr>
      </w:pPr>
    </w:p>
    <w:p w14:paraId="690FE17D"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V.- LITERATURA Y DERECHO</w:t>
      </w:r>
    </w:p>
    <w:p w14:paraId="214A789D" w14:textId="77777777" w:rsidR="001925CE" w:rsidRPr="000D3432" w:rsidRDefault="001925CE" w:rsidP="00A95498">
      <w:pPr>
        <w:jc w:val="both"/>
        <w:rPr>
          <w:rFonts w:asciiTheme="minorHAnsi" w:hAnsiTheme="minorHAnsi" w:cs="Arial"/>
          <w:szCs w:val="24"/>
        </w:rPr>
      </w:pPr>
    </w:p>
    <w:p w14:paraId="4101F0B5" w14:textId="77777777" w:rsidR="001925CE" w:rsidRPr="000D3432" w:rsidRDefault="001925CE" w:rsidP="00A95498">
      <w:pPr>
        <w:tabs>
          <w:tab w:val="left" w:pos="567"/>
        </w:tabs>
        <w:ind w:left="708"/>
        <w:jc w:val="both"/>
        <w:rPr>
          <w:rFonts w:asciiTheme="minorHAnsi" w:hAnsiTheme="minorHAnsi" w:cs="Arial"/>
          <w:szCs w:val="24"/>
        </w:rPr>
      </w:pPr>
      <w:r w:rsidRPr="000D3432">
        <w:rPr>
          <w:rFonts w:asciiTheme="minorHAnsi" w:hAnsiTheme="minorHAnsi" w:cs="Arial"/>
          <w:szCs w:val="24"/>
        </w:rPr>
        <w:t>1.- Exposición de Motivos</w:t>
      </w:r>
    </w:p>
    <w:p w14:paraId="027C2926" w14:textId="77777777" w:rsidR="001925CE" w:rsidRPr="000D3432" w:rsidRDefault="001925CE" w:rsidP="00A95498">
      <w:pPr>
        <w:tabs>
          <w:tab w:val="left" w:pos="567"/>
        </w:tabs>
        <w:ind w:left="708"/>
        <w:jc w:val="both"/>
        <w:rPr>
          <w:rFonts w:asciiTheme="minorHAnsi" w:hAnsiTheme="minorHAnsi" w:cs="Arial"/>
          <w:szCs w:val="24"/>
        </w:rPr>
      </w:pPr>
      <w:r w:rsidRPr="000D3432">
        <w:rPr>
          <w:rFonts w:asciiTheme="minorHAnsi" w:hAnsiTheme="minorHAnsi" w:cs="Arial"/>
          <w:szCs w:val="24"/>
        </w:rPr>
        <w:t>2.- Estética vs. Geometría</w:t>
      </w:r>
    </w:p>
    <w:p w14:paraId="70433EAA" w14:textId="77777777" w:rsidR="001925CE" w:rsidRPr="000D3432" w:rsidRDefault="001925CE" w:rsidP="00A95498">
      <w:pPr>
        <w:tabs>
          <w:tab w:val="left" w:pos="567"/>
        </w:tabs>
        <w:ind w:left="708"/>
        <w:jc w:val="both"/>
        <w:rPr>
          <w:rFonts w:asciiTheme="minorHAnsi" w:hAnsiTheme="minorHAnsi" w:cs="Arial"/>
          <w:szCs w:val="24"/>
        </w:rPr>
      </w:pPr>
      <w:r w:rsidRPr="000D3432">
        <w:rPr>
          <w:rFonts w:asciiTheme="minorHAnsi" w:hAnsiTheme="minorHAnsi" w:cs="Arial"/>
          <w:szCs w:val="24"/>
        </w:rPr>
        <w:t>3.- La Argumentación</w:t>
      </w:r>
    </w:p>
    <w:p w14:paraId="5EC7F1E0" w14:textId="77777777" w:rsidR="001925CE" w:rsidRPr="000D3432" w:rsidRDefault="001925CE" w:rsidP="00A95498">
      <w:pPr>
        <w:tabs>
          <w:tab w:val="left" w:pos="567"/>
        </w:tabs>
        <w:ind w:left="708"/>
        <w:jc w:val="both"/>
        <w:rPr>
          <w:rFonts w:asciiTheme="minorHAnsi" w:hAnsiTheme="minorHAnsi" w:cs="Arial"/>
          <w:szCs w:val="24"/>
        </w:rPr>
      </w:pPr>
      <w:r w:rsidRPr="000D3432">
        <w:rPr>
          <w:rFonts w:asciiTheme="minorHAnsi" w:hAnsiTheme="minorHAnsi" w:cs="Arial"/>
          <w:szCs w:val="24"/>
        </w:rPr>
        <w:t>4.- Culpable yo</w:t>
      </w:r>
    </w:p>
    <w:p w14:paraId="3797015B" w14:textId="77777777" w:rsidR="001925CE" w:rsidRPr="000D3432" w:rsidRDefault="001925CE" w:rsidP="00A95498">
      <w:pPr>
        <w:jc w:val="both"/>
        <w:rPr>
          <w:rFonts w:asciiTheme="minorHAnsi" w:hAnsiTheme="minorHAnsi" w:cs="Arial"/>
          <w:szCs w:val="24"/>
          <w:u w:val="single"/>
        </w:rPr>
      </w:pPr>
    </w:p>
    <w:p w14:paraId="371BD7E0"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VI.- ORATORIA FORENSE, LENGUAJE Y DERECHO</w:t>
      </w:r>
    </w:p>
    <w:p w14:paraId="423581B8" w14:textId="77777777" w:rsidR="001925CE" w:rsidRPr="000D3432" w:rsidRDefault="001925CE" w:rsidP="00A95498">
      <w:pPr>
        <w:numPr>
          <w:ilvl w:val="0"/>
          <w:numId w:val="4"/>
        </w:numPr>
        <w:ind w:left="1068"/>
        <w:jc w:val="both"/>
        <w:rPr>
          <w:rFonts w:asciiTheme="minorHAnsi" w:hAnsiTheme="minorHAnsi" w:cs="Arial"/>
          <w:szCs w:val="24"/>
        </w:rPr>
      </w:pPr>
      <w:r w:rsidRPr="000D3432">
        <w:rPr>
          <w:rFonts w:asciiTheme="minorHAnsi" w:hAnsiTheme="minorHAnsi" w:cs="Arial"/>
          <w:szCs w:val="24"/>
        </w:rPr>
        <w:t>Oratoria Forense</w:t>
      </w:r>
    </w:p>
    <w:p w14:paraId="19BE456A" w14:textId="77777777" w:rsidR="001925CE" w:rsidRPr="000D3432" w:rsidRDefault="001925CE" w:rsidP="00A95498">
      <w:pPr>
        <w:numPr>
          <w:ilvl w:val="0"/>
          <w:numId w:val="4"/>
        </w:numPr>
        <w:ind w:left="1068"/>
        <w:jc w:val="both"/>
        <w:rPr>
          <w:rFonts w:asciiTheme="minorHAnsi" w:hAnsiTheme="minorHAnsi" w:cs="Arial"/>
          <w:szCs w:val="24"/>
        </w:rPr>
      </w:pPr>
      <w:r w:rsidRPr="000D3432">
        <w:rPr>
          <w:rFonts w:asciiTheme="minorHAnsi" w:hAnsiTheme="minorHAnsi" w:cs="Arial"/>
          <w:szCs w:val="24"/>
        </w:rPr>
        <w:t>Lenguaje y Derecho</w:t>
      </w:r>
    </w:p>
    <w:p w14:paraId="3379B79E" w14:textId="77777777" w:rsidR="001925CE" w:rsidRPr="000D3432" w:rsidRDefault="001925CE" w:rsidP="00A95498">
      <w:pPr>
        <w:ind w:left="360"/>
        <w:jc w:val="both"/>
        <w:rPr>
          <w:rFonts w:asciiTheme="minorHAnsi" w:hAnsiTheme="minorHAnsi" w:cs="Arial"/>
          <w:szCs w:val="24"/>
        </w:rPr>
      </w:pPr>
    </w:p>
    <w:p w14:paraId="5F860682"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s="Arial"/>
          <w:szCs w:val="24"/>
        </w:rPr>
      </w:pPr>
      <w:r w:rsidRPr="000D3432">
        <w:rPr>
          <w:rFonts w:asciiTheme="minorHAnsi" w:hAnsiTheme="minorHAnsi" w:cs="Arial"/>
          <w:szCs w:val="24"/>
        </w:rPr>
        <w:t>VII.- LA TEORÍA MULTIDIMENSIONAL DEL DERECHO</w:t>
      </w:r>
    </w:p>
    <w:p w14:paraId="33B48876" w14:textId="77777777" w:rsidR="001925CE" w:rsidRPr="000D3432" w:rsidRDefault="001925CE" w:rsidP="00A95498">
      <w:pPr>
        <w:jc w:val="both"/>
        <w:rPr>
          <w:rFonts w:asciiTheme="minorHAnsi" w:hAnsiTheme="minorHAnsi" w:cs="Arial"/>
          <w:szCs w:val="24"/>
        </w:rPr>
      </w:pPr>
    </w:p>
    <w:p w14:paraId="2FE3EB8A"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La Teoría Multidimensional del Derecho</w:t>
      </w:r>
    </w:p>
    <w:p w14:paraId="55CFCA59" w14:textId="77777777" w:rsidR="001925CE" w:rsidRPr="000D3432" w:rsidRDefault="001925CE" w:rsidP="00A95498">
      <w:pPr>
        <w:jc w:val="both"/>
        <w:rPr>
          <w:rFonts w:asciiTheme="minorHAnsi" w:hAnsiTheme="minorHAnsi" w:cs="Arial"/>
          <w:szCs w:val="24"/>
        </w:rPr>
      </w:pPr>
    </w:p>
    <w:p w14:paraId="1F92A189"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VIII.- DERECHO Y DROGAS- EL ALMUERZO DESNUDO</w:t>
      </w:r>
    </w:p>
    <w:p w14:paraId="574BB925" w14:textId="77777777" w:rsidR="001925CE" w:rsidRPr="000D3432" w:rsidRDefault="001925CE" w:rsidP="00A95498">
      <w:pPr>
        <w:ind w:left="708"/>
        <w:jc w:val="both"/>
        <w:rPr>
          <w:rFonts w:asciiTheme="minorHAnsi" w:hAnsiTheme="minorHAnsi" w:cs="Arial"/>
          <w:szCs w:val="24"/>
        </w:rPr>
      </w:pPr>
    </w:p>
    <w:p w14:paraId="0F0A9903"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Mercado, Derecho y Drogadicción</w:t>
      </w:r>
    </w:p>
    <w:p w14:paraId="249CB007"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2.- Derecho y Drogas</w:t>
      </w:r>
    </w:p>
    <w:p w14:paraId="2A19CF44" w14:textId="77777777" w:rsidR="001925CE" w:rsidRPr="000D3432" w:rsidRDefault="001925CE" w:rsidP="00A95498">
      <w:pPr>
        <w:ind w:left="708"/>
        <w:jc w:val="both"/>
        <w:rPr>
          <w:rFonts w:asciiTheme="minorHAnsi" w:hAnsiTheme="minorHAnsi" w:cs="Arial"/>
          <w:szCs w:val="24"/>
        </w:rPr>
      </w:pPr>
    </w:p>
    <w:p w14:paraId="3B312B8F"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IX.- DERECHO Y MEDIO AMBIENTE</w:t>
      </w:r>
    </w:p>
    <w:p w14:paraId="6860EE34" w14:textId="77777777" w:rsidR="001925CE" w:rsidRPr="000D3432" w:rsidRDefault="001925CE" w:rsidP="00A95498">
      <w:pPr>
        <w:jc w:val="both"/>
        <w:rPr>
          <w:rFonts w:asciiTheme="minorHAnsi" w:hAnsiTheme="minorHAnsi" w:cs="Arial"/>
          <w:szCs w:val="24"/>
        </w:rPr>
      </w:pPr>
    </w:p>
    <w:p w14:paraId="699F3840"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El medio ambiente que yo quisiera</w:t>
      </w:r>
    </w:p>
    <w:p w14:paraId="1C3DD6A7" w14:textId="77777777" w:rsidR="001925CE" w:rsidRPr="000D3432" w:rsidRDefault="001925CE" w:rsidP="00A95498">
      <w:pPr>
        <w:jc w:val="both"/>
        <w:rPr>
          <w:rFonts w:asciiTheme="minorHAnsi" w:hAnsiTheme="minorHAnsi" w:cs="Arial"/>
          <w:szCs w:val="24"/>
        </w:rPr>
      </w:pPr>
    </w:p>
    <w:p w14:paraId="0B60919F"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 PENSANDO DERECHO</w:t>
      </w:r>
    </w:p>
    <w:p w14:paraId="12BF4925" w14:textId="77777777" w:rsidR="001925CE" w:rsidRPr="000D3432" w:rsidRDefault="001925CE" w:rsidP="00A95498">
      <w:pPr>
        <w:jc w:val="both"/>
        <w:rPr>
          <w:rFonts w:asciiTheme="minorHAnsi" w:hAnsiTheme="minorHAnsi" w:cs="Arial"/>
          <w:szCs w:val="24"/>
        </w:rPr>
      </w:pPr>
    </w:p>
    <w:p w14:paraId="4F65D5C0"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Un mal contagioso</w:t>
      </w:r>
    </w:p>
    <w:p w14:paraId="10C60144" w14:textId="77777777" w:rsidR="001925CE" w:rsidRPr="000D3432" w:rsidRDefault="001925CE" w:rsidP="00A95498">
      <w:pPr>
        <w:jc w:val="both"/>
        <w:rPr>
          <w:rFonts w:asciiTheme="minorHAnsi" w:hAnsiTheme="minorHAnsi" w:cs="Arial"/>
          <w:szCs w:val="24"/>
        </w:rPr>
      </w:pPr>
    </w:p>
    <w:p w14:paraId="172B515E"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 DERECHO Y MERCADO</w:t>
      </w:r>
    </w:p>
    <w:p w14:paraId="73DD3772" w14:textId="77777777" w:rsidR="001925CE" w:rsidRPr="000D3432" w:rsidRDefault="001925CE" w:rsidP="00A95498">
      <w:pPr>
        <w:jc w:val="both"/>
        <w:rPr>
          <w:rFonts w:asciiTheme="minorHAnsi" w:hAnsiTheme="minorHAnsi" w:cs="Arial"/>
          <w:szCs w:val="24"/>
        </w:rPr>
      </w:pPr>
    </w:p>
    <w:p w14:paraId="08A50861"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lastRenderedPageBreak/>
        <w:t xml:space="preserve">1.- La libertad en el mercado </w:t>
      </w:r>
    </w:p>
    <w:p w14:paraId="3E3F1D5F"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2.- El Derecho a la seguridad</w:t>
      </w:r>
    </w:p>
    <w:p w14:paraId="16569ED4"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3.- La distribución de la riqueza</w:t>
      </w:r>
    </w:p>
    <w:p w14:paraId="1417F247"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4.- Monumentos históricos</w:t>
      </w:r>
    </w:p>
    <w:p w14:paraId="75B6374D" w14:textId="77777777" w:rsidR="001925CE" w:rsidRPr="000D3432" w:rsidRDefault="001925CE" w:rsidP="00A95498">
      <w:pPr>
        <w:jc w:val="both"/>
        <w:rPr>
          <w:rFonts w:asciiTheme="minorHAnsi" w:hAnsiTheme="minorHAnsi" w:cs="Arial"/>
          <w:szCs w:val="24"/>
        </w:rPr>
      </w:pPr>
    </w:p>
    <w:p w14:paraId="6A7476F0"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XII.- DERECHO Y ADMINISTRACIÓN DE EMPRESAS</w:t>
      </w:r>
    </w:p>
    <w:p w14:paraId="1103B9AB" w14:textId="77777777" w:rsidR="001925CE" w:rsidRPr="000D3432" w:rsidRDefault="001925CE" w:rsidP="00A95498">
      <w:pPr>
        <w:jc w:val="both"/>
        <w:rPr>
          <w:rFonts w:asciiTheme="minorHAnsi" w:hAnsiTheme="minorHAnsi" w:cs="Arial"/>
          <w:szCs w:val="24"/>
        </w:rPr>
      </w:pPr>
    </w:p>
    <w:p w14:paraId="56F69ED9"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1.- Derecho y Administración de empresas</w:t>
      </w:r>
    </w:p>
    <w:p w14:paraId="4E38E0D8" w14:textId="77777777" w:rsidR="001925CE" w:rsidRPr="000D3432" w:rsidRDefault="001925CE" w:rsidP="00A95498">
      <w:pPr>
        <w:ind w:left="708"/>
        <w:jc w:val="both"/>
        <w:rPr>
          <w:rFonts w:asciiTheme="minorHAnsi" w:hAnsiTheme="minorHAnsi" w:cs="Arial"/>
          <w:szCs w:val="24"/>
        </w:rPr>
      </w:pPr>
      <w:r w:rsidRPr="000D3432">
        <w:rPr>
          <w:rFonts w:asciiTheme="minorHAnsi" w:hAnsiTheme="minorHAnsi" w:cs="Arial"/>
          <w:szCs w:val="24"/>
        </w:rPr>
        <w:t>2.- Douglas North</w:t>
      </w:r>
    </w:p>
    <w:p w14:paraId="77169B87" w14:textId="77777777" w:rsidR="001925CE" w:rsidRPr="000D3432" w:rsidRDefault="001925CE" w:rsidP="00A95498">
      <w:pPr>
        <w:jc w:val="both"/>
        <w:rPr>
          <w:rFonts w:asciiTheme="minorHAnsi" w:hAnsiTheme="minorHAnsi" w:cs="Arial"/>
          <w:szCs w:val="24"/>
        </w:rPr>
      </w:pPr>
    </w:p>
    <w:p w14:paraId="39597AD0"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XIII.- EL ESTADO Y LA ECONOMÍA DE MERCADO</w:t>
      </w:r>
    </w:p>
    <w:p w14:paraId="38C93F46" w14:textId="77777777" w:rsidR="001925CE" w:rsidRPr="000D3432" w:rsidRDefault="001925CE" w:rsidP="00A95498">
      <w:pPr>
        <w:jc w:val="both"/>
        <w:rPr>
          <w:rFonts w:asciiTheme="minorHAnsi" w:hAnsiTheme="minorHAnsi" w:cs="Arial"/>
          <w:szCs w:val="24"/>
        </w:rPr>
      </w:pPr>
    </w:p>
    <w:p w14:paraId="1B8D45BC"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XIV.- VOLUNTAD JURÍDICA</w:t>
      </w:r>
    </w:p>
    <w:p w14:paraId="15B906F4" w14:textId="77777777" w:rsidR="001925CE" w:rsidRPr="000D3432" w:rsidRDefault="001925CE" w:rsidP="00A95498">
      <w:pPr>
        <w:jc w:val="both"/>
        <w:rPr>
          <w:rFonts w:asciiTheme="minorHAnsi" w:hAnsiTheme="minorHAnsi" w:cs="Arial"/>
          <w:szCs w:val="24"/>
        </w:rPr>
      </w:pPr>
    </w:p>
    <w:p w14:paraId="764C8751"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XV.- EPISTEMOLOGÍA DEL DERECHO Y CORRUPCIÓN</w:t>
      </w:r>
    </w:p>
    <w:p w14:paraId="70F035F8" w14:textId="77777777" w:rsidR="001925CE" w:rsidRPr="000D3432" w:rsidRDefault="001925CE" w:rsidP="00A95498">
      <w:pPr>
        <w:jc w:val="both"/>
        <w:rPr>
          <w:rFonts w:asciiTheme="minorHAnsi" w:hAnsiTheme="minorHAnsi" w:cs="Arial"/>
          <w:szCs w:val="24"/>
        </w:rPr>
      </w:pPr>
    </w:p>
    <w:p w14:paraId="4A535B90" w14:textId="77777777" w:rsidR="001925CE" w:rsidRPr="000D3432" w:rsidRDefault="001925CE" w:rsidP="00A95498">
      <w:pPr>
        <w:numPr>
          <w:ilvl w:val="0"/>
          <w:numId w:val="5"/>
        </w:numPr>
        <w:jc w:val="both"/>
        <w:rPr>
          <w:rFonts w:asciiTheme="minorHAnsi" w:hAnsiTheme="minorHAnsi" w:cs="Arial"/>
          <w:szCs w:val="24"/>
        </w:rPr>
      </w:pPr>
      <w:r w:rsidRPr="000D3432">
        <w:rPr>
          <w:rFonts w:asciiTheme="minorHAnsi" w:hAnsiTheme="minorHAnsi" w:cs="Arial"/>
          <w:szCs w:val="24"/>
        </w:rPr>
        <w:t>Concepto de Epistemología</w:t>
      </w:r>
    </w:p>
    <w:p w14:paraId="7AEC6F83" w14:textId="77777777" w:rsidR="001925CE" w:rsidRPr="000D3432" w:rsidRDefault="001925CE" w:rsidP="00A95498">
      <w:pPr>
        <w:numPr>
          <w:ilvl w:val="0"/>
          <w:numId w:val="5"/>
        </w:numPr>
        <w:jc w:val="both"/>
        <w:rPr>
          <w:rFonts w:asciiTheme="minorHAnsi" w:hAnsiTheme="minorHAnsi" w:cs="Arial"/>
          <w:szCs w:val="24"/>
        </w:rPr>
      </w:pPr>
      <w:r w:rsidRPr="000D3432">
        <w:rPr>
          <w:rFonts w:asciiTheme="minorHAnsi" w:hAnsiTheme="minorHAnsi" w:cs="Arial"/>
          <w:szCs w:val="24"/>
        </w:rPr>
        <w:t>La importancia de la Epistemología</w:t>
      </w:r>
    </w:p>
    <w:p w14:paraId="5B7EEA60" w14:textId="77777777" w:rsidR="001925CE" w:rsidRPr="000D3432" w:rsidRDefault="001925CE" w:rsidP="00A95498">
      <w:pPr>
        <w:jc w:val="both"/>
        <w:rPr>
          <w:rFonts w:asciiTheme="minorHAnsi" w:hAnsiTheme="minorHAnsi" w:cs="Arial"/>
          <w:szCs w:val="24"/>
        </w:rPr>
      </w:pPr>
    </w:p>
    <w:p w14:paraId="2EF25365"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XVI.- DERECHO Y AMOR</w:t>
      </w:r>
    </w:p>
    <w:p w14:paraId="21762076" w14:textId="77777777" w:rsidR="001925CE" w:rsidRPr="000D3432" w:rsidRDefault="001925CE" w:rsidP="00A95498">
      <w:pPr>
        <w:jc w:val="both"/>
        <w:rPr>
          <w:rFonts w:asciiTheme="minorHAnsi" w:hAnsiTheme="minorHAnsi" w:cs="Arial"/>
          <w:szCs w:val="24"/>
        </w:rPr>
      </w:pPr>
    </w:p>
    <w:p w14:paraId="5502E523" w14:textId="77777777" w:rsidR="001925CE" w:rsidRPr="000D3432" w:rsidRDefault="001925CE" w:rsidP="00A95498">
      <w:pPr>
        <w:jc w:val="center"/>
        <w:rPr>
          <w:rFonts w:asciiTheme="minorHAnsi" w:hAnsiTheme="minorHAnsi" w:cs="Arial"/>
          <w:szCs w:val="24"/>
        </w:rPr>
      </w:pPr>
    </w:p>
    <w:p w14:paraId="22719535" w14:textId="77777777" w:rsidR="00F95A20" w:rsidRPr="000D3432" w:rsidRDefault="00F95A20" w:rsidP="00A95498">
      <w:pPr>
        <w:jc w:val="center"/>
        <w:rPr>
          <w:rFonts w:asciiTheme="minorHAnsi" w:hAnsiTheme="minorHAnsi" w:cs="Arial"/>
          <w:szCs w:val="24"/>
        </w:rPr>
      </w:pPr>
    </w:p>
    <w:p w14:paraId="7A75D2D7" w14:textId="77777777" w:rsidR="00F95A20" w:rsidRPr="000D3432" w:rsidRDefault="00F95A20" w:rsidP="00A95498">
      <w:pPr>
        <w:jc w:val="center"/>
        <w:rPr>
          <w:rFonts w:asciiTheme="minorHAnsi" w:hAnsiTheme="minorHAnsi" w:cs="Arial"/>
          <w:szCs w:val="24"/>
        </w:rPr>
      </w:pPr>
    </w:p>
    <w:p w14:paraId="152671FA" w14:textId="77777777" w:rsidR="00F95A20" w:rsidRPr="000D3432" w:rsidRDefault="00F95A20" w:rsidP="00A95498">
      <w:pPr>
        <w:jc w:val="center"/>
        <w:rPr>
          <w:rFonts w:asciiTheme="minorHAnsi" w:hAnsiTheme="minorHAnsi" w:cs="Arial"/>
          <w:szCs w:val="24"/>
        </w:rPr>
      </w:pPr>
    </w:p>
    <w:p w14:paraId="3B42E39C" w14:textId="77777777" w:rsidR="00F95A20" w:rsidRPr="000D3432" w:rsidRDefault="00F95A20" w:rsidP="00F95A20">
      <w:pPr>
        <w:jc w:val="both"/>
        <w:rPr>
          <w:rFonts w:asciiTheme="minorHAnsi" w:hAnsiTheme="minorHAnsi" w:cs="Arial"/>
          <w:b/>
          <w:bCs/>
          <w:szCs w:val="24"/>
          <w:lang w:val="es-ES_tradnl"/>
        </w:rPr>
      </w:pPr>
    </w:p>
    <w:p w14:paraId="10229CD5" w14:textId="77777777" w:rsidR="00F95A20" w:rsidRPr="000D3432" w:rsidRDefault="00F95A20" w:rsidP="00F95A20">
      <w:pPr>
        <w:jc w:val="center"/>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¡ARRIBA LAS MANOS!</w:t>
      </w:r>
    </w:p>
    <w:p w14:paraId="1AE763F5" w14:textId="77777777" w:rsidR="00F95A20" w:rsidRPr="000D3432" w:rsidRDefault="00F95A20" w:rsidP="00F95A20">
      <w:pPr>
        <w:jc w:val="center"/>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Y ENTREGA TU DINERO AL ESTADO</w:t>
      </w:r>
    </w:p>
    <w:p w14:paraId="39F279E8" w14:textId="77777777" w:rsidR="00F95A20" w:rsidRPr="000D3432" w:rsidRDefault="00F95A20" w:rsidP="00F95A20">
      <w:pPr>
        <w:jc w:val="center"/>
        <w:rPr>
          <w:rFonts w:asciiTheme="minorHAnsi" w:hAnsiTheme="minorHAnsi" w:cs="Andalus"/>
          <w:bCs/>
          <w:color w:val="1F497D" w:themeColor="text2"/>
          <w:szCs w:val="24"/>
        </w:rPr>
      </w:pPr>
      <w:r w:rsidRPr="000D3432">
        <w:rPr>
          <w:rFonts w:asciiTheme="minorHAnsi" w:hAnsiTheme="minorHAnsi" w:cs="Andalus"/>
          <w:bCs/>
          <w:color w:val="1F497D" w:themeColor="text2"/>
          <w:szCs w:val="24"/>
        </w:rPr>
        <w:t>(Esbozos marginales sobre el  Derecho Tributario)</w:t>
      </w:r>
    </w:p>
    <w:p w14:paraId="263B9332" w14:textId="77777777" w:rsidR="00F95A20" w:rsidRPr="000D3432" w:rsidRDefault="00F95A20" w:rsidP="00F95A20">
      <w:pPr>
        <w:jc w:val="both"/>
        <w:rPr>
          <w:rFonts w:asciiTheme="minorHAnsi" w:hAnsiTheme="minorHAnsi" w:cs="Arial"/>
          <w:b/>
          <w:bCs/>
          <w:szCs w:val="24"/>
          <w:lang w:val="es-ES_tradnl"/>
        </w:rPr>
      </w:pPr>
    </w:p>
    <w:sdt>
      <w:sdtPr>
        <w:rPr>
          <w:rFonts w:asciiTheme="minorHAnsi" w:eastAsiaTheme="minorHAnsi" w:hAnsiTheme="minorHAnsi" w:cstheme="minorBidi"/>
          <w:b w:val="0"/>
          <w:bCs w:val="0"/>
          <w:color w:val="auto"/>
          <w:sz w:val="24"/>
          <w:szCs w:val="24"/>
          <w:lang w:val="es-ES" w:eastAsia="en-US"/>
        </w:rPr>
        <w:id w:val="-300144590"/>
        <w:docPartObj>
          <w:docPartGallery w:val="Table of Contents"/>
          <w:docPartUnique/>
        </w:docPartObj>
      </w:sdtPr>
      <w:sdtEndPr>
        <w:rPr>
          <w:rFonts w:eastAsia="Times New Roman" w:cs="Times New Roman"/>
          <w:noProof/>
          <w:lang w:eastAsia="es-ES"/>
        </w:rPr>
      </w:sdtEndPr>
      <w:sdtContent>
        <w:p w14:paraId="568ABDCE" w14:textId="77777777" w:rsidR="00F95A20" w:rsidRPr="000D3432" w:rsidRDefault="00F95A20" w:rsidP="00F95A20">
          <w:pPr>
            <w:pStyle w:val="Encabezadodetabladecontenido"/>
            <w:spacing w:before="0" w:line="240" w:lineRule="auto"/>
            <w:jc w:val="center"/>
            <w:rPr>
              <w:rFonts w:asciiTheme="minorHAnsi" w:hAnsiTheme="minorHAnsi"/>
              <w:sz w:val="24"/>
              <w:szCs w:val="24"/>
              <w:lang w:val="es-ES"/>
            </w:rPr>
          </w:pPr>
          <w:r w:rsidRPr="000D3432">
            <w:rPr>
              <w:rFonts w:asciiTheme="minorHAnsi" w:hAnsiTheme="minorHAnsi"/>
              <w:sz w:val="24"/>
              <w:szCs w:val="24"/>
              <w:lang w:val="es-ES"/>
            </w:rPr>
            <w:t>CONTENIDO</w:t>
          </w:r>
        </w:p>
        <w:p w14:paraId="23A05D1B" w14:textId="77777777" w:rsidR="00F95A20" w:rsidRPr="000D3432" w:rsidRDefault="00F95A20" w:rsidP="00F95A20">
          <w:pPr>
            <w:rPr>
              <w:rFonts w:asciiTheme="minorHAnsi" w:hAnsiTheme="minorHAnsi"/>
              <w:szCs w:val="24"/>
            </w:rPr>
          </w:pPr>
        </w:p>
        <w:p w14:paraId="46AEF79C"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rPr>
            <w:fldChar w:fldCharType="begin"/>
          </w:r>
          <w:r w:rsidRPr="000D3432">
            <w:instrText>TOC \o "1-3" \h \z \u</w:instrText>
          </w:r>
          <w:r w:rsidRPr="000D3432">
            <w:rPr>
              <w:b w:val="0"/>
            </w:rPr>
            <w:fldChar w:fldCharType="separate"/>
          </w:r>
          <w:r w:rsidRPr="000D3432">
            <w:rPr>
              <w:noProof/>
            </w:rPr>
            <w:t>- Capacidad y Voluntad Crítica:</w:t>
          </w:r>
          <w:r w:rsidRPr="000D3432">
            <w:rPr>
              <w:noProof/>
            </w:rPr>
            <w:tab/>
          </w:r>
          <w:r w:rsidRPr="000D3432">
            <w:rPr>
              <w:noProof/>
            </w:rPr>
            <w:fldChar w:fldCharType="begin"/>
          </w:r>
          <w:r w:rsidRPr="000D3432">
            <w:rPr>
              <w:noProof/>
            </w:rPr>
            <w:instrText xml:space="preserve"> PAGEREF _Toc318102853 \h </w:instrText>
          </w:r>
          <w:r w:rsidRPr="000D3432">
            <w:rPr>
              <w:noProof/>
            </w:rPr>
          </w:r>
          <w:r w:rsidRPr="000D3432">
            <w:rPr>
              <w:noProof/>
            </w:rPr>
            <w:fldChar w:fldCharType="separate"/>
          </w:r>
          <w:r w:rsidRPr="000D3432">
            <w:rPr>
              <w:noProof/>
            </w:rPr>
            <w:t>45</w:t>
          </w:r>
          <w:r w:rsidRPr="000D3432">
            <w:rPr>
              <w:noProof/>
            </w:rPr>
            <w:fldChar w:fldCharType="end"/>
          </w:r>
        </w:p>
        <w:p w14:paraId="415DEDB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b.- Principales teorías filosóficas-jurídicas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_Toc318102854 \h </w:instrText>
          </w:r>
          <w:r w:rsidRPr="000D3432">
            <w:rPr>
              <w:noProof/>
              <w:sz w:val="24"/>
              <w:szCs w:val="24"/>
            </w:rPr>
          </w:r>
          <w:r w:rsidRPr="000D3432">
            <w:rPr>
              <w:noProof/>
              <w:sz w:val="24"/>
              <w:szCs w:val="24"/>
            </w:rPr>
            <w:fldChar w:fldCharType="separate"/>
          </w:r>
          <w:r w:rsidRPr="000D3432">
            <w:rPr>
              <w:noProof/>
              <w:sz w:val="24"/>
              <w:szCs w:val="24"/>
            </w:rPr>
            <w:t>51</w:t>
          </w:r>
          <w:r w:rsidRPr="000D3432">
            <w:rPr>
              <w:noProof/>
              <w:sz w:val="24"/>
              <w:szCs w:val="24"/>
            </w:rPr>
            <w:fldChar w:fldCharType="end"/>
          </w:r>
        </w:p>
        <w:p w14:paraId="4B7581B6"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c.- Corrientes del Pensamiento Jurídico</w:t>
          </w:r>
          <w:r w:rsidRPr="000D3432">
            <w:rPr>
              <w:noProof/>
            </w:rPr>
            <w:tab/>
          </w:r>
          <w:r w:rsidRPr="000D3432">
            <w:rPr>
              <w:noProof/>
            </w:rPr>
            <w:fldChar w:fldCharType="begin"/>
          </w:r>
          <w:r w:rsidRPr="000D3432">
            <w:rPr>
              <w:noProof/>
            </w:rPr>
            <w:instrText xml:space="preserve"> PAGEREF _Toc318102855 \h </w:instrText>
          </w:r>
          <w:r w:rsidRPr="000D3432">
            <w:rPr>
              <w:noProof/>
            </w:rPr>
          </w:r>
          <w:r w:rsidRPr="000D3432">
            <w:rPr>
              <w:noProof/>
            </w:rPr>
            <w:fldChar w:fldCharType="separate"/>
          </w:r>
          <w:r w:rsidRPr="000D3432">
            <w:rPr>
              <w:noProof/>
            </w:rPr>
            <w:t>60</w:t>
          </w:r>
          <w:r w:rsidRPr="000D3432">
            <w:rPr>
              <w:noProof/>
            </w:rPr>
            <w:fldChar w:fldCharType="end"/>
          </w:r>
        </w:p>
        <w:p w14:paraId="75FE0319"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1) Jusnaturalismo</w:t>
          </w:r>
          <w:r w:rsidRPr="000D3432">
            <w:rPr>
              <w:noProof/>
            </w:rPr>
            <w:tab/>
          </w:r>
          <w:r w:rsidRPr="000D3432">
            <w:rPr>
              <w:noProof/>
            </w:rPr>
            <w:fldChar w:fldCharType="begin"/>
          </w:r>
          <w:r w:rsidRPr="000D3432">
            <w:rPr>
              <w:noProof/>
            </w:rPr>
            <w:instrText xml:space="preserve"> PAGEREF _Toc318102856 \h </w:instrText>
          </w:r>
          <w:r w:rsidRPr="000D3432">
            <w:rPr>
              <w:noProof/>
            </w:rPr>
          </w:r>
          <w:r w:rsidRPr="000D3432">
            <w:rPr>
              <w:noProof/>
            </w:rPr>
            <w:fldChar w:fldCharType="separate"/>
          </w:r>
          <w:r w:rsidRPr="000D3432">
            <w:rPr>
              <w:noProof/>
            </w:rPr>
            <w:t>61</w:t>
          </w:r>
          <w:r w:rsidRPr="000D3432">
            <w:rPr>
              <w:noProof/>
            </w:rPr>
            <w:fldChar w:fldCharType="end"/>
          </w:r>
        </w:p>
        <w:p w14:paraId="2CC9CA13"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PRESENTACIÓN</w:t>
          </w:r>
          <w:r w:rsidRPr="000D3432">
            <w:rPr>
              <w:noProof/>
            </w:rPr>
            <w:tab/>
          </w:r>
          <w:r w:rsidRPr="000D3432">
            <w:rPr>
              <w:noProof/>
            </w:rPr>
            <w:fldChar w:fldCharType="begin"/>
          </w:r>
          <w:r w:rsidRPr="000D3432">
            <w:rPr>
              <w:noProof/>
            </w:rPr>
            <w:instrText xml:space="preserve"> PAGEREF _Toc318102857 \h </w:instrText>
          </w:r>
          <w:r w:rsidRPr="000D3432">
            <w:rPr>
              <w:noProof/>
            </w:rPr>
          </w:r>
          <w:r w:rsidRPr="000D3432">
            <w:rPr>
              <w:noProof/>
            </w:rPr>
            <w:fldChar w:fldCharType="separate"/>
          </w:r>
          <w:r w:rsidRPr="000D3432">
            <w:rPr>
              <w:noProof/>
            </w:rPr>
            <w:t>227</w:t>
          </w:r>
          <w:r w:rsidRPr="000D3432">
            <w:rPr>
              <w:noProof/>
            </w:rPr>
            <w:fldChar w:fldCharType="end"/>
          </w:r>
        </w:p>
        <w:p w14:paraId="5459F545"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AUTO PRÓLOGO</w:t>
          </w:r>
          <w:r w:rsidRPr="000D3432">
            <w:rPr>
              <w:noProof/>
            </w:rPr>
            <w:tab/>
          </w:r>
          <w:r w:rsidRPr="000D3432">
            <w:rPr>
              <w:noProof/>
            </w:rPr>
            <w:fldChar w:fldCharType="begin"/>
          </w:r>
          <w:r w:rsidRPr="000D3432">
            <w:rPr>
              <w:noProof/>
            </w:rPr>
            <w:instrText xml:space="preserve"> PAGEREF _Toc318102858 \h </w:instrText>
          </w:r>
          <w:r w:rsidRPr="000D3432">
            <w:rPr>
              <w:noProof/>
            </w:rPr>
          </w:r>
          <w:r w:rsidRPr="000D3432">
            <w:rPr>
              <w:noProof/>
            </w:rPr>
            <w:fldChar w:fldCharType="separate"/>
          </w:r>
          <w:r w:rsidRPr="000D3432">
            <w:rPr>
              <w:noProof/>
            </w:rPr>
            <w:t>229</w:t>
          </w:r>
          <w:r w:rsidRPr="000D3432">
            <w:rPr>
              <w:noProof/>
            </w:rPr>
            <w:fldChar w:fldCharType="end"/>
          </w:r>
        </w:p>
        <w:p w14:paraId="1A234504"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I.- INTRODUCCIÓN</w:t>
          </w:r>
          <w:r w:rsidRPr="000D3432">
            <w:rPr>
              <w:noProof/>
            </w:rPr>
            <w:tab/>
          </w:r>
          <w:r w:rsidRPr="000D3432">
            <w:rPr>
              <w:noProof/>
            </w:rPr>
            <w:fldChar w:fldCharType="begin"/>
          </w:r>
          <w:r w:rsidRPr="000D3432">
            <w:rPr>
              <w:noProof/>
            </w:rPr>
            <w:instrText xml:space="preserve"> PAGEREF _Toc318102859 \h </w:instrText>
          </w:r>
          <w:r w:rsidRPr="000D3432">
            <w:rPr>
              <w:noProof/>
            </w:rPr>
          </w:r>
          <w:r w:rsidRPr="000D3432">
            <w:rPr>
              <w:noProof/>
            </w:rPr>
            <w:fldChar w:fldCharType="separate"/>
          </w:r>
          <w:r w:rsidRPr="000D3432">
            <w:rPr>
              <w:noProof/>
            </w:rPr>
            <w:t>231</w:t>
          </w:r>
          <w:r w:rsidRPr="000D3432">
            <w:rPr>
              <w:noProof/>
            </w:rPr>
            <w:fldChar w:fldCharType="end"/>
          </w:r>
        </w:p>
        <w:p w14:paraId="561B61F9"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1.- El CARÁCTER SISTÉMICO DE LA TRIBUTACIÓN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_Toc318102860 \h </w:instrText>
          </w:r>
          <w:r w:rsidRPr="000D3432">
            <w:rPr>
              <w:noProof/>
              <w:sz w:val="24"/>
              <w:szCs w:val="24"/>
            </w:rPr>
          </w:r>
          <w:r w:rsidRPr="000D3432">
            <w:rPr>
              <w:noProof/>
              <w:sz w:val="24"/>
              <w:szCs w:val="24"/>
            </w:rPr>
            <w:fldChar w:fldCharType="separate"/>
          </w:r>
          <w:r w:rsidRPr="000D3432">
            <w:rPr>
              <w:noProof/>
              <w:sz w:val="24"/>
              <w:szCs w:val="24"/>
            </w:rPr>
            <w:t>232</w:t>
          </w:r>
          <w:r w:rsidRPr="000D3432">
            <w:rPr>
              <w:noProof/>
              <w:sz w:val="24"/>
              <w:szCs w:val="24"/>
            </w:rPr>
            <w:fldChar w:fldCharType="end"/>
          </w:r>
        </w:p>
        <w:p w14:paraId="738A7E25"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II.- DERECHO TRIBUTARIO</w:t>
          </w:r>
          <w:r w:rsidRPr="000D3432">
            <w:rPr>
              <w:noProof/>
            </w:rPr>
            <w:tab/>
          </w:r>
          <w:r w:rsidRPr="000D3432">
            <w:rPr>
              <w:noProof/>
            </w:rPr>
            <w:fldChar w:fldCharType="begin"/>
          </w:r>
          <w:r w:rsidRPr="000D3432">
            <w:rPr>
              <w:noProof/>
            </w:rPr>
            <w:instrText xml:space="preserve"> PAGEREF _Toc318102861 \h </w:instrText>
          </w:r>
          <w:r w:rsidRPr="000D3432">
            <w:rPr>
              <w:noProof/>
            </w:rPr>
          </w:r>
          <w:r w:rsidRPr="000D3432">
            <w:rPr>
              <w:noProof/>
            </w:rPr>
            <w:fldChar w:fldCharType="separate"/>
          </w:r>
          <w:r w:rsidRPr="000D3432">
            <w:rPr>
              <w:noProof/>
            </w:rPr>
            <w:t>234</w:t>
          </w:r>
          <w:r w:rsidRPr="000D3432">
            <w:rPr>
              <w:noProof/>
            </w:rPr>
            <w:fldChar w:fldCharType="end"/>
          </w:r>
        </w:p>
        <w:p w14:paraId="231658D7"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1.- El Derecho Tributario como acto de poder</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_Toc318102862 \h </w:instrText>
          </w:r>
          <w:r w:rsidRPr="000D3432">
            <w:rPr>
              <w:noProof/>
              <w:sz w:val="24"/>
              <w:szCs w:val="24"/>
            </w:rPr>
          </w:r>
          <w:r w:rsidRPr="000D3432">
            <w:rPr>
              <w:noProof/>
              <w:sz w:val="24"/>
              <w:szCs w:val="24"/>
            </w:rPr>
            <w:fldChar w:fldCharType="separate"/>
          </w:r>
          <w:r w:rsidRPr="000D3432">
            <w:rPr>
              <w:noProof/>
              <w:sz w:val="24"/>
              <w:szCs w:val="24"/>
            </w:rPr>
            <w:t>234</w:t>
          </w:r>
          <w:r w:rsidRPr="000D3432">
            <w:rPr>
              <w:noProof/>
              <w:sz w:val="24"/>
              <w:szCs w:val="24"/>
            </w:rPr>
            <w:fldChar w:fldCharType="end"/>
          </w:r>
        </w:p>
        <w:p w14:paraId="2B5AEC46"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2.- Justificación del Derecho Tributario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_Toc318102863 \h </w:instrText>
          </w:r>
          <w:r w:rsidRPr="000D3432">
            <w:rPr>
              <w:noProof/>
              <w:sz w:val="24"/>
              <w:szCs w:val="24"/>
            </w:rPr>
          </w:r>
          <w:r w:rsidRPr="000D3432">
            <w:rPr>
              <w:noProof/>
              <w:sz w:val="24"/>
              <w:szCs w:val="24"/>
            </w:rPr>
            <w:fldChar w:fldCharType="separate"/>
          </w:r>
          <w:r w:rsidRPr="000D3432">
            <w:rPr>
              <w:noProof/>
              <w:sz w:val="24"/>
              <w:szCs w:val="24"/>
            </w:rPr>
            <w:t>235</w:t>
          </w:r>
          <w:r w:rsidRPr="000D3432">
            <w:rPr>
              <w:noProof/>
              <w:sz w:val="24"/>
              <w:szCs w:val="24"/>
            </w:rPr>
            <w:fldChar w:fldCharType="end"/>
          </w:r>
        </w:p>
        <w:p w14:paraId="5A270DCC"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3.- </w:t>
          </w:r>
          <w:r w:rsidRPr="000D3432">
            <w:rPr>
              <w:rFonts w:cs="Arial"/>
              <w:smallCaps/>
              <w:noProof/>
              <w:sz w:val="24"/>
              <w:szCs w:val="24"/>
              <w:lang w:val="es-ES_tradnl"/>
            </w:rPr>
            <w:t>El Derecho Tributario y la relación costo-beneficio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_Toc318102864 \h </w:instrText>
          </w:r>
          <w:r w:rsidRPr="000D3432">
            <w:rPr>
              <w:noProof/>
              <w:sz w:val="24"/>
              <w:szCs w:val="24"/>
            </w:rPr>
          </w:r>
          <w:r w:rsidRPr="000D3432">
            <w:rPr>
              <w:noProof/>
              <w:sz w:val="24"/>
              <w:szCs w:val="24"/>
            </w:rPr>
            <w:fldChar w:fldCharType="separate"/>
          </w:r>
          <w:r w:rsidRPr="000D3432">
            <w:rPr>
              <w:noProof/>
              <w:sz w:val="24"/>
              <w:szCs w:val="24"/>
            </w:rPr>
            <w:t>236</w:t>
          </w:r>
          <w:r w:rsidRPr="000D3432">
            <w:rPr>
              <w:noProof/>
              <w:sz w:val="24"/>
              <w:szCs w:val="24"/>
            </w:rPr>
            <w:fldChar w:fldCharType="end"/>
          </w:r>
        </w:p>
        <w:p w14:paraId="2749392E"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lastRenderedPageBreak/>
            <w:t>III. PODER O POTESTAD TRIBUTARIA</w:t>
          </w:r>
          <w:r w:rsidRPr="000D3432">
            <w:rPr>
              <w:noProof/>
            </w:rPr>
            <w:tab/>
          </w:r>
          <w:r w:rsidRPr="000D3432">
            <w:rPr>
              <w:noProof/>
            </w:rPr>
            <w:fldChar w:fldCharType="begin"/>
          </w:r>
          <w:r w:rsidRPr="000D3432">
            <w:rPr>
              <w:noProof/>
            </w:rPr>
            <w:instrText xml:space="preserve"> PAGEREF _Toc318102865 \h </w:instrText>
          </w:r>
          <w:r w:rsidRPr="000D3432">
            <w:rPr>
              <w:noProof/>
            </w:rPr>
          </w:r>
          <w:r w:rsidRPr="000D3432">
            <w:rPr>
              <w:noProof/>
            </w:rPr>
            <w:fldChar w:fldCharType="separate"/>
          </w:r>
          <w:r w:rsidRPr="000D3432">
            <w:rPr>
              <w:noProof/>
            </w:rPr>
            <w:t>238</w:t>
          </w:r>
          <w:r w:rsidRPr="000D3432">
            <w:rPr>
              <w:noProof/>
            </w:rPr>
            <w:fldChar w:fldCharType="end"/>
          </w:r>
        </w:p>
        <w:p w14:paraId="3F236D0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1.- El concepto de Poder o potestad tributaria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_Toc318102866 \h </w:instrText>
          </w:r>
          <w:r w:rsidRPr="000D3432">
            <w:rPr>
              <w:noProof/>
              <w:sz w:val="24"/>
              <w:szCs w:val="24"/>
            </w:rPr>
          </w:r>
          <w:r w:rsidRPr="000D3432">
            <w:rPr>
              <w:noProof/>
              <w:sz w:val="24"/>
              <w:szCs w:val="24"/>
            </w:rPr>
            <w:fldChar w:fldCharType="separate"/>
          </w:r>
          <w:r w:rsidRPr="000D3432">
            <w:rPr>
              <w:noProof/>
              <w:sz w:val="24"/>
              <w:szCs w:val="24"/>
            </w:rPr>
            <w:t>238</w:t>
          </w:r>
          <w:r w:rsidRPr="000D3432">
            <w:rPr>
              <w:noProof/>
              <w:sz w:val="24"/>
              <w:szCs w:val="24"/>
            </w:rPr>
            <w:fldChar w:fldCharType="end"/>
          </w:r>
        </w:p>
        <w:p w14:paraId="4D1AA525"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b w:val="0"/>
              <w:noProof/>
              <w:sz w:val="24"/>
              <w:szCs w:val="24"/>
              <w:lang w:val="es-ES_tradnl"/>
            </w:rPr>
            <w:t xml:space="preserve">2.- </w:t>
          </w:r>
          <w:r w:rsidRPr="000D3432">
            <w:rPr>
              <w:rFonts w:cs="Arial"/>
              <w:b w:val="0"/>
              <w:smallCaps/>
              <w:noProof/>
              <w:sz w:val="24"/>
              <w:szCs w:val="24"/>
              <w:lang w:val="es-ES_tradnl"/>
            </w:rPr>
            <w:t>Tipos De Potestad Tributaria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_Toc318102867 \h </w:instrText>
          </w:r>
          <w:r w:rsidRPr="000D3432">
            <w:rPr>
              <w:noProof/>
              <w:sz w:val="24"/>
              <w:szCs w:val="24"/>
            </w:rPr>
          </w:r>
          <w:r w:rsidRPr="000D3432">
            <w:rPr>
              <w:noProof/>
              <w:sz w:val="24"/>
              <w:szCs w:val="24"/>
            </w:rPr>
            <w:fldChar w:fldCharType="separate"/>
          </w:r>
          <w:r w:rsidRPr="000D3432">
            <w:rPr>
              <w:noProof/>
              <w:sz w:val="24"/>
              <w:szCs w:val="24"/>
            </w:rPr>
            <w:t>239</w:t>
          </w:r>
          <w:r w:rsidRPr="000D3432">
            <w:rPr>
              <w:noProof/>
              <w:sz w:val="24"/>
              <w:szCs w:val="24"/>
            </w:rPr>
            <w:fldChar w:fldCharType="end"/>
          </w:r>
        </w:p>
        <w:p w14:paraId="123E6319"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 xml:space="preserve">a) </w:t>
          </w:r>
          <w:r w:rsidRPr="000D3432">
            <w:rPr>
              <w:rFonts w:cs="Arial"/>
              <w:smallCaps/>
              <w:noProof/>
              <w:sz w:val="24"/>
              <w:szCs w:val="24"/>
            </w:rPr>
            <w:t>Potestad Tributaria Originaria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_Toc318102868 \h </w:instrText>
          </w:r>
          <w:r w:rsidRPr="000D3432">
            <w:rPr>
              <w:noProof/>
              <w:sz w:val="24"/>
              <w:szCs w:val="24"/>
            </w:rPr>
          </w:r>
          <w:r w:rsidRPr="000D3432">
            <w:rPr>
              <w:noProof/>
              <w:sz w:val="24"/>
              <w:szCs w:val="24"/>
            </w:rPr>
            <w:fldChar w:fldCharType="separate"/>
          </w:r>
          <w:r w:rsidRPr="000D3432">
            <w:rPr>
              <w:noProof/>
              <w:sz w:val="24"/>
              <w:szCs w:val="24"/>
            </w:rPr>
            <w:t>239</w:t>
          </w:r>
          <w:r w:rsidRPr="000D3432">
            <w:rPr>
              <w:noProof/>
              <w:sz w:val="24"/>
              <w:szCs w:val="24"/>
            </w:rPr>
            <w:fldChar w:fldCharType="end"/>
          </w:r>
        </w:p>
        <w:p w14:paraId="7E6C63B6"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b)</w:t>
          </w:r>
          <w:r w:rsidRPr="000D3432">
            <w:rPr>
              <w:rFonts w:cs="Arial"/>
              <w:smallCaps/>
              <w:noProof/>
              <w:sz w:val="24"/>
              <w:szCs w:val="24"/>
            </w:rPr>
            <w:t xml:space="preserve"> Potestad Tributaria Derivada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_Toc318102869 \h </w:instrText>
          </w:r>
          <w:r w:rsidRPr="000D3432">
            <w:rPr>
              <w:noProof/>
              <w:sz w:val="24"/>
              <w:szCs w:val="24"/>
            </w:rPr>
          </w:r>
          <w:r w:rsidRPr="000D3432">
            <w:rPr>
              <w:noProof/>
              <w:sz w:val="24"/>
              <w:szCs w:val="24"/>
            </w:rPr>
            <w:fldChar w:fldCharType="separate"/>
          </w:r>
          <w:r w:rsidRPr="000D3432">
            <w:rPr>
              <w:noProof/>
              <w:sz w:val="24"/>
              <w:szCs w:val="24"/>
            </w:rPr>
            <w:t>239</w:t>
          </w:r>
          <w:r w:rsidRPr="000D3432">
            <w:rPr>
              <w:noProof/>
              <w:sz w:val="24"/>
              <w:szCs w:val="24"/>
            </w:rPr>
            <w:fldChar w:fldCharType="end"/>
          </w:r>
        </w:p>
        <w:p w14:paraId="1F3A2EB6"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IV.- PRINCIPIOS DEL DERECHO TRIBUTARIO</w:t>
          </w:r>
          <w:r w:rsidRPr="000D3432">
            <w:rPr>
              <w:noProof/>
            </w:rPr>
            <w:tab/>
          </w:r>
          <w:r w:rsidRPr="000D3432">
            <w:rPr>
              <w:noProof/>
            </w:rPr>
            <w:fldChar w:fldCharType="begin"/>
          </w:r>
          <w:r w:rsidRPr="000D3432">
            <w:rPr>
              <w:noProof/>
            </w:rPr>
            <w:instrText xml:space="preserve"> PAGEREF _Toc318102870 \h </w:instrText>
          </w:r>
          <w:r w:rsidRPr="000D3432">
            <w:rPr>
              <w:noProof/>
            </w:rPr>
          </w:r>
          <w:r w:rsidRPr="000D3432">
            <w:rPr>
              <w:noProof/>
            </w:rPr>
            <w:fldChar w:fldCharType="separate"/>
          </w:r>
          <w:r w:rsidRPr="000D3432">
            <w:rPr>
              <w:noProof/>
            </w:rPr>
            <w:t>241</w:t>
          </w:r>
          <w:r w:rsidRPr="000D3432">
            <w:rPr>
              <w:noProof/>
            </w:rPr>
            <w:fldChar w:fldCharType="end"/>
          </w:r>
        </w:p>
        <w:p w14:paraId="161EBDAF"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1.- Principio de Legalidad:</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_Toc318102871 \h </w:instrText>
          </w:r>
          <w:r w:rsidRPr="000D3432">
            <w:rPr>
              <w:noProof/>
              <w:sz w:val="24"/>
              <w:szCs w:val="24"/>
            </w:rPr>
          </w:r>
          <w:r w:rsidRPr="000D3432">
            <w:rPr>
              <w:noProof/>
              <w:sz w:val="24"/>
              <w:szCs w:val="24"/>
            </w:rPr>
            <w:fldChar w:fldCharType="separate"/>
          </w:r>
          <w:r w:rsidRPr="000D3432">
            <w:rPr>
              <w:noProof/>
              <w:sz w:val="24"/>
              <w:szCs w:val="24"/>
            </w:rPr>
            <w:t>242</w:t>
          </w:r>
          <w:r w:rsidRPr="000D3432">
            <w:rPr>
              <w:noProof/>
              <w:sz w:val="24"/>
              <w:szCs w:val="24"/>
            </w:rPr>
            <w:fldChar w:fldCharType="end"/>
          </w:r>
        </w:p>
        <w:p w14:paraId="345F9394"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2.- Principio de Justicia: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_Toc318102872 \h </w:instrText>
          </w:r>
          <w:r w:rsidRPr="000D3432">
            <w:rPr>
              <w:noProof/>
              <w:sz w:val="24"/>
              <w:szCs w:val="24"/>
            </w:rPr>
          </w:r>
          <w:r w:rsidRPr="000D3432">
            <w:rPr>
              <w:noProof/>
              <w:sz w:val="24"/>
              <w:szCs w:val="24"/>
            </w:rPr>
            <w:fldChar w:fldCharType="separate"/>
          </w:r>
          <w:r w:rsidRPr="000D3432">
            <w:rPr>
              <w:noProof/>
              <w:sz w:val="24"/>
              <w:szCs w:val="24"/>
            </w:rPr>
            <w:t>243</w:t>
          </w:r>
          <w:r w:rsidRPr="000D3432">
            <w:rPr>
              <w:noProof/>
              <w:sz w:val="24"/>
              <w:szCs w:val="24"/>
            </w:rPr>
            <w:fldChar w:fldCharType="end"/>
          </w:r>
        </w:p>
        <w:p w14:paraId="51AD66A9"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3.- Principio de Uniformidad</w:t>
          </w:r>
          <w:r w:rsidRPr="000D3432">
            <w:rPr>
              <w:rFonts w:cs="Arial"/>
              <w:noProof/>
              <w:sz w:val="24"/>
              <w:szCs w:val="24"/>
              <w:lang w:val="es-ES_tradnl"/>
            </w:rPr>
            <w:t>:</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_Toc318102873 \h </w:instrText>
          </w:r>
          <w:r w:rsidRPr="000D3432">
            <w:rPr>
              <w:noProof/>
              <w:sz w:val="24"/>
              <w:szCs w:val="24"/>
            </w:rPr>
          </w:r>
          <w:r w:rsidRPr="000D3432">
            <w:rPr>
              <w:noProof/>
              <w:sz w:val="24"/>
              <w:szCs w:val="24"/>
            </w:rPr>
            <w:fldChar w:fldCharType="separate"/>
          </w:r>
          <w:r w:rsidRPr="000D3432">
            <w:rPr>
              <w:noProof/>
              <w:sz w:val="24"/>
              <w:szCs w:val="24"/>
            </w:rPr>
            <w:t>244</w:t>
          </w:r>
          <w:r w:rsidRPr="000D3432">
            <w:rPr>
              <w:noProof/>
              <w:sz w:val="24"/>
              <w:szCs w:val="24"/>
            </w:rPr>
            <w:fldChar w:fldCharType="end"/>
          </w:r>
        </w:p>
        <w:p w14:paraId="04484FB1"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4.- Principio de Publicidad</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_Toc318102874 \h </w:instrText>
          </w:r>
          <w:r w:rsidRPr="000D3432">
            <w:rPr>
              <w:noProof/>
              <w:sz w:val="24"/>
              <w:szCs w:val="24"/>
            </w:rPr>
          </w:r>
          <w:r w:rsidRPr="000D3432">
            <w:rPr>
              <w:noProof/>
              <w:sz w:val="24"/>
              <w:szCs w:val="24"/>
            </w:rPr>
            <w:fldChar w:fldCharType="separate"/>
          </w:r>
          <w:r w:rsidRPr="000D3432">
            <w:rPr>
              <w:noProof/>
              <w:sz w:val="24"/>
              <w:szCs w:val="24"/>
            </w:rPr>
            <w:t>245</w:t>
          </w:r>
          <w:r w:rsidRPr="000D3432">
            <w:rPr>
              <w:noProof/>
              <w:sz w:val="24"/>
              <w:szCs w:val="24"/>
            </w:rPr>
            <w:fldChar w:fldCharType="end"/>
          </w:r>
        </w:p>
        <w:p w14:paraId="6525FB29"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5.- Principio de Obligatoriedad</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_Toc318102875 \h </w:instrText>
          </w:r>
          <w:r w:rsidRPr="000D3432">
            <w:rPr>
              <w:noProof/>
              <w:sz w:val="24"/>
              <w:szCs w:val="24"/>
            </w:rPr>
          </w:r>
          <w:r w:rsidRPr="000D3432">
            <w:rPr>
              <w:noProof/>
              <w:sz w:val="24"/>
              <w:szCs w:val="24"/>
            </w:rPr>
            <w:fldChar w:fldCharType="separate"/>
          </w:r>
          <w:r w:rsidRPr="000D3432">
            <w:rPr>
              <w:noProof/>
              <w:sz w:val="24"/>
              <w:szCs w:val="24"/>
            </w:rPr>
            <w:t>246</w:t>
          </w:r>
          <w:r w:rsidRPr="000D3432">
            <w:rPr>
              <w:noProof/>
              <w:sz w:val="24"/>
              <w:szCs w:val="24"/>
            </w:rPr>
            <w:fldChar w:fldCharType="end"/>
          </w:r>
        </w:p>
        <w:p w14:paraId="7D214721"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6.- Principio de Certeza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_Toc318102876 \h </w:instrText>
          </w:r>
          <w:r w:rsidRPr="000D3432">
            <w:rPr>
              <w:noProof/>
              <w:sz w:val="24"/>
              <w:szCs w:val="24"/>
            </w:rPr>
          </w:r>
          <w:r w:rsidRPr="000D3432">
            <w:rPr>
              <w:noProof/>
              <w:sz w:val="24"/>
              <w:szCs w:val="24"/>
            </w:rPr>
            <w:fldChar w:fldCharType="separate"/>
          </w:r>
          <w:r w:rsidRPr="000D3432">
            <w:rPr>
              <w:noProof/>
              <w:sz w:val="24"/>
              <w:szCs w:val="24"/>
            </w:rPr>
            <w:t>247</w:t>
          </w:r>
          <w:r w:rsidRPr="000D3432">
            <w:rPr>
              <w:noProof/>
              <w:sz w:val="24"/>
              <w:szCs w:val="24"/>
            </w:rPr>
            <w:fldChar w:fldCharType="end"/>
          </w:r>
        </w:p>
        <w:p w14:paraId="00B2CB22"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smallCaps/>
              <w:noProof/>
              <w:sz w:val="24"/>
              <w:szCs w:val="24"/>
              <w:lang w:val="es-ES_tradnl"/>
            </w:rPr>
            <w:t>7.- Principio de Economía en la recaudación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_Toc318102877 \h </w:instrText>
          </w:r>
          <w:r w:rsidRPr="000D3432">
            <w:rPr>
              <w:noProof/>
              <w:sz w:val="24"/>
              <w:szCs w:val="24"/>
            </w:rPr>
          </w:r>
          <w:r w:rsidRPr="000D3432">
            <w:rPr>
              <w:noProof/>
              <w:sz w:val="24"/>
              <w:szCs w:val="24"/>
            </w:rPr>
            <w:fldChar w:fldCharType="separate"/>
          </w:r>
          <w:r w:rsidRPr="000D3432">
            <w:rPr>
              <w:noProof/>
              <w:sz w:val="24"/>
              <w:szCs w:val="24"/>
            </w:rPr>
            <w:t>247</w:t>
          </w:r>
          <w:r w:rsidRPr="000D3432">
            <w:rPr>
              <w:noProof/>
              <w:sz w:val="24"/>
              <w:szCs w:val="24"/>
            </w:rPr>
            <w:fldChar w:fldCharType="end"/>
          </w:r>
        </w:p>
        <w:p w14:paraId="66277A7E"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8.- </w:t>
          </w:r>
          <w:r w:rsidRPr="000D3432">
            <w:rPr>
              <w:rFonts w:cs="Arial"/>
              <w:smallCaps/>
              <w:noProof/>
              <w:sz w:val="24"/>
              <w:szCs w:val="24"/>
              <w:lang w:val="es-ES_tradnl"/>
            </w:rPr>
            <w:t>Principio de Igualdad</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_Toc318102878 \h </w:instrText>
          </w:r>
          <w:r w:rsidRPr="000D3432">
            <w:rPr>
              <w:noProof/>
              <w:sz w:val="24"/>
              <w:szCs w:val="24"/>
            </w:rPr>
          </w:r>
          <w:r w:rsidRPr="000D3432">
            <w:rPr>
              <w:noProof/>
              <w:sz w:val="24"/>
              <w:szCs w:val="24"/>
            </w:rPr>
            <w:fldChar w:fldCharType="separate"/>
          </w:r>
          <w:r w:rsidRPr="000D3432">
            <w:rPr>
              <w:noProof/>
              <w:sz w:val="24"/>
              <w:szCs w:val="24"/>
            </w:rPr>
            <w:t>248</w:t>
          </w:r>
          <w:r w:rsidRPr="000D3432">
            <w:rPr>
              <w:noProof/>
              <w:sz w:val="24"/>
              <w:szCs w:val="24"/>
            </w:rPr>
            <w:fldChar w:fldCharType="end"/>
          </w:r>
        </w:p>
        <w:p w14:paraId="139314E2"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9.- </w:t>
          </w:r>
          <w:r w:rsidRPr="000D3432">
            <w:rPr>
              <w:rFonts w:cs="Arial"/>
              <w:smallCaps/>
              <w:noProof/>
              <w:sz w:val="24"/>
              <w:szCs w:val="24"/>
              <w:lang w:val="es-ES_tradnl"/>
            </w:rPr>
            <w:t>Principio de no Confiscatoriedad</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_Toc318102879 \h </w:instrText>
          </w:r>
          <w:r w:rsidRPr="000D3432">
            <w:rPr>
              <w:noProof/>
              <w:sz w:val="24"/>
              <w:szCs w:val="24"/>
            </w:rPr>
          </w:r>
          <w:r w:rsidRPr="000D3432">
            <w:rPr>
              <w:noProof/>
              <w:sz w:val="24"/>
              <w:szCs w:val="24"/>
            </w:rPr>
            <w:fldChar w:fldCharType="separate"/>
          </w:r>
          <w:r w:rsidRPr="000D3432">
            <w:rPr>
              <w:noProof/>
              <w:sz w:val="24"/>
              <w:szCs w:val="24"/>
            </w:rPr>
            <w:t>248</w:t>
          </w:r>
          <w:r w:rsidRPr="000D3432">
            <w:rPr>
              <w:noProof/>
              <w:sz w:val="24"/>
              <w:szCs w:val="24"/>
            </w:rPr>
            <w:fldChar w:fldCharType="end"/>
          </w:r>
        </w:p>
        <w:p w14:paraId="0C94F0A1"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10.- </w:t>
          </w:r>
          <w:r w:rsidRPr="000D3432">
            <w:rPr>
              <w:rFonts w:cs="Arial"/>
              <w:smallCaps/>
              <w:noProof/>
              <w:sz w:val="24"/>
              <w:szCs w:val="24"/>
              <w:lang w:val="es-ES_tradnl"/>
            </w:rPr>
            <w:t>Principio de Capacidad Contributiva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_Toc318102880 \h </w:instrText>
          </w:r>
          <w:r w:rsidRPr="000D3432">
            <w:rPr>
              <w:noProof/>
              <w:sz w:val="24"/>
              <w:szCs w:val="24"/>
            </w:rPr>
          </w:r>
          <w:r w:rsidRPr="000D3432">
            <w:rPr>
              <w:noProof/>
              <w:sz w:val="24"/>
              <w:szCs w:val="24"/>
            </w:rPr>
            <w:fldChar w:fldCharType="separate"/>
          </w:r>
          <w:r w:rsidRPr="000D3432">
            <w:rPr>
              <w:noProof/>
              <w:sz w:val="24"/>
              <w:szCs w:val="24"/>
            </w:rPr>
            <w:t>249</w:t>
          </w:r>
          <w:r w:rsidRPr="000D3432">
            <w:rPr>
              <w:noProof/>
              <w:sz w:val="24"/>
              <w:szCs w:val="24"/>
            </w:rPr>
            <w:fldChar w:fldCharType="end"/>
          </w:r>
        </w:p>
        <w:p w14:paraId="48E011C0"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11.- </w:t>
          </w:r>
          <w:r w:rsidRPr="000D3432">
            <w:rPr>
              <w:rFonts w:cs="Arial"/>
              <w:smallCaps/>
              <w:noProof/>
              <w:sz w:val="24"/>
              <w:szCs w:val="24"/>
              <w:lang w:val="es-ES_tradnl"/>
            </w:rPr>
            <w:t>Principio de defensa de los derechos fundamentales de la persona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_Toc318102881 \h </w:instrText>
          </w:r>
          <w:r w:rsidRPr="000D3432">
            <w:rPr>
              <w:noProof/>
              <w:sz w:val="24"/>
              <w:szCs w:val="24"/>
            </w:rPr>
          </w:r>
          <w:r w:rsidRPr="000D3432">
            <w:rPr>
              <w:noProof/>
              <w:sz w:val="24"/>
              <w:szCs w:val="24"/>
            </w:rPr>
            <w:fldChar w:fldCharType="separate"/>
          </w:r>
          <w:r w:rsidRPr="000D3432">
            <w:rPr>
              <w:noProof/>
              <w:sz w:val="24"/>
              <w:szCs w:val="24"/>
            </w:rPr>
            <w:t>250</w:t>
          </w:r>
          <w:r w:rsidRPr="000D3432">
            <w:rPr>
              <w:noProof/>
              <w:sz w:val="24"/>
              <w:szCs w:val="24"/>
            </w:rPr>
            <w:fldChar w:fldCharType="end"/>
          </w:r>
        </w:p>
        <w:p w14:paraId="5715D49B"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V.- FUENTES DEL DERECHO TRIBUTARIO</w:t>
          </w:r>
          <w:r w:rsidRPr="000D3432">
            <w:rPr>
              <w:noProof/>
            </w:rPr>
            <w:tab/>
          </w:r>
          <w:r w:rsidRPr="000D3432">
            <w:rPr>
              <w:noProof/>
            </w:rPr>
            <w:fldChar w:fldCharType="begin"/>
          </w:r>
          <w:r w:rsidRPr="000D3432">
            <w:rPr>
              <w:noProof/>
            </w:rPr>
            <w:instrText xml:space="preserve"> PAGEREF _Toc318102882 \h </w:instrText>
          </w:r>
          <w:r w:rsidRPr="000D3432">
            <w:rPr>
              <w:noProof/>
            </w:rPr>
          </w:r>
          <w:r w:rsidRPr="000D3432">
            <w:rPr>
              <w:noProof/>
            </w:rPr>
            <w:fldChar w:fldCharType="separate"/>
          </w:r>
          <w:r w:rsidRPr="000D3432">
            <w:rPr>
              <w:noProof/>
            </w:rPr>
            <w:t>250</w:t>
          </w:r>
          <w:r w:rsidRPr="000D3432">
            <w:rPr>
              <w:noProof/>
            </w:rPr>
            <w:fldChar w:fldCharType="end"/>
          </w:r>
        </w:p>
        <w:p w14:paraId="7B8A20B0"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VI.- TRIBUTOS:</w:t>
          </w:r>
          <w:r w:rsidRPr="000D3432">
            <w:rPr>
              <w:noProof/>
            </w:rPr>
            <w:tab/>
          </w:r>
          <w:r w:rsidRPr="000D3432">
            <w:rPr>
              <w:noProof/>
            </w:rPr>
            <w:fldChar w:fldCharType="begin"/>
          </w:r>
          <w:r w:rsidRPr="000D3432">
            <w:rPr>
              <w:noProof/>
            </w:rPr>
            <w:instrText xml:space="preserve"> PAGEREF _Toc318102883 \h </w:instrText>
          </w:r>
          <w:r w:rsidRPr="000D3432">
            <w:rPr>
              <w:noProof/>
            </w:rPr>
          </w:r>
          <w:r w:rsidRPr="000D3432">
            <w:rPr>
              <w:noProof/>
            </w:rPr>
            <w:fldChar w:fldCharType="separate"/>
          </w:r>
          <w:r w:rsidRPr="000D3432">
            <w:rPr>
              <w:noProof/>
            </w:rPr>
            <w:t>250</w:t>
          </w:r>
          <w:r w:rsidRPr="000D3432">
            <w:rPr>
              <w:noProof/>
            </w:rPr>
            <w:fldChar w:fldCharType="end"/>
          </w:r>
        </w:p>
        <w:p w14:paraId="7D14ECBB"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1.- </w:t>
          </w:r>
          <w:r w:rsidRPr="000D3432">
            <w:rPr>
              <w:rFonts w:cs="Arial"/>
              <w:smallCaps/>
              <w:noProof/>
              <w:sz w:val="24"/>
              <w:szCs w:val="24"/>
              <w:lang w:val="es-ES_tradnl"/>
            </w:rPr>
            <w:t>El Tributo Como Costo Social</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_Toc318102884 \h </w:instrText>
          </w:r>
          <w:r w:rsidRPr="000D3432">
            <w:rPr>
              <w:noProof/>
              <w:sz w:val="24"/>
              <w:szCs w:val="24"/>
            </w:rPr>
          </w:r>
          <w:r w:rsidRPr="000D3432">
            <w:rPr>
              <w:noProof/>
              <w:sz w:val="24"/>
              <w:szCs w:val="24"/>
            </w:rPr>
            <w:fldChar w:fldCharType="separate"/>
          </w:r>
          <w:r w:rsidRPr="000D3432">
            <w:rPr>
              <w:noProof/>
              <w:sz w:val="24"/>
              <w:szCs w:val="24"/>
            </w:rPr>
            <w:t>252</w:t>
          </w:r>
          <w:r w:rsidRPr="000D3432">
            <w:rPr>
              <w:noProof/>
              <w:sz w:val="24"/>
              <w:szCs w:val="24"/>
            </w:rPr>
            <w:fldChar w:fldCharType="end"/>
          </w:r>
        </w:p>
        <w:p w14:paraId="26CAB83F"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2.- </w:t>
          </w:r>
          <w:r w:rsidRPr="000D3432">
            <w:rPr>
              <w:rFonts w:cs="Arial"/>
              <w:smallCaps/>
              <w:noProof/>
              <w:sz w:val="24"/>
              <w:szCs w:val="24"/>
              <w:lang w:val="es-ES_tradnl"/>
            </w:rPr>
            <w:t>El tributo como método de subordinación al ordenamiento jurídico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_Toc318102885 \h </w:instrText>
          </w:r>
          <w:r w:rsidRPr="000D3432">
            <w:rPr>
              <w:noProof/>
              <w:sz w:val="24"/>
              <w:szCs w:val="24"/>
            </w:rPr>
          </w:r>
          <w:r w:rsidRPr="000D3432">
            <w:rPr>
              <w:noProof/>
              <w:sz w:val="24"/>
              <w:szCs w:val="24"/>
            </w:rPr>
            <w:fldChar w:fldCharType="separate"/>
          </w:r>
          <w:r w:rsidRPr="000D3432">
            <w:rPr>
              <w:noProof/>
              <w:sz w:val="24"/>
              <w:szCs w:val="24"/>
            </w:rPr>
            <w:t>252</w:t>
          </w:r>
          <w:r w:rsidRPr="000D3432">
            <w:rPr>
              <w:noProof/>
              <w:sz w:val="24"/>
              <w:szCs w:val="24"/>
            </w:rPr>
            <w:fldChar w:fldCharType="end"/>
          </w:r>
        </w:p>
        <w:p w14:paraId="4A0B1B8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3.- </w:t>
          </w:r>
          <w:r w:rsidRPr="000D3432">
            <w:rPr>
              <w:rFonts w:cs="Arial"/>
              <w:smallCaps/>
              <w:noProof/>
              <w:sz w:val="24"/>
              <w:szCs w:val="24"/>
              <w:lang w:val="es-ES_tradnl"/>
            </w:rPr>
            <w:t>El tributo como precio del compromiso y del equilibrio del estado: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_Toc318102886 \h </w:instrText>
          </w:r>
          <w:r w:rsidRPr="000D3432">
            <w:rPr>
              <w:noProof/>
              <w:sz w:val="24"/>
              <w:szCs w:val="24"/>
            </w:rPr>
          </w:r>
          <w:r w:rsidRPr="000D3432">
            <w:rPr>
              <w:noProof/>
              <w:sz w:val="24"/>
              <w:szCs w:val="24"/>
            </w:rPr>
            <w:fldChar w:fldCharType="separate"/>
          </w:r>
          <w:r w:rsidRPr="000D3432">
            <w:rPr>
              <w:noProof/>
              <w:sz w:val="24"/>
              <w:szCs w:val="24"/>
            </w:rPr>
            <w:t>253</w:t>
          </w:r>
          <w:r w:rsidRPr="000D3432">
            <w:rPr>
              <w:noProof/>
              <w:sz w:val="24"/>
              <w:szCs w:val="24"/>
            </w:rPr>
            <w:fldChar w:fldCharType="end"/>
          </w:r>
        </w:p>
        <w:p w14:paraId="272C17A9"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4.- </w:t>
          </w:r>
          <w:r w:rsidRPr="000D3432">
            <w:rPr>
              <w:rFonts w:cs="Arial"/>
              <w:smallCaps/>
              <w:noProof/>
              <w:sz w:val="24"/>
              <w:szCs w:val="24"/>
              <w:lang w:val="es-ES_tradnl"/>
            </w:rPr>
            <w:t>Concepto del Tributo</w:t>
          </w:r>
          <w:r w:rsidRPr="000D3432">
            <w:rPr>
              <w:rFonts w:cs="Arial"/>
              <w:noProof/>
              <w:sz w:val="24"/>
              <w:szCs w:val="24"/>
              <w:lang w:val="es-ES_tradnl"/>
            </w:rPr>
            <w:t>:</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_Toc318102887 \h </w:instrText>
          </w:r>
          <w:r w:rsidRPr="000D3432">
            <w:rPr>
              <w:noProof/>
              <w:sz w:val="24"/>
              <w:szCs w:val="24"/>
            </w:rPr>
          </w:r>
          <w:r w:rsidRPr="000D3432">
            <w:rPr>
              <w:noProof/>
              <w:sz w:val="24"/>
              <w:szCs w:val="24"/>
            </w:rPr>
            <w:fldChar w:fldCharType="separate"/>
          </w:r>
          <w:r w:rsidRPr="000D3432">
            <w:rPr>
              <w:noProof/>
              <w:sz w:val="24"/>
              <w:szCs w:val="24"/>
            </w:rPr>
            <w:t>254</w:t>
          </w:r>
          <w:r w:rsidRPr="000D3432">
            <w:rPr>
              <w:noProof/>
              <w:sz w:val="24"/>
              <w:szCs w:val="24"/>
            </w:rPr>
            <w:fldChar w:fldCharType="end"/>
          </w:r>
        </w:p>
        <w:p w14:paraId="61946D6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lang w:val="es-ES_tradnl"/>
            </w:rPr>
            <w:t xml:space="preserve">5.- </w:t>
          </w:r>
          <w:r w:rsidRPr="000D3432">
            <w:rPr>
              <w:rFonts w:cs="Arial"/>
              <w:smallCaps/>
              <w:noProof/>
              <w:sz w:val="24"/>
              <w:szCs w:val="24"/>
              <w:lang w:val="es-ES_tradnl"/>
            </w:rPr>
            <w:t>Elementos del Tributo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_Toc318102888 \h </w:instrText>
          </w:r>
          <w:r w:rsidRPr="000D3432">
            <w:rPr>
              <w:noProof/>
              <w:sz w:val="24"/>
              <w:szCs w:val="24"/>
            </w:rPr>
          </w:r>
          <w:r w:rsidRPr="000D3432">
            <w:rPr>
              <w:noProof/>
              <w:sz w:val="24"/>
              <w:szCs w:val="24"/>
            </w:rPr>
            <w:fldChar w:fldCharType="separate"/>
          </w:r>
          <w:r w:rsidRPr="000D3432">
            <w:rPr>
              <w:noProof/>
              <w:sz w:val="24"/>
              <w:szCs w:val="24"/>
            </w:rPr>
            <w:t>256</w:t>
          </w:r>
          <w:r w:rsidRPr="000D3432">
            <w:rPr>
              <w:noProof/>
              <w:sz w:val="24"/>
              <w:szCs w:val="24"/>
            </w:rPr>
            <w:fldChar w:fldCharType="end"/>
          </w:r>
        </w:p>
        <w:p w14:paraId="163625C5"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A) Elementos del tributo según Geraldo Ataliba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_Toc318102889 \h </w:instrText>
          </w:r>
          <w:r w:rsidRPr="000D3432">
            <w:rPr>
              <w:noProof/>
              <w:sz w:val="24"/>
              <w:szCs w:val="24"/>
            </w:rPr>
          </w:r>
          <w:r w:rsidRPr="000D3432">
            <w:rPr>
              <w:noProof/>
              <w:sz w:val="24"/>
              <w:szCs w:val="24"/>
            </w:rPr>
            <w:fldChar w:fldCharType="separate"/>
          </w:r>
          <w:r w:rsidRPr="000D3432">
            <w:rPr>
              <w:noProof/>
              <w:sz w:val="24"/>
              <w:szCs w:val="24"/>
            </w:rPr>
            <w:t>256</w:t>
          </w:r>
          <w:r w:rsidRPr="000D3432">
            <w:rPr>
              <w:noProof/>
              <w:sz w:val="24"/>
              <w:szCs w:val="24"/>
            </w:rPr>
            <w:fldChar w:fldCharType="end"/>
          </w:r>
        </w:p>
        <w:p w14:paraId="3653BB20"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B) ELEMENTOS DEL TRIBUTO SEGÚN RUBIO Y BERNALES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_Toc318102890 \h </w:instrText>
          </w:r>
          <w:r w:rsidRPr="000D3432">
            <w:rPr>
              <w:noProof/>
              <w:sz w:val="24"/>
              <w:szCs w:val="24"/>
            </w:rPr>
          </w:r>
          <w:r w:rsidRPr="000D3432">
            <w:rPr>
              <w:noProof/>
              <w:sz w:val="24"/>
              <w:szCs w:val="24"/>
            </w:rPr>
            <w:fldChar w:fldCharType="separate"/>
          </w:r>
          <w:r w:rsidRPr="000D3432">
            <w:rPr>
              <w:noProof/>
              <w:sz w:val="24"/>
              <w:szCs w:val="24"/>
            </w:rPr>
            <w:t>258</w:t>
          </w:r>
          <w:r w:rsidRPr="000D3432">
            <w:rPr>
              <w:noProof/>
              <w:sz w:val="24"/>
              <w:szCs w:val="24"/>
            </w:rPr>
            <w:fldChar w:fldCharType="end"/>
          </w:r>
        </w:p>
        <w:p w14:paraId="453E9C2F"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 xml:space="preserve">6.- </w:t>
          </w:r>
          <w:r w:rsidRPr="000D3432">
            <w:rPr>
              <w:rFonts w:cs="Arial"/>
              <w:smallCaps/>
              <w:noProof/>
              <w:sz w:val="24"/>
              <w:szCs w:val="24"/>
            </w:rPr>
            <w:t>Clasificación de los Tributos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_Toc318102891 \h </w:instrText>
          </w:r>
          <w:r w:rsidRPr="000D3432">
            <w:rPr>
              <w:noProof/>
              <w:sz w:val="24"/>
              <w:szCs w:val="24"/>
            </w:rPr>
          </w:r>
          <w:r w:rsidRPr="000D3432">
            <w:rPr>
              <w:noProof/>
              <w:sz w:val="24"/>
              <w:szCs w:val="24"/>
            </w:rPr>
            <w:fldChar w:fldCharType="separate"/>
          </w:r>
          <w:r w:rsidRPr="000D3432">
            <w:rPr>
              <w:noProof/>
              <w:sz w:val="24"/>
              <w:szCs w:val="24"/>
            </w:rPr>
            <w:t>260</w:t>
          </w:r>
          <w:r w:rsidRPr="000D3432">
            <w:rPr>
              <w:noProof/>
              <w:sz w:val="24"/>
              <w:szCs w:val="24"/>
            </w:rPr>
            <w:fldChar w:fldCharType="end"/>
          </w:r>
        </w:p>
        <w:p w14:paraId="0DFA7D96"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VII.- NACIMIENTO DE LA OBLIGACIÓN TRIBUTARIA</w:t>
          </w:r>
          <w:r w:rsidRPr="000D3432">
            <w:rPr>
              <w:noProof/>
            </w:rPr>
            <w:tab/>
          </w:r>
          <w:r w:rsidRPr="000D3432">
            <w:rPr>
              <w:noProof/>
            </w:rPr>
            <w:fldChar w:fldCharType="begin"/>
          </w:r>
          <w:r w:rsidRPr="000D3432">
            <w:rPr>
              <w:noProof/>
            </w:rPr>
            <w:instrText xml:space="preserve"> PAGEREF _Toc318102892 \h </w:instrText>
          </w:r>
          <w:r w:rsidRPr="000D3432">
            <w:rPr>
              <w:noProof/>
            </w:rPr>
          </w:r>
          <w:r w:rsidRPr="000D3432">
            <w:rPr>
              <w:noProof/>
            </w:rPr>
            <w:fldChar w:fldCharType="separate"/>
          </w:r>
          <w:r w:rsidRPr="000D3432">
            <w:rPr>
              <w:noProof/>
            </w:rPr>
            <w:t>263</w:t>
          </w:r>
          <w:r w:rsidRPr="000D3432">
            <w:rPr>
              <w:noProof/>
            </w:rPr>
            <w:fldChar w:fldCharType="end"/>
          </w:r>
        </w:p>
        <w:p w14:paraId="5DB0940B"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VIII.- SUJETOS DE LA RELACIÓN JURÍDICA TRIBUTARIA</w:t>
          </w:r>
          <w:r w:rsidRPr="000D3432">
            <w:rPr>
              <w:noProof/>
            </w:rPr>
            <w:tab/>
          </w:r>
          <w:r w:rsidRPr="000D3432">
            <w:rPr>
              <w:noProof/>
            </w:rPr>
            <w:fldChar w:fldCharType="begin"/>
          </w:r>
          <w:r w:rsidRPr="000D3432">
            <w:rPr>
              <w:noProof/>
            </w:rPr>
            <w:instrText xml:space="preserve"> PAGEREF _Toc318102893 \h </w:instrText>
          </w:r>
          <w:r w:rsidRPr="000D3432">
            <w:rPr>
              <w:noProof/>
            </w:rPr>
          </w:r>
          <w:r w:rsidRPr="000D3432">
            <w:rPr>
              <w:noProof/>
            </w:rPr>
            <w:fldChar w:fldCharType="separate"/>
          </w:r>
          <w:r w:rsidRPr="000D3432">
            <w:rPr>
              <w:noProof/>
            </w:rPr>
            <w:t>264</w:t>
          </w:r>
          <w:r w:rsidRPr="000D3432">
            <w:rPr>
              <w:noProof/>
            </w:rPr>
            <w:fldChar w:fldCharType="end"/>
          </w:r>
        </w:p>
        <w:p w14:paraId="5A2C5ECF"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IX.- EXTINCIÓN DE LA OBLIGACIÓN TRIBUTARIA</w:t>
          </w:r>
          <w:r w:rsidRPr="000D3432">
            <w:rPr>
              <w:noProof/>
            </w:rPr>
            <w:tab/>
          </w:r>
          <w:r w:rsidRPr="000D3432">
            <w:rPr>
              <w:noProof/>
            </w:rPr>
            <w:fldChar w:fldCharType="begin"/>
          </w:r>
          <w:r w:rsidRPr="000D3432">
            <w:rPr>
              <w:noProof/>
            </w:rPr>
            <w:instrText xml:space="preserve"> PAGEREF _Toc318102894 \h </w:instrText>
          </w:r>
          <w:r w:rsidRPr="000D3432">
            <w:rPr>
              <w:noProof/>
            </w:rPr>
          </w:r>
          <w:r w:rsidRPr="000D3432">
            <w:rPr>
              <w:noProof/>
            </w:rPr>
            <w:fldChar w:fldCharType="separate"/>
          </w:r>
          <w:r w:rsidRPr="000D3432">
            <w:rPr>
              <w:noProof/>
            </w:rPr>
            <w:t>264</w:t>
          </w:r>
          <w:r w:rsidRPr="000D3432">
            <w:rPr>
              <w:noProof/>
            </w:rPr>
            <w:fldChar w:fldCharType="end"/>
          </w:r>
        </w:p>
        <w:p w14:paraId="733E0BDB"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X.- PROCESOS TRIBUTARIOS</w:t>
          </w:r>
          <w:r w:rsidRPr="000D3432">
            <w:rPr>
              <w:noProof/>
            </w:rPr>
            <w:tab/>
          </w:r>
          <w:r w:rsidRPr="000D3432">
            <w:rPr>
              <w:noProof/>
            </w:rPr>
            <w:fldChar w:fldCharType="begin"/>
          </w:r>
          <w:r w:rsidRPr="000D3432">
            <w:rPr>
              <w:noProof/>
            </w:rPr>
            <w:instrText xml:space="preserve"> PAGEREF _Toc318102895 \h </w:instrText>
          </w:r>
          <w:r w:rsidRPr="000D3432">
            <w:rPr>
              <w:noProof/>
            </w:rPr>
          </w:r>
          <w:r w:rsidRPr="000D3432">
            <w:rPr>
              <w:noProof/>
            </w:rPr>
            <w:fldChar w:fldCharType="separate"/>
          </w:r>
          <w:r w:rsidRPr="000D3432">
            <w:rPr>
              <w:noProof/>
            </w:rPr>
            <w:t>264</w:t>
          </w:r>
          <w:r w:rsidRPr="000D3432">
            <w:rPr>
              <w:noProof/>
            </w:rPr>
            <w:fldChar w:fldCharType="end"/>
          </w:r>
        </w:p>
        <w:p w14:paraId="2E59B68A"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XI.- DERECHO TRIBUTARIO CONSTITUCIONAL</w:t>
          </w:r>
          <w:r w:rsidRPr="000D3432">
            <w:rPr>
              <w:noProof/>
            </w:rPr>
            <w:tab/>
          </w:r>
          <w:r w:rsidRPr="000D3432">
            <w:rPr>
              <w:noProof/>
            </w:rPr>
            <w:fldChar w:fldCharType="begin"/>
          </w:r>
          <w:r w:rsidRPr="000D3432">
            <w:rPr>
              <w:noProof/>
            </w:rPr>
            <w:instrText xml:space="preserve"> PAGEREF _Toc318102896 \h </w:instrText>
          </w:r>
          <w:r w:rsidRPr="000D3432">
            <w:rPr>
              <w:noProof/>
            </w:rPr>
          </w:r>
          <w:r w:rsidRPr="000D3432">
            <w:rPr>
              <w:noProof/>
            </w:rPr>
            <w:fldChar w:fldCharType="separate"/>
          </w:r>
          <w:r w:rsidRPr="000D3432">
            <w:rPr>
              <w:noProof/>
            </w:rPr>
            <w:t>265</w:t>
          </w:r>
          <w:r w:rsidRPr="000D3432">
            <w:rPr>
              <w:noProof/>
            </w:rPr>
            <w:fldChar w:fldCharType="end"/>
          </w:r>
        </w:p>
        <w:p w14:paraId="42BC87DA"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XII.- Algunas ideas finales sobre el Derecho Tributario</w:t>
          </w:r>
          <w:r w:rsidRPr="000D3432">
            <w:rPr>
              <w:noProof/>
            </w:rPr>
            <w:tab/>
          </w:r>
          <w:r w:rsidRPr="000D3432">
            <w:rPr>
              <w:noProof/>
            </w:rPr>
            <w:fldChar w:fldCharType="begin"/>
          </w:r>
          <w:r w:rsidRPr="000D3432">
            <w:rPr>
              <w:noProof/>
            </w:rPr>
            <w:instrText xml:space="preserve"> PAGEREF _Toc318102897 \h </w:instrText>
          </w:r>
          <w:r w:rsidRPr="000D3432">
            <w:rPr>
              <w:noProof/>
            </w:rPr>
          </w:r>
          <w:r w:rsidRPr="000D3432">
            <w:rPr>
              <w:noProof/>
            </w:rPr>
            <w:fldChar w:fldCharType="separate"/>
          </w:r>
          <w:r w:rsidRPr="000D3432">
            <w:rPr>
              <w:noProof/>
            </w:rPr>
            <w:t>266</w:t>
          </w:r>
          <w:r w:rsidRPr="000D3432">
            <w:rPr>
              <w:noProof/>
            </w:rPr>
            <w:fldChar w:fldCharType="end"/>
          </w:r>
        </w:p>
        <w:p w14:paraId="55B4871E"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6.1.- La gestación del Estado Moderno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_Toc318102898 \h </w:instrText>
          </w:r>
          <w:r w:rsidRPr="000D3432">
            <w:rPr>
              <w:noProof/>
              <w:sz w:val="24"/>
              <w:szCs w:val="24"/>
            </w:rPr>
          </w:r>
          <w:r w:rsidRPr="000D3432">
            <w:rPr>
              <w:noProof/>
              <w:sz w:val="24"/>
              <w:szCs w:val="24"/>
            </w:rPr>
            <w:fldChar w:fldCharType="separate"/>
          </w:r>
          <w:r w:rsidRPr="000D3432">
            <w:rPr>
              <w:noProof/>
              <w:sz w:val="24"/>
              <w:szCs w:val="24"/>
            </w:rPr>
            <w:t>297</w:t>
          </w:r>
          <w:r w:rsidRPr="000D3432">
            <w:rPr>
              <w:noProof/>
              <w:sz w:val="24"/>
              <w:szCs w:val="24"/>
            </w:rPr>
            <w:fldChar w:fldCharType="end"/>
          </w:r>
        </w:p>
        <w:p w14:paraId="09B06A56"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u w:val="single"/>
            </w:rPr>
            <w:t>CITAS TRIBUTARIOS</w:t>
          </w:r>
          <w:r w:rsidRPr="000D3432">
            <w:rPr>
              <w:noProof/>
            </w:rPr>
            <w:tab/>
          </w:r>
          <w:r w:rsidRPr="000D3432">
            <w:rPr>
              <w:noProof/>
            </w:rPr>
            <w:fldChar w:fldCharType="begin"/>
          </w:r>
          <w:r w:rsidRPr="000D3432">
            <w:rPr>
              <w:noProof/>
            </w:rPr>
            <w:instrText xml:space="preserve"> PAGEREF _Toc318102899 \h </w:instrText>
          </w:r>
          <w:r w:rsidRPr="000D3432">
            <w:rPr>
              <w:noProof/>
            </w:rPr>
          </w:r>
          <w:r w:rsidRPr="000D3432">
            <w:rPr>
              <w:noProof/>
            </w:rPr>
            <w:fldChar w:fldCharType="separate"/>
          </w:r>
          <w:r w:rsidRPr="000D3432">
            <w:rPr>
              <w:noProof/>
            </w:rPr>
            <w:t>303</w:t>
          </w:r>
          <w:r w:rsidRPr="000D3432">
            <w:rPr>
              <w:noProof/>
            </w:rPr>
            <w:fldChar w:fldCharType="end"/>
          </w:r>
        </w:p>
        <w:p w14:paraId="4FEC0FF3"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u w:val="single"/>
            </w:rPr>
            <w:t>ESQUEMA JURÍDICO DE LOS TRIBUTOS</w:t>
          </w:r>
          <w:r w:rsidRPr="000D3432">
            <w:rPr>
              <w:noProof/>
            </w:rPr>
            <w:tab/>
          </w:r>
          <w:r w:rsidRPr="000D3432">
            <w:rPr>
              <w:noProof/>
            </w:rPr>
            <w:fldChar w:fldCharType="begin"/>
          </w:r>
          <w:r w:rsidRPr="000D3432">
            <w:rPr>
              <w:noProof/>
            </w:rPr>
            <w:instrText xml:space="preserve"> PAGEREF _Toc318102900 \h </w:instrText>
          </w:r>
          <w:r w:rsidRPr="000D3432">
            <w:rPr>
              <w:noProof/>
            </w:rPr>
          </w:r>
          <w:r w:rsidRPr="000D3432">
            <w:rPr>
              <w:noProof/>
            </w:rPr>
            <w:fldChar w:fldCharType="separate"/>
          </w:r>
          <w:r w:rsidRPr="000D3432">
            <w:rPr>
              <w:noProof/>
            </w:rPr>
            <w:t>308</w:t>
          </w:r>
          <w:r w:rsidRPr="000D3432">
            <w:rPr>
              <w:noProof/>
            </w:rPr>
            <w:fldChar w:fldCharType="end"/>
          </w:r>
        </w:p>
        <w:p w14:paraId="2E2CCBA6"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ADMINISTRACIÓN TRIBUTARIA</w:t>
          </w:r>
          <w:r w:rsidRPr="000D3432">
            <w:rPr>
              <w:noProof/>
            </w:rPr>
            <w:tab/>
          </w:r>
          <w:r w:rsidRPr="000D3432">
            <w:rPr>
              <w:noProof/>
            </w:rPr>
            <w:fldChar w:fldCharType="begin"/>
          </w:r>
          <w:r w:rsidRPr="000D3432">
            <w:rPr>
              <w:noProof/>
            </w:rPr>
            <w:instrText xml:space="preserve"> PAGEREF _Toc318102901 \h </w:instrText>
          </w:r>
          <w:r w:rsidRPr="000D3432">
            <w:rPr>
              <w:noProof/>
            </w:rPr>
          </w:r>
          <w:r w:rsidRPr="000D3432">
            <w:rPr>
              <w:noProof/>
            </w:rPr>
            <w:fldChar w:fldCharType="separate"/>
          </w:r>
          <w:r w:rsidRPr="000D3432">
            <w:rPr>
              <w:noProof/>
            </w:rPr>
            <w:t>311</w:t>
          </w:r>
          <w:r w:rsidRPr="000D3432">
            <w:rPr>
              <w:noProof/>
            </w:rPr>
            <w:fldChar w:fldCharType="end"/>
          </w:r>
        </w:p>
        <w:p w14:paraId="078D6824"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LA SUNAT</w:t>
          </w:r>
          <w:r w:rsidRPr="000D3432">
            <w:rPr>
              <w:noProof/>
            </w:rPr>
            <w:tab/>
          </w:r>
          <w:r w:rsidRPr="000D3432">
            <w:rPr>
              <w:noProof/>
            </w:rPr>
            <w:fldChar w:fldCharType="begin"/>
          </w:r>
          <w:r w:rsidRPr="000D3432">
            <w:rPr>
              <w:noProof/>
            </w:rPr>
            <w:instrText xml:space="preserve"> PAGEREF _Toc318102902 \h </w:instrText>
          </w:r>
          <w:r w:rsidRPr="000D3432">
            <w:rPr>
              <w:noProof/>
            </w:rPr>
          </w:r>
          <w:r w:rsidRPr="000D3432">
            <w:rPr>
              <w:noProof/>
            </w:rPr>
            <w:fldChar w:fldCharType="separate"/>
          </w:r>
          <w:r w:rsidRPr="000D3432">
            <w:rPr>
              <w:noProof/>
            </w:rPr>
            <w:t>311</w:t>
          </w:r>
          <w:r w:rsidRPr="000D3432">
            <w:rPr>
              <w:noProof/>
            </w:rPr>
            <w:fldChar w:fldCharType="end"/>
          </w:r>
        </w:p>
        <w:p w14:paraId="56E0CF78"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lastRenderedPageBreak/>
            <w:t>GOBIERNOS LOCALES. Tributos que administra</w:t>
          </w:r>
          <w:r w:rsidRPr="000D3432">
            <w:rPr>
              <w:noProof/>
            </w:rPr>
            <w:tab/>
          </w:r>
          <w:r w:rsidRPr="000D3432">
            <w:rPr>
              <w:noProof/>
            </w:rPr>
            <w:fldChar w:fldCharType="begin"/>
          </w:r>
          <w:r w:rsidRPr="000D3432">
            <w:rPr>
              <w:noProof/>
            </w:rPr>
            <w:instrText xml:space="preserve"> PAGEREF _Toc318102903 \h </w:instrText>
          </w:r>
          <w:r w:rsidRPr="000D3432">
            <w:rPr>
              <w:noProof/>
            </w:rPr>
          </w:r>
          <w:r w:rsidRPr="000D3432">
            <w:rPr>
              <w:noProof/>
            </w:rPr>
            <w:fldChar w:fldCharType="separate"/>
          </w:r>
          <w:r w:rsidRPr="000D3432">
            <w:rPr>
              <w:noProof/>
            </w:rPr>
            <w:t>311</w:t>
          </w:r>
          <w:r w:rsidRPr="000D3432">
            <w:rPr>
              <w:noProof/>
            </w:rPr>
            <w:fldChar w:fldCharType="end"/>
          </w:r>
        </w:p>
        <w:p w14:paraId="098416BF"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noProof/>
            </w:rPr>
            <w:t>II.- MEDIDAS CAUTELARES CONCEPTO:</w:t>
          </w:r>
          <w:r w:rsidRPr="000D3432">
            <w:rPr>
              <w:noProof/>
            </w:rPr>
            <w:tab/>
          </w:r>
          <w:r w:rsidRPr="000D3432">
            <w:rPr>
              <w:noProof/>
            </w:rPr>
            <w:fldChar w:fldCharType="begin"/>
          </w:r>
          <w:r w:rsidRPr="000D3432">
            <w:rPr>
              <w:noProof/>
            </w:rPr>
            <w:instrText xml:space="preserve"> PAGEREF _Toc318102904 \h </w:instrText>
          </w:r>
          <w:r w:rsidRPr="000D3432">
            <w:rPr>
              <w:noProof/>
            </w:rPr>
          </w:r>
          <w:r w:rsidRPr="000D3432">
            <w:rPr>
              <w:noProof/>
            </w:rPr>
            <w:fldChar w:fldCharType="separate"/>
          </w:r>
          <w:r w:rsidRPr="000D3432">
            <w:rPr>
              <w:noProof/>
            </w:rPr>
            <w:t>315</w:t>
          </w:r>
          <w:r w:rsidRPr="000D3432">
            <w:rPr>
              <w:noProof/>
            </w:rPr>
            <w:fldChar w:fldCharType="end"/>
          </w:r>
        </w:p>
        <w:p w14:paraId="2B69634C"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rFonts w:cs="Arial"/>
              <w:noProof/>
              <w:sz w:val="24"/>
              <w:szCs w:val="24"/>
            </w:rPr>
            <w:t>II.1.- EL EMBARGO EN LA COBRANZA COACTIVA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_Toc318102905 \h </w:instrText>
          </w:r>
          <w:r w:rsidRPr="000D3432">
            <w:rPr>
              <w:noProof/>
              <w:sz w:val="24"/>
              <w:szCs w:val="24"/>
            </w:rPr>
          </w:r>
          <w:r w:rsidRPr="000D3432">
            <w:rPr>
              <w:noProof/>
              <w:sz w:val="24"/>
              <w:szCs w:val="24"/>
            </w:rPr>
            <w:fldChar w:fldCharType="separate"/>
          </w:r>
          <w:r w:rsidRPr="000D3432">
            <w:rPr>
              <w:noProof/>
              <w:sz w:val="24"/>
              <w:szCs w:val="24"/>
            </w:rPr>
            <w:t>319</w:t>
          </w:r>
          <w:r w:rsidRPr="000D3432">
            <w:rPr>
              <w:noProof/>
              <w:sz w:val="24"/>
              <w:szCs w:val="24"/>
            </w:rPr>
            <w:fldChar w:fldCharType="end"/>
          </w:r>
        </w:p>
        <w:p w14:paraId="05132026"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EMBARGO EN FORMA DE INSCRIPCIÓN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_Toc318102906 \h </w:instrText>
          </w:r>
          <w:r w:rsidRPr="000D3432">
            <w:rPr>
              <w:noProof/>
              <w:sz w:val="24"/>
              <w:szCs w:val="24"/>
            </w:rPr>
          </w:r>
          <w:r w:rsidRPr="000D3432">
            <w:rPr>
              <w:noProof/>
              <w:sz w:val="24"/>
              <w:szCs w:val="24"/>
            </w:rPr>
            <w:fldChar w:fldCharType="separate"/>
          </w:r>
          <w:r w:rsidRPr="000D3432">
            <w:rPr>
              <w:noProof/>
              <w:sz w:val="24"/>
              <w:szCs w:val="24"/>
            </w:rPr>
            <w:t>333</w:t>
          </w:r>
          <w:r w:rsidRPr="000D3432">
            <w:rPr>
              <w:noProof/>
              <w:sz w:val="24"/>
              <w:szCs w:val="24"/>
            </w:rPr>
            <w:fldChar w:fldCharType="end"/>
          </w:r>
        </w:p>
        <w:p w14:paraId="49C4F47F"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sz w:val="24"/>
              <w:szCs w:val="24"/>
            </w:rPr>
            <w:t>EMBARGO EN FORMA DE RETENCIÓN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_Toc318102907 \h </w:instrText>
          </w:r>
          <w:r w:rsidRPr="000D3432">
            <w:rPr>
              <w:noProof/>
              <w:sz w:val="24"/>
              <w:szCs w:val="24"/>
            </w:rPr>
          </w:r>
          <w:r w:rsidRPr="000D3432">
            <w:rPr>
              <w:noProof/>
              <w:sz w:val="24"/>
              <w:szCs w:val="24"/>
            </w:rPr>
            <w:fldChar w:fldCharType="separate"/>
          </w:r>
          <w:r w:rsidRPr="000D3432">
            <w:rPr>
              <w:noProof/>
              <w:sz w:val="24"/>
              <w:szCs w:val="24"/>
            </w:rPr>
            <w:t>334</w:t>
          </w:r>
          <w:r w:rsidRPr="000D3432">
            <w:rPr>
              <w:noProof/>
              <w:sz w:val="24"/>
              <w:szCs w:val="24"/>
            </w:rPr>
            <w:fldChar w:fldCharType="end"/>
          </w:r>
        </w:p>
        <w:p w14:paraId="23E489CD"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lang w:val="es-ES_tradnl"/>
            </w:rPr>
            <w:t>1.- DERECHO DEL TRABAJO</w:t>
          </w:r>
          <w:r w:rsidRPr="000D3432">
            <w:rPr>
              <w:noProof/>
            </w:rPr>
            <w:tab/>
          </w:r>
          <w:r w:rsidRPr="000D3432">
            <w:rPr>
              <w:noProof/>
            </w:rPr>
            <w:fldChar w:fldCharType="begin"/>
          </w:r>
          <w:r w:rsidRPr="000D3432">
            <w:rPr>
              <w:noProof/>
            </w:rPr>
            <w:instrText xml:space="preserve"> PAGEREF _Toc318102908 \h </w:instrText>
          </w:r>
          <w:r w:rsidRPr="000D3432">
            <w:rPr>
              <w:noProof/>
            </w:rPr>
          </w:r>
          <w:r w:rsidRPr="000D3432">
            <w:rPr>
              <w:noProof/>
            </w:rPr>
            <w:fldChar w:fldCharType="separate"/>
          </w:r>
          <w:r w:rsidRPr="000D3432">
            <w:rPr>
              <w:noProof/>
            </w:rPr>
            <w:t>342</w:t>
          </w:r>
          <w:r w:rsidRPr="000D3432">
            <w:rPr>
              <w:noProof/>
            </w:rPr>
            <w:fldChar w:fldCharType="end"/>
          </w:r>
        </w:p>
        <w:p w14:paraId="118732E6"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color w:val="003300"/>
              <w:lang w:val="es-ES_tradnl"/>
            </w:rPr>
            <w:t>El concepto mismo de Derecho laboral implica dos definiciones:</w:t>
          </w:r>
          <w:r w:rsidRPr="000D3432">
            <w:rPr>
              <w:noProof/>
            </w:rPr>
            <w:tab/>
          </w:r>
          <w:r w:rsidRPr="000D3432">
            <w:rPr>
              <w:noProof/>
            </w:rPr>
            <w:fldChar w:fldCharType="begin"/>
          </w:r>
          <w:r w:rsidRPr="000D3432">
            <w:rPr>
              <w:noProof/>
            </w:rPr>
            <w:instrText xml:space="preserve"> PAGEREF _Toc318102909 \h </w:instrText>
          </w:r>
          <w:r w:rsidRPr="000D3432">
            <w:rPr>
              <w:noProof/>
            </w:rPr>
          </w:r>
          <w:r w:rsidRPr="000D3432">
            <w:rPr>
              <w:noProof/>
            </w:rPr>
            <w:fldChar w:fldCharType="separate"/>
          </w:r>
          <w:r w:rsidRPr="000D3432">
            <w:rPr>
              <w:noProof/>
            </w:rPr>
            <w:t>344</w:t>
          </w:r>
          <w:r w:rsidRPr="000D3432">
            <w:rPr>
              <w:noProof/>
            </w:rPr>
            <w:fldChar w:fldCharType="end"/>
          </w:r>
        </w:p>
        <w:p w14:paraId="0AB86897" w14:textId="77777777" w:rsidR="00F95A20" w:rsidRPr="000D3432" w:rsidRDefault="00F95A20">
          <w:pPr>
            <w:pStyle w:val="TDC1"/>
            <w:tabs>
              <w:tab w:val="left" w:pos="320"/>
              <w:tab w:val="right" w:leader="dot" w:pos="8209"/>
            </w:tabs>
            <w:rPr>
              <w:rFonts w:eastAsiaTheme="minorEastAsia"/>
              <w:b w:val="0"/>
              <w:noProof/>
              <w:lang w:val="es-ES_tradnl" w:eastAsia="ja-JP"/>
            </w:rPr>
          </w:pPr>
          <w:r w:rsidRPr="000D3432">
            <w:rPr>
              <w:b w:val="0"/>
              <w:noProof/>
              <w:color w:val="003300"/>
              <w:lang w:val="es-ES_tradnl"/>
            </w:rPr>
            <w:t>-</w:t>
          </w:r>
          <w:r w:rsidRPr="000D3432">
            <w:rPr>
              <w:rFonts w:eastAsiaTheme="minorEastAsia"/>
              <w:b w:val="0"/>
              <w:noProof/>
              <w:lang w:val="es-ES_tradnl" w:eastAsia="ja-JP"/>
            </w:rPr>
            <w:tab/>
          </w:r>
          <w:r w:rsidRPr="000D3432">
            <w:rPr>
              <w:b w:val="0"/>
              <w:noProof/>
              <w:color w:val="003300"/>
              <w:lang w:val="es-ES_tradnl"/>
            </w:rPr>
            <w:t>El Derecho, y</w:t>
          </w:r>
          <w:r w:rsidRPr="000D3432">
            <w:rPr>
              <w:noProof/>
            </w:rPr>
            <w:tab/>
          </w:r>
          <w:r w:rsidRPr="000D3432">
            <w:rPr>
              <w:noProof/>
            </w:rPr>
            <w:fldChar w:fldCharType="begin"/>
          </w:r>
          <w:r w:rsidRPr="000D3432">
            <w:rPr>
              <w:noProof/>
            </w:rPr>
            <w:instrText xml:space="preserve"> PAGEREF _Toc318102910 \h </w:instrText>
          </w:r>
          <w:r w:rsidRPr="000D3432">
            <w:rPr>
              <w:noProof/>
            </w:rPr>
          </w:r>
          <w:r w:rsidRPr="000D3432">
            <w:rPr>
              <w:noProof/>
            </w:rPr>
            <w:fldChar w:fldCharType="separate"/>
          </w:r>
          <w:r w:rsidRPr="000D3432">
            <w:rPr>
              <w:noProof/>
            </w:rPr>
            <w:t>344</w:t>
          </w:r>
          <w:r w:rsidRPr="000D3432">
            <w:rPr>
              <w:noProof/>
            </w:rPr>
            <w:fldChar w:fldCharType="end"/>
          </w:r>
        </w:p>
        <w:p w14:paraId="5F9123D3" w14:textId="77777777" w:rsidR="00F95A20" w:rsidRPr="000D3432" w:rsidRDefault="00F95A20">
          <w:pPr>
            <w:pStyle w:val="TDC1"/>
            <w:tabs>
              <w:tab w:val="left" w:pos="320"/>
              <w:tab w:val="right" w:leader="dot" w:pos="8209"/>
            </w:tabs>
            <w:rPr>
              <w:rFonts w:eastAsiaTheme="minorEastAsia"/>
              <w:b w:val="0"/>
              <w:noProof/>
              <w:lang w:val="es-ES_tradnl" w:eastAsia="ja-JP"/>
            </w:rPr>
          </w:pPr>
          <w:r w:rsidRPr="000D3432">
            <w:rPr>
              <w:b w:val="0"/>
              <w:noProof/>
              <w:color w:val="003300"/>
              <w:lang w:val="es-ES_tradnl"/>
            </w:rPr>
            <w:t>-</w:t>
          </w:r>
          <w:r w:rsidRPr="000D3432">
            <w:rPr>
              <w:rFonts w:eastAsiaTheme="minorEastAsia"/>
              <w:b w:val="0"/>
              <w:noProof/>
              <w:lang w:val="es-ES_tradnl" w:eastAsia="ja-JP"/>
            </w:rPr>
            <w:tab/>
          </w:r>
          <w:r w:rsidRPr="000D3432">
            <w:rPr>
              <w:b w:val="0"/>
              <w:noProof/>
              <w:color w:val="003300"/>
              <w:lang w:val="es-ES_tradnl"/>
            </w:rPr>
            <w:t>El Deber.</w:t>
          </w:r>
          <w:r w:rsidRPr="000D3432">
            <w:rPr>
              <w:noProof/>
            </w:rPr>
            <w:tab/>
          </w:r>
          <w:r w:rsidRPr="000D3432">
            <w:rPr>
              <w:noProof/>
            </w:rPr>
            <w:fldChar w:fldCharType="begin"/>
          </w:r>
          <w:r w:rsidRPr="000D3432">
            <w:rPr>
              <w:noProof/>
            </w:rPr>
            <w:instrText xml:space="preserve"> PAGEREF _Toc318102911 \h </w:instrText>
          </w:r>
          <w:r w:rsidRPr="000D3432">
            <w:rPr>
              <w:noProof/>
            </w:rPr>
          </w:r>
          <w:r w:rsidRPr="000D3432">
            <w:rPr>
              <w:noProof/>
            </w:rPr>
            <w:fldChar w:fldCharType="separate"/>
          </w:r>
          <w:r w:rsidRPr="000D3432">
            <w:rPr>
              <w:noProof/>
            </w:rPr>
            <w:t>344</w:t>
          </w:r>
          <w:r w:rsidRPr="000D3432">
            <w:rPr>
              <w:noProof/>
            </w:rPr>
            <w:fldChar w:fldCharType="end"/>
          </w:r>
        </w:p>
        <w:p w14:paraId="5E182D9E"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color w:val="003300"/>
              <w:lang w:val="es-ES_tradnl"/>
            </w:rPr>
            <w:t>2.- El Estado y el Derecho Laboral</w:t>
          </w:r>
          <w:r w:rsidRPr="000D3432">
            <w:rPr>
              <w:noProof/>
            </w:rPr>
            <w:tab/>
          </w:r>
          <w:r w:rsidRPr="000D3432">
            <w:rPr>
              <w:noProof/>
            </w:rPr>
            <w:fldChar w:fldCharType="begin"/>
          </w:r>
          <w:r w:rsidRPr="000D3432">
            <w:rPr>
              <w:noProof/>
            </w:rPr>
            <w:instrText xml:space="preserve"> PAGEREF _Toc318102912 \h </w:instrText>
          </w:r>
          <w:r w:rsidRPr="000D3432">
            <w:rPr>
              <w:noProof/>
            </w:rPr>
          </w:r>
          <w:r w:rsidRPr="000D3432">
            <w:rPr>
              <w:noProof/>
            </w:rPr>
            <w:fldChar w:fldCharType="separate"/>
          </w:r>
          <w:r w:rsidRPr="000D3432">
            <w:rPr>
              <w:noProof/>
            </w:rPr>
            <w:t>345</w:t>
          </w:r>
          <w:r w:rsidRPr="000D3432">
            <w:rPr>
              <w:noProof/>
            </w:rPr>
            <w:fldChar w:fldCharType="end"/>
          </w:r>
        </w:p>
        <w:p w14:paraId="609AE9AD"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noProof/>
              <w:color w:val="003300"/>
              <w:sz w:val="24"/>
              <w:szCs w:val="24"/>
            </w:rPr>
            <w:t>El concepto ontológico de Trabajo sería: “La moderna ‘</w:t>
          </w:r>
          <w:r w:rsidRPr="000D3432">
            <w:rPr>
              <w:i/>
              <w:iCs/>
              <w:noProof/>
              <w:color w:val="003300"/>
              <w:sz w:val="24"/>
              <w:szCs w:val="24"/>
            </w:rPr>
            <w:t>ciencia laboral</w:t>
          </w:r>
          <w:r w:rsidRPr="000D3432">
            <w:rPr>
              <w:noProof/>
              <w:color w:val="003300"/>
              <w:sz w:val="24"/>
              <w:szCs w:val="24"/>
            </w:rPr>
            <w:t>’ intenta valorar el problema del trabajo en toda su extensión. Pero lo intenta (en todas las ocasiones en las cuales avanza más allá de las dimensiones económico-técnicas), sobre bases biológico-naturales; el problema  del trabajo, más allá de las dimensiones económico-técnicas, sería esencialmente psicológico. Pero la psicología (y especialmente si está fundada en las ciencias biológico-naturales) no puede dar razón de este problema del trabajo, porque (como intentarán aclarar los razonamientos que siguen) el trabajo es un concepto ontológico, es decir, un concepto que aprehende el ser de la realidad humana misma.” Marcuse</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_Toc318102913 \h </w:instrText>
          </w:r>
          <w:r w:rsidRPr="000D3432">
            <w:rPr>
              <w:noProof/>
              <w:sz w:val="24"/>
              <w:szCs w:val="24"/>
            </w:rPr>
          </w:r>
          <w:r w:rsidRPr="000D3432">
            <w:rPr>
              <w:noProof/>
              <w:sz w:val="24"/>
              <w:szCs w:val="24"/>
            </w:rPr>
            <w:fldChar w:fldCharType="separate"/>
          </w:r>
          <w:r w:rsidRPr="000D3432">
            <w:rPr>
              <w:noProof/>
              <w:sz w:val="24"/>
              <w:szCs w:val="24"/>
            </w:rPr>
            <w:t>348</w:t>
          </w:r>
          <w:r w:rsidRPr="000D3432">
            <w:rPr>
              <w:noProof/>
              <w:sz w:val="24"/>
              <w:szCs w:val="24"/>
            </w:rPr>
            <w:fldChar w:fldCharType="end"/>
          </w:r>
        </w:p>
        <w:p w14:paraId="3203858A"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lang w:val="es-ES_tradnl"/>
            </w:rPr>
            <w:t xml:space="preserve">11.- </w:t>
          </w:r>
          <w:r w:rsidRPr="000D3432">
            <w:rPr>
              <w:noProof/>
              <w:lang w:val="es-ES_tradnl"/>
            </w:rPr>
            <w:t>Elementos de la relación laboral</w:t>
          </w:r>
          <w:r w:rsidRPr="000D3432">
            <w:rPr>
              <w:noProof/>
            </w:rPr>
            <w:tab/>
          </w:r>
          <w:r w:rsidRPr="000D3432">
            <w:rPr>
              <w:noProof/>
            </w:rPr>
            <w:fldChar w:fldCharType="begin"/>
          </w:r>
          <w:r w:rsidRPr="000D3432">
            <w:rPr>
              <w:noProof/>
            </w:rPr>
            <w:instrText xml:space="preserve"> PAGEREF _Toc318102914 \h </w:instrText>
          </w:r>
          <w:r w:rsidRPr="000D3432">
            <w:rPr>
              <w:noProof/>
            </w:rPr>
          </w:r>
          <w:r w:rsidRPr="000D3432">
            <w:rPr>
              <w:noProof/>
            </w:rPr>
            <w:fldChar w:fldCharType="separate"/>
          </w:r>
          <w:r w:rsidRPr="000D3432">
            <w:rPr>
              <w:noProof/>
            </w:rPr>
            <w:t>349</w:t>
          </w:r>
          <w:r w:rsidRPr="000D3432">
            <w:rPr>
              <w:noProof/>
            </w:rPr>
            <w:fldChar w:fldCharType="end"/>
          </w:r>
        </w:p>
        <w:p w14:paraId="4C26C3FE"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color w:val="943634" w:themeColor="accent2" w:themeShade="BF"/>
              <w:sz w:val="24"/>
              <w:szCs w:val="24"/>
              <w:u w:val="single"/>
              <w:lang w:val="es-ES_tradnl"/>
            </w:rPr>
            <w:t>REFORMA JUDICIAL Y</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_Toc318102915 \h </w:instrText>
          </w:r>
          <w:r w:rsidRPr="000D3432">
            <w:rPr>
              <w:noProof/>
              <w:sz w:val="24"/>
              <w:szCs w:val="24"/>
            </w:rPr>
          </w:r>
          <w:r w:rsidRPr="000D3432">
            <w:rPr>
              <w:noProof/>
              <w:sz w:val="24"/>
              <w:szCs w:val="24"/>
            </w:rPr>
            <w:fldChar w:fldCharType="separate"/>
          </w:r>
          <w:r w:rsidRPr="000D3432">
            <w:rPr>
              <w:noProof/>
              <w:sz w:val="24"/>
              <w:szCs w:val="24"/>
            </w:rPr>
            <w:t>372</w:t>
          </w:r>
          <w:r w:rsidRPr="000D3432">
            <w:rPr>
              <w:noProof/>
              <w:sz w:val="24"/>
              <w:szCs w:val="24"/>
            </w:rPr>
            <w:fldChar w:fldCharType="end"/>
          </w:r>
        </w:p>
        <w:p w14:paraId="0639BE5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lang w:val="es-ES_tradnl"/>
            </w:rPr>
            <w:t>MODERNIDAD</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_Toc318102916 \h </w:instrText>
          </w:r>
          <w:r w:rsidRPr="000D3432">
            <w:rPr>
              <w:noProof/>
              <w:sz w:val="24"/>
              <w:szCs w:val="24"/>
            </w:rPr>
          </w:r>
          <w:r w:rsidRPr="000D3432">
            <w:rPr>
              <w:noProof/>
              <w:sz w:val="24"/>
              <w:szCs w:val="24"/>
            </w:rPr>
            <w:fldChar w:fldCharType="separate"/>
          </w:r>
          <w:r w:rsidRPr="000D3432">
            <w:rPr>
              <w:noProof/>
              <w:sz w:val="24"/>
              <w:szCs w:val="24"/>
            </w:rPr>
            <w:t>372</w:t>
          </w:r>
          <w:r w:rsidRPr="000D3432">
            <w:rPr>
              <w:noProof/>
              <w:sz w:val="24"/>
              <w:szCs w:val="24"/>
            </w:rPr>
            <w:fldChar w:fldCharType="end"/>
          </w:r>
        </w:p>
        <w:p w14:paraId="7047EBFD"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000000"/>
              <w:sz w:val="24"/>
              <w:szCs w:val="24"/>
            </w:rPr>
            <w:t>anoche</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_Toc318102917 \h </w:instrText>
          </w:r>
          <w:r w:rsidRPr="000D3432">
            <w:rPr>
              <w:noProof/>
              <w:sz w:val="24"/>
              <w:szCs w:val="24"/>
            </w:rPr>
          </w:r>
          <w:r w:rsidRPr="000D3432">
            <w:rPr>
              <w:noProof/>
              <w:sz w:val="24"/>
              <w:szCs w:val="24"/>
            </w:rPr>
            <w:fldChar w:fldCharType="separate"/>
          </w:r>
          <w:r w:rsidRPr="000D3432">
            <w:rPr>
              <w:noProof/>
              <w:sz w:val="24"/>
              <w:szCs w:val="24"/>
            </w:rPr>
            <w:t>467</w:t>
          </w:r>
          <w:r w:rsidRPr="000D3432">
            <w:rPr>
              <w:noProof/>
              <w:sz w:val="24"/>
              <w:szCs w:val="24"/>
            </w:rPr>
            <w:fldChar w:fldCharType="end"/>
          </w:r>
        </w:p>
        <w:p w14:paraId="123547B1"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000000"/>
              <w:sz w:val="24"/>
              <w:szCs w:val="24"/>
            </w:rPr>
            <w:t>estrategias urbanas para evitar la delincuencia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_Toc318102918 \h </w:instrText>
          </w:r>
          <w:r w:rsidRPr="000D3432">
            <w:rPr>
              <w:noProof/>
              <w:sz w:val="24"/>
              <w:szCs w:val="24"/>
            </w:rPr>
          </w:r>
          <w:r w:rsidRPr="000D3432">
            <w:rPr>
              <w:noProof/>
              <w:sz w:val="24"/>
              <w:szCs w:val="24"/>
            </w:rPr>
            <w:fldChar w:fldCharType="separate"/>
          </w:r>
          <w:r w:rsidRPr="000D3432">
            <w:rPr>
              <w:noProof/>
              <w:sz w:val="24"/>
              <w:szCs w:val="24"/>
            </w:rPr>
            <w:t>467</w:t>
          </w:r>
          <w:r w:rsidRPr="000D3432">
            <w:rPr>
              <w:noProof/>
              <w:sz w:val="24"/>
              <w:szCs w:val="24"/>
            </w:rPr>
            <w:fldChar w:fldCharType="end"/>
          </w:r>
        </w:p>
        <w:p w14:paraId="210C11AB"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000000"/>
              <w:sz w:val="24"/>
              <w:szCs w:val="24"/>
            </w:rPr>
            <w:t>dos soles. modalidades de asalto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_Toc318102919 \h </w:instrText>
          </w:r>
          <w:r w:rsidRPr="000D3432">
            <w:rPr>
              <w:noProof/>
              <w:sz w:val="24"/>
              <w:szCs w:val="24"/>
            </w:rPr>
          </w:r>
          <w:r w:rsidRPr="000D3432">
            <w:rPr>
              <w:noProof/>
              <w:sz w:val="24"/>
              <w:szCs w:val="24"/>
            </w:rPr>
            <w:fldChar w:fldCharType="separate"/>
          </w:r>
          <w:r w:rsidRPr="000D3432">
            <w:rPr>
              <w:noProof/>
              <w:sz w:val="24"/>
              <w:szCs w:val="24"/>
            </w:rPr>
            <w:t>468</w:t>
          </w:r>
          <w:r w:rsidRPr="000D3432">
            <w:rPr>
              <w:noProof/>
              <w:sz w:val="24"/>
              <w:szCs w:val="24"/>
            </w:rPr>
            <w:fldChar w:fldCharType="end"/>
          </w:r>
        </w:p>
        <w:p w14:paraId="670E81B8"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Don Guido Fernández De Córdova y Amézaga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_Toc318102920 \h </w:instrText>
          </w:r>
          <w:r w:rsidRPr="000D3432">
            <w:rPr>
              <w:noProof/>
              <w:sz w:val="24"/>
              <w:szCs w:val="24"/>
            </w:rPr>
          </w:r>
          <w:r w:rsidRPr="000D3432">
            <w:rPr>
              <w:noProof/>
              <w:sz w:val="24"/>
              <w:szCs w:val="24"/>
            </w:rPr>
            <w:fldChar w:fldCharType="separate"/>
          </w:r>
          <w:r w:rsidRPr="000D3432">
            <w:rPr>
              <w:noProof/>
              <w:sz w:val="24"/>
              <w:szCs w:val="24"/>
            </w:rPr>
            <w:t>470</w:t>
          </w:r>
          <w:r w:rsidRPr="000D3432">
            <w:rPr>
              <w:noProof/>
              <w:sz w:val="24"/>
              <w:szCs w:val="24"/>
            </w:rPr>
            <w:fldChar w:fldCharType="end"/>
          </w:r>
        </w:p>
        <w:p w14:paraId="32935D51"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000000"/>
              <w:sz w:val="24"/>
              <w:szCs w:val="24"/>
            </w:rPr>
            <w:t>ayer?</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_Toc318102921 \h </w:instrText>
          </w:r>
          <w:r w:rsidRPr="000D3432">
            <w:rPr>
              <w:noProof/>
              <w:sz w:val="24"/>
              <w:szCs w:val="24"/>
            </w:rPr>
          </w:r>
          <w:r w:rsidRPr="000D3432">
            <w:rPr>
              <w:noProof/>
              <w:sz w:val="24"/>
              <w:szCs w:val="24"/>
            </w:rPr>
            <w:fldChar w:fldCharType="separate"/>
          </w:r>
          <w:r w:rsidRPr="000D3432">
            <w:rPr>
              <w:noProof/>
              <w:sz w:val="24"/>
              <w:szCs w:val="24"/>
            </w:rPr>
            <w:t>472</w:t>
          </w:r>
          <w:r w:rsidRPr="000D3432">
            <w:rPr>
              <w:noProof/>
              <w:sz w:val="24"/>
              <w:szCs w:val="24"/>
            </w:rPr>
            <w:fldChar w:fldCharType="end"/>
          </w:r>
        </w:p>
        <w:p w14:paraId="5A6FAE5D"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historia nro 20</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_Toc318102922 \h </w:instrText>
          </w:r>
          <w:r w:rsidRPr="000D3432">
            <w:rPr>
              <w:noProof/>
              <w:sz w:val="24"/>
              <w:szCs w:val="24"/>
            </w:rPr>
          </w:r>
          <w:r w:rsidRPr="000D3432">
            <w:rPr>
              <w:noProof/>
              <w:sz w:val="24"/>
              <w:szCs w:val="24"/>
            </w:rPr>
            <w:fldChar w:fldCharType="separate"/>
          </w:r>
          <w:r w:rsidRPr="000D3432">
            <w:rPr>
              <w:noProof/>
              <w:sz w:val="24"/>
              <w:szCs w:val="24"/>
            </w:rPr>
            <w:t>474</w:t>
          </w:r>
          <w:r w:rsidRPr="000D3432">
            <w:rPr>
              <w:noProof/>
              <w:sz w:val="24"/>
              <w:szCs w:val="24"/>
            </w:rPr>
            <w:fldChar w:fldCharType="end"/>
          </w:r>
        </w:p>
        <w:p w14:paraId="0980F9A2"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el dolor</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_Toc318102923 \h </w:instrText>
          </w:r>
          <w:r w:rsidRPr="000D3432">
            <w:rPr>
              <w:noProof/>
              <w:sz w:val="24"/>
              <w:szCs w:val="24"/>
            </w:rPr>
          </w:r>
          <w:r w:rsidRPr="000D3432">
            <w:rPr>
              <w:noProof/>
              <w:sz w:val="24"/>
              <w:szCs w:val="24"/>
            </w:rPr>
            <w:fldChar w:fldCharType="separate"/>
          </w:r>
          <w:r w:rsidRPr="000D3432">
            <w:rPr>
              <w:noProof/>
              <w:sz w:val="24"/>
              <w:szCs w:val="24"/>
            </w:rPr>
            <w:t>478</w:t>
          </w:r>
          <w:r w:rsidRPr="000D3432">
            <w:rPr>
              <w:noProof/>
              <w:sz w:val="24"/>
              <w:szCs w:val="24"/>
            </w:rPr>
            <w:fldChar w:fldCharType="end"/>
          </w:r>
        </w:p>
        <w:p w14:paraId="33F57925"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hace meses atras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_Toc318102924 \h </w:instrText>
          </w:r>
          <w:r w:rsidRPr="000D3432">
            <w:rPr>
              <w:noProof/>
              <w:sz w:val="24"/>
              <w:szCs w:val="24"/>
            </w:rPr>
          </w:r>
          <w:r w:rsidRPr="000D3432">
            <w:rPr>
              <w:noProof/>
              <w:sz w:val="24"/>
              <w:szCs w:val="24"/>
            </w:rPr>
            <w:fldChar w:fldCharType="separate"/>
          </w:r>
          <w:r w:rsidRPr="000D3432">
            <w:rPr>
              <w:noProof/>
              <w:sz w:val="24"/>
              <w:szCs w:val="24"/>
            </w:rPr>
            <w:t>478</w:t>
          </w:r>
          <w:r w:rsidRPr="000D3432">
            <w:rPr>
              <w:noProof/>
              <w:sz w:val="24"/>
              <w:szCs w:val="24"/>
            </w:rPr>
            <w:fldChar w:fldCharType="end"/>
          </w:r>
        </w:p>
        <w:p w14:paraId="6B354A3E"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az - econometria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_Toc318102925 \h </w:instrText>
          </w:r>
          <w:r w:rsidRPr="000D3432">
            <w:rPr>
              <w:noProof/>
              <w:sz w:val="24"/>
              <w:szCs w:val="24"/>
            </w:rPr>
          </w:r>
          <w:r w:rsidRPr="000D3432">
            <w:rPr>
              <w:noProof/>
              <w:sz w:val="24"/>
              <w:szCs w:val="24"/>
            </w:rPr>
            <w:fldChar w:fldCharType="separate"/>
          </w:r>
          <w:r w:rsidRPr="000D3432">
            <w:rPr>
              <w:noProof/>
              <w:sz w:val="24"/>
              <w:szCs w:val="24"/>
            </w:rPr>
            <w:t>481</w:t>
          </w:r>
          <w:r w:rsidRPr="000D3432">
            <w:rPr>
              <w:noProof/>
              <w:sz w:val="24"/>
              <w:szCs w:val="24"/>
            </w:rPr>
            <w:fldChar w:fldCharType="end"/>
          </w:r>
        </w:p>
        <w:p w14:paraId="766E2980"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CUSCO - En el Congreso Nacional de Abogados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_Toc318102926 \h </w:instrText>
          </w:r>
          <w:r w:rsidRPr="000D3432">
            <w:rPr>
              <w:noProof/>
              <w:sz w:val="24"/>
              <w:szCs w:val="24"/>
            </w:rPr>
          </w:r>
          <w:r w:rsidRPr="000D3432">
            <w:rPr>
              <w:noProof/>
              <w:sz w:val="24"/>
              <w:szCs w:val="24"/>
            </w:rPr>
            <w:fldChar w:fldCharType="separate"/>
          </w:r>
          <w:r w:rsidRPr="000D3432">
            <w:rPr>
              <w:noProof/>
              <w:sz w:val="24"/>
              <w:szCs w:val="24"/>
            </w:rPr>
            <w:t>481</w:t>
          </w:r>
          <w:r w:rsidRPr="000D3432">
            <w:rPr>
              <w:noProof/>
              <w:sz w:val="24"/>
              <w:szCs w:val="24"/>
            </w:rPr>
            <w:fldChar w:fldCharType="end"/>
          </w:r>
        </w:p>
        <w:p w14:paraId="7B3B12CD"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en camino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_Toc318102927 \h </w:instrText>
          </w:r>
          <w:r w:rsidRPr="000D3432">
            <w:rPr>
              <w:noProof/>
              <w:sz w:val="24"/>
              <w:szCs w:val="24"/>
            </w:rPr>
          </w:r>
          <w:r w:rsidRPr="000D3432">
            <w:rPr>
              <w:noProof/>
              <w:sz w:val="24"/>
              <w:szCs w:val="24"/>
            </w:rPr>
            <w:fldChar w:fldCharType="separate"/>
          </w:r>
          <w:r w:rsidRPr="000D3432">
            <w:rPr>
              <w:noProof/>
              <w:sz w:val="24"/>
              <w:szCs w:val="24"/>
            </w:rPr>
            <w:t>482</w:t>
          </w:r>
          <w:r w:rsidRPr="000D3432">
            <w:rPr>
              <w:noProof/>
              <w:sz w:val="24"/>
              <w:szCs w:val="24"/>
            </w:rPr>
            <w:fldChar w:fldCharType="end"/>
          </w:r>
        </w:p>
        <w:p w14:paraId="244D33B1"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He conocido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_Toc318102928 \h </w:instrText>
          </w:r>
          <w:r w:rsidRPr="000D3432">
            <w:rPr>
              <w:noProof/>
              <w:sz w:val="24"/>
              <w:szCs w:val="24"/>
            </w:rPr>
          </w:r>
          <w:r w:rsidRPr="000D3432">
            <w:rPr>
              <w:noProof/>
              <w:sz w:val="24"/>
              <w:szCs w:val="24"/>
            </w:rPr>
            <w:fldChar w:fldCharType="separate"/>
          </w:r>
          <w:r w:rsidRPr="000D3432">
            <w:rPr>
              <w:noProof/>
              <w:sz w:val="24"/>
              <w:szCs w:val="24"/>
            </w:rPr>
            <w:t>483</w:t>
          </w:r>
          <w:r w:rsidRPr="000D3432">
            <w:rPr>
              <w:noProof/>
              <w:sz w:val="24"/>
              <w:szCs w:val="24"/>
            </w:rPr>
            <w:fldChar w:fldCharType="end"/>
          </w:r>
        </w:p>
        <w:p w14:paraId="40C4D276"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antipoemista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_Toc318102929 \h </w:instrText>
          </w:r>
          <w:r w:rsidRPr="000D3432">
            <w:rPr>
              <w:noProof/>
              <w:sz w:val="24"/>
              <w:szCs w:val="24"/>
            </w:rPr>
          </w:r>
          <w:r w:rsidRPr="000D3432">
            <w:rPr>
              <w:noProof/>
              <w:sz w:val="24"/>
              <w:szCs w:val="24"/>
            </w:rPr>
            <w:fldChar w:fldCharType="separate"/>
          </w:r>
          <w:r w:rsidRPr="000D3432">
            <w:rPr>
              <w:noProof/>
              <w:sz w:val="24"/>
              <w:szCs w:val="24"/>
            </w:rPr>
            <w:t>485</w:t>
          </w:r>
          <w:r w:rsidRPr="000D3432">
            <w:rPr>
              <w:noProof/>
              <w:sz w:val="24"/>
              <w:szCs w:val="24"/>
            </w:rPr>
            <w:fldChar w:fldCharType="end"/>
          </w:r>
        </w:p>
        <w:p w14:paraId="59CAC571"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sinergia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_Toc318102930 \h </w:instrText>
          </w:r>
          <w:r w:rsidRPr="000D3432">
            <w:rPr>
              <w:noProof/>
              <w:sz w:val="24"/>
              <w:szCs w:val="24"/>
            </w:rPr>
          </w:r>
          <w:r w:rsidRPr="000D3432">
            <w:rPr>
              <w:noProof/>
              <w:sz w:val="24"/>
              <w:szCs w:val="24"/>
            </w:rPr>
            <w:fldChar w:fldCharType="separate"/>
          </w:r>
          <w:r w:rsidRPr="000D3432">
            <w:rPr>
              <w:noProof/>
              <w:sz w:val="24"/>
              <w:szCs w:val="24"/>
            </w:rPr>
            <w:t>486</w:t>
          </w:r>
          <w:r w:rsidRPr="000D3432">
            <w:rPr>
              <w:noProof/>
              <w:sz w:val="24"/>
              <w:szCs w:val="24"/>
            </w:rPr>
            <w:fldChar w:fldCharType="end"/>
          </w:r>
        </w:p>
        <w:p w14:paraId="53057251"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malas ensenanzas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_Toc318102931 \h </w:instrText>
          </w:r>
          <w:r w:rsidRPr="000D3432">
            <w:rPr>
              <w:noProof/>
              <w:sz w:val="24"/>
              <w:szCs w:val="24"/>
            </w:rPr>
          </w:r>
          <w:r w:rsidRPr="000D3432">
            <w:rPr>
              <w:noProof/>
              <w:sz w:val="24"/>
              <w:szCs w:val="24"/>
            </w:rPr>
            <w:fldChar w:fldCharType="separate"/>
          </w:r>
          <w:r w:rsidRPr="000D3432">
            <w:rPr>
              <w:noProof/>
              <w:sz w:val="24"/>
              <w:szCs w:val="24"/>
            </w:rPr>
            <w:t>488</w:t>
          </w:r>
          <w:r w:rsidRPr="000D3432">
            <w:rPr>
              <w:noProof/>
              <w:sz w:val="24"/>
              <w:szCs w:val="24"/>
            </w:rPr>
            <w:fldChar w:fldCharType="end"/>
          </w:r>
        </w:p>
        <w:p w14:paraId="12FF6758"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rFonts w:cs="Arial"/>
              <w:noProof/>
              <w:color w:val="2B3334"/>
              <w:sz w:val="24"/>
              <w:szCs w:val="24"/>
            </w:rPr>
            <w:t>celular y yo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_Toc318102932 \h </w:instrText>
          </w:r>
          <w:r w:rsidRPr="000D3432">
            <w:rPr>
              <w:noProof/>
              <w:sz w:val="24"/>
              <w:szCs w:val="24"/>
            </w:rPr>
          </w:r>
          <w:r w:rsidRPr="000D3432">
            <w:rPr>
              <w:noProof/>
              <w:sz w:val="24"/>
              <w:szCs w:val="24"/>
            </w:rPr>
            <w:fldChar w:fldCharType="separate"/>
          </w:r>
          <w:r w:rsidRPr="000D3432">
            <w:rPr>
              <w:noProof/>
              <w:sz w:val="24"/>
              <w:szCs w:val="24"/>
            </w:rPr>
            <w:t>488</w:t>
          </w:r>
          <w:r w:rsidRPr="000D3432">
            <w:rPr>
              <w:noProof/>
              <w:sz w:val="24"/>
              <w:szCs w:val="24"/>
            </w:rPr>
            <w:fldChar w:fldCharType="end"/>
          </w:r>
        </w:p>
        <w:p w14:paraId="6B2C4D3E"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caps/>
              <w:noProof/>
              <w:color w:val="0000FF"/>
            </w:rPr>
            <w:t>MIS CONFESIONES</w:t>
          </w:r>
          <w:r w:rsidRPr="000D3432">
            <w:rPr>
              <w:noProof/>
            </w:rPr>
            <w:tab/>
          </w:r>
          <w:r w:rsidRPr="000D3432">
            <w:rPr>
              <w:noProof/>
            </w:rPr>
            <w:fldChar w:fldCharType="begin"/>
          </w:r>
          <w:r w:rsidRPr="000D3432">
            <w:rPr>
              <w:noProof/>
            </w:rPr>
            <w:instrText xml:space="preserve"> PAGEREF _Toc318102933 \h </w:instrText>
          </w:r>
          <w:r w:rsidRPr="000D3432">
            <w:rPr>
              <w:noProof/>
            </w:rPr>
          </w:r>
          <w:r w:rsidRPr="000D3432">
            <w:rPr>
              <w:noProof/>
            </w:rPr>
            <w:fldChar w:fldCharType="separate"/>
          </w:r>
          <w:r w:rsidRPr="000D3432">
            <w:rPr>
              <w:noProof/>
            </w:rPr>
            <w:t>491</w:t>
          </w:r>
          <w:r w:rsidRPr="000D3432">
            <w:rPr>
              <w:noProof/>
            </w:rPr>
            <w:fldChar w:fldCharType="end"/>
          </w:r>
        </w:p>
        <w:p w14:paraId="1D9C3F2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caps/>
              <w:noProof/>
              <w:color w:val="FF0000"/>
              <w:sz w:val="24"/>
              <w:szCs w:val="24"/>
            </w:rPr>
            <w:t>(CONFESIONES DE UN NIHILISTA)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_Toc318102934 \h </w:instrText>
          </w:r>
          <w:r w:rsidRPr="000D3432">
            <w:rPr>
              <w:noProof/>
              <w:sz w:val="24"/>
              <w:szCs w:val="24"/>
            </w:rPr>
          </w:r>
          <w:r w:rsidRPr="000D3432">
            <w:rPr>
              <w:noProof/>
              <w:sz w:val="24"/>
              <w:szCs w:val="24"/>
            </w:rPr>
            <w:fldChar w:fldCharType="separate"/>
          </w:r>
          <w:r w:rsidRPr="000D3432">
            <w:rPr>
              <w:noProof/>
              <w:sz w:val="24"/>
              <w:szCs w:val="24"/>
            </w:rPr>
            <w:t>491</w:t>
          </w:r>
          <w:r w:rsidRPr="000D3432">
            <w:rPr>
              <w:noProof/>
              <w:sz w:val="24"/>
              <w:szCs w:val="24"/>
            </w:rPr>
            <w:fldChar w:fldCharType="end"/>
          </w:r>
        </w:p>
        <w:p w14:paraId="0E2FB049"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POR LA PLATA</w:t>
          </w:r>
          <w:r w:rsidRPr="000D3432">
            <w:rPr>
              <w:noProof/>
            </w:rPr>
            <w:tab/>
          </w:r>
          <w:r w:rsidRPr="000D3432">
            <w:rPr>
              <w:noProof/>
            </w:rPr>
            <w:fldChar w:fldCharType="begin"/>
          </w:r>
          <w:r w:rsidRPr="000D3432">
            <w:rPr>
              <w:noProof/>
            </w:rPr>
            <w:instrText xml:space="preserve"> PAGEREF _Toc318102935 \h </w:instrText>
          </w:r>
          <w:r w:rsidRPr="000D3432">
            <w:rPr>
              <w:noProof/>
            </w:rPr>
          </w:r>
          <w:r w:rsidRPr="000D3432">
            <w:rPr>
              <w:noProof/>
            </w:rPr>
            <w:fldChar w:fldCharType="separate"/>
          </w:r>
          <w:r w:rsidRPr="000D3432">
            <w:rPr>
              <w:noProof/>
            </w:rPr>
            <w:t>491</w:t>
          </w:r>
          <w:r w:rsidRPr="000D3432">
            <w:rPr>
              <w:noProof/>
            </w:rPr>
            <w:fldChar w:fldCharType="end"/>
          </w:r>
        </w:p>
        <w:p w14:paraId="568A9053"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lastRenderedPageBreak/>
            <w:t>EL DERECHO A NO VIVIR</w:t>
          </w:r>
          <w:r w:rsidRPr="000D3432">
            <w:rPr>
              <w:noProof/>
            </w:rPr>
            <w:tab/>
          </w:r>
          <w:r w:rsidRPr="000D3432">
            <w:rPr>
              <w:noProof/>
            </w:rPr>
            <w:fldChar w:fldCharType="begin"/>
          </w:r>
          <w:r w:rsidRPr="000D3432">
            <w:rPr>
              <w:noProof/>
            </w:rPr>
            <w:instrText xml:space="preserve"> PAGEREF _Toc318102936 \h </w:instrText>
          </w:r>
          <w:r w:rsidRPr="000D3432">
            <w:rPr>
              <w:noProof/>
            </w:rPr>
          </w:r>
          <w:r w:rsidRPr="000D3432">
            <w:rPr>
              <w:noProof/>
            </w:rPr>
            <w:fldChar w:fldCharType="separate"/>
          </w:r>
          <w:r w:rsidRPr="000D3432">
            <w:rPr>
              <w:noProof/>
            </w:rPr>
            <w:t>493</w:t>
          </w:r>
          <w:r w:rsidRPr="000D3432">
            <w:rPr>
              <w:noProof/>
            </w:rPr>
            <w:fldChar w:fldCharType="end"/>
          </w:r>
        </w:p>
        <w:p w14:paraId="1CCF95A6"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COMPRANDO AMIGOS</w:t>
          </w:r>
          <w:r w:rsidRPr="000D3432">
            <w:rPr>
              <w:noProof/>
            </w:rPr>
            <w:tab/>
          </w:r>
          <w:r w:rsidRPr="000D3432">
            <w:rPr>
              <w:noProof/>
            </w:rPr>
            <w:fldChar w:fldCharType="begin"/>
          </w:r>
          <w:r w:rsidRPr="000D3432">
            <w:rPr>
              <w:noProof/>
            </w:rPr>
            <w:instrText xml:space="preserve"> PAGEREF _Toc318102937 \h </w:instrText>
          </w:r>
          <w:r w:rsidRPr="000D3432">
            <w:rPr>
              <w:noProof/>
            </w:rPr>
          </w:r>
          <w:r w:rsidRPr="000D3432">
            <w:rPr>
              <w:noProof/>
            </w:rPr>
            <w:fldChar w:fldCharType="separate"/>
          </w:r>
          <w:r w:rsidRPr="000D3432">
            <w:rPr>
              <w:noProof/>
            </w:rPr>
            <w:t>495</w:t>
          </w:r>
          <w:r w:rsidRPr="000D3432">
            <w:rPr>
              <w:noProof/>
            </w:rPr>
            <w:fldChar w:fldCharType="end"/>
          </w:r>
        </w:p>
        <w:p w14:paraId="62ACBE72"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DESPUES......</w:t>
          </w:r>
          <w:r w:rsidRPr="000D3432">
            <w:rPr>
              <w:noProof/>
            </w:rPr>
            <w:tab/>
          </w:r>
          <w:r w:rsidRPr="000D3432">
            <w:rPr>
              <w:noProof/>
            </w:rPr>
            <w:fldChar w:fldCharType="begin"/>
          </w:r>
          <w:r w:rsidRPr="000D3432">
            <w:rPr>
              <w:noProof/>
            </w:rPr>
            <w:instrText xml:space="preserve"> PAGEREF _Toc318102938 \h </w:instrText>
          </w:r>
          <w:r w:rsidRPr="000D3432">
            <w:rPr>
              <w:noProof/>
            </w:rPr>
          </w:r>
          <w:r w:rsidRPr="000D3432">
            <w:rPr>
              <w:noProof/>
            </w:rPr>
            <w:fldChar w:fldCharType="separate"/>
          </w:r>
          <w:r w:rsidRPr="000D3432">
            <w:rPr>
              <w:noProof/>
            </w:rPr>
            <w:t>496</w:t>
          </w:r>
          <w:r w:rsidRPr="000D3432">
            <w:rPr>
              <w:noProof/>
            </w:rPr>
            <w:fldChar w:fldCharType="end"/>
          </w:r>
        </w:p>
        <w:p w14:paraId="1812FDA6"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SOBRE LA ARENA</w:t>
          </w:r>
          <w:r w:rsidRPr="000D3432">
            <w:rPr>
              <w:noProof/>
            </w:rPr>
            <w:tab/>
          </w:r>
          <w:r w:rsidRPr="000D3432">
            <w:rPr>
              <w:noProof/>
            </w:rPr>
            <w:fldChar w:fldCharType="begin"/>
          </w:r>
          <w:r w:rsidRPr="000D3432">
            <w:rPr>
              <w:noProof/>
            </w:rPr>
            <w:instrText xml:space="preserve"> PAGEREF _Toc318102939 \h </w:instrText>
          </w:r>
          <w:r w:rsidRPr="000D3432">
            <w:rPr>
              <w:noProof/>
            </w:rPr>
          </w:r>
          <w:r w:rsidRPr="000D3432">
            <w:rPr>
              <w:noProof/>
            </w:rPr>
            <w:fldChar w:fldCharType="separate"/>
          </w:r>
          <w:r w:rsidRPr="000D3432">
            <w:rPr>
              <w:noProof/>
            </w:rPr>
            <w:t>497</w:t>
          </w:r>
          <w:r w:rsidRPr="000D3432">
            <w:rPr>
              <w:noProof/>
            </w:rPr>
            <w:fldChar w:fldCharType="end"/>
          </w:r>
        </w:p>
        <w:p w14:paraId="2B9981CD"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DESAIRE SEXUAL</w:t>
          </w:r>
          <w:r w:rsidRPr="000D3432">
            <w:rPr>
              <w:noProof/>
            </w:rPr>
            <w:tab/>
          </w:r>
          <w:r w:rsidRPr="000D3432">
            <w:rPr>
              <w:noProof/>
            </w:rPr>
            <w:fldChar w:fldCharType="begin"/>
          </w:r>
          <w:r w:rsidRPr="000D3432">
            <w:rPr>
              <w:noProof/>
            </w:rPr>
            <w:instrText xml:space="preserve"> PAGEREF _Toc318102940 \h </w:instrText>
          </w:r>
          <w:r w:rsidRPr="000D3432">
            <w:rPr>
              <w:noProof/>
            </w:rPr>
          </w:r>
          <w:r w:rsidRPr="000D3432">
            <w:rPr>
              <w:noProof/>
            </w:rPr>
            <w:fldChar w:fldCharType="separate"/>
          </w:r>
          <w:r w:rsidRPr="000D3432">
            <w:rPr>
              <w:noProof/>
            </w:rPr>
            <w:t>500</w:t>
          </w:r>
          <w:r w:rsidRPr="000D3432">
            <w:rPr>
              <w:noProof/>
            </w:rPr>
            <w:fldChar w:fldCharType="end"/>
          </w:r>
        </w:p>
        <w:p w14:paraId="3B156DAA"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LAS OTRAS CONFESIONES</w:t>
          </w:r>
          <w:r w:rsidRPr="000D3432">
            <w:rPr>
              <w:noProof/>
            </w:rPr>
            <w:tab/>
          </w:r>
          <w:r w:rsidRPr="000D3432">
            <w:rPr>
              <w:noProof/>
            </w:rPr>
            <w:fldChar w:fldCharType="begin"/>
          </w:r>
          <w:r w:rsidRPr="000D3432">
            <w:rPr>
              <w:noProof/>
            </w:rPr>
            <w:instrText xml:space="preserve"> PAGEREF _Toc318102941 \h </w:instrText>
          </w:r>
          <w:r w:rsidRPr="000D3432">
            <w:rPr>
              <w:noProof/>
            </w:rPr>
          </w:r>
          <w:r w:rsidRPr="000D3432">
            <w:rPr>
              <w:noProof/>
            </w:rPr>
            <w:fldChar w:fldCharType="separate"/>
          </w:r>
          <w:r w:rsidRPr="000D3432">
            <w:rPr>
              <w:noProof/>
            </w:rPr>
            <w:t>506</w:t>
          </w:r>
          <w:r w:rsidRPr="000D3432">
            <w:rPr>
              <w:noProof/>
            </w:rPr>
            <w:fldChar w:fldCharType="end"/>
          </w:r>
        </w:p>
        <w:p w14:paraId="401CE494" w14:textId="77777777" w:rsidR="00F95A20" w:rsidRPr="000D3432" w:rsidRDefault="00F95A20">
          <w:pPr>
            <w:pStyle w:val="TDC1"/>
            <w:tabs>
              <w:tab w:val="right" w:leader="dot" w:pos="8209"/>
            </w:tabs>
            <w:rPr>
              <w:rFonts w:eastAsiaTheme="minorEastAsia"/>
              <w:b w:val="0"/>
              <w:noProof/>
              <w:lang w:val="es-ES_tradnl" w:eastAsia="ja-JP"/>
            </w:rPr>
          </w:pPr>
          <w:r w:rsidRPr="000D3432">
            <w:rPr>
              <w:rFonts w:cs="Arial"/>
              <w:b w:val="0"/>
              <w:bCs/>
              <w:caps/>
              <w:noProof/>
              <w:color w:val="2B3334"/>
            </w:rPr>
            <w:t>MIS CONFESIONES (MI PRIMERA NEGACIÓN A LA PATERNIDAD: "YO ALEX TORRES")</w:t>
          </w:r>
          <w:r w:rsidRPr="000D3432">
            <w:rPr>
              <w:noProof/>
            </w:rPr>
            <w:tab/>
          </w:r>
          <w:r w:rsidRPr="000D3432">
            <w:rPr>
              <w:noProof/>
            </w:rPr>
            <w:fldChar w:fldCharType="begin"/>
          </w:r>
          <w:r w:rsidRPr="000D3432">
            <w:rPr>
              <w:noProof/>
            </w:rPr>
            <w:instrText xml:space="preserve"> PAGEREF _Toc318102942 \h </w:instrText>
          </w:r>
          <w:r w:rsidRPr="000D3432">
            <w:rPr>
              <w:noProof/>
            </w:rPr>
          </w:r>
          <w:r w:rsidRPr="000D3432">
            <w:rPr>
              <w:noProof/>
            </w:rPr>
            <w:fldChar w:fldCharType="separate"/>
          </w:r>
          <w:r w:rsidRPr="000D3432">
            <w:rPr>
              <w:noProof/>
            </w:rPr>
            <w:t>511</w:t>
          </w:r>
          <w:r w:rsidRPr="000D3432">
            <w:rPr>
              <w:noProof/>
            </w:rPr>
            <w:fldChar w:fldCharType="end"/>
          </w:r>
        </w:p>
        <w:p w14:paraId="2F79E918"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caps/>
              <w:noProof/>
              <w:color w:val="000000"/>
              <w:sz w:val="24"/>
              <w:szCs w:val="24"/>
              <w:u w:val="single"/>
            </w:rPr>
            <w:t>MIS CONFESIONES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_Toc318102943 \h </w:instrText>
          </w:r>
          <w:r w:rsidRPr="000D3432">
            <w:rPr>
              <w:noProof/>
              <w:sz w:val="24"/>
              <w:szCs w:val="24"/>
            </w:rPr>
          </w:r>
          <w:r w:rsidRPr="000D3432">
            <w:rPr>
              <w:noProof/>
              <w:sz w:val="24"/>
              <w:szCs w:val="24"/>
            </w:rPr>
            <w:fldChar w:fldCharType="separate"/>
          </w:r>
          <w:r w:rsidRPr="000D3432">
            <w:rPr>
              <w:noProof/>
              <w:sz w:val="24"/>
              <w:szCs w:val="24"/>
            </w:rPr>
            <w:t>511</w:t>
          </w:r>
          <w:r w:rsidRPr="000D3432">
            <w:rPr>
              <w:noProof/>
              <w:sz w:val="24"/>
              <w:szCs w:val="24"/>
            </w:rPr>
            <w:fldChar w:fldCharType="end"/>
          </w:r>
        </w:p>
        <w:p w14:paraId="72F003B3"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color w:val="333333"/>
            </w:rPr>
            <w:t xml:space="preserve">8.- Una concepción primitiva del Derecho Civil </w:t>
          </w:r>
          <w:r w:rsidRPr="000D3432">
            <w:rPr>
              <w:b w:val="0"/>
              <w:noProof/>
            </w:rPr>
            <w:t>(Nociones del Derecho Civil desde la perspectiva de un aficionado a la Filosofía del Derecho)</w:t>
          </w:r>
          <w:r w:rsidRPr="000D3432">
            <w:rPr>
              <w:noProof/>
            </w:rPr>
            <w:tab/>
          </w:r>
          <w:r w:rsidRPr="000D3432">
            <w:rPr>
              <w:noProof/>
            </w:rPr>
            <w:fldChar w:fldCharType="begin"/>
          </w:r>
          <w:r w:rsidRPr="000D3432">
            <w:rPr>
              <w:noProof/>
            </w:rPr>
            <w:instrText xml:space="preserve"> PAGEREF _Toc318102944 \h </w:instrText>
          </w:r>
          <w:r w:rsidRPr="000D3432">
            <w:rPr>
              <w:noProof/>
            </w:rPr>
          </w:r>
          <w:r w:rsidRPr="000D3432">
            <w:rPr>
              <w:noProof/>
            </w:rPr>
            <w:fldChar w:fldCharType="separate"/>
          </w:r>
          <w:r w:rsidRPr="000D3432">
            <w:rPr>
              <w:noProof/>
            </w:rPr>
            <w:t>516</w:t>
          </w:r>
          <w:r w:rsidRPr="000D3432">
            <w:rPr>
              <w:noProof/>
            </w:rPr>
            <w:fldChar w:fldCharType="end"/>
          </w:r>
        </w:p>
        <w:p w14:paraId="7CCADCE4"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rPr>
            <w:t>14.- La muerte de la especialización del derecho</w:t>
          </w:r>
          <w:r w:rsidRPr="000D3432">
            <w:rPr>
              <w:noProof/>
            </w:rPr>
            <w:tab/>
          </w:r>
          <w:r w:rsidRPr="000D3432">
            <w:rPr>
              <w:noProof/>
            </w:rPr>
            <w:fldChar w:fldCharType="begin"/>
          </w:r>
          <w:r w:rsidRPr="000D3432">
            <w:rPr>
              <w:noProof/>
            </w:rPr>
            <w:instrText xml:space="preserve"> PAGEREF _Toc318102945 \h </w:instrText>
          </w:r>
          <w:r w:rsidRPr="000D3432">
            <w:rPr>
              <w:noProof/>
            </w:rPr>
          </w:r>
          <w:r w:rsidRPr="000D3432">
            <w:rPr>
              <w:noProof/>
            </w:rPr>
            <w:fldChar w:fldCharType="separate"/>
          </w:r>
          <w:r w:rsidRPr="000D3432">
            <w:rPr>
              <w:noProof/>
            </w:rPr>
            <w:t>516</w:t>
          </w:r>
          <w:r w:rsidRPr="000D3432">
            <w:rPr>
              <w:noProof/>
            </w:rPr>
            <w:fldChar w:fldCharType="end"/>
          </w:r>
        </w:p>
        <w:p w14:paraId="0D890234"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noProof/>
              <w:sz w:val="24"/>
              <w:szCs w:val="24"/>
            </w:rPr>
            <w:t>INTRODUCCIÓN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_Toc318102946 \h </w:instrText>
          </w:r>
          <w:r w:rsidRPr="000D3432">
            <w:rPr>
              <w:noProof/>
              <w:sz w:val="24"/>
              <w:szCs w:val="24"/>
            </w:rPr>
          </w:r>
          <w:r w:rsidRPr="000D3432">
            <w:rPr>
              <w:noProof/>
              <w:sz w:val="24"/>
              <w:szCs w:val="24"/>
            </w:rPr>
            <w:fldChar w:fldCharType="separate"/>
          </w:r>
          <w:r w:rsidRPr="000D3432">
            <w:rPr>
              <w:noProof/>
              <w:sz w:val="24"/>
              <w:szCs w:val="24"/>
            </w:rPr>
            <w:t>593</w:t>
          </w:r>
          <w:r w:rsidRPr="000D3432">
            <w:rPr>
              <w:noProof/>
              <w:sz w:val="24"/>
              <w:szCs w:val="24"/>
            </w:rPr>
            <w:fldChar w:fldCharType="end"/>
          </w:r>
        </w:p>
        <w:p w14:paraId="5C26439B"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II.- CONCEPTO DEL DERECHO JUDICIAL</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_Toc318102947 \h </w:instrText>
          </w:r>
          <w:r w:rsidRPr="000D3432">
            <w:rPr>
              <w:noProof/>
              <w:sz w:val="24"/>
              <w:szCs w:val="24"/>
            </w:rPr>
          </w:r>
          <w:r w:rsidRPr="000D3432">
            <w:rPr>
              <w:noProof/>
              <w:sz w:val="24"/>
              <w:szCs w:val="24"/>
            </w:rPr>
            <w:fldChar w:fldCharType="separate"/>
          </w:r>
          <w:r w:rsidRPr="000D3432">
            <w:rPr>
              <w:noProof/>
              <w:sz w:val="24"/>
              <w:szCs w:val="24"/>
            </w:rPr>
            <w:t>597</w:t>
          </w:r>
          <w:r w:rsidRPr="000D3432">
            <w:rPr>
              <w:noProof/>
              <w:sz w:val="24"/>
              <w:szCs w:val="24"/>
            </w:rPr>
            <w:fldChar w:fldCharType="end"/>
          </w:r>
        </w:p>
        <w:p w14:paraId="42FC6C6C"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III.- IMPORTANCIA DEL DERECHO JUDICIAL</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_Toc318102948 \h </w:instrText>
          </w:r>
          <w:r w:rsidRPr="000D3432">
            <w:rPr>
              <w:noProof/>
              <w:sz w:val="24"/>
              <w:szCs w:val="24"/>
            </w:rPr>
          </w:r>
          <w:r w:rsidRPr="000D3432">
            <w:rPr>
              <w:noProof/>
              <w:sz w:val="24"/>
              <w:szCs w:val="24"/>
            </w:rPr>
            <w:fldChar w:fldCharType="separate"/>
          </w:r>
          <w:r w:rsidRPr="000D3432">
            <w:rPr>
              <w:noProof/>
              <w:sz w:val="24"/>
              <w:szCs w:val="24"/>
            </w:rPr>
            <w:t>598</w:t>
          </w:r>
          <w:r w:rsidRPr="000D3432">
            <w:rPr>
              <w:noProof/>
              <w:sz w:val="24"/>
              <w:szCs w:val="24"/>
            </w:rPr>
            <w:fldChar w:fldCharType="end"/>
          </w:r>
        </w:p>
        <w:p w14:paraId="68D84047"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b w:val="0"/>
              <w:bCs/>
              <w:noProof/>
              <w:sz w:val="24"/>
              <w:szCs w:val="24"/>
            </w:rPr>
            <w:t>¿Por qué habría de importar el Derecho Judicial? Una de las razones de este tipo de preguntas es enmarcar y determinar la “utilidad de un objeto de conocimiento”. Así pues la pregunta sería, ¿para qué estudiamos Derecho Judicial, y porqué hemos denominado así a un determinado campo del conocimiento jurídico?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_Toc318102949 \h </w:instrText>
          </w:r>
          <w:r w:rsidRPr="000D3432">
            <w:rPr>
              <w:noProof/>
              <w:sz w:val="24"/>
              <w:szCs w:val="24"/>
            </w:rPr>
          </w:r>
          <w:r w:rsidRPr="000D3432">
            <w:rPr>
              <w:noProof/>
              <w:sz w:val="24"/>
              <w:szCs w:val="24"/>
            </w:rPr>
            <w:fldChar w:fldCharType="separate"/>
          </w:r>
          <w:r w:rsidRPr="000D3432">
            <w:rPr>
              <w:noProof/>
              <w:sz w:val="24"/>
              <w:szCs w:val="24"/>
            </w:rPr>
            <w:t>598</w:t>
          </w:r>
          <w:r w:rsidRPr="000D3432">
            <w:rPr>
              <w:noProof/>
              <w:sz w:val="24"/>
              <w:szCs w:val="24"/>
            </w:rPr>
            <w:fldChar w:fldCharType="end"/>
          </w:r>
        </w:p>
        <w:p w14:paraId="4B26C3DA"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IV.- JUSTIFICACIÓN DEL DERECHO JUDICIAL</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_Toc318102950 \h </w:instrText>
          </w:r>
          <w:r w:rsidRPr="000D3432">
            <w:rPr>
              <w:noProof/>
              <w:sz w:val="24"/>
              <w:szCs w:val="24"/>
            </w:rPr>
          </w:r>
          <w:r w:rsidRPr="000D3432">
            <w:rPr>
              <w:noProof/>
              <w:sz w:val="24"/>
              <w:szCs w:val="24"/>
            </w:rPr>
            <w:fldChar w:fldCharType="separate"/>
          </w:r>
          <w:r w:rsidRPr="000D3432">
            <w:rPr>
              <w:noProof/>
              <w:sz w:val="24"/>
              <w:szCs w:val="24"/>
            </w:rPr>
            <w:t>599</w:t>
          </w:r>
          <w:r w:rsidRPr="000D3432">
            <w:rPr>
              <w:noProof/>
              <w:sz w:val="24"/>
              <w:szCs w:val="24"/>
            </w:rPr>
            <w:fldChar w:fldCharType="end"/>
          </w:r>
        </w:p>
        <w:p w14:paraId="293456CB"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V.- RELACIÓN DEL DERECHO JUDICIAL CON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_Toc318102951 \h </w:instrText>
          </w:r>
          <w:r w:rsidRPr="000D3432">
            <w:rPr>
              <w:noProof/>
              <w:sz w:val="24"/>
              <w:szCs w:val="24"/>
            </w:rPr>
          </w:r>
          <w:r w:rsidRPr="000D3432">
            <w:rPr>
              <w:noProof/>
              <w:sz w:val="24"/>
              <w:szCs w:val="24"/>
            </w:rPr>
            <w:fldChar w:fldCharType="separate"/>
          </w:r>
          <w:r w:rsidRPr="000D3432">
            <w:rPr>
              <w:noProof/>
              <w:sz w:val="24"/>
              <w:szCs w:val="24"/>
            </w:rPr>
            <w:t>600</w:t>
          </w:r>
          <w:r w:rsidRPr="000D3432">
            <w:rPr>
              <w:noProof/>
              <w:sz w:val="24"/>
              <w:szCs w:val="24"/>
            </w:rPr>
            <w:fldChar w:fldCharType="end"/>
          </w:r>
        </w:p>
        <w:p w14:paraId="57F25FFE"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LAS OTRAS DISCIPLINAS DEL DERECHO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_Toc318102952 \h </w:instrText>
          </w:r>
          <w:r w:rsidRPr="000D3432">
            <w:rPr>
              <w:noProof/>
              <w:sz w:val="24"/>
              <w:szCs w:val="24"/>
            </w:rPr>
          </w:r>
          <w:r w:rsidRPr="000D3432">
            <w:rPr>
              <w:noProof/>
              <w:sz w:val="24"/>
              <w:szCs w:val="24"/>
            </w:rPr>
            <w:fldChar w:fldCharType="separate"/>
          </w:r>
          <w:r w:rsidRPr="000D3432">
            <w:rPr>
              <w:noProof/>
              <w:sz w:val="24"/>
              <w:szCs w:val="24"/>
            </w:rPr>
            <w:t>600</w:t>
          </w:r>
          <w:r w:rsidRPr="000D3432">
            <w:rPr>
              <w:noProof/>
              <w:sz w:val="24"/>
              <w:szCs w:val="24"/>
            </w:rPr>
            <w:fldChar w:fldCharType="end"/>
          </w:r>
        </w:p>
        <w:p w14:paraId="08598099"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 xml:space="preserve">Derecho Mercantil.- </w:t>
          </w:r>
          <w:r w:rsidRPr="000D3432">
            <w:rPr>
              <w:b w:val="0"/>
              <w:noProof/>
            </w:rPr>
            <w:t>Cuando de Derecho mercantil se habla, la primera referencia es siempre determinarlo a través de la definición de los actos de comercio.</w:t>
          </w:r>
          <w:r w:rsidRPr="000D3432">
            <w:rPr>
              <w:noProof/>
            </w:rPr>
            <w:tab/>
          </w:r>
          <w:r w:rsidRPr="000D3432">
            <w:rPr>
              <w:noProof/>
            </w:rPr>
            <w:fldChar w:fldCharType="begin"/>
          </w:r>
          <w:r w:rsidRPr="000D3432">
            <w:rPr>
              <w:noProof/>
            </w:rPr>
            <w:instrText xml:space="preserve"> PAGEREF _Toc318102953 \h </w:instrText>
          </w:r>
          <w:r w:rsidRPr="000D3432">
            <w:rPr>
              <w:noProof/>
            </w:rPr>
          </w:r>
          <w:r w:rsidRPr="000D3432">
            <w:rPr>
              <w:noProof/>
            </w:rPr>
            <w:fldChar w:fldCharType="separate"/>
          </w:r>
          <w:r w:rsidRPr="000D3432">
            <w:rPr>
              <w:noProof/>
            </w:rPr>
            <w:t>608</w:t>
          </w:r>
          <w:r w:rsidRPr="000D3432">
            <w:rPr>
              <w:noProof/>
            </w:rPr>
            <w:fldChar w:fldCharType="end"/>
          </w:r>
        </w:p>
        <w:p w14:paraId="6CA72194"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bCs/>
              <w:noProof/>
            </w:rPr>
            <w:t>Francesco Carnelutti recomendaba, por su parte, que “lo primero que debe hacer quien estudie Derecho Procesal es, por un lado, ir a ver un proceso, y por otro, tener el Código de Procedimientos sobre la mesa”</w:t>
          </w:r>
          <w:r w:rsidRPr="000D3432">
            <w:rPr>
              <w:noProof/>
            </w:rPr>
            <w:tab/>
          </w:r>
          <w:r w:rsidRPr="000D3432">
            <w:rPr>
              <w:noProof/>
            </w:rPr>
            <w:fldChar w:fldCharType="begin"/>
          </w:r>
          <w:r w:rsidRPr="000D3432">
            <w:rPr>
              <w:noProof/>
            </w:rPr>
            <w:instrText xml:space="preserve"> PAGEREF _Toc318102954 \h </w:instrText>
          </w:r>
          <w:r w:rsidRPr="000D3432">
            <w:rPr>
              <w:noProof/>
            </w:rPr>
          </w:r>
          <w:r w:rsidRPr="000D3432">
            <w:rPr>
              <w:noProof/>
            </w:rPr>
            <w:fldChar w:fldCharType="separate"/>
          </w:r>
          <w:r w:rsidRPr="000D3432">
            <w:rPr>
              <w:noProof/>
            </w:rPr>
            <w:t>638</w:t>
          </w:r>
          <w:r w:rsidRPr="000D3432">
            <w:rPr>
              <w:noProof/>
            </w:rPr>
            <w:fldChar w:fldCharType="end"/>
          </w:r>
        </w:p>
        <w:p w14:paraId="62C02D37"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rPr>
            <w:t>Pero es Piero Calamandrei quien escribe que “el proceso es ante todo un método de cognición, esto es, de conocimiento de la verdad.”</w:t>
          </w:r>
          <w:r w:rsidRPr="000D3432">
            <w:rPr>
              <w:noProof/>
            </w:rPr>
            <w:tab/>
          </w:r>
          <w:r w:rsidRPr="000D3432">
            <w:rPr>
              <w:noProof/>
            </w:rPr>
            <w:fldChar w:fldCharType="begin"/>
          </w:r>
          <w:r w:rsidRPr="000D3432">
            <w:rPr>
              <w:noProof/>
            </w:rPr>
            <w:instrText xml:space="preserve"> PAGEREF _Toc318102955 \h </w:instrText>
          </w:r>
          <w:r w:rsidRPr="000D3432">
            <w:rPr>
              <w:noProof/>
            </w:rPr>
          </w:r>
          <w:r w:rsidRPr="000D3432">
            <w:rPr>
              <w:noProof/>
            </w:rPr>
            <w:fldChar w:fldCharType="separate"/>
          </w:r>
          <w:r w:rsidRPr="000D3432">
            <w:rPr>
              <w:noProof/>
            </w:rPr>
            <w:t>640</w:t>
          </w:r>
          <w:r w:rsidRPr="000D3432">
            <w:rPr>
              <w:noProof/>
            </w:rPr>
            <w:fldChar w:fldCharType="end"/>
          </w:r>
        </w:p>
        <w:p w14:paraId="019379F7"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rPr>
            <w:t xml:space="preserve">Este último es el concepto más general y claro que hemos encontrado. El proceso jurídico no es más que un “método de cognición”, es decir, una forma de conocer, un esquema para llegar a cierta certidumbre, una manera predeterminada de intentar establecer cómo sucedieron las cosas. Pero su carácter jurídico implica que no sólo se necesita conocer cómo sucedieron los hechos, sino además, qué consecuencias resultan de esos hechos; y determinar si esas consecuencias tienen calidad de jurídicas o no, atentan o no contra los derechos de los seres humanos. Esa es la segunda fase. La tercera fase consiste </w:t>
          </w:r>
          <w:r w:rsidRPr="000D3432">
            <w:rPr>
              <w:b w:val="0"/>
              <w:noProof/>
            </w:rPr>
            <w:lastRenderedPageBreak/>
            <w:t>en -una vez determinado cómo fueron los hechos, descrito las consecuencias jurídicas- ejercitar una solución, que se traduce en una sentencia, que no es más que el acto jurídico emitido por el Juez, con autoridad y legitimidad dada por Estado, para imponer una decisión determinada con efectos jurídicos (es decir con carga coactiva -factibles de ser ejercitados mediante la fuerza legítima del Estado a través de sus organismos).</w:t>
          </w:r>
          <w:r w:rsidRPr="000D3432">
            <w:rPr>
              <w:noProof/>
            </w:rPr>
            <w:tab/>
          </w:r>
          <w:r w:rsidRPr="000D3432">
            <w:rPr>
              <w:noProof/>
            </w:rPr>
            <w:fldChar w:fldCharType="begin"/>
          </w:r>
          <w:r w:rsidRPr="000D3432">
            <w:rPr>
              <w:noProof/>
            </w:rPr>
            <w:instrText xml:space="preserve"> PAGEREF _Toc318102956 \h </w:instrText>
          </w:r>
          <w:r w:rsidRPr="000D3432">
            <w:rPr>
              <w:noProof/>
            </w:rPr>
          </w:r>
          <w:r w:rsidRPr="000D3432">
            <w:rPr>
              <w:noProof/>
            </w:rPr>
            <w:fldChar w:fldCharType="separate"/>
          </w:r>
          <w:r w:rsidRPr="000D3432">
            <w:rPr>
              <w:noProof/>
            </w:rPr>
            <w:t>640</w:t>
          </w:r>
          <w:r w:rsidRPr="000D3432">
            <w:rPr>
              <w:noProof/>
            </w:rPr>
            <w:fldChar w:fldCharType="end"/>
          </w:r>
        </w:p>
        <w:p w14:paraId="11BAAA30"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rPr>
            <w:t>Es, entonces, cierto que  el proceso son “hechos o actos a los que se les asignan unas consecuencias jurídicas”.() Sin esta característica el proceso no sería jurídico. Y lo jurídico tiene que ver con lo que sea exigible socialmente, es decir la existencia de una exigencia social de solución”.()</w:t>
          </w:r>
          <w:r w:rsidRPr="000D3432">
            <w:rPr>
              <w:noProof/>
            </w:rPr>
            <w:tab/>
          </w:r>
          <w:r w:rsidRPr="000D3432">
            <w:rPr>
              <w:noProof/>
            </w:rPr>
            <w:fldChar w:fldCharType="begin"/>
          </w:r>
          <w:r w:rsidRPr="000D3432">
            <w:rPr>
              <w:noProof/>
            </w:rPr>
            <w:instrText xml:space="preserve"> PAGEREF _Toc318102957 \h </w:instrText>
          </w:r>
          <w:r w:rsidRPr="000D3432">
            <w:rPr>
              <w:noProof/>
            </w:rPr>
          </w:r>
          <w:r w:rsidRPr="000D3432">
            <w:rPr>
              <w:noProof/>
            </w:rPr>
            <w:fldChar w:fldCharType="separate"/>
          </w:r>
          <w:r w:rsidRPr="000D3432">
            <w:rPr>
              <w:noProof/>
            </w:rPr>
            <w:t>640</w:t>
          </w:r>
          <w:r w:rsidRPr="000D3432">
            <w:rPr>
              <w:noProof/>
            </w:rPr>
            <w:fldChar w:fldCharType="end"/>
          </w:r>
        </w:p>
        <w:p w14:paraId="411FA26B"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b/>
              <w:noProof/>
              <w:sz w:val="24"/>
              <w:szCs w:val="24"/>
            </w:rPr>
            <w:t>III.- NATURALEZA JURÍDICA DEL PROCESO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_Toc318102958 \h </w:instrText>
          </w:r>
          <w:r w:rsidRPr="000D3432">
            <w:rPr>
              <w:noProof/>
              <w:sz w:val="24"/>
              <w:szCs w:val="24"/>
            </w:rPr>
          </w:r>
          <w:r w:rsidRPr="000D3432">
            <w:rPr>
              <w:noProof/>
              <w:sz w:val="24"/>
              <w:szCs w:val="24"/>
            </w:rPr>
            <w:fldChar w:fldCharType="separate"/>
          </w:r>
          <w:r w:rsidRPr="000D3432">
            <w:rPr>
              <w:noProof/>
              <w:sz w:val="24"/>
              <w:szCs w:val="24"/>
            </w:rPr>
            <w:t>641</w:t>
          </w:r>
          <w:r w:rsidRPr="000D3432">
            <w:rPr>
              <w:noProof/>
              <w:sz w:val="24"/>
              <w:szCs w:val="24"/>
            </w:rPr>
            <w:fldChar w:fldCharType="end"/>
          </w:r>
        </w:p>
        <w:p w14:paraId="75A6C3F0"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color w:val="333333"/>
            </w:rPr>
            <w:t>_______ UNA CONCEPCIÓN PRIMITIVA DEL DERECHO CIVIL_______</w:t>
          </w:r>
          <w:r w:rsidRPr="000D3432">
            <w:rPr>
              <w:noProof/>
            </w:rPr>
            <w:tab/>
          </w:r>
          <w:r w:rsidRPr="000D3432">
            <w:rPr>
              <w:noProof/>
            </w:rPr>
            <w:fldChar w:fldCharType="begin"/>
          </w:r>
          <w:r w:rsidRPr="000D3432">
            <w:rPr>
              <w:noProof/>
            </w:rPr>
            <w:instrText xml:space="preserve"> PAGEREF _Toc318102959 \h </w:instrText>
          </w:r>
          <w:r w:rsidRPr="000D3432">
            <w:rPr>
              <w:noProof/>
            </w:rPr>
          </w:r>
          <w:r w:rsidRPr="000D3432">
            <w:rPr>
              <w:noProof/>
            </w:rPr>
            <w:fldChar w:fldCharType="separate"/>
          </w:r>
          <w:r w:rsidRPr="000D3432">
            <w:rPr>
              <w:noProof/>
            </w:rPr>
            <w:t>650</w:t>
          </w:r>
          <w:r w:rsidRPr="000D3432">
            <w:rPr>
              <w:noProof/>
            </w:rPr>
            <w:fldChar w:fldCharType="end"/>
          </w:r>
        </w:p>
        <w:p w14:paraId="19B7C746"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LAPSUS: DERECHO Y ARTE</w:t>
          </w:r>
          <w:r w:rsidRPr="000D3432">
            <w:rPr>
              <w:b w:val="0"/>
              <w:bCs/>
              <w:noProof/>
              <w:sz w:val="24"/>
              <w:szCs w:val="24"/>
            </w:rPr>
            <w:t>. Acabo de ver una película sobre un artista, un pintor. El quiere descubrir qué es el arte. Primero habría que decir que el personaje en mención tiene una vida llena de vacíos. Deja que todo lo acompleje en su pasado, aunque intenta que no sea así; y un día por casualidad se inserta en la locura; locura que lo lleva a comprender lo que es el arte. El arte no es nada más que un estallido en nuestra mente, una alucinación, absurda y abstracta, que nos atrapa, y nos hace creer que hemos logrado la perfección.</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_Toc318102960 \h </w:instrText>
          </w:r>
          <w:r w:rsidRPr="000D3432">
            <w:rPr>
              <w:noProof/>
              <w:sz w:val="24"/>
              <w:szCs w:val="24"/>
            </w:rPr>
          </w:r>
          <w:r w:rsidRPr="000D3432">
            <w:rPr>
              <w:noProof/>
              <w:sz w:val="24"/>
              <w:szCs w:val="24"/>
            </w:rPr>
            <w:fldChar w:fldCharType="separate"/>
          </w:r>
          <w:r w:rsidRPr="000D3432">
            <w:rPr>
              <w:noProof/>
              <w:sz w:val="24"/>
              <w:szCs w:val="24"/>
            </w:rPr>
            <w:t>650</w:t>
          </w:r>
          <w:r w:rsidRPr="000D3432">
            <w:rPr>
              <w:noProof/>
              <w:sz w:val="24"/>
              <w:szCs w:val="24"/>
            </w:rPr>
            <w:fldChar w:fldCharType="end"/>
          </w:r>
        </w:p>
        <w:p w14:paraId="3A649049"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b/>
              <w:bCs/>
              <w:noProof/>
              <w:sz w:val="24"/>
              <w:szCs w:val="24"/>
            </w:rPr>
            <w:t xml:space="preserve">II.- </w:t>
          </w:r>
          <w:r w:rsidRPr="000D3432">
            <w:rPr>
              <w:b/>
              <w:noProof/>
              <w:sz w:val="24"/>
              <w:szCs w:val="24"/>
            </w:rPr>
            <w:t>Clasificación o etapas de vida del ser humano: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_Toc318102961 \h </w:instrText>
          </w:r>
          <w:r w:rsidRPr="000D3432">
            <w:rPr>
              <w:noProof/>
              <w:sz w:val="24"/>
              <w:szCs w:val="24"/>
            </w:rPr>
          </w:r>
          <w:r w:rsidRPr="000D3432">
            <w:rPr>
              <w:noProof/>
              <w:sz w:val="24"/>
              <w:szCs w:val="24"/>
            </w:rPr>
            <w:fldChar w:fldCharType="separate"/>
          </w:r>
          <w:r w:rsidRPr="000D3432">
            <w:rPr>
              <w:noProof/>
              <w:sz w:val="24"/>
              <w:szCs w:val="24"/>
            </w:rPr>
            <w:t>654</w:t>
          </w:r>
          <w:r w:rsidRPr="000D3432">
            <w:rPr>
              <w:noProof/>
              <w:sz w:val="24"/>
              <w:szCs w:val="24"/>
            </w:rPr>
            <w:fldChar w:fldCharType="end"/>
          </w:r>
        </w:p>
        <w:p w14:paraId="3F0021C7"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b/>
              <w:bCs/>
              <w:noProof/>
              <w:sz w:val="24"/>
              <w:szCs w:val="24"/>
              <w:lang w:val="es-MX"/>
            </w:rPr>
            <w:t>II. LA FAMILIA EN EL DERECHO</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_Toc318102962 \h </w:instrText>
          </w:r>
          <w:r w:rsidRPr="000D3432">
            <w:rPr>
              <w:noProof/>
              <w:sz w:val="24"/>
              <w:szCs w:val="24"/>
            </w:rPr>
          </w:r>
          <w:r w:rsidRPr="000D3432">
            <w:rPr>
              <w:noProof/>
              <w:sz w:val="24"/>
              <w:szCs w:val="24"/>
            </w:rPr>
            <w:fldChar w:fldCharType="separate"/>
          </w:r>
          <w:r w:rsidRPr="000D3432">
            <w:rPr>
              <w:noProof/>
              <w:sz w:val="24"/>
              <w:szCs w:val="24"/>
            </w:rPr>
            <w:t>664</w:t>
          </w:r>
          <w:r w:rsidRPr="000D3432">
            <w:rPr>
              <w:noProof/>
              <w:sz w:val="24"/>
              <w:szCs w:val="24"/>
            </w:rPr>
            <w:fldChar w:fldCharType="end"/>
          </w:r>
        </w:p>
        <w:p w14:paraId="031CA04B" w14:textId="77777777" w:rsidR="00F95A20" w:rsidRPr="000D3432" w:rsidRDefault="00F95A20">
          <w:pPr>
            <w:pStyle w:val="TDC3"/>
            <w:tabs>
              <w:tab w:val="right" w:leader="dot" w:pos="8209"/>
            </w:tabs>
            <w:rPr>
              <w:rFonts w:eastAsiaTheme="minorEastAsia"/>
              <w:noProof/>
              <w:sz w:val="24"/>
              <w:szCs w:val="24"/>
              <w:lang w:val="es-ES_tradnl" w:eastAsia="ja-JP"/>
            </w:rPr>
          </w:pPr>
          <w:r w:rsidRPr="000D3432">
            <w:rPr>
              <w:b/>
              <w:noProof/>
              <w:sz w:val="24"/>
              <w:szCs w:val="24"/>
            </w:rPr>
            <w:t>__________  PROPUESTAS DE REFORMAS NORMATIVAS _________</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_Toc318102963 \h </w:instrText>
          </w:r>
          <w:r w:rsidRPr="000D3432">
            <w:rPr>
              <w:noProof/>
              <w:sz w:val="24"/>
              <w:szCs w:val="24"/>
            </w:rPr>
          </w:r>
          <w:r w:rsidRPr="000D3432">
            <w:rPr>
              <w:noProof/>
              <w:sz w:val="24"/>
              <w:szCs w:val="24"/>
            </w:rPr>
            <w:fldChar w:fldCharType="separate"/>
          </w:r>
          <w:r w:rsidRPr="000D3432">
            <w:rPr>
              <w:noProof/>
              <w:sz w:val="24"/>
              <w:szCs w:val="24"/>
            </w:rPr>
            <w:t>691</w:t>
          </w:r>
          <w:r w:rsidRPr="000D3432">
            <w:rPr>
              <w:noProof/>
              <w:sz w:val="24"/>
              <w:szCs w:val="24"/>
            </w:rPr>
            <w:fldChar w:fldCharType="end"/>
          </w:r>
        </w:p>
        <w:p w14:paraId="7C3E1E48" w14:textId="77777777" w:rsidR="00F95A20" w:rsidRPr="000D3432" w:rsidRDefault="00F95A20">
          <w:pPr>
            <w:pStyle w:val="TDC1"/>
            <w:tabs>
              <w:tab w:val="right" w:leader="dot" w:pos="8209"/>
            </w:tabs>
            <w:rPr>
              <w:rFonts w:eastAsiaTheme="minorEastAsia"/>
              <w:b w:val="0"/>
              <w:noProof/>
              <w:lang w:val="es-ES_tradnl" w:eastAsia="ja-JP"/>
            </w:rPr>
          </w:pPr>
          <w:r w:rsidRPr="000D3432">
            <w:rPr>
              <w:b w:val="0"/>
              <w:noProof/>
            </w:rPr>
            <w:t>La norma se encuentra en el Código, en su Artículo 241, que expresa: “No pueden contraer matrimonio:</w:t>
          </w:r>
          <w:r w:rsidRPr="000D3432">
            <w:rPr>
              <w:noProof/>
            </w:rPr>
            <w:tab/>
          </w:r>
          <w:r w:rsidRPr="000D3432">
            <w:rPr>
              <w:noProof/>
            </w:rPr>
            <w:fldChar w:fldCharType="begin"/>
          </w:r>
          <w:r w:rsidRPr="000D3432">
            <w:rPr>
              <w:noProof/>
            </w:rPr>
            <w:instrText xml:space="preserve"> PAGEREF _Toc318102964 \h </w:instrText>
          </w:r>
          <w:r w:rsidRPr="000D3432">
            <w:rPr>
              <w:noProof/>
            </w:rPr>
          </w:r>
          <w:r w:rsidRPr="000D3432">
            <w:rPr>
              <w:noProof/>
            </w:rPr>
            <w:fldChar w:fldCharType="separate"/>
          </w:r>
          <w:r w:rsidRPr="000D3432">
            <w:rPr>
              <w:noProof/>
            </w:rPr>
            <w:t>691</w:t>
          </w:r>
          <w:r w:rsidRPr="000D3432">
            <w:rPr>
              <w:noProof/>
            </w:rPr>
            <w:fldChar w:fldCharType="end"/>
          </w:r>
        </w:p>
        <w:p w14:paraId="761CA378"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Base Legal.-</w:t>
          </w:r>
          <w:r w:rsidRPr="000D3432">
            <w:rPr>
              <w:noProof/>
            </w:rPr>
            <w:tab/>
          </w:r>
          <w:r w:rsidRPr="000D3432">
            <w:rPr>
              <w:noProof/>
            </w:rPr>
            <w:fldChar w:fldCharType="begin"/>
          </w:r>
          <w:r w:rsidRPr="000D3432">
            <w:rPr>
              <w:noProof/>
            </w:rPr>
            <w:instrText xml:space="preserve"> PAGEREF _Toc318102965 \h </w:instrText>
          </w:r>
          <w:r w:rsidRPr="000D3432">
            <w:rPr>
              <w:noProof/>
            </w:rPr>
          </w:r>
          <w:r w:rsidRPr="000D3432">
            <w:rPr>
              <w:noProof/>
            </w:rPr>
            <w:fldChar w:fldCharType="separate"/>
          </w:r>
          <w:r w:rsidRPr="000D3432">
            <w:rPr>
              <w:noProof/>
            </w:rPr>
            <w:t>695</w:t>
          </w:r>
          <w:r w:rsidRPr="000D3432">
            <w:rPr>
              <w:noProof/>
            </w:rPr>
            <w:fldChar w:fldCharType="end"/>
          </w:r>
        </w:p>
        <w:p w14:paraId="43B83857"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ANÁLISIS.-</w:t>
          </w:r>
          <w:r w:rsidRPr="000D3432">
            <w:rPr>
              <w:noProof/>
            </w:rPr>
            <w:tab/>
          </w:r>
          <w:r w:rsidRPr="000D3432">
            <w:rPr>
              <w:noProof/>
            </w:rPr>
            <w:fldChar w:fldCharType="begin"/>
          </w:r>
          <w:r w:rsidRPr="000D3432">
            <w:rPr>
              <w:noProof/>
            </w:rPr>
            <w:instrText xml:space="preserve"> PAGEREF _Toc318102966 \h </w:instrText>
          </w:r>
          <w:r w:rsidRPr="000D3432">
            <w:rPr>
              <w:noProof/>
            </w:rPr>
          </w:r>
          <w:r w:rsidRPr="000D3432">
            <w:rPr>
              <w:noProof/>
            </w:rPr>
            <w:fldChar w:fldCharType="separate"/>
          </w:r>
          <w:r w:rsidRPr="000D3432">
            <w:rPr>
              <w:noProof/>
            </w:rPr>
            <w:t>695</w:t>
          </w:r>
          <w:r w:rsidRPr="000D3432">
            <w:rPr>
              <w:noProof/>
            </w:rPr>
            <w:fldChar w:fldCharType="end"/>
          </w:r>
        </w:p>
        <w:p w14:paraId="0D56444A"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PROPUESTA.-</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_Toc318102967 \h </w:instrText>
          </w:r>
          <w:r w:rsidRPr="000D3432">
            <w:rPr>
              <w:noProof/>
              <w:sz w:val="24"/>
              <w:szCs w:val="24"/>
            </w:rPr>
          </w:r>
          <w:r w:rsidRPr="000D3432">
            <w:rPr>
              <w:noProof/>
              <w:sz w:val="24"/>
              <w:szCs w:val="24"/>
            </w:rPr>
            <w:fldChar w:fldCharType="separate"/>
          </w:r>
          <w:r w:rsidRPr="000D3432">
            <w:rPr>
              <w:noProof/>
              <w:sz w:val="24"/>
              <w:szCs w:val="24"/>
            </w:rPr>
            <w:t>696</w:t>
          </w:r>
          <w:r w:rsidRPr="000D3432">
            <w:rPr>
              <w:noProof/>
              <w:sz w:val="24"/>
              <w:szCs w:val="24"/>
            </w:rPr>
            <w:fldChar w:fldCharType="end"/>
          </w:r>
        </w:p>
        <w:p w14:paraId="418686D3"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Base Legal.-</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_Toc318102968 \h </w:instrText>
          </w:r>
          <w:r w:rsidRPr="000D3432">
            <w:rPr>
              <w:noProof/>
              <w:sz w:val="24"/>
              <w:szCs w:val="24"/>
            </w:rPr>
          </w:r>
          <w:r w:rsidRPr="000D3432">
            <w:rPr>
              <w:noProof/>
              <w:sz w:val="24"/>
              <w:szCs w:val="24"/>
            </w:rPr>
            <w:fldChar w:fldCharType="separate"/>
          </w:r>
          <w:r w:rsidRPr="000D3432">
            <w:rPr>
              <w:noProof/>
              <w:sz w:val="24"/>
              <w:szCs w:val="24"/>
            </w:rPr>
            <w:t>696</w:t>
          </w:r>
          <w:r w:rsidRPr="000D3432">
            <w:rPr>
              <w:noProof/>
              <w:sz w:val="24"/>
              <w:szCs w:val="24"/>
            </w:rPr>
            <w:fldChar w:fldCharType="end"/>
          </w:r>
        </w:p>
        <w:p w14:paraId="60EF327A" w14:textId="77777777" w:rsidR="00F95A20" w:rsidRPr="000D3432" w:rsidRDefault="00F95A20">
          <w:pPr>
            <w:pStyle w:val="TDC2"/>
            <w:tabs>
              <w:tab w:val="right" w:leader="dot" w:pos="8209"/>
            </w:tabs>
            <w:rPr>
              <w:rFonts w:eastAsiaTheme="minorEastAsia"/>
              <w:b w:val="0"/>
              <w:noProof/>
              <w:sz w:val="24"/>
              <w:szCs w:val="24"/>
              <w:lang w:val="es-ES_tradnl" w:eastAsia="ja-JP"/>
            </w:rPr>
          </w:pPr>
          <w:r w:rsidRPr="000D3432">
            <w:rPr>
              <w:noProof/>
              <w:sz w:val="24"/>
              <w:szCs w:val="24"/>
            </w:rPr>
            <w:t>ANÁLISIS.-</w:t>
          </w:r>
          <w:r w:rsidRPr="000D3432">
            <w:rPr>
              <w:noProof/>
              <w:sz w:val="24"/>
              <w:szCs w:val="24"/>
            </w:rPr>
            <w:tab/>
          </w:r>
          <w:r w:rsidRPr="000D3432">
            <w:rPr>
              <w:noProof/>
              <w:sz w:val="24"/>
              <w:szCs w:val="24"/>
            </w:rPr>
            <w:fldChar w:fldCharType="begin"/>
          </w:r>
          <w:r w:rsidRPr="000D3432">
            <w:rPr>
              <w:noProof/>
              <w:sz w:val="24"/>
              <w:szCs w:val="24"/>
            </w:rPr>
            <w:instrText xml:space="preserve"> PAGEREF _Toc318102969 \h </w:instrText>
          </w:r>
          <w:r w:rsidRPr="000D3432">
            <w:rPr>
              <w:noProof/>
              <w:sz w:val="24"/>
              <w:szCs w:val="24"/>
            </w:rPr>
          </w:r>
          <w:r w:rsidRPr="000D3432">
            <w:rPr>
              <w:noProof/>
              <w:sz w:val="24"/>
              <w:szCs w:val="24"/>
            </w:rPr>
            <w:fldChar w:fldCharType="separate"/>
          </w:r>
          <w:r w:rsidRPr="000D3432">
            <w:rPr>
              <w:noProof/>
              <w:sz w:val="24"/>
              <w:szCs w:val="24"/>
            </w:rPr>
            <w:t>696</w:t>
          </w:r>
          <w:r w:rsidRPr="000D3432">
            <w:rPr>
              <w:noProof/>
              <w:sz w:val="24"/>
              <w:szCs w:val="24"/>
            </w:rPr>
            <w:fldChar w:fldCharType="end"/>
          </w:r>
        </w:p>
        <w:p w14:paraId="53706CC1" w14:textId="77777777" w:rsidR="00F95A20" w:rsidRPr="000D3432" w:rsidRDefault="00F95A20">
          <w:pPr>
            <w:pStyle w:val="TDC1"/>
            <w:tabs>
              <w:tab w:val="right" w:leader="dot" w:pos="8209"/>
            </w:tabs>
            <w:rPr>
              <w:rFonts w:eastAsiaTheme="minorEastAsia"/>
              <w:b w:val="0"/>
              <w:noProof/>
              <w:lang w:val="es-ES_tradnl" w:eastAsia="ja-JP"/>
            </w:rPr>
          </w:pPr>
          <w:r w:rsidRPr="000D3432">
            <w:rPr>
              <w:noProof/>
            </w:rPr>
            <w:t>_____ LA MUERTE DE LA ESPECIALIZACIÓN DEL DERECHO _____</w:t>
          </w:r>
          <w:r w:rsidRPr="000D3432">
            <w:rPr>
              <w:noProof/>
            </w:rPr>
            <w:tab/>
          </w:r>
          <w:r w:rsidRPr="000D3432">
            <w:rPr>
              <w:noProof/>
            </w:rPr>
            <w:fldChar w:fldCharType="begin"/>
          </w:r>
          <w:r w:rsidRPr="000D3432">
            <w:rPr>
              <w:noProof/>
            </w:rPr>
            <w:instrText xml:space="preserve"> PAGEREF _Toc318102970 \h </w:instrText>
          </w:r>
          <w:r w:rsidRPr="000D3432">
            <w:rPr>
              <w:noProof/>
            </w:rPr>
          </w:r>
          <w:r w:rsidRPr="000D3432">
            <w:rPr>
              <w:noProof/>
            </w:rPr>
            <w:fldChar w:fldCharType="separate"/>
          </w:r>
          <w:r w:rsidRPr="000D3432">
            <w:rPr>
              <w:noProof/>
            </w:rPr>
            <w:t>701</w:t>
          </w:r>
          <w:r w:rsidRPr="000D3432">
            <w:rPr>
              <w:noProof/>
            </w:rPr>
            <w:fldChar w:fldCharType="end"/>
          </w:r>
        </w:p>
        <w:p w14:paraId="7EEF3EA3" w14:textId="68A060F2" w:rsidR="00F95A20" w:rsidRPr="000D3432" w:rsidRDefault="00F95A20" w:rsidP="00F95A20">
          <w:pPr>
            <w:jc w:val="center"/>
            <w:rPr>
              <w:rFonts w:asciiTheme="minorHAnsi" w:hAnsiTheme="minorHAnsi" w:cs="Arial"/>
              <w:szCs w:val="24"/>
            </w:rPr>
          </w:pPr>
          <w:r w:rsidRPr="000D3432">
            <w:rPr>
              <w:rFonts w:asciiTheme="minorHAnsi" w:hAnsiTheme="minorHAnsi"/>
              <w:b/>
              <w:bCs/>
              <w:noProof/>
              <w:szCs w:val="24"/>
            </w:rPr>
            <w:fldChar w:fldCharType="end"/>
          </w:r>
        </w:p>
      </w:sdtContent>
    </w:sdt>
    <w:p w14:paraId="6B1D54F1" w14:textId="77777777" w:rsidR="001925CE" w:rsidRPr="000D3432" w:rsidRDefault="001925CE" w:rsidP="00A95498">
      <w:pPr>
        <w:jc w:val="center"/>
        <w:rPr>
          <w:rFonts w:asciiTheme="minorHAnsi" w:hAnsiTheme="minorHAnsi" w:cs="Arial"/>
          <w:szCs w:val="24"/>
        </w:rPr>
      </w:pPr>
      <w:r w:rsidRPr="000D3432">
        <w:rPr>
          <w:rFonts w:asciiTheme="minorHAnsi" w:hAnsiTheme="minorHAnsi" w:cs="Arial"/>
          <w:szCs w:val="24"/>
        </w:rPr>
        <w:br w:type="page"/>
      </w:r>
    </w:p>
    <w:p w14:paraId="5F508A99" w14:textId="77777777" w:rsidR="001925CE" w:rsidRPr="000D3432" w:rsidRDefault="001925CE" w:rsidP="00A95498">
      <w:pPr>
        <w:jc w:val="center"/>
        <w:rPr>
          <w:rFonts w:asciiTheme="minorHAnsi" w:hAnsiTheme="minorHAnsi"/>
          <w:b/>
          <w:szCs w:val="24"/>
        </w:rPr>
      </w:pPr>
    </w:p>
    <w:p w14:paraId="402813E2" w14:textId="77777777" w:rsidR="00F95A20" w:rsidRPr="000D3432" w:rsidRDefault="00F95A20" w:rsidP="00A95498">
      <w:pPr>
        <w:jc w:val="center"/>
        <w:rPr>
          <w:rFonts w:asciiTheme="minorHAnsi" w:hAnsiTheme="minorHAnsi"/>
          <w:b/>
          <w:szCs w:val="24"/>
        </w:rPr>
      </w:pPr>
    </w:p>
    <w:p w14:paraId="0D19E313" w14:textId="6A5C7B1A" w:rsidR="00F95A20" w:rsidRPr="000D3432" w:rsidRDefault="003F5494" w:rsidP="00F95A20">
      <w:pPr>
        <w:jc w:val="center"/>
        <w:rPr>
          <w:rFonts w:asciiTheme="minorHAnsi" w:hAnsiTheme="minorHAnsi"/>
          <w:b/>
          <w:szCs w:val="24"/>
          <w:u w:val="single"/>
          <w:lang w:val="es-ES_tradnl"/>
        </w:rPr>
      </w:pPr>
      <w:r>
        <w:rPr>
          <w:rFonts w:asciiTheme="minorHAnsi" w:hAnsiTheme="minorHAnsi"/>
          <w:b/>
          <w:szCs w:val="24"/>
          <w:u w:val="single"/>
          <w:lang w:val="es-ES_tradnl"/>
        </w:rPr>
        <w:t>PRESENTACIÓN Y EPÍLOGO</w:t>
      </w:r>
    </w:p>
    <w:p w14:paraId="3528FC7C" w14:textId="77777777" w:rsidR="00F95A20" w:rsidRPr="000D3432" w:rsidRDefault="00F95A20" w:rsidP="00F95A20">
      <w:pPr>
        <w:jc w:val="both"/>
        <w:rPr>
          <w:rFonts w:asciiTheme="minorHAnsi" w:hAnsiTheme="minorHAnsi"/>
          <w:szCs w:val="24"/>
          <w:lang w:val="es-ES_tradnl"/>
        </w:rPr>
      </w:pPr>
    </w:p>
    <w:p w14:paraId="006AFDD0" w14:textId="77777777" w:rsidR="00F95A20" w:rsidRPr="000D3432" w:rsidRDefault="00F95A20" w:rsidP="00F95A20">
      <w:pPr>
        <w:jc w:val="both"/>
        <w:rPr>
          <w:rFonts w:asciiTheme="minorHAnsi" w:hAnsiTheme="minorHAnsi"/>
          <w:szCs w:val="24"/>
          <w:lang w:val="es-ES_tradnl"/>
        </w:rPr>
      </w:pPr>
    </w:p>
    <w:p w14:paraId="4D1E8D35" w14:textId="5878D826" w:rsidR="008B62EC" w:rsidRPr="000D3432" w:rsidRDefault="008B62EC" w:rsidP="008B62EC">
      <w:pPr>
        <w:jc w:val="right"/>
        <w:rPr>
          <w:rFonts w:asciiTheme="minorHAnsi" w:hAnsiTheme="minorHAnsi" w:cs="Arial"/>
          <w:b/>
          <w:szCs w:val="24"/>
          <w:lang w:val="es-ES_tradnl"/>
        </w:rPr>
      </w:pPr>
      <w:r w:rsidRPr="000D3432">
        <w:rPr>
          <w:rFonts w:asciiTheme="minorHAnsi" w:hAnsiTheme="minorHAnsi"/>
          <w:b/>
          <w:szCs w:val="24"/>
          <w:lang w:val="es-ES_tradnl"/>
        </w:rPr>
        <w:t xml:space="preserve">Dr. </w:t>
      </w:r>
      <w:r w:rsidRPr="000D3432">
        <w:rPr>
          <w:rFonts w:asciiTheme="minorHAnsi" w:hAnsiTheme="minorHAnsi" w:cs="Arial"/>
          <w:b/>
          <w:szCs w:val="24"/>
          <w:lang w:val="es-ES_tradnl"/>
        </w:rPr>
        <w:t>Máximo B. Torres Cruz</w:t>
      </w:r>
    </w:p>
    <w:p w14:paraId="281C0046" w14:textId="77777777" w:rsidR="008B62EC" w:rsidRPr="000D3432" w:rsidRDefault="008B62EC" w:rsidP="008B62EC">
      <w:pPr>
        <w:jc w:val="right"/>
        <w:rPr>
          <w:rFonts w:asciiTheme="minorHAnsi" w:hAnsiTheme="minorHAnsi" w:cs="Arial"/>
          <w:szCs w:val="24"/>
          <w:lang w:val="es-ES_tradnl"/>
        </w:rPr>
      </w:pPr>
      <w:r w:rsidRPr="000D3432">
        <w:rPr>
          <w:rFonts w:asciiTheme="minorHAnsi" w:hAnsiTheme="minorHAnsi" w:cs="Arial"/>
          <w:szCs w:val="24"/>
          <w:lang w:val="es-ES_tradnl"/>
        </w:rPr>
        <w:t>Doctor en Derecho</w:t>
      </w:r>
    </w:p>
    <w:p w14:paraId="10BA634C" w14:textId="2F09055E" w:rsidR="008B62EC" w:rsidRPr="000D3432" w:rsidRDefault="008B62EC" w:rsidP="008B62EC">
      <w:pPr>
        <w:jc w:val="right"/>
        <w:rPr>
          <w:rFonts w:asciiTheme="minorHAnsi" w:hAnsiTheme="minorHAnsi" w:cs="Arial"/>
          <w:szCs w:val="24"/>
          <w:lang w:val="es-ES_tradnl"/>
        </w:rPr>
      </w:pPr>
      <w:r w:rsidRPr="000D3432">
        <w:rPr>
          <w:rFonts w:asciiTheme="minorHAnsi" w:hAnsiTheme="minorHAnsi" w:cs="Arial"/>
          <w:szCs w:val="24"/>
          <w:lang w:val="es-ES_tradnl"/>
        </w:rPr>
        <w:t xml:space="preserve">Juez Superior de la Corte Superior de Justicia </w:t>
      </w:r>
    </w:p>
    <w:p w14:paraId="550D6A7C" w14:textId="77777777" w:rsidR="008B62EC" w:rsidRPr="000D3432" w:rsidRDefault="008B62EC" w:rsidP="008B62EC">
      <w:pPr>
        <w:jc w:val="right"/>
        <w:rPr>
          <w:rFonts w:asciiTheme="minorHAnsi" w:hAnsiTheme="minorHAnsi"/>
          <w:szCs w:val="24"/>
          <w:lang w:val="es-ES_tradnl"/>
        </w:rPr>
      </w:pPr>
      <w:r w:rsidRPr="000D3432">
        <w:rPr>
          <w:rFonts w:asciiTheme="minorHAnsi" w:hAnsiTheme="minorHAnsi"/>
          <w:szCs w:val="24"/>
          <w:lang w:val="es-ES_tradnl"/>
        </w:rPr>
        <w:t xml:space="preserve">Ex Fiscal Superior de la Fiscalía </w:t>
      </w:r>
    </w:p>
    <w:p w14:paraId="081FBFA4" w14:textId="7EBB04E3" w:rsidR="008B62EC" w:rsidRPr="000D3432" w:rsidRDefault="008B62EC" w:rsidP="008B62EC">
      <w:pPr>
        <w:jc w:val="right"/>
        <w:rPr>
          <w:rFonts w:asciiTheme="minorHAnsi" w:hAnsiTheme="minorHAnsi"/>
          <w:szCs w:val="24"/>
          <w:lang w:val="es-ES_tradnl"/>
        </w:rPr>
      </w:pPr>
      <w:r w:rsidRPr="000D3432">
        <w:rPr>
          <w:rFonts w:asciiTheme="minorHAnsi" w:hAnsiTheme="minorHAnsi"/>
          <w:szCs w:val="24"/>
          <w:lang w:val="es-ES_tradnl"/>
        </w:rPr>
        <w:t>de Huancavelica</w:t>
      </w:r>
    </w:p>
    <w:p w14:paraId="49E7651B" w14:textId="77777777" w:rsidR="008B62EC" w:rsidRPr="000D3432" w:rsidRDefault="008B62EC" w:rsidP="00F95A20">
      <w:pPr>
        <w:jc w:val="right"/>
        <w:rPr>
          <w:rFonts w:asciiTheme="minorHAnsi" w:hAnsiTheme="minorHAnsi"/>
          <w:szCs w:val="24"/>
          <w:lang w:val="es-ES_tradnl"/>
        </w:rPr>
      </w:pPr>
    </w:p>
    <w:p w14:paraId="59FEBD71" w14:textId="77777777" w:rsidR="00F95A20" w:rsidRPr="000D3432" w:rsidRDefault="00F95A20" w:rsidP="00F95A20">
      <w:pPr>
        <w:jc w:val="both"/>
        <w:rPr>
          <w:rFonts w:asciiTheme="minorHAnsi" w:hAnsiTheme="minorHAnsi"/>
          <w:szCs w:val="24"/>
          <w:lang w:val="es-ES_tradnl"/>
        </w:rPr>
      </w:pPr>
    </w:p>
    <w:p w14:paraId="1CB68290" w14:textId="77777777" w:rsidR="00F95A20" w:rsidRPr="000D3432" w:rsidRDefault="00F95A20" w:rsidP="00F95A20">
      <w:pPr>
        <w:jc w:val="both"/>
        <w:rPr>
          <w:rFonts w:asciiTheme="minorHAnsi" w:hAnsiTheme="minorHAnsi"/>
          <w:szCs w:val="24"/>
          <w:lang w:val="es-ES_tradnl"/>
        </w:rPr>
      </w:pPr>
    </w:p>
    <w:p w14:paraId="20BB9CB1"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t xml:space="preserve">Nuevamente el autor nos sorprende con un nuevo libro, un nuevo título: “Las curvas del derecho”, y muchas ideas: la filosofía, los filósofos, el derecho, las pasiones, etc. Entusiasta, audaz, y valiente, desafía los rigores de la estructura, y habla de muchas de sus pasiones, desde la filosofía hasta el amor. Temas tan diversos como el mismo autor, polifacético y excéntrico. Pretende demostrar que la vida en si no tiene necesariamente unidad sino momentos; momentos luego reunidos por el tiempo, o por la historia, o por el tema. La vida no tiene secuencialidad más que en el transcurso del tiempo, es tan absurda como lógica, y no hay que preocuparnos mucho de ello, sino vivir. El autor por eso pareciera burlarse  de alguna forma de toda estructura, demostrar que no es tan importante la estructura como la vida; no son tan importantes las comas, las tildes, o los signos de puntuación, sino el ser humano en plena ebullición, en plena vida, con sus errores y sus aciertos. El autor demuestra su enorme disposición a ser un creador, un inventor de palabras, emociones y momentos, y busca todo esto en la filosofía, en los filósofos, en el derecho, en el ser humano; y esta vez lo hace a través del presente libro: un conjunto de ideas y de posibilidades que son como la puerta para que los demás también se atrevan a ser ellos mismos. </w:t>
      </w:r>
    </w:p>
    <w:p w14:paraId="5876E5A0" w14:textId="77777777" w:rsidR="00F95A20" w:rsidRPr="000D3432" w:rsidRDefault="00F95A20" w:rsidP="00F95A20">
      <w:pPr>
        <w:jc w:val="both"/>
        <w:rPr>
          <w:rFonts w:asciiTheme="minorHAnsi" w:hAnsiTheme="minorHAnsi"/>
          <w:szCs w:val="24"/>
          <w:lang w:val="es-ES_tradnl"/>
        </w:rPr>
      </w:pPr>
    </w:p>
    <w:p w14:paraId="64541539" w14:textId="77777777" w:rsidR="00F95A20" w:rsidRPr="000D3432" w:rsidRDefault="00F95A20" w:rsidP="00F95A20">
      <w:pPr>
        <w:jc w:val="both"/>
        <w:rPr>
          <w:rFonts w:asciiTheme="minorHAnsi" w:hAnsiTheme="minorHAnsi"/>
          <w:b/>
          <w:szCs w:val="24"/>
          <w:lang w:val="es-ES_tradnl"/>
        </w:rPr>
      </w:pPr>
      <w:r w:rsidRPr="000D3432">
        <w:rPr>
          <w:rFonts w:asciiTheme="minorHAnsi" w:hAnsiTheme="minorHAnsi"/>
          <w:b/>
          <w:szCs w:val="24"/>
          <w:lang w:val="es-ES_tradnl"/>
        </w:rPr>
        <w:t>EL FALSO ALUMNO</w:t>
      </w:r>
    </w:p>
    <w:p w14:paraId="08BF0D58" w14:textId="77777777" w:rsidR="00F95A20" w:rsidRPr="000D3432" w:rsidRDefault="00F95A20" w:rsidP="00F95A20">
      <w:pPr>
        <w:jc w:val="both"/>
        <w:rPr>
          <w:rFonts w:asciiTheme="minorHAnsi" w:hAnsiTheme="minorHAnsi"/>
          <w:szCs w:val="24"/>
          <w:lang w:val="es-ES_tradnl"/>
        </w:rPr>
      </w:pPr>
    </w:p>
    <w:p w14:paraId="246F9015"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t>Las universidades peruanas y especialmente las facultades de Derecho,  se encuentran en una grave crisis, difícil de superar. Ello obedece especialmente a tres factores: las disposiciones legales, selección del profesorado y pasividad de la administración de justicia.Es necesario un movimiento regeneracionista para combatir la corrupción que padece la universidad y mejorar la calidad del profesorado.</w:t>
      </w:r>
    </w:p>
    <w:p w14:paraId="66F7486C"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br/>
        <w:t xml:space="preserve">Al haberse dado la ley  donde se otorgaba el bachillerato automático, para favorecer a los mediocres, funcionarios públicos, ha ocasionado que los estudiantes de las universidades se comporten en forma automática en simples repetidores de las normas, sin ningún atisbo de investigador o de persona que deseen cambiar para mejorar la convivencia social.La mencionada norma los ha vuelto conformistas, más aún cuando se están dando cursos de titulación y a distancia, donde todos aprueban y la exigencia es nula; los títulos profesionales se han vuelto un negocio lucrativo para algunas universidades, es decir que en esta época los títulos profesionales se compran; ya no es necesario ir a Azángaro(lugar donde vendían títulos falsos) para comprar un titulo falso sino que las propias universidades otorgan un titulo y “el falso es el alumno” que </w:t>
      </w:r>
      <w:r w:rsidRPr="000D3432">
        <w:rPr>
          <w:rFonts w:asciiTheme="minorHAnsi" w:hAnsiTheme="minorHAnsi"/>
          <w:szCs w:val="24"/>
          <w:lang w:val="es-ES_tradnl"/>
        </w:rPr>
        <w:lastRenderedPageBreak/>
        <w:t>obtiene este documento, muchas veces, sin conocer la materia de lo que contiene el título profesional .</w:t>
      </w:r>
    </w:p>
    <w:p w14:paraId="37A24C6C" w14:textId="77777777" w:rsidR="00F95A20" w:rsidRPr="000D3432" w:rsidRDefault="00F95A20" w:rsidP="00F95A20">
      <w:pPr>
        <w:jc w:val="both"/>
        <w:rPr>
          <w:rFonts w:asciiTheme="minorHAnsi" w:hAnsiTheme="minorHAnsi"/>
          <w:b/>
          <w:szCs w:val="24"/>
          <w:lang w:val="es-ES_tradnl"/>
        </w:rPr>
      </w:pPr>
      <w:r w:rsidRPr="000D3432">
        <w:rPr>
          <w:rFonts w:asciiTheme="minorHAnsi" w:hAnsiTheme="minorHAnsi"/>
          <w:szCs w:val="24"/>
          <w:lang w:val="es-ES_tradnl"/>
        </w:rPr>
        <w:t>      </w:t>
      </w:r>
      <w:r w:rsidRPr="000D3432">
        <w:rPr>
          <w:rFonts w:asciiTheme="minorHAnsi" w:hAnsiTheme="minorHAnsi"/>
          <w:szCs w:val="24"/>
          <w:lang w:val="es-ES_tradnl"/>
        </w:rPr>
        <w:br/>
      </w:r>
      <w:r w:rsidRPr="000D3432">
        <w:rPr>
          <w:rFonts w:asciiTheme="minorHAnsi" w:hAnsiTheme="minorHAnsi"/>
          <w:b/>
          <w:szCs w:val="24"/>
          <w:lang w:val="es-ES_tradnl"/>
        </w:rPr>
        <w:t>REINGENERIA EN EL PENSAMIENTO DE LOS PERUANOS </w:t>
      </w:r>
    </w:p>
    <w:p w14:paraId="685AA85E" w14:textId="77777777" w:rsidR="00F95A20" w:rsidRPr="000D3432" w:rsidRDefault="00F95A20" w:rsidP="00F95A20">
      <w:pPr>
        <w:jc w:val="both"/>
        <w:rPr>
          <w:rFonts w:asciiTheme="minorHAnsi" w:hAnsiTheme="minorHAnsi"/>
          <w:szCs w:val="24"/>
          <w:lang w:val="es-ES_tradnl"/>
        </w:rPr>
      </w:pPr>
    </w:p>
    <w:p w14:paraId="78FA15E1"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t>Es por ello la importancia del libro que se esta publicando y que me ha tocado el alto honor de epilogar.El autor siempre inquieto e hiperactivo ha tenido la feliz idea de cuestionar el derecho en general, porque según su razonamiento, esto debe cambiar, y es cierto, la sociedad cambia constantemente y por ende el derecho debe estar cambiando y solo cambiara cuando existan personas que se dediquen a la investigación conociendo nuestra realidad, muchas veces los autores recogen o copian y a veces mal, normas de otros países que tiene realidades distintas a las nuestras y son aplicada a nuestra realidad, por lo que no tiene resultados óptimos, porque se han elaborado viviendo y conociendo otras realidades .</w:t>
      </w:r>
      <w:r w:rsidRPr="000D3432">
        <w:rPr>
          <w:rFonts w:asciiTheme="minorHAnsi" w:hAnsiTheme="minorHAnsi"/>
          <w:szCs w:val="24"/>
          <w:lang w:val="es-ES_tradnl"/>
        </w:rPr>
        <w:br/>
        <w:t>Claus Roxin y GünterJakobs doctrinarios en Derecho Penal y que sus estudios están siendo aplicados en nuestra legislación peruana; hacen su análisis desde la realidad que ellos han estudiado, la sociedad alemana, que es distinta en muchos aspectos a la realidad peruana, pero ello no implica que su aplicación a nuestra realidad sea óptima.Por ello necesitamos estudiosos del derecho,como el autor, para que formen la doctrina desde la realidad peruana, que es un país multiétnico donde las costumbres son distintas en nuestro propio país, que están arraigadas y que debe procederse a cambiar, pero ello lleva a un reingeniería en el pensamiento de los peruanos.</w:t>
      </w:r>
    </w:p>
    <w:p w14:paraId="2D2662FC" w14:textId="77777777" w:rsidR="00F95A20" w:rsidRPr="000D3432" w:rsidRDefault="00F95A20" w:rsidP="00F95A20">
      <w:pPr>
        <w:jc w:val="both"/>
        <w:rPr>
          <w:rFonts w:asciiTheme="minorHAnsi" w:hAnsiTheme="minorHAnsi"/>
          <w:szCs w:val="24"/>
          <w:lang w:val="es-ES_tradnl"/>
        </w:rPr>
      </w:pPr>
    </w:p>
    <w:p w14:paraId="34B015F8" w14:textId="77777777" w:rsidR="00F95A20" w:rsidRPr="000D3432" w:rsidRDefault="00F95A20" w:rsidP="00F95A20">
      <w:pPr>
        <w:jc w:val="both"/>
        <w:rPr>
          <w:rFonts w:asciiTheme="minorHAnsi" w:hAnsiTheme="minorHAnsi"/>
          <w:b/>
          <w:szCs w:val="24"/>
          <w:lang w:val="es-ES_tradnl"/>
        </w:rPr>
      </w:pPr>
      <w:r w:rsidRPr="000D3432">
        <w:rPr>
          <w:rFonts w:asciiTheme="minorHAnsi" w:hAnsiTheme="minorHAnsi"/>
          <w:b/>
          <w:szCs w:val="24"/>
          <w:lang w:val="es-ES_tradnl"/>
        </w:rPr>
        <w:t>UN ACTO DE PROVOCACIÒN</w:t>
      </w:r>
    </w:p>
    <w:p w14:paraId="62479C50" w14:textId="77777777" w:rsidR="00F95A20" w:rsidRPr="000D3432" w:rsidRDefault="00F95A20" w:rsidP="00F95A20">
      <w:pPr>
        <w:jc w:val="both"/>
        <w:rPr>
          <w:rFonts w:asciiTheme="minorHAnsi" w:hAnsiTheme="minorHAnsi"/>
          <w:szCs w:val="24"/>
          <w:lang w:val="es-ES_tradnl"/>
        </w:rPr>
      </w:pPr>
    </w:p>
    <w:p w14:paraId="7044A55E"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t>Realmente es muy importante la elaboración de éste libro por su autor, que contiene los hechos que ha vivido y que ha pretendido comprender en base a la lectura de libros de muchos autores, donde ha encontrado el dilema que la realidad en que él ha vivido o supervive, es distinta a lo que esos autores han  vivido, por lo que pretende descifrar estas interrogantes en su tiempo y espacio.</w:t>
      </w:r>
    </w:p>
    <w:p w14:paraId="1488EE1A"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br/>
        <w:t>Esta nueva obra es fruto del sacrificio, la perseverancia y firmeza del autor y su deseo de superación, y tratar de comprender a los seres que lo rodean y a la sociedad en que vive, y como cambiarla para mejorar la calidad de vida de nuestra sociedad.</w:t>
      </w:r>
    </w:p>
    <w:p w14:paraId="64232519" w14:textId="77777777" w:rsidR="00F95A20" w:rsidRPr="000D3432" w:rsidRDefault="00F95A20" w:rsidP="00F95A20">
      <w:pPr>
        <w:jc w:val="both"/>
        <w:rPr>
          <w:rFonts w:asciiTheme="minorHAnsi" w:hAnsiTheme="minorHAnsi"/>
          <w:szCs w:val="24"/>
          <w:lang w:val="es-ES_tradnl"/>
        </w:rPr>
      </w:pPr>
    </w:p>
    <w:p w14:paraId="33531F20" w14:textId="77777777" w:rsidR="00F95A20" w:rsidRPr="000D3432" w:rsidRDefault="00F95A20" w:rsidP="00F95A20">
      <w:pPr>
        <w:jc w:val="both"/>
        <w:rPr>
          <w:rFonts w:asciiTheme="minorHAnsi" w:hAnsiTheme="minorHAnsi"/>
          <w:i/>
          <w:iCs/>
          <w:szCs w:val="24"/>
          <w:lang w:val="es-ES_tradnl"/>
        </w:rPr>
      </w:pPr>
      <w:r w:rsidRPr="000D3432">
        <w:rPr>
          <w:rFonts w:asciiTheme="minorHAnsi" w:hAnsiTheme="minorHAnsi"/>
          <w:szCs w:val="24"/>
          <w:lang w:val="es-ES_tradnl"/>
        </w:rPr>
        <w:t xml:space="preserve">Esta obra, debe servir para provocar comentarios positivos o negativos en la juventud estudiosa y va a ser una motivación para que no sean conformistas, que dediquen parte de su vida a investigar las costumbres de nuestra sociedad y plasmarlas en derecho positivo. Para solucionar los problemas que siempre existen en toda sociedad deben ser formados en principios que solucionen los problemas y no provocarlos ni crearlos, y eso se logrará cuando sean investigadores y comprendan las conductas de las personas. Sé que el autor no se quedará en la publicación de éste libro, sino que seguirá produciendo mas libros, con la intención de provocar que nuestra juventud, algún día despierte </w:t>
      </w:r>
      <w:r w:rsidRPr="000D3432">
        <w:rPr>
          <w:rFonts w:asciiTheme="minorHAnsi" w:hAnsiTheme="minorHAnsi"/>
          <w:szCs w:val="24"/>
          <w:lang w:val="es-ES_tradnl"/>
        </w:rPr>
        <w:lastRenderedPageBreak/>
        <w:t xml:space="preserve">del letargo en que se encuentra, por que estamos en la época del conocimiento y debemos preparar a nuestra juventud, que es el futuro del mañana. y que destierren ese pensamiento </w:t>
      </w:r>
      <w:r w:rsidRPr="000D3432">
        <w:rPr>
          <w:rFonts w:asciiTheme="minorHAnsi" w:hAnsiTheme="minorHAnsi"/>
          <w:i/>
          <w:iCs/>
          <w:szCs w:val="24"/>
          <w:lang w:val="es-ES_tradnl"/>
        </w:rPr>
        <w:t>que ya todo esta hecho y que no pueden aportar nada a mejorar nuestra sociedad</w:t>
      </w:r>
      <w:r w:rsidRPr="000D3432">
        <w:rPr>
          <w:rFonts w:asciiTheme="minorHAnsi" w:hAnsiTheme="minorHAnsi"/>
          <w:szCs w:val="24"/>
          <w:lang w:val="es-ES_tradnl"/>
        </w:rPr>
        <w:t xml:space="preserve">, cambiándolo por el pensamiento </w:t>
      </w:r>
      <w:r w:rsidRPr="000D3432">
        <w:rPr>
          <w:rFonts w:asciiTheme="minorHAnsi" w:hAnsiTheme="minorHAnsi"/>
          <w:i/>
          <w:iCs/>
          <w:szCs w:val="24"/>
          <w:lang w:val="es-ES_tradnl"/>
        </w:rPr>
        <w:t>de nosotros estamos vivos, vivimos en sociedad y podemos mejorar la calidad de vida" .</w:t>
      </w:r>
    </w:p>
    <w:p w14:paraId="16DDEFCF" w14:textId="77777777" w:rsidR="00F95A20" w:rsidRPr="000D3432" w:rsidRDefault="00F95A20" w:rsidP="00F95A20">
      <w:pPr>
        <w:jc w:val="both"/>
        <w:rPr>
          <w:rFonts w:asciiTheme="minorHAnsi" w:hAnsiTheme="minorHAnsi"/>
          <w:szCs w:val="24"/>
          <w:lang w:val="es-ES_tradnl"/>
        </w:rPr>
      </w:pPr>
    </w:p>
    <w:p w14:paraId="5B45A23A" w14:textId="77777777" w:rsidR="00F95A20" w:rsidRPr="000D3432" w:rsidRDefault="00F95A20" w:rsidP="00F95A20">
      <w:pPr>
        <w:jc w:val="both"/>
        <w:rPr>
          <w:rFonts w:asciiTheme="minorHAnsi" w:hAnsiTheme="minorHAnsi"/>
          <w:b/>
          <w:szCs w:val="24"/>
          <w:lang w:val="es-ES_tradnl"/>
        </w:rPr>
      </w:pPr>
      <w:r w:rsidRPr="000D3432">
        <w:rPr>
          <w:rFonts w:asciiTheme="minorHAnsi" w:hAnsiTheme="minorHAnsi"/>
          <w:b/>
          <w:szCs w:val="24"/>
          <w:lang w:val="es-ES_tradnl"/>
        </w:rPr>
        <w:t>CONTRA LA CORRIENTE DE LA MEDIOCRIDAD Y LA ENVIDIA</w:t>
      </w:r>
    </w:p>
    <w:p w14:paraId="196D7698" w14:textId="77777777" w:rsidR="00F95A20" w:rsidRPr="000D3432" w:rsidRDefault="00F95A20" w:rsidP="00F95A20">
      <w:pPr>
        <w:jc w:val="both"/>
        <w:rPr>
          <w:rFonts w:asciiTheme="minorHAnsi" w:hAnsiTheme="minorHAnsi"/>
          <w:szCs w:val="24"/>
          <w:lang w:val="es-ES_tradnl"/>
        </w:rPr>
      </w:pPr>
    </w:p>
    <w:p w14:paraId="176B71CC"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t>Sabemos que el autor ha tenido que enfrentarse a muchos pesimistas, y les ha demostrado que todo es posible si uno quiere lograr sus objetivos y el hecho real es que ya esta publicando el segundo libro, y muy a pesar de que hay muchas personas negativas, envidiosas, frustradas, mediocres e incapaces, que están enquistados en las instituciones públicas y en las universidades, que son  aquellas que impiden que haya creación y producción intelectual, contribuyendo al retraso de nuestra sociedad.</w:t>
      </w:r>
    </w:p>
    <w:p w14:paraId="0FF96B04" w14:textId="77777777" w:rsidR="00F95A20" w:rsidRPr="000D3432" w:rsidRDefault="00F95A20" w:rsidP="00F95A20">
      <w:pPr>
        <w:jc w:val="both"/>
        <w:rPr>
          <w:rFonts w:asciiTheme="minorHAnsi" w:hAnsiTheme="minorHAnsi"/>
          <w:szCs w:val="24"/>
          <w:lang w:val="es-ES_tradnl"/>
        </w:rPr>
      </w:pPr>
    </w:p>
    <w:p w14:paraId="6E8B2C00"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t>El libro contiene muchas experiencias, inquietudes, problemas y preocupaciones del autor sobre la convivencia social en que se desarrolla y pretende con esta obra, encontrar una solución a éstas desde la perspectiva del derecho.</w:t>
      </w:r>
    </w:p>
    <w:p w14:paraId="6C23FB00" w14:textId="77777777" w:rsidR="00F95A20" w:rsidRPr="000D3432" w:rsidRDefault="00F95A20" w:rsidP="00F95A20">
      <w:pPr>
        <w:jc w:val="both"/>
        <w:rPr>
          <w:rFonts w:asciiTheme="minorHAnsi" w:hAnsiTheme="minorHAnsi"/>
          <w:szCs w:val="24"/>
          <w:lang w:val="es-ES_tradnl"/>
        </w:rPr>
      </w:pPr>
    </w:p>
    <w:p w14:paraId="3B612AB5" w14:textId="77777777" w:rsidR="00F95A20" w:rsidRPr="000D3432" w:rsidRDefault="00F95A20" w:rsidP="00F95A20">
      <w:pPr>
        <w:jc w:val="both"/>
        <w:rPr>
          <w:rFonts w:asciiTheme="minorHAnsi" w:hAnsiTheme="minorHAnsi"/>
          <w:b/>
          <w:szCs w:val="24"/>
          <w:lang w:val="es-ES_tradnl"/>
        </w:rPr>
      </w:pPr>
      <w:r w:rsidRPr="000D3432">
        <w:rPr>
          <w:rFonts w:asciiTheme="minorHAnsi" w:hAnsiTheme="minorHAnsi"/>
          <w:b/>
          <w:szCs w:val="24"/>
          <w:lang w:val="es-ES_tradnl"/>
        </w:rPr>
        <w:t>EXITOS</w:t>
      </w:r>
    </w:p>
    <w:p w14:paraId="19B03766" w14:textId="77777777" w:rsidR="00F95A20" w:rsidRPr="000D3432" w:rsidRDefault="00F95A20" w:rsidP="00F95A20">
      <w:pPr>
        <w:jc w:val="both"/>
        <w:rPr>
          <w:rFonts w:asciiTheme="minorHAnsi" w:hAnsiTheme="minorHAnsi"/>
          <w:szCs w:val="24"/>
          <w:lang w:val="es-ES_tradnl"/>
        </w:rPr>
      </w:pPr>
      <w:r w:rsidRPr="000D3432">
        <w:rPr>
          <w:rFonts w:asciiTheme="minorHAnsi" w:hAnsiTheme="minorHAnsi"/>
          <w:szCs w:val="24"/>
          <w:lang w:val="es-ES_tradnl"/>
        </w:rPr>
        <w:br/>
        <w:t>Deseo acabar la presente augurándole los mayores éxitos al autor y la obra, que desde ya significan un gran aporte a la filosofía y especialmente al derecho peruano porque cuestiona la cosmovisión de la organización jurídica y replantea los paradigmas establecidos en nuestra sociedad. </w:t>
      </w:r>
    </w:p>
    <w:p w14:paraId="386DD899" w14:textId="77777777" w:rsidR="008B62EC" w:rsidRPr="000D3432" w:rsidRDefault="008B62EC" w:rsidP="00F95A20">
      <w:pPr>
        <w:jc w:val="both"/>
        <w:rPr>
          <w:rFonts w:asciiTheme="minorHAnsi" w:hAnsiTheme="minorHAnsi"/>
          <w:szCs w:val="24"/>
          <w:lang w:val="es-ES_tradnl"/>
        </w:rPr>
      </w:pPr>
    </w:p>
    <w:p w14:paraId="691B2C76" w14:textId="77777777" w:rsidR="008B62EC" w:rsidRPr="000D3432" w:rsidRDefault="008B62EC" w:rsidP="00F95A20">
      <w:pPr>
        <w:jc w:val="both"/>
        <w:rPr>
          <w:rFonts w:asciiTheme="minorHAnsi" w:hAnsiTheme="minorHAnsi"/>
          <w:szCs w:val="24"/>
          <w:lang w:val="es-ES_tradnl"/>
        </w:rPr>
      </w:pPr>
    </w:p>
    <w:p w14:paraId="6C096E55" w14:textId="77777777" w:rsidR="008B62EC" w:rsidRPr="000D3432" w:rsidRDefault="008B62EC" w:rsidP="008B62EC">
      <w:pPr>
        <w:jc w:val="center"/>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¡ARRIBA LAS MANOS!</w:t>
      </w:r>
    </w:p>
    <w:p w14:paraId="40DA9569" w14:textId="77777777" w:rsidR="008B62EC" w:rsidRPr="000D3432" w:rsidRDefault="008B62EC" w:rsidP="008B62EC">
      <w:pPr>
        <w:jc w:val="center"/>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Y ENTREGA TU DINERO AL ESTADO</w:t>
      </w:r>
    </w:p>
    <w:p w14:paraId="1CA2B197" w14:textId="77777777" w:rsidR="008B62EC" w:rsidRPr="000D3432" w:rsidRDefault="008B62EC" w:rsidP="008B62EC">
      <w:pPr>
        <w:jc w:val="center"/>
        <w:rPr>
          <w:rFonts w:asciiTheme="minorHAnsi" w:hAnsiTheme="minorHAnsi" w:cs="Andalus"/>
          <w:bCs/>
          <w:color w:val="1F497D" w:themeColor="text2"/>
          <w:szCs w:val="24"/>
        </w:rPr>
      </w:pPr>
      <w:r w:rsidRPr="000D3432">
        <w:rPr>
          <w:rFonts w:asciiTheme="minorHAnsi" w:hAnsiTheme="minorHAnsi" w:cs="Andalus"/>
          <w:bCs/>
          <w:color w:val="1F497D" w:themeColor="text2"/>
          <w:szCs w:val="24"/>
        </w:rPr>
        <w:t>(Esbozos marginales sobre el  Derecho Tributario)</w:t>
      </w:r>
    </w:p>
    <w:p w14:paraId="2883BC88" w14:textId="77777777" w:rsidR="008B62EC" w:rsidRPr="000D3432" w:rsidRDefault="008B62EC" w:rsidP="008B62EC">
      <w:pPr>
        <w:jc w:val="center"/>
        <w:rPr>
          <w:rFonts w:asciiTheme="minorHAnsi" w:hAnsiTheme="minorHAnsi" w:cs="Andalus"/>
          <w:color w:val="1F497D" w:themeColor="text2"/>
          <w:szCs w:val="24"/>
          <w:lang w:eastAsia="es-PE"/>
        </w:rPr>
      </w:pPr>
    </w:p>
    <w:p w14:paraId="7C826512" w14:textId="77777777" w:rsidR="008B62EC" w:rsidRPr="000D3432" w:rsidRDefault="008B62EC" w:rsidP="008B62EC">
      <w:pPr>
        <w:jc w:val="both"/>
        <w:rPr>
          <w:rFonts w:asciiTheme="minorHAnsi" w:hAnsiTheme="minorHAnsi" w:cs="Arial"/>
          <w:b/>
          <w:szCs w:val="24"/>
          <w:lang w:val="es-ES_tradnl"/>
        </w:rPr>
      </w:pPr>
    </w:p>
    <w:p w14:paraId="316C5E59"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 xml:space="preserve">Difícil hablar sobre el Derecho Tributario, pero haberlo vivido toda mi vida me da talvez –igual que a todos- el derecho de poder opinar sobre ello, y más en esta ocasión en la que el autor insiste en pedirme presente sus obras, productos quizá de su afiebrada manía para producir persistentemente sobre todos los temas, y en todos los estilos posibles, intercambiando el derecho penal, por el derecho civil, con la historia del derecho y la filosofía del derecho, ahora nos vuelve a sorprender –aunque ya había leído su primera experimentación con el derecho tributario en el libro “Las Curvas del Derecho”- con esta nueva producción, donde lo radical de dicho texto está  ya en el título, cosa que al parecer le encanta al autor, poner ideas en todos los títulos de sus libros que resuman pero no acaben el contexto y contenido de los libros que escribe; el título nos pone a pensar si es que en realidad el Estado no nos pone una pistola y nos obliga a pagarles, a la manera de un asalto, por la sola condición –como dice el autor- de existir. </w:t>
      </w:r>
    </w:p>
    <w:p w14:paraId="256C4B15" w14:textId="77777777" w:rsidR="008B62EC" w:rsidRPr="000D3432" w:rsidRDefault="008B62EC" w:rsidP="008B62EC">
      <w:pPr>
        <w:jc w:val="both"/>
        <w:rPr>
          <w:rFonts w:asciiTheme="minorHAnsi" w:hAnsiTheme="minorHAnsi" w:cs="Arial"/>
          <w:b/>
          <w:szCs w:val="24"/>
          <w:lang w:val="es-ES_tradnl"/>
        </w:rPr>
      </w:pPr>
    </w:p>
    <w:p w14:paraId="46893ACC"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 xml:space="preserve">El autor presenta una primera exploración haciéndose las preguntas de porqué se tiene que pagar al Estado tributos y de la desequilibrada operación matemática con que unos pagan más que otros, dentro de un esquema que pareciera justo y que en realidad matemáticamente es injusto –según comenta el autor-. Hace luego una explicación sintética de todo el derecho tributario, desde sus conceptos, la potestad tributaria, los tipos o clases de tributos. El autor, como ya ha hecho su estilo, mezcla o introduce a notas a pie todas sus pasiones, y todo lo que se le ocurre, que muestra que el autor no puede enraizarse en un solo tema, porque parece resultarle insuficiente, poco tibio o escaso, para su volatilidad por escribir en muchos estadios paralelos. </w:t>
      </w:r>
    </w:p>
    <w:p w14:paraId="19A1799B" w14:textId="77777777" w:rsidR="008B62EC" w:rsidRPr="000D3432" w:rsidRDefault="008B62EC" w:rsidP="008B62EC">
      <w:pPr>
        <w:jc w:val="both"/>
        <w:rPr>
          <w:rFonts w:asciiTheme="minorHAnsi" w:hAnsiTheme="minorHAnsi" w:cs="Arial"/>
          <w:szCs w:val="24"/>
          <w:lang w:val="es-ES_tradnl"/>
        </w:rPr>
      </w:pPr>
    </w:p>
    <w:p w14:paraId="62C2EC73"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Para variar el autor siempre pone sus propios dibujos y diseños en las carátulas, en donde intenta combinar el color con las ideas, la invención y la utilidad, y siendo que le pregunté sobre esta característica, me dijo que intentaba poner en las carátulas, arte, poesía, ciencia, derecho y filosofía, que podía entender a Leonardo Da Vinci y su pasión por mezclar todas las disciplinas posibles en sus obras, y afirmaba que estaba seguro que su pintura tenía más que arte, ciencia, y que su validez, para Da Vinci, no estaba sólo en lo artístico, sino en la composición del cuadro, desde la sonrisa, como una experimentación científica, hasta la contextura del cuadro, que debe ser a prueba de algunos materiales o el tiempo. Recordaba, dijo el autor, que Fernando De Szyszlo, comentaba que Leonardo Da Vinci sobre su obra, La Mona Lisa, que había logrado su cometido, la perfección.</w:t>
      </w:r>
    </w:p>
    <w:p w14:paraId="6AF5DA02" w14:textId="77777777" w:rsidR="008B62EC" w:rsidRPr="000D3432" w:rsidRDefault="008B62EC" w:rsidP="008B62EC">
      <w:pPr>
        <w:jc w:val="both"/>
        <w:rPr>
          <w:rFonts w:asciiTheme="minorHAnsi" w:hAnsiTheme="minorHAnsi" w:cs="Arial"/>
          <w:szCs w:val="24"/>
          <w:lang w:val="es-ES_tradnl"/>
        </w:rPr>
      </w:pPr>
    </w:p>
    <w:p w14:paraId="74B95D95"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 xml:space="preserve">Por último, quiero volver a felicitar al autor, y augurarle éxitos, que sean, como él dice, en vida, porque, aunque ha reseñado haber escrito un libro póstumo, para ser publicado después de cincuenta años de su muerte, él quiere el reconocimiento, la gloria, el éxito ahora, y no para después. Y si bien parece importarle mucho la creación, le auguramos que logrará todos sus objetivos en vida. </w:t>
      </w:r>
    </w:p>
    <w:p w14:paraId="06481BD6" w14:textId="77777777" w:rsidR="008B62EC" w:rsidRPr="000D3432" w:rsidRDefault="008B62EC" w:rsidP="008B62EC">
      <w:pPr>
        <w:jc w:val="both"/>
        <w:rPr>
          <w:rFonts w:asciiTheme="minorHAnsi" w:hAnsiTheme="minorHAnsi" w:cs="Arial"/>
          <w:b/>
          <w:szCs w:val="24"/>
          <w:lang w:val="es-ES_tradnl"/>
        </w:rPr>
      </w:pPr>
    </w:p>
    <w:p w14:paraId="17609A37" w14:textId="77777777" w:rsidR="008B62EC" w:rsidRPr="000D3432" w:rsidRDefault="008B62EC" w:rsidP="008B62EC">
      <w:pPr>
        <w:jc w:val="both"/>
        <w:rPr>
          <w:rFonts w:asciiTheme="minorHAnsi" w:hAnsiTheme="minorHAnsi" w:cs="Arial"/>
          <w:b/>
          <w:szCs w:val="24"/>
          <w:lang w:val="es-ES_tradnl"/>
        </w:rPr>
      </w:pPr>
    </w:p>
    <w:p w14:paraId="7008EFAB" w14:textId="77777777" w:rsidR="008B62EC" w:rsidRPr="000D3432" w:rsidRDefault="008B62EC" w:rsidP="008B62EC">
      <w:pPr>
        <w:jc w:val="both"/>
        <w:rPr>
          <w:rFonts w:asciiTheme="minorHAnsi" w:hAnsiTheme="minorHAnsi" w:cs="Arial"/>
          <w:b/>
          <w:szCs w:val="24"/>
          <w:lang w:val="es-ES_tradnl"/>
        </w:rPr>
      </w:pPr>
    </w:p>
    <w:p w14:paraId="21DF5C19" w14:textId="77777777" w:rsidR="008B62EC" w:rsidRPr="000D3432" w:rsidRDefault="008B62EC" w:rsidP="008B62EC">
      <w:pPr>
        <w:jc w:val="both"/>
        <w:rPr>
          <w:rFonts w:asciiTheme="minorHAnsi" w:hAnsiTheme="minorHAnsi" w:cs="Arial"/>
          <w:b/>
          <w:szCs w:val="24"/>
          <w:lang w:val="es-ES_tradnl"/>
        </w:rPr>
      </w:pPr>
    </w:p>
    <w:p w14:paraId="53C30E1E" w14:textId="77777777" w:rsidR="008B62EC" w:rsidRPr="000D3432" w:rsidRDefault="008B62EC" w:rsidP="008B62EC">
      <w:pPr>
        <w:jc w:val="both"/>
        <w:rPr>
          <w:rFonts w:asciiTheme="minorHAnsi" w:hAnsiTheme="minorHAnsi" w:cs="Arial"/>
          <w:b/>
          <w:szCs w:val="24"/>
          <w:lang w:val="es-ES_tradnl"/>
        </w:rPr>
      </w:pPr>
    </w:p>
    <w:p w14:paraId="5285A4A0" w14:textId="77777777" w:rsidR="008B62EC" w:rsidRPr="000D3432" w:rsidRDefault="008B62EC" w:rsidP="00F95A20">
      <w:pPr>
        <w:jc w:val="both"/>
        <w:rPr>
          <w:rFonts w:asciiTheme="minorHAnsi" w:hAnsiTheme="minorHAnsi"/>
          <w:szCs w:val="24"/>
          <w:lang w:val="es-ES_tradnl"/>
        </w:rPr>
      </w:pPr>
    </w:p>
    <w:p w14:paraId="5C8F8F6E" w14:textId="184A0F23" w:rsidR="00F95A20" w:rsidRPr="000D3432" w:rsidRDefault="00F95A20">
      <w:pPr>
        <w:widowControl/>
        <w:overflowPunct/>
        <w:autoSpaceDE/>
        <w:autoSpaceDN/>
        <w:adjustRightInd/>
        <w:textAlignment w:val="auto"/>
        <w:rPr>
          <w:rFonts w:asciiTheme="minorHAnsi" w:hAnsiTheme="minorHAnsi"/>
          <w:b/>
          <w:szCs w:val="24"/>
        </w:rPr>
      </w:pPr>
      <w:r w:rsidRPr="000D3432">
        <w:rPr>
          <w:rFonts w:asciiTheme="minorHAnsi" w:hAnsiTheme="minorHAnsi"/>
          <w:b/>
          <w:szCs w:val="24"/>
        </w:rPr>
        <w:br w:type="page"/>
      </w:r>
    </w:p>
    <w:p w14:paraId="72C73E3E" w14:textId="77777777" w:rsidR="008B62EC" w:rsidRPr="000D3432" w:rsidRDefault="008B62EC">
      <w:pPr>
        <w:widowControl/>
        <w:overflowPunct/>
        <w:autoSpaceDE/>
        <w:autoSpaceDN/>
        <w:adjustRightInd/>
        <w:textAlignment w:val="auto"/>
        <w:rPr>
          <w:rFonts w:asciiTheme="minorHAnsi" w:hAnsiTheme="minorHAnsi"/>
          <w:b/>
          <w:szCs w:val="24"/>
        </w:rPr>
      </w:pPr>
    </w:p>
    <w:p w14:paraId="60ABC33D" w14:textId="77777777" w:rsidR="008B62EC" w:rsidRPr="000D3432" w:rsidRDefault="008B62EC">
      <w:pPr>
        <w:widowControl/>
        <w:overflowPunct/>
        <w:autoSpaceDE/>
        <w:autoSpaceDN/>
        <w:adjustRightInd/>
        <w:textAlignment w:val="auto"/>
        <w:rPr>
          <w:rFonts w:asciiTheme="minorHAnsi" w:hAnsiTheme="minorHAnsi"/>
          <w:b/>
          <w:szCs w:val="24"/>
        </w:rPr>
      </w:pPr>
    </w:p>
    <w:p w14:paraId="6C336557" w14:textId="77777777" w:rsidR="00F95A20" w:rsidRPr="000D3432" w:rsidRDefault="00F95A20" w:rsidP="00A95498">
      <w:pPr>
        <w:jc w:val="center"/>
        <w:rPr>
          <w:rFonts w:asciiTheme="minorHAnsi" w:hAnsiTheme="minorHAnsi"/>
          <w:b/>
          <w:szCs w:val="24"/>
        </w:rPr>
      </w:pPr>
    </w:p>
    <w:p w14:paraId="0A7E4FFF" w14:textId="77777777" w:rsidR="00F95A20" w:rsidRPr="000D3432" w:rsidRDefault="00F95A20" w:rsidP="00A95498">
      <w:pPr>
        <w:jc w:val="center"/>
        <w:rPr>
          <w:rFonts w:asciiTheme="minorHAnsi" w:hAnsiTheme="minorHAnsi"/>
          <w:b/>
          <w:szCs w:val="24"/>
        </w:rPr>
      </w:pPr>
    </w:p>
    <w:p w14:paraId="2ACFA5BB" w14:textId="77777777" w:rsidR="00F95A20" w:rsidRPr="000D3432" w:rsidRDefault="00F95A20" w:rsidP="00A95498">
      <w:pPr>
        <w:jc w:val="center"/>
        <w:rPr>
          <w:rFonts w:asciiTheme="minorHAnsi" w:hAnsiTheme="minorHAnsi"/>
          <w:b/>
          <w:szCs w:val="24"/>
        </w:rPr>
      </w:pPr>
    </w:p>
    <w:p w14:paraId="7B15C455" w14:textId="77777777" w:rsidR="00F95A20" w:rsidRPr="000D3432" w:rsidRDefault="00F95A20" w:rsidP="00A95498">
      <w:pPr>
        <w:jc w:val="center"/>
        <w:rPr>
          <w:rFonts w:asciiTheme="minorHAnsi" w:hAnsiTheme="minorHAnsi"/>
          <w:b/>
          <w:szCs w:val="24"/>
        </w:rPr>
      </w:pPr>
    </w:p>
    <w:p w14:paraId="2FE202E6" w14:textId="77777777" w:rsidR="001925CE" w:rsidRPr="000D3432" w:rsidRDefault="001925CE" w:rsidP="00A95498">
      <w:pPr>
        <w:jc w:val="center"/>
        <w:rPr>
          <w:rFonts w:asciiTheme="minorHAnsi" w:hAnsiTheme="minorHAnsi"/>
          <w:b/>
          <w:szCs w:val="24"/>
          <w:u w:val="single"/>
        </w:rPr>
      </w:pPr>
      <w:r w:rsidRPr="000D3432">
        <w:rPr>
          <w:rFonts w:asciiTheme="minorHAnsi" w:hAnsiTheme="minorHAnsi"/>
          <w:b/>
          <w:szCs w:val="24"/>
          <w:u w:val="single"/>
        </w:rPr>
        <w:t xml:space="preserve">PRESENTACIÓN </w:t>
      </w:r>
    </w:p>
    <w:p w14:paraId="0C95F9F0" w14:textId="77777777" w:rsidR="001925CE" w:rsidRPr="000D3432" w:rsidRDefault="001925CE" w:rsidP="00A95498">
      <w:pPr>
        <w:jc w:val="both"/>
        <w:rPr>
          <w:rFonts w:asciiTheme="minorHAnsi" w:hAnsiTheme="minorHAnsi"/>
          <w:szCs w:val="24"/>
        </w:rPr>
      </w:pPr>
    </w:p>
    <w:p w14:paraId="70A2317E" w14:textId="6BCFA168" w:rsidR="001925CE" w:rsidRPr="000D3432" w:rsidRDefault="006C3678" w:rsidP="00BA4634">
      <w:pPr>
        <w:jc w:val="right"/>
        <w:rPr>
          <w:rFonts w:asciiTheme="minorHAnsi" w:hAnsiTheme="minorHAnsi"/>
          <w:szCs w:val="24"/>
        </w:rPr>
      </w:pPr>
      <w:r>
        <w:rPr>
          <w:rFonts w:asciiTheme="minorHAnsi" w:hAnsiTheme="minorHAnsi"/>
          <w:szCs w:val="24"/>
        </w:rPr>
        <w:t>Alex R. Zambrano Torres</w:t>
      </w:r>
    </w:p>
    <w:p w14:paraId="1951AFA7" w14:textId="77777777" w:rsidR="001925CE" w:rsidRPr="000D3432" w:rsidRDefault="001925CE" w:rsidP="00A95498">
      <w:pPr>
        <w:jc w:val="both"/>
        <w:rPr>
          <w:rFonts w:asciiTheme="minorHAnsi" w:hAnsiTheme="minorHAnsi"/>
          <w:szCs w:val="24"/>
        </w:rPr>
      </w:pPr>
    </w:p>
    <w:p w14:paraId="6DCC5D5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presente libro trata sobre cuatro bloques, en  los que se introduce un sinnúmero de conceptos e ideas respecto de la Filosofía del Derecho, la concepción del Derecho, los Filósofos del Derecho y, la Dialéctica del Derecho. </w:t>
      </w:r>
    </w:p>
    <w:p w14:paraId="54253A2E" w14:textId="77777777" w:rsidR="001925CE" w:rsidRPr="000D3432" w:rsidRDefault="001925CE" w:rsidP="00A95498">
      <w:pPr>
        <w:jc w:val="both"/>
        <w:rPr>
          <w:rFonts w:asciiTheme="minorHAnsi" w:hAnsiTheme="minorHAnsi"/>
          <w:szCs w:val="24"/>
        </w:rPr>
      </w:pPr>
    </w:p>
    <w:p w14:paraId="3335C87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diseño del libro en cuatro secciones diferentes y sin la organicidad de los libros formales, nos podría hacer recordar, pero desde otro ángulo, la inorgacidad y diversidad agrupada de la filosofía de Nietzsche y de sus libros. Si recordamos, Nietzsche escribe muchos libros, pero ellos no tienen ninguna organicidad temática, escalonada; son más bien ideas en innumerables párrafos, que unidas por el contexto logran plantear cuestiones tan trascendentales como la naturaleza humana, y su condición dialéctica. El presente libro no tiene tampoco organicidad, pero si tiene ideas, agrupadas en cuatro títulos, que parecen una sobre posición antojadiza, pero ingeniosa de propuesta literaria; es decir, rompe con el esquema tradicional del texto, y formula en el lector la necesidad de elegir de entre la diversidad, y de exponerle un nuevo contexto: la organicidad no esta en el texto sino en el contexto, no está en el libro, sino en el ser humano, escritor o lector; en el que asume una posición frente a lo demás, su posición de “elegir”; y sólo puede hacerlo si existe lo diverso, aquello que hace la diferencia. </w:t>
      </w:r>
    </w:p>
    <w:p w14:paraId="315810DD" w14:textId="77777777" w:rsidR="001925CE" w:rsidRPr="000D3432" w:rsidRDefault="001925CE" w:rsidP="00A95498">
      <w:pPr>
        <w:tabs>
          <w:tab w:val="left" w:pos="2984"/>
        </w:tabs>
        <w:jc w:val="both"/>
        <w:rPr>
          <w:rFonts w:asciiTheme="minorHAnsi" w:hAnsiTheme="minorHAnsi"/>
          <w:szCs w:val="24"/>
        </w:rPr>
      </w:pPr>
      <w:r w:rsidRPr="000D3432">
        <w:rPr>
          <w:rFonts w:asciiTheme="minorHAnsi" w:hAnsiTheme="minorHAnsi"/>
          <w:szCs w:val="24"/>
        </w:rPr>
        <w:tab/>
      </w:r>
    </w:p>
    <w:p w14:paraId="1A8BB86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texto trata en esencia de cuatro puntos: El Derecho y la Filosofía del Derecho (Extravíos sobre Filosofía del Derecho...); La Concepción del Derecho ( La Anticoncepción del Derecho...); el Derecho en la Mente de los Filósofos; y, La Dialéctica  del Derecho (El Almuerzo Desnudo y otros ensayos).  El primer bloque trata precisamente sobre los “extravíos” que pueden haberse generado con la Filosofía, y específicamente, con la Filosofía del Derecho; sin embargo el texto requiere irse más allá del pensamiento abstracto, y llegar a aquello que hace del pensamiento una delicia, el amor, producto de la sabiduría, es decir, de saber, de disfrutar los beneficios que te da el conocimiento, la sapiencia, la investigación. </w:t>
      </w:r>
    </w:p>
    <w:p w14:paraId="7D2DA074" w14:textId="77777777" w:rsidR="001925CE" w:rsidRPr="000D3432" w:rsidRDefault="001925CE" w:rsidP="00A95498">
      <w:pPr>
        <w:jc w:val="both"/>
        <w:rPr>
          <w:rFonts w:asciiTheme="minorHAnsi" w:hAnsiTheme="minorHAnsi"/>
          <w:szCs w:val="24"/>
        </w:rPr>
      </w:pPr>
    </w:p>
    <w:p w14:paraId="5A7170F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En el primer bloque el libro trata de la Filosofía del Derecho, concibiéndose unos primeros esbozos sobre lo que es la Filosofía y su trascendental influencia en la vida del ser humano, es decir, no trata de un texto, de teoría, sino de vida humana enfrentada al concepto, y teoría que el ser humano desborda. La filosofía no es un concepto, sino una representación de la condición humana. La filosofía no es pensar sino descubrir, no es ciencia sino conciencia del yo y de su existencia. </w:t>
      </w:r>
    </w:p>
    <w:p w14:paraId="4D0759B8" w14:textId="77777777" w:rsidR="001925CE" w:rsidRPr="000D3432" w:rsidRDefault="001925CE" w:rsidP="00A95498">
      <w:pPr>
        <w:jc w:val="both"/>
        <w:rPr>
          <w:rFonts w:asciiTheme="minorHAnsi" w:hAnsiTheme="minorHAnsi"/>
          <w:szCs w:val="24"/>
        </w:rPr>
      </w:pPr>
    </w:p>
    <w:p w14:paraId="2E09C53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En el segundo bloque “La anticoncepción del Derecho”, el panorama teórico es </w:t>
      </w:r>
      <w:r w:rsidRPr="000D3432">
        <w:rPr>
          <w:rFonts w:asciiTheme="minorHAnsi" w:hAnsiTheme="minorHAnsi"/>
          <w:szCs w:val="24"/>
        </w:rPr>
        <w:lastRenderedPageBreak/>
        <w:t xml:space="preserve">respecto a la concepción del derecho, al problema que surge de la pluralidad de significados del derecho; así mismo se tratan las diferentes teorías filosóficas-jurídicas, en la cual se trata la concepción normativista, la concepción iusnaturalista, relacionista, conductista; teorías que recuerdo haber tratado en mi libro “Introducción al Derecho”, y que el autor ahora trae a referencia. No esta de mas escribir sobre estos temas, porque son concepciones que han ido siendo utilizadas en la aplicación del derecho, y que reflejan, para la historia y el futuro, las formas como los seres humanos han resuelto sus conflictos de intereses, la dirección que han tomado estas formas de solucionar sus conflictos de intereses.  </w:t>
      </w:r>
    </w:p>
    <w:p w14:paraId="47DF422B" w14:textId="77777777" w:rsidR="001925CE" w:rsidRPr="000D3432" w:rsidRDefault="001925CE" w:rsidP="00A95498">
      <w:pPr>
        <w:jc w:val="both"/>
        <w:rPr>
          <w:rFonts w:asciiTheme="minorHAnsi" w:hAnsiTheme="minorHAnsi"/>
          <w:szCs w:val="24"/>
        </w:rPr>
      </w:pPr>
    </w:p>
    <w:p w14:paraId="5AFA432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Poder, divido en dos estaciones, poder divino y poder humano, es uno de los interesantes aportes del libro, puesto siempre es necesario establece sobre qué supuestos se ejerce poder, y qué criterios valorativos han influido en la construcción del derecho. Así como determinar cuales son los fundamentos del ejercicio del poder. El autor nos explica que son dos, el divino y el humano, esto quiere decir, que el fundamento estaría en una concepción teológica, es decir, la realidad y el curso de la vida depende de una voluntad superior que no podemos manejar; o por otro lado, esta misma realidad, y proyección de la vida puede ser originada en la voluntad humana, a través de sistemas y mecanismos jurídicos que permitan su expresión como el contrato. </w:t>
      </w:r>
    </w:p>
    <w:p w14:paraId="4DEE758C" w14:textId="77777777" w:rsidR="001925CE" w:rsidRPr="000D3432" w:rsidRDefault="001925CE" w:rsidP="00A95498">
      <w:pPr>
        <w:tabs>
          <w:tab w:val="right" w:pos="8505"/>
        </w:tabs>
        <w:jc w:val="both"/>
        <w:rPr>
          <w:rFonts w:asciiTheme="minorHAnsi" w:hAnsiTheme="minorHAnsi"/>
          <w:szCs w:val="24"/>
        </w:rPr>
      </w:pPr>
    </w:p>
    <w:p w14:paraId="502061E9" w14:textId="77777777" w:rsidR="001925CE" w:rsidRPr="000D3432" w:rsidRDefault="001925CE" w:rsidP="00A95498">
      <w:pPr>
        <w:tabs>
          <w:tab w:val="right" w:pos="8505"/>
        </w:tabs>
        <w:jc w:val="both"/>
        <w:rPr>
          <w:rFonts w:asciiTheme="minorHAnsi" w:hAnsiTheme="minorHAnsi"/>
          <w:szCs w:val="24"/>
        </w:rPr>
      </w:pPr>
      <w:r w:rsidRPr="000D3432">
        <w:rPr>
          <w:rFonts w:asciiTheme="minorHAnsi" w:hAnsiTheme="minorHAnsi"/>
          <w:szCs w:val="24"/>
        </w:rPr>
        <w:t xml:space="preserve">El Tercer bloque siguiente con el intento insistente de hacer filosofía del Derecho, titulado “El Derecho en la mente de los filósofos”, se hace un recuento sobre el tipo de razonamiento y argumentos sobre el derecho que dieron, impusieron o dispusieron los grandes pensadores, filósofos o juristas, y que han movido o conmovido el curso de la historia, y por ende de las personas. Lo curioso de este segmento es que se trata de tres tipos de pensamiento, el Premoderno, el Moderno y el Postmoderno. Son repasados los pensamientos jurídicos de Sócrates, Platón, Aristóteles, Santo Tomás de Aquino, e involucrados dentro del pensamiento Premoderno. La clasificación puede ser arbitraria, pero vale para diferenciar estadios mentales, o al menos diferenciarlos en el tiempo. Luego viene la clasificación de autores encriptados en el capítulo Pensamiento Moderno, registrándose allí a Descartes, Espinoza, Pascal, pasando por Locke, y Kant, y llegando a Kelsen, el máximos exponente del Derecho Positivo. Autores que plantean su concepción sobre cómo debe entenderse el Derecho, y logran esculpir novedosas proposiciones filosóficas que se muestran como jurídicas. En la última clasificación, el Pensamiento Postmoderno, se propone a Niezsche, en la concepción que este autor superó a su tiempo. </w:t>
      </w:r>
    </w:p>
    <w:p w14:paraId="0559109F" w14:textId="77777777" w:rsidR="001925CE" w:rsidRPr="000D3432" w:rsidRDefault="001925CE" w:rsidP="00A95498">
      <w:pPr>
        <w:tabs>
          <w:tab w:val="right" w:pos="8505"/>
        </w:tabs>
        <w:jc w:val="both"/>
        <w:rPr>
          <w:rFonts w:asciiTheme="minorHAnsi" w:hAnsiTheme="minorHAnsi"/>
          <w:b/>
          <w:szCs w:val="24"/>
        </w:rPr>
      </w:pPr>
    </w:p>
    <w:p w14:paraId="44DF6998"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Cuarto Bloque, La Dialéctica del Derecho, se trata de varios artículo, ensayos, que dan un repaso por las instituciones jurídicas como el Corpus Iuris Civiles de Justiniano, y se agrega una novedosa trascripción de la esposa del entonces Emperador Justiniano. Y luego inserto también esta otro capítulo sobre los abogados y sus funciones, como el de ser defensor de los intereses ajenos. Pero cabe resaltar otro capítulo, con un título muy sugerente: Entrando en el Ataúd, para reseñar breves comentarios a manera de biografías, sobre Carnelutti y </w:t>
      </w:r>
      <w:r w:rsidRPr="000D3432">
        <w:rPr>
          <w:rFonts w:asciiTheme="minorHAnsi" w:hAnsiTheme="minorHAnsi"/>
          <w:szCs w:val="24"/>
        </w:rPr>
        <w:lastRenderedPageBreak/>
        <w:t>Jorge Basadre, desde una perspectiva anecdótica. Así mismo se tocan temas tan diversos como Literatura y Derecho en donde existe una proposición interesante entre Estética y geometría. El texto contiene también capítulos sobre el Derecho y las Drogas, que subtitula “El Almuerzo Desnudo”, y por último se toca el tema del Derecho y el Amor, con lo que el libro completa su diversidad.</w:t>
      </w:r>
    </w:p>
    <w:p w14:paraId="49E2D126" w14:textId="0AB131D3" w:rsidR="001925CE" w:rsidRPr="000D3432" w:rsidRDefault="001925CE" w:rsidP="00A017DA">
      <w:pPr>
        <w:jc w:val="center"/>
        <w:rPr>
          <w:rFonts w:asciiTheme="minorHAnsi" w:hAnsiTheme="minorHAnsi"/>
          <w:szCs w:val="24"/>
        </w:rPr>
      </w:pPr>
    </w:p>
    <w:p w14:paraId="1D7E6BFC" w14:textId="77777777" w:rsidR="001925CE" w:rsidRPr="000D3432" w:rsidRDefault="001925CE" w:rsidP="00A95498">
      <w:pPr>
        <w:jc w:val="center"/>
        <w:rPr>
          <w:rFonts w:asciiTheme="minorHAnsi" w:hAnsiTheme="minorHAnsi"/>
          <w:szCs w:val="24"/>
        </w:rPr>
      </w:pPr>
    </w:p>
    <w:p w14:paraId="16015979"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4CD22FE7" w14:textId="77777777" w:rsidR="001925CE" w:rsidRPr="000D3432" w:rsidRDefault="001925CE" w:rsidP="00A95498">
      <w:pPr>
        <w:jc w:val="center"/>
        <w:rPr>
          <w:rFonts w:asciiTheme="minorHAnsi" w:hAnsiTheme="minorHAnsi"/>
          <w:b/>
          <w:szCs w:val="24"/>
        </w:rPr>
      </w:pPr>
    </w:p>
    <w:p w14:paraId="36848C8E" w14:textId="77777777" w:rsidR="001925CE" w:rsidRPr="000D3432" w:rsidRDefault="001925CE" w:rsidP="00A95498">
      <w:pPr>
        <w:jc w:val="center"/>
        <w:rPr>
          <w:rFonts w:asciiTheme="minorHAnsi" w:hAnsiTheme="minorHAnsi"/>
          <w:b/>
          <w:szCs w:val="24"/>
        </w:rPr>
      </w:pPr>
    </w:p>
    <w:p w14:paraId="1611030C" w14:textId="77777777" w:rsidR="001925CE" w:rsidRPr="000D3432" w:rsidRDefault="001925CE" w:rsidP="00A95498">
      <w:pPr>
        <w:jc w:val="center"/>
        <w:rPr>
          <w:rFonts w:asciiTheme="minorHAnsi" w:hAnsiTheme="minorHAnsi"/>
          <w:b/>
          <w:szCs w:val="24"/>
        </w:rPr>
      </w:pPr>
    </w:p>
    <w:p w14:paraId="25AEA692" w14:textId="77777777" w:rsidR="001925CE" w:rsidRPr="000D3432" w:rsidRDefault="001925CE" w:rsidP="00A95498">
      <w:pPr>
        <w:jc w:val="center"/>
        <w:rPr>
          <w:rFonts w:asciiTheme="minorHAnsi" w:hAnsiTheme="minorHAnsi" w:cs="Arial"/>
          <w:b/>
          <w:szCs w:val="24"/>
          <w:u w:val="single"/>
        </w:rPr>
      </w:pPr>
    </w:p>
    <w:p w14:paraId="38390642" w14:textId="77777777" w:rsidR="001925CE" w:rsidRPr="000D3432" w:rsidRDefault="001925CE" w:rsidP="00A95498">
      <w:pPr>
        <w:jc w:val="center"/>
        <w:rPr>
          <w:rFonts w:asciiTheme="minorHAnsi" w:hAnsiTheme="minorHAnsi" w:cs="Arial"/>
          <w:b/>
          <w:szCs w:val="24"/>
          <w:u w:val="single"/>
        </w:rPr>
      </w:pPr>
    </w:p>
    <w:p w14:paraId="7EB1D5EF"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LAS CURVAS DEL DERECHO</w:t>
      </w:r>
    </w:p>
    <w:p w14:paraId="0769285D"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(Escritos profanos sobre Derecho, Economía y Empresa)</w:t>
      </w:r>
    </w:p>
    <w:p w14:paraId="683E390C" w14:textId="77777777" w:rsidR="001925CE" w:rsidRPr="000D3432" w:rsidRDefault="001925CE" w:rsidP="00A95498">
      <w:pPr>
        <w:jc w:val="center"/>
        <w:rPr>
          <w:rFonts w:asciiTheme="minorHAnsi" w:hAnsiTheme="minorHAnsi" w:cs="Arial"/>
          <w:b/>
          <w:szCs w:val="24"/>
        </w:rPr>
      </w:pPr>
    </w:p>
    <w:p w14:paraId="361F6337"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1.- Extravíos sobre Filosofía del Derecho...</w:t>
      </w:r>
    </w:p>
    <w:p w14:paraId="6D2E175C"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2.- La Anticoncepción del Derecho...</w:t>
      </w:r>
    </w:p>
    <w:p w14:paraId="1C431138"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3.- El Derecho en la Mente de los Filósofos...</w:t>
      </w:r>
    </w:p>
    <w:p w14:paraId="53F8614B"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4.- La Dialéctica del Derecho, El Almuerzo Desnudo...</w:t>
      </w:r>
    </w:p>
    <w:p w14:paraId="7AB94CD0" w14:textId="77777777" w:rsidR="001925CE" w:rsidRPr="000D3432" w:rsidRDefault="001925CE" w:rsidP="00A95498">
      <w:pPr>
        <w:jc w:val="center"/>
        <w:rPr>
          <w:rFonts w:asciiTheme="minorHAnsi" w:hAnsiTheme="minorHAnsi" w:cs="Arial"/>
          <w:b/>
          <w:szCs w:val="24"/>
          <w:u w:val="single"/>
        </w:rPr>
      </w:pPr>
    </w:p>
    <w:p w14:paraId="31C4CE36" w14:textId="77777777" w:rsidR="001925CE" w:rsidRPr="000D3432" w:rsidRDefault="001925CE" w:rsidP="00A95498">
      <w:pPr>
        <w:jc w:val="center"/>
        <w:rPr>
          <w:rFonts w:asciiTheme="minorHAnsi" w:hAnsiTheme="minorHAnsi" w:cs="Arial"/>
          <w:b/>
          <w:szCs w:val="24"/>
          <w:u w:val="single"/>
        </w:rPr>
      </w:pPr>
    </w:p>
    <w:p w14:paraId="6627B0D3" w14:textId="77777777" w:rsidR="001925CE" w:rsidRPr="000D3432" w:rsidRDefault="001925CE" w:rsidP="00A95498">
      <w:pPr>
        <w:jc w:val="center"/>
        <w:rPr>
          <w:rFonts w:asciiTheme="minorHAnsi" w:hAnsiTheme="minorHAnsi" w:cs="Arial"/>
          <w:b/>
          <w:szCs w:val="24"/>
          <w:u w:val="single"/>
        </w:rPr>
      </w:pPr>
    </w:p>
    <w:p w14:paraId="1BB78C3C"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INTRODUCCIÓN</w:t>
      </w:r>
    </w:p>
    <w:p w14:paraId="6B8B9DC1" w14:textId="77777777" w:rsidR="001925CE" w:rsidRPr="000D3432" w:rsidRDefault="001925CE" w:rsidP="00A95498">
      <w:pPr>
        <w:jc w:val="both"/>
        <w:rPr>
          <w:rFonts w:asciiTheme="minorHAnsi" w:hAnsiTheme="minorHAnsi" w:cs="Arial"/>
          <w:szCs w:val="24"/>
        </w:rPr>
      </w:pPr>
    </w:p>
    <w:p w14:paraId="662FEBA6" w14:textId="77777777" w:rsidR="001925CE" w:rsidRPr="000D3432" w:rsidRDefault="001925CE" w:rsidP="00A95498">
      <w:pPr>
        <w:jc w:val="both"/>
        <w:rPr>
          <w:rFonts w:asciiTheme="minorHAnsi" w:hAnsiTheme="minorHAnsi" w:cs="Arial"/>
          <w:szCs w:val="24"/>
        </w:rPr>
      </w:pPr>
    </w:p>
    <w:p w14:paraId="577026EE" w14:textId="77777777" w:rsidR="001925CE" w:rsidRPr="000D3432" w:rsidRDefault="001925CE" w:rsidP="00A95498">
      <w:pPr>
        <w:jc w:val="both"/>
        <w:rPr>
          <w:rFonts w:asciiTheme="minorHAnsi" w:hAnsiTheme="minorHAnsi" w:cs="Arial"/>
          <w:szCs w:val="24"/>
        </w:rPr>
      </w:pPr>
    </w:p>
    <w:p w14:paraId="04925A52" w14:textId="736AA75D"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Frank Kafka habríame inspirado a pensar lo que me gustaría sea mi libro:</w:t>
      </w:r>
      <w:r w:rsidR="00D4423A" w:rsidRPr="000D3432">
        <w:rPr>
          <w:rFonts w:asciiTheme="minorHAnsi" w:eastAsia="Calibri" w:hAnsiTheme="minorHAnsi" w:cs="Arial"/>
          <w:szCs w:val="24"/>
          <w:lang w:val="es-ES_tradnl" w:eastAsia="en-US"/>
        </w:rPr>
        <w:t xml:space="preserve"> </w:t>
      </w:r>
      <w:r w:rsidRPr="000D3432">
        <w:rPr>
          <w:rFonts w:asciiTheme="minorHAnsi" w:eastAsia="Calibri" w:hAnsiTheme="minorHAnsi" w:cs="Arial"/>
          <w:szCs w:val="24"/>
          <w:lang w:val="es-ES_tradnl" w:eastAsia="en-US"/>
        </w:rPr>
        <w:t xml:space="preserve">“un dolor de cabeza”, un instrumento que “despierte” nuestros sentidos, algo que deleite por su fuerza y no por su dulzura, algo excéntrico por su forma y no profundo por su sentido, algo que nos sirva para motivarnos hacia la vida o el suicidio, algo que nos afecte de tal grado que no podamos volver a ser los mismos después de haberlo leído. Claro que aquello es demasiada pretensión, pero en el juego de lo imaginario todo es permitido; y es por eso que soy “concordante” con las palabras de Kafka cuando advertía: </w:t>
      </w:r>
      <w:r w:rsidRPr="000D3432">
        <w:rPr>
          <w:rFonts w:asciiTheme="minorHAnsi" w:eastAsia="Calibri" w:hAnsiTheme="minorHAnsi" w:cs="Arial"/>
          <w:i/>
          <w:szCs w:val="24"/>
          <w:lang w:val="es-ES_tradnl" w:eastAsia="en-US"/>
        </w:rPr>
        <w:t>“…creo que sólo deberíamos leer los libros que corroen e hieren en lo vivo. Si el libro que estamos leyendo no nos despierta de un puñetazo en la cabeza, ¿para qué leemos?... necesitamos los libros que nos afectan como un desastre, que nos duelen profundamente, como la muerte de un ser más querido que nosotros mismos, como hallarse perdido en los bosques, lejos de todo ser humano, como un suicidio, un libro debe ser el hacha que resquebraje el mar congelado dentro de nosotros"</w:t>
      </w:r>
      <w:r w:rsidRPr="000D3432">
        <w:rPr>
          <w:rFonts w:asciiTheme="minorHAnsi" w:eastAsia="Calibri" w:hAnsiTheme="minorHAnsi" w:cs="Arial"/>
          <w:szCs w:val="24"/>
          <w:lang w:val="es-ES_tradnl" w:eastAsia="en-US"/>
        </w:rPr>
        <w:t xml:space="preserve">.  Y es que en el Derecho necesitamos este grado de afectación para reactivarnos y recomponer las relaciones jurídicas nacidas de la vida en sociedad, que sólo pueden mejorarse asumiendo el sistema normativo heredado con previo análisis de su validez, y en caso de contradecir a los propios fundamentos de nuestra vida, plantear su modificación y adecuación al nuevo orden social. Este es el primer motivo que sustenta a la presente edición: “mover” nuestro congelado “pensamiento jurídico”, atrapado en las concepciones de lo que se considera “moderno”, y por tal erróneamente confundido como una condición que no necesita de cambio o renovación, y menos ya de análisis por considerarse el último estadio cultural. Error que involucra especialmente al Derecho, porque pervierte el sentido originario del mismo que pretende regular las relaciones intersubjetivas, entre sujetos, a fin de, a través de la libertad, lograr el equilibrio personal y colectivo necesario para el bienestar también personal y colectivo; y siendo además que el mayor logro del Derecho es resolver los conflictos de intereses a través de un sistema de compulsación de </w:t>
      </w:r>
      <w:r w:rsidRPr="000D3432">
        <w:rPr>
          <w:rFonts w:asciiTheme="minorHAnsi" w:eastAsia="Calibri" w:hAnsiTheme="minorHAnsi" w:cs="Arial"/>
          <w:szCs w:val="24"/>
          <w:lang w:val="es-ES_tradnl" w:eastAsia="en-US"/>
        </w:rPr>
        <w:lastRenderedPageBreak/>
        <w:t xml:space="preserve">derechos individuales y de la determinación de qué corresponde a cada cual. Logro dado en exclusividad por la modernidad, pero que ha quedado paradójicamente, por ello mismo, enclaustrado en su propio concepto, problema que pretendemos bordear en el presente texto. </w:t>
      </w:r>
    </w:p>
    <w:p w14:paraId="7D9FB7CE" w14:textId="77777777" w:rsidR="001925CE" w:rsidRPr="000D3432" w:rsidRDefault="001925CE" w:rsidP="00A95498">
      <w:pPr>
        <w:jc w:val="both"/>
        <w:rPr>
          <w:rFonts w:asciiTheme="minorHAnsi" w:eastAsia="Calibri" w:hAnsiTheme="minorHAnsi" w:cs="Arial"/>
          <w:szCs w:val="24"/>
          <w:lang w:val="es-ES_tradnl" w:eastAsia="en-US"/>
        </w:rPr>
      </w:pPr>
    </w:p>
    <w:p w14:paraId="735B46A1"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Ahora bien, es de obligatorio cumplimiento explicar el título de éste libro: “Las Curvas del Derecho”. De aquello sólo puedo decir breve y cursimente que nació de una ilusión amorosa frustrada e inacabada –como el Derecho-, pero que se fue transformando en su propia evolución. Esto explica que pueden haber conceptos que se construyen en el futuro, incluso cuando éste no tiene sentido aún en el presente, rompiendo el principio de causalidad</w:t>
      </w:r>
      <w:r w:rsidRPr="000D3432">
        <w:rPr>
          <w:rStyle w:val="Refdenotaalpie"/>
          <w:rFonts w:asciiTheme="minorHAnsi" w:eastAsia="Calibri" w:hAnsiTheme="minorHAnsi" w:cs="Arial"/>
          <w:sz w:val="24"/>
          <w:szCs w:val="24"/>
          <w:lang w:val="es-ES_tradnl" w:eastAsia="en-US"/>
        </w:rPr>
        <w:footnoteReference w:id="1"/>
      </w:r>
      <w:r w:rsidRPr="000D3432">
        <w:rPr>
          <w:rFonts w:asciiTheme="minorHAnsi" w:eastAsia="Calibri" w:hAnsiTheme="minorHAnsi" w:cs="Arial"/>
          <w:szCs w:val="24"/>
          <w:lang w:val="es-ES_tradnl" w:eastAsia="en-US"/>
        </w:rPr>
        <w:t>. Fue así que el concepto que llena el título cogió su propio contenido, se edificó desde sus propios términos, se dio su nuevo sentido y protagonismo: “Las Curvas del Derecho”, que ya no trataban sólo de un idilio amoroso imposible e inacabado, sino de una configuración normativa, de una contradicción al sentido del derecho en la modernidad, de una rebeldía ante la asunción del sistema normativo moderno, es decir, de aquel que habiendo logrado su objetivo de liberar al ser humano de los prejuicios de la edad media, como los sistemas inquisitivos y los prejuicios de la moral y la religión, ha, sin embargo, “cosificado” al ser humano y lo ha sumido en una palabra, un texto, un código normativo. La modernidad ha creado sus propios prejuicios de los que es imperativo –para hablar en sus términos- superar. Las Curvas del Derecho pretende decir aquello, que el derecho se contradice en sus propios objetivos, que el Derecho no es lineal sino curvo, que el derecho no puede pretenderse “derecho”, porque el ser humano mismo no es “derecho”, sino curvilíneo, que incluso no se le puede pedir que sea derecho voluntariamente, porque contradice su propia naturaleza, porque esto “tuerce su propia contextura natural”, además, que haciendo un ejercicio comparativo arbitrario, para mostrar una figura lingüística se podría decir que el derecho puede ser explicado a través de la figura de la mujer que representa con mayor nitidez lo “curvilíneo” que necesita ser el derecho para ser “perfecto”, estética, social y jurídicamente; siendo además que lo curvilíneo también representa la elasticidad o plasticidad que requiere el sistema normativo para aplicarlo al ser humano. Las curvas enuncian el movimiento, la elasticidad, la flexibilidad, la estética, la armonía, la consonancia con la condición curva del mundo, etc. Las Curvas del Derecho buscan explicar que el Derecho es en esencia: el equilibrio curvilíneo necesario para poder vivir en sociedad.</w:t>
      </w:r>
    </w:p>
    <w:p w14:paraId="0FB184CE" w14:textId="77777777" w:rsidR="001925CE" w:rsidRPr="000D3432" w:rsidRDefault="001925CE" w:rsidP="00A95498">
      <w:pPr>
        <w:jc w:val="both"/>
        <w:rPr>
          <w:rFonts w:asciiTheme="minorHAnsi" w:eastAsia="Calibri" w:hAnsiTheme="minorHAnsi" w:cs="Arial"/>
          <w:szCs w:val="24"/>
          <w:lang w:val="es-ES_tradnl" w:eastAsia="en-US"/>
        </w:rPr>
      </w:pPr>
    </w:p>
    <w:p w14:paraId="28407F1F"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 xml:space="preserve">Y si el derecho es “impositivo”, también resulta ser un instrumento para lograr “el alto privilegio de ser uno mismo”. </w:t>
      </w:r>
    </w:p>
    <w:p w14:paraId="4D598926" w14:textId="77777777" w:rsidR="001925CE" w:rsidRPr="000D3432" w:rsidRDefault="001925CE" w:rsidP="00A95498">
      <w:pPr>
        <w:jc w:val="both"/>
        <w:rPr>
          <w:rFonts w:asciiTheme="minorHAnsi" w:eastAsia="Calibri" w:hAnsiTheme="minorHAnsi" w:cs="Arial"/>
          <w:szCs w:val="24"/>
          <w:lang w:val="es-ES_tradnl" w:eastAsia="en-US"/>
        </w:rPr>
      </w:pPr>
    </w:p>
    <w:p w14:paraId="7EEF5C2E" w14:textId="77777777" w:rsidR="001925CE" w:rsidRPr="000D3432" w:rsidRDefault="001925CE" w:rsidP="00A95498">
      <w:pPr>
        <w:jc w:val="both"/>
        <w:rPr>
          <w:rFonts w:asciiTheme="minorHAnsi" w:eastAsia="Calibri" w:hAnsiTheme="minorHAnsi" w:cs="Arial"/>
          <w:szCs w:val="24"/>
          <w:lang w:val="es-ES_tradnl" w:eastAsia="en-US"/>
        </w:rPr>
      </w:pPr>
    </w:p>
    <w:p w14:paraId="3FB047B3" w14:textId="77777777" w:rsidR="001925CE" w:rsidRPr="000D3432" w:rsidRDefault="001925CE" w:rsidP="00A95498">
      <w:pPr>
        <w:jc w:val="both"/>
        <w:rPr>
          <w:rFonts w:asciiTheme="minorHAnsi" w:eastAsia="Calibri" w:hAnsiTheme="minorHAnsi" w:cs="Arial"/>
          <w:szCs w:val="24"/>
          <w:lang w:val="es-ES_tradnl" w:eastAsia="en-US"/>
        </w:rPr>
      </w:pPr>
    </w:p>
    <w:p w14:paraId="68BB6296"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lastRenderedPageBreak/>
        <w:t xml:space="preserve">Por otro lado, este libro pretendeasimismo incentivar a que cada persona logre a través del Derecho hecho libertad el “alto privilegio de ser el mismo”; siendo el Derecho el mejor método para lograrlo, porque aquél no es sólo teoría sobre las conductas humanas, sino “ejercicios de poder”, “ejercicios de fuerzas”, “relaciones de fuerzas”; porque el Derecho no es la teorización de las conductas normadas, sino esencialmente su “ejercicio”, “la vida puesta en acción” a través de un sistema normativo. </w:t>
      </w:r>
    </w:p>
    <w:p w14:paraId="77C1F60C" w14:textId="77777777" w:rsidR="001925CE" w:rsidRPr="000D3432" w:rsidRDefault="001925CE" w:rsidP="00A95498">
      <w:pPr>
        <w:jc w:val="both"/>
        <w:rPr>
          <w:rFonts w:asciiTheme="minorHAnsi" w:eastAsia="Calibri" w:hAnsiTheme="minorHAnsi" w:cs="Arial"/>
          <w:szCs w:val="24"/>
          <w:lang w:val="es-ES_tradnl" w:eastAsia="en-US"/>
        </w:rPr>
      </w:pPr>
    </w:p>
    <w:p w14:paraId="6709173A"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Así el Derecho es el mejor método para lograr una vida libre; el Derecho no es simple teoría, sino “ejercicio”, “vida puesta en acción”; antes de ello sólo se tratan de ideas. Cosa curiosa, pues son estas ideas las que luego se pueden ejecutar o “ejercitar” con el derecho, y antes que la norma está el concepto, y todo esto se encuentra en nuestra mente. El derecho, pues, provienen de nuestra mente. Y la mente promueve el movimiento, es decir, conductas. Y es en la esfera de las conductas donde el derecho actúa, pues el derecho es la regulación de conductas cuando éstas se dan en relación con los demás.</w:t>
      </w:r>
    </w:p>
    <w:p w14:paraId="62CD096C" w14:textId="77777777" w:rsidR="001925CE" w:rsidRPr="000D3432" w:rsidRDefault="001925CE" w:rsidP="00A95498">
      <w:pPr>
        <w:jc w:val="both"/>
        <w:rPr>
          <w:rFonts w:asciiTheme="minorHAnsi" w:eastAsia="Calibri" w:hAnsiTheme="minorHAnsi" w:cs="Arial"/>
          <w:szCs w:val="24"/>
          <w:lang w:val="es-ES_tradnl" w:eastAsia="en-US"/>
        </w:rPr>
      </w:pPr>
    </w:p>
    <w:p w14:paraId="6EEF7003"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El derecho es movimiento constante permanente. El derecho supone una profanación constante de la pasividad, de lo rutinario. Pues nada más extraño al derecho que lo rutinario. El derecho es más bien como un volcán siempre amenazante con erupcionar uno que otro dìa. Derecho es vida en movimiento constante y perpetuo. El derecho es una relación de fuerzas, y por tanto, en constante tensión. El derecho es la fuerza de las razones que suplanta a la fuerza bruta; es aquella fuerza de los motivos, justificaciones y razones.</w:t>
      </w:r>
    </w:p>
    <w:p w14:paraId="72A925FD" w14:textId="77777777" w:rsidR="001925CE" w:rsidRPr="000D3432" w:rsidRDefault="001925CE" w:rsidP="00A95498">
      <w:pPr>
        <w:jc w:val="both"/>
        <w:rPr>
          <w:rFonts w:asciiTheme="minorHAnsi" w:eastAsia="Calibri" w:hAnsiTheme="minorHAnsi" w:cs="Arial"/>
          <w:szCs w:val="24"/>
          <w:lang w:val="es-ES_tradnl" w:eastAsia="en-US"/>
        </w:rPr>
      </w:pPr>
    </w:p>
    <w:p w14:paraId="5E234156"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Así, es el presente texto un esfuerzo por agrupar diversos temas, desde la concepción del derecho, el derecho en la mente de los filósofos, la dialéctica jurídica, etc.</w:t>
      </w:r>
    </w:p>
    <w:p w14:paraId="098E65C6" w14:textId="77777777" w:rsidR="001925CE" w:rsidRPr="000D3432" w:rsidRDefault="001925CE" w:rsidP="00A95498">
      <w:pPr>
        <w:jc w:val="both"/>
        <w:rPr>
          <w:rFonts w:asciiTheme="minorHAnsi" w:eastAsia="Calibri" w:hAnsiTheme="minorHAnsi" w:cs="Arial"/>
          <w:szCs w:val="24"/>
          <w:lang w:val="es-ES_tradnl" w:eastAsia="en-US"/>
        </w:rPr>
      </w:pPr>
    </w:p>
    <w:p w14:paraId="36E31520" w14:textId="77777777" w:rsidR="001925CE" w:rsidRPr="000D3432" w:rsidRDefault="001925CE" w:rsidP="00A95498">
      <w:pPr>
        <w:jc w:val="both"/>
        <w:rPr>
          <w:rFonts w:asciiTheme="minorHAnsi" w:eastAsia="Calibri" w:hAnsiTheme="minorHAnsi" w:cs="Arial"/>
          <w:szCs w:val="24"/>
          <w:lang w:val="es-ES_tradnl" w:eastAsia="en-US"/>
        </w:rPr>
      </w:pPr>
      <w:r w:rsidRPr="000D3432">
        <w:rPr>
          <w:rFonts w:asciiTheme="minorHAnsi" w:eastAsia="Calibri" w:hAnsiTheme="minorHAnsi" w:cs="Arial"/>
          <w:szCs w:val="24"/>
          <w:lang w:val="es-ES_tradnl" w:eastAsia="en-US"/>
        </w:rPr>
        <w:t>Hay en el texto sólo una expectativa, " resquebrajar " aquellos conceptos, teorías e ideas que nos sumergen en el dogma, en los complejos y prejuicios, que imposibilitan hacer nuestra vida mejor. Este es un intento por desanudar enredos teóricos, jurídicamente concebidas, y hablar de derecho, no desde un esquema infértil, inútil o aburrido, sino para ensayar ideas y teorías, en un intento ineludible y porfiado de ver las cosas con cierta claridad.</w:t>
      </w:r>
    </w:p>
    <w:p w14:paraId="40AE4F4E" w14:textId="77777777" w:rsidR="001925CE" w:rsidRPr="000D3432" w:rsidRDefault="001925CE" w:rsidP="00A95498">
      <w:pPr>
        <w:jc w:val="both"/>
        <w:rPr>
          <w:rFonts w:asciiTheme="minorHAnsi" w:hAnsiTheme="minorHAnsi" w:cs="Arial"/>
          <w:szCs w:val="24"/>
          <w:lang w:val="es-ES_tradnl"/>
        </w:rPr>
      </w:pPr>
    </w:p>
    <w:p w14:paraId="7A2545A3" w14:textId="77777777" w:rsidR="001925CE" w:rsidRPr="000D3432" w:rsidRDefault="001925CE" w:rsidP="00A95498">
      <w:pPr>
        <w:jc w:val="center"/>
        <w:rPr>
          <w:rFonts w:asciiTheme="minorHAnsi" w:hAnsiTheme="minorHAnsi" w:cs="Arial"/>
          <w:szCs w:val="24"/>
        </w:rPr>
      </w:pPr>
    </w:p>
    <w:p w14:paraId="02ED8A69"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PRIMERA SECCIÓN</w:t>
      </w:r>
    </w:p>
    <w:p w14:paraId="6DE38BEC"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EL DERECHO Y LA FILOSOFÌA DEL DERECHO</w:t>
      </w:r>
    </w:p>
    <w:p w14:paraId="4D7BDC44"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(1.- Extravíos sobre Filosofía del Derecho...)</w:t>
      </w:r>
    </w:p>
    <w:p w14:paraId="23BDED1A" w14:textId="77777777" w:rsidR="001925CE" w:rsidRPr="000D3432" w:rsidRDefault="001925CE" w:rsidP="00A95498">
      <w:pPr>
        <w:jc w:val="both"/>
        <w:rPr>
          <w:rFonts w:asciiTheme="minorHAnsi" w:hAnsiTheme="minorHAnsi" w:cs="Arial"/>
          <w:szCs w:val="24"/>
        </w:rPr>
      </w:pPr>
    </w:p>
    <w:p w14:paraId="483DD476" w14:textId="77777777" w:rsidR="001925CE" w:rsidRPr="000D3432" w:rsidRDefault="001925CE" w:rsidP="00A95498">
      <w:pPr>
        <w:jc w:val="both"/>
        <w:rPr>
          <w:rFonts w:asciiTheme="minorHAnsi" w:hAnsiTheme="minorHAnsi" w:cs="Arial"/>
          <w:szCs w:val="24"/>
        </w:rPr>
      </w:pPr>
    </w:p>
    <w:p w14:paraId="070CA0CA"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Escribir filosofía es sumamente difícil, si se entiende a este como una expresión genial de la mente, y que describe el mundo, la vida, las relaciones sociales, o cualquier otro fenómeno en forma sorprendente y poco comprensible para cualquier ser humano. Se dice de los filósofos que son tal por su capacidad para analizar y concebir el mundo viendo cosas que los demás no pueden ver, son como los científicos del pensamiento, las teorizaciones y las doctrinas. </w:t>
      </w:r>
    </w:p>
    <w:p w14:paraId="0A812AC5" w14:textId="77777777" w:rsidR="001925CE" w:rsidRPr="000D3432" w:rsidRDefault="001925CE" w:rsidP="00A95498">
      <w:pPr>
        <w:jc w:val="both"/>
        <w:rPr>
          <w:rFonts w:asciiTheme="minorHAnsi" w:hAnsiTheme="minorHAnsi" w:cs="Arial"/>
          <w:szCs w:val="24"/>
        </w:rPr>
      </w:pPr>
    </w:p>
    <w:p w14:paraId="185282B0"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El presente libro no es producto de un filósofo, sino de alguien a quien le gusta pretensiosamente la filosofía y su profundidad, sus secuelas y sus desórdenes, la complejidad y la oscuridad que se revelan luego en luces. </w:t>
      </w:r>
    </w:p>
    <w:p w14:paraId="306C597A" w14:textId="77777777" w:rsidR="001925CE" w:rsidRPr="000D3432" w:rsidRDefault="001925CE" w:rsidP="00A95498">
      <w:pPr>
        <w:jc w:val="both"/>
        <w:rPr>
          <w:rFonts w:asciiTheme="minorHAnsi" w:hAnsiTheme="minorHAnsi" w:cs="Arial"/>
          <w:szCs w:val="24"/>
        </w:rPr>
      </w:pPr>
    </w:p>
    <w:p w14:paraId="47B1785C"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La verdad, o el motivo de esta publicación no es saber de Filosofía, ni siquiera la vanidad de haber escrito, sino la pretensión de dejar de lado a los filósofos, y sus discursos, porque si bien nos han ayudado y conjugado extraordinariamente la palabra para sorprendernos con sus razonamientos, no podemos hacer nada más que sugerir su lectura, para aquellos valientes que estén dispuestos a aburrirse, o a no entender nada, o en lo contrario a transformar sus vidas con la sabiduría y la solidez de quien sabe algo más del mundo y de la vida, que el común de los mortales. </w:t>
      </w:r>
    </w:p>
    <w:p w14:paraId="7E632F7E" w14:textId="77777777" w:rsidR="001925CE" w:rsidRPr="000D3432" w:rsidRDefault="001925CE" w:rsidP="00A95498">
      <w:pPr>
        <w:jc w:val="both"/>
        <w:rPr>
          <w:rFonts w:asciiTheme="minorHAnsi" w:hAnsiTheme="minorHAnsi" w:cs="Arial"/>
          <w:szCs w:val="24"/>
        </w:rPr>
      </w:pPr>
    </w:p>
    <w:p w14:paraId="3E21FF51" w14:textId="77777777" w:rsidR="001925CE" w:rsidRPr="000D3432" w:rsidRDefault="001925CE" w:rsidP="00A95498">
      <w:pPr>
        <w:jc w:val="both"/>
        <w:rPr>
          <w:rFonts w:asciiTheme="minorHAnsi" w:hAnsiTheme="minorHAnsi" w:cs="Arial"/>
          <w:szCs w:val="24"/>
        </w:rPr>
      </w:pPr>
    </w:p>
    <w:p w14:paraId="394C9AB9"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SEGUNDA PARTE</w:t>
      </w:r>
      <w:r w:rsidRPr="000D3432">
        <w:rPr>
          <w:rFonts w:asciiTheme="minorHAnsi" w:hAnsiTheme="minorHAnsi" w:cs="Arial"/>
          <w:b/>
          <w:szCs w:val="24"/>
        </w:rPr>
        <w:t>:</w:t>
      </w:r>
    </w:p>
    <w:p w14:paraId="4AD86BF2"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LA CONCEPCIÓN DEL DERECHO</w:t>
      </w:r>
    </w:p>
    <w:p w14:paraId="6BB1FA5A"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(2.- La Anticoncepción del Derecho...)</w:t>
      </w:r>
    </w:p>
    <w:p w14:paraId="25DE4DED" w14:textId="77777777" w:rsidR="001925CE" w:rsidRPr="000D3432" w:rsidRDefault="001925CE" w:rsidP="00A95498">
      <w:pPr>
        <w:jc w:val="both"/>
        <w:rPr>
          <w:rFonts w:asciiTheme="minorHAnsi" w:hAnsiTheme="minorHAnsi" w:cs="Arial"/>
          <w:szCs w:val="24"/>
        </w:rPr>
      </w:pPr>
    </w:p>
    <w:p w14:paraId="5C60410E" w14:textId="77777777" w:rsidR="001925CE" w:rsidRPr="000D3432" w:rsidRDefault="001925CE" w:rsidP="00A95498">
      <w:pPr>
        <w:jc w:val="both"/>
        <w:rPr>
          <w:rFonts w:asciiTheme="minorHAnsi" w:hAnsiTheme="minorHAnsi" w:cs="Arial"/>
          <w:szCs w:val="24"/>
        </w:rPr>
      </w:pPr>
    </w:p>
    <w:p w14:paraId="73ACAC9F"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En esta parte del texto hacemos algunos esbozos sobre la Teoría General del Derecho, sobre sus concepciones, y sobre lo que se entiende de aquellos conceptos centrales como “lo jurídico”, “la voluntad jurídica”, entre otros conceptos; para luego hacer una intromisión al concepto mismo de Derecho, y así, al concepto dado por Francesco Galgano, o Kant, o la diversidad de fenómenos que traen sus concepciones. </w:t>
      </w:r>
    </w:p>
    <w:p w14:paraId="4267373D" w14:textId="77777777" w:rsidR="001925CE" w:rsidRPr="000D3432" w:rsidRDefault="001925CE" w:rsidP="00A95498">
      <w:pPr>
        <w:jc w:val="both"/>
        <w:rPr>
          <w:rFonts w:asciiTheme="minorHAnsi" w:hAnsiTheme="minorHAnsi" w:cs="Arial"/>
          <w:szCs w:val="24"/>
        </w:rPr>
      </w:pPr>
    </w:p>
    <w:p w14:paraId="0CBEF329"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Para Kant el problema del concepto del Derecho, por ejemplo, puede concebirse en la multiplicidad de sus sentidos, en el multifacetismo lingüístico, en la configuración semántica, o en la diversidad contextual en que es usada esta concepción. </w:t>
      </w:r>
    </w:p>
    <w:p w14:paraId="148310C3" w14:textId="77777777" w:rsidR="001925CE" w:rsidRPr="000D3432" w:rsidRDefault="001925CE" w:rsidP="00A95498">
      <w:pPr>
        <w:jc w:val="both"/>
        <w:rPr>
          <w:rFonts w:asciiTheme="minorHAnsi" w:hAnsiTheme="minorHAnsi" w:cs="Arial"/>
          <w:szCs w:val="24"/>
        </w:rPr>
      </w:pPr>
    </w:p>
    <w:p w14:paraId="0326CA68"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Luego se pasa revisión a la clasificación de la multiplicidad de sentidos del Derecho; así el Derecho en sentido Subjetivo, como facultad o potestad; o el sentido como normativista, como norma o sistema normativo; así también el sentido axiológico, como ideal ético de la Justicia; y el último  en sentido académico, como objeto o rama de estudio, ciencia, disciplina. </w:t>
      </w:r>
    </w:p>
    <w:p w14:paraId="022FA8CA" w14:textId="77777777" w:rsidR="001925CE" w:rsidRPr="000D3432" w:rsidRDefault="001925CE" w:rsidP="00A95498">
      <w:pPr>
        <w:jc w:val="both"/>
        <w:rPr>
          <w:rFonts w:asciiTheme="minorHAnsi" w:hAnsiTheme="minorHAnsi" w:cs="Arial"/>
          <w:szCs w:val="24"/>
        </w:rPr>
      </w:pPr>
    </w:p>
    <w:p w14:paraId="796AF8EA"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Luego pasamos por los elementos esenciales del concepto de Derecho; cómo el que debe comprender el concepto de sociedad; así como debe contener la idea de orden social; así mismo el concepto de organización, estructura. </w:t>
      </w:r>
    </w:p>
    <w:p w14:paraId="17DC2E4E" w14:textId="77777777" w:rsidR="001925CE" w:rsidRPr="000D3432" w:rsidRDefault="001925CE" w:rsidP="00A95498">
      <w:pPr>
        <w:jc w:val="both"/>
        <w:rPr>
          <w:rFonts w:asciiTheme="minorHAnsi" w:hAnsiTheme="minorHAnsi" w:cs="Arial"/>
          <w:szCs w:val="24"/>
        </w:rPr>
      </w:pPr>
    </w:p>
    <w:p w14:paraId="74E91790"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Luego verificaremos el concepto de Derecho, según el gran jurista Luis Diez Picazo, y entremezclarlo con las concepciones que da el filósofo Michel Foucault.  Después veremos la clasificación de las nociones de Derecho según Villoro. </w:t>
      </w:r>
    </w:p>
    <w:p w14:paraId="2D39D61E" w14:textId="77777777" w:rsidR="001925CE" w:rsidRPr="000D3432" w:rsidRDefault="001925CE" w:rsidP="00A95498">
      <w:pPr>
        <w:jc w:val="both"/>
        <w:rPr>
          <w:rFonts w:asciiTheme="minorHAnsi" w:hAnsiTheme="minorHAnsi" w:cs="Arial"/>
          <w:szCs w:val="24"/>
        </w:rPr>
      </w:pPr>
    </w:p>
    <w:p w14:paraId="1ED7F878" w14:textId="67165DE5"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Luego exploraremos las Teorías Filosóficas Jurídicas, donde veremos la concepción normativista, la concepción institucionalista, la concepción </w:t>
      </w:r>
      <w:r w:rsidR="00D4423A" w:rsidRPr="000D3432">
        <w:rPr>
          <w:rFonts w:asciiTheme="minorHAnsi" w:hAnsiTheme="minorHAnsi" w:cs="Arial"/>
          <w:szCs w:val="24"/>
        </w:rPr>
        <w:lastRenderedPageBreak/>
        <w:t>relac</w:t>
      </w:r>
      <w:r w:rsidRPr="000D3432">
        <w:rPr>
          <w:rFonts w:asciiTheme="minorHAnsi" w:hAnsiTheme="minorHAnsi" w:cs="Arial"/>
          <w:szCs w:val="24"/>
        </w:rPr>
        <w:t xml:space="preserve">ionista, la concepción conductista del Derecho. </w:t>
      </w:r>
    </w:p>
    <w:p w14:paraId="5E63D694" w14:textId="77777777" w:rsidR="001925CE" w:rsidRPr="000D3432" w:rsidRDefault="001925CE" w:rsidP="00A95498">
      <w:pPr>
        <w:jc w:val="both"/>
        <w:rPr>
          <w:rFonts w:asciiTheme="minorHAnsi" w:hAnsiTheme="minorHAnsi" w:cs="Arial"/>
          <w:szCs w:val="24"/>
        </w:rPr>
      </w:pPr>
    </w:p>
    <w:p w14:paraId="372BD471" w14:textId="601D11ED"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Más tarde abordaremos las corrientes del pensamientos jurídico, en el cual exploraremos las concepciones del Iusnaturalismo</w:t>
      </w:r>
      <w:r w:rsidR="00D4423A" w:rsidRPr="000D3432">
        <w:rPr>
          <w:rFonts w:asciiTheme="minorHAnsi" w:hAnsiTheme="minorHAnsi" w:cs="Arial"/>
          <w:szCs w:val="24"/>
        </w:rPr>
        <w:t xml:space="preserve"> </w:t>
      </w:r>
      <w:r w:rsidRPr="000D3432">
        <w:rPr>
          <w:rFonts w:asciiTheme="minorHAnsi" w:hAnsiTheme="minorHAnsi" w:cs="Arial"/>
          <w:szCs w:val="24"/>
        </w:rPr>
        <w:t xml:space="preserve">y el Positivismo, </w:t>
      </w:r>
    </w:p>
    <w:p w14:paraId="2781C360" w14:textId="77777777" w:rsidR="001925CE" w:rsidRPr="000D3432" w:rsidRDefault="001925CE" w:rsidP="00A95498">
      <w:pPr>
        <w:jc w:val="both"/>
        <w:rPr>
          <w:rFonts w:asciiTheme="minorHAnsi" w:hAnsiTheme="minorHAnsi" w:cs="Arial"/>
          <w:szCs w:val="24"/>
        </w:rPr>
      </w:pPr>
    </w:p>
    <w:p w14:paraId="383108ED"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Mas tarde trataremos, desde la concepción del Orden, los Sistemas Jurídicos, desde las Familia Anglo-Sajona; la Familia de los Derechos Fundamentales en creencias religiosas, las Familias Romano Germánicas. </w:t>
      </w:r>
    </w:p>
    <w:p w14:paraId="4C3037C6" w14:textId="77777777" w:rsidR="001925CE" w:rsidRPr="000D3432" w:rsidRDefault="001925CE" w:rsidP="00A95498">
      <w:pPr>
        <w:jc w:val="both"/>
        <w:rPr>
          <w:rFonts w:asciiTheme="minorHAnsi" w:hAnsiTheme="minorHAnsi" w:cs="Arial"/>
          <w:szCs w:val="24"/>
        </w:rPr>
      </w:pPr>
    </w:p>
    <w:p w14:paraId="70D8924D"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Después observaremos las características y los elementos de los sistemas jurídicos, como el estructural, cultural, sustantivo. </w:t>
      </w:r>
    </w:p>
    <w:p w14:paraId="3F7178FA" w14:textId="77777777" w:rsidR="001925CE" w:rsidRPr="000D3432" w:rsidRDefault="001925CE" w:rsidP="00A95498">
      <w:pPr>
        <w:jc w:val="both"/>
        <w:rPr>
          <w:rFonts w:asciiTheme="minorHAnsi" w:hAnsiTheme="minorHAnsi" w:cs="Arial"/>
          <w:szCs w:val="24"/>
        </w:rPr>
      </w:pPr>
    </w:p>
    <w:p w14:paraId="7F3AE2F6"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Continuamos con una teorización sobre el Poder, y su subdivisión en Poder Divino, en el cual trataremos del Derecho Divino de los Papas, el Derecho divino de los Reyes; luego trataremos del Poder Humano, con la Teoría del Contrato. </w:t>
      </w:r>
    </w:p>
    <w:p w14:paraId="1121F6E6" w14:textId="77777777" w:rsidR="001925CE" w:rsidRPr="000D3432" w:rsidRDefault="001925CE" w:rsidP="00A95498">
      <w:pPr>
        <w:jc w:val="both"/>
        <w:rPr>
          <w:rFonts w:asciiTheme="minorHAnsi" w:hAnsiTheme="minorHAnsi" w:cs="Arial"/>
          <w:szCs w:val="24"/>
        </w:rPr>
      </w:pPr>
    </w:p>
    <w:p w14:paraId="5F098F06" w14:textId="77777777" w:rsidR="001925CE" w:rsidRPr="000D3432" w:rsidRDefault="001925CE" w:rsidP="00A95498">
      <w:pPr>
        <w:jc w:val="both"/>
        <w:rPr>
          <w:rFonts w:asciiTheme="minorHAnsi" w:hAnsiTheme="minorHAnsi" w:cs="Arial"/>
          <w:szCs w:val="24"/>
        </w:rPr>
      </w:pPr>
    </w:p>
    <w:p w14:paraId="0CC0BF3C" w14:textId="57D66D75"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 xml:space="preserve">TERCERA </w:t>
      </w:r>
      <w:r w:rsidR="00D4423A" w:rsidRPr="000D3432">
        <w:rPr>
          <w:rFonts w:asciiTheme="minorHAnsi" w:hAnsiTheme="minorHAnsi" w:cs="Arial"/>
          <w:b/>
          <w:szCs w:val="24"/>
          <w:u w:val="single"/>
        </w:rPr>
        <w:t>SECCION</w:t>
      </w:r>
    </w:p>
    <w:p w14:paraId="59752368"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3.- EL DERECHO EN LA  MENTE DE LOS FILÓSOFOS</w:t>
      </w:r>
    </w:p>
    <w:p w14:paraId="7DDC38F9" w14:textId="77777777" w:rsidR="001925CE" w:rsidRPr="000D3432" w:rsidRDefault="001925CE" w:rsidP="00A95498">
      <w:pPr>
        <w:jc w:val="both"/>
        <w:rPr>
          <w:rFonts w:asciiTheme="minorHAnsi" w:hAnsiTheme="minorHAnsi" w:cs="Arial"/>
          <w:b/>
          <w:szCs w:val="24"/>
        </w:rPr>
      </w:pPr>
    </w:p>
    <w:p w14:paraId="0482B3C1" w14:textId="77777777" w:rsidR="001925CE" w:rsidRPr="000D3432" w:rsidRDefault="001925CE" w:rsidP="00A95498">
      <w:pPr>
        <w:jc w:val="both"/>
        <w:rPr>
          <w:rFonts w:asciiTheme="minorHAnsi" w:hAnsiTheme="minorHAnsi" w:cs="Arial"/>
          <w:szCs w:val="24"/>
        </w:rPr>
      </w:pPr>
    </w:p>
    <w:p w14:paraId="25369A01"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En esta sección del texto tendremos recién la parte, a nuestro parecer, más sustancial, pues es el intento de reflejar las ideas sobre el derecho que han dado innumerables filósofos. </w:t>
      </w:r>
    </w:p>
    <w:p w14:paraId="3ABED641" w14:textId="77777777" w:rsidR="001925CE" w:rsidRPr="000D3432" w:rsidRDefault="001925CE" w:rsidP="00A95498">
      <w:pPr>
        <w:jc w:val="both"/>
        <w:rPr>
          <w:rFonts w:asciiTheme="minorHAnsi" w:hAnsiTheme="minorHAnsi" w:cs="Arial"/>
          <w:szCs w:val="24"/>
        </w:rPr>
      </w:pPr>
    </w:p>
    <w:p w14:paraId="462E56CD"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En esta parte veremos el Derecho en la mente de los filósofos, el pensamiento jurídico premoderno, moderno y postmoderno. </w:t>
      </w:r>
    </w:p>
    <w:p w14:paraId="7AC4D27B" w14:textId="77777777" w:rsidR="001925CE" w:rsidRPr="000D3432" w:rsidRDefault="001925CE" w:rsidP="00A95498">
      <w:pPr>
        <w:jc w:val="both"/>
        <w:rPr>
          <w:rFonts w:asciiTheme="minorHAnsi" w:hAnsiTheme="minorHAnsi" w:cs="Arial"/>
          <w:szCs w:val="24"/>
        </w:rPr>
      </w:pPr>
    </w:p>
    <w:p w14:paraId="6BCBBAFB"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Para ello haremos una reseña y conceptualización a la Filosofía y el Derecho. Haciendo una descripción en razón al tiempo en el cual se desarrollaron dichas teorías filosóficas y los filósofos que las dieron. </w:t>
      </w:r>
    </w:p>
    <w:p w14:paraId="01D12A98" w14:textId="77777777" w:rsidR="001925CE" w:rsidRPr="000D3432" w:rsidRDefault="001925CE" w:rsidP="00A95498">
      <w:pPr>
        <w:jc w:val="both"/>
        <w:rPr>
          <w:rFonts w:asciiTheme="minorHAnsi" w:hAnsiTheme="minorHAnsi" w:cs="Arial"/>
          <w:szCs w:val="24"/>
        </w:rPr>
      </w:pPr>
    </w:p>
    <w:p w14:paraId="505BC2FD" w14:textId="12729A66"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Así tenemos el Derecho como visión mítica, el Derecho como búsqueda de explicaciones en la naturaleza y sus procesos. El Derecho en los griegos, como Heráclito, </w:t>
      </w:r>
      <w:r w:rsidR="00D4423A" w:rsidRPr="000D3432">
        <w:rPr>
          <w:rFonts w:asciiTheme="minorHAnsi" w:hAnsiTheme="minorHAnsi" w:cs="Arial"/>
          <w:szCs w:val="24"/>
        </w:rPr>
        <w:t>Empédocles</w:t>
      </w:r>
      <w:r w:rsidRPr="000D3432">
        <w:rPr>
          <w:rFonts w:asciiTheme="minorHAnsi" w:hAnsiTheme="minorHAnsi" w:cs="Arial"/>
          <w:szCs w:val="24"/>
        </w:rPr>
        <w:t xml:space="preserve">, Demócrito, Sócrates, como el derecho como fundamento y supremacía de la ley, y Platón con el Derecho como participación en la idea de justicia. </w:t>
      </w:r>
    </w:p>
    <w:p w14:paraId="6B543F79" w14:textId="77777777" w:rsidR="001925CE" w:rsidRPr="000D3432" w:rsidRDefault="001925CE" w:rsidP="00A95498">
      <w:pPr>
        <w:jc w:val="both"/>
        <w:rPr>
          <w:rFonts w:asciiTheme="minorHAnsi" w:hAnsiTheme="minorHAnsi" w:cs="Arial"/>
          <w:szCs w:val="24"/>
        </w:rPr>
      </w:pPr>
    </w:p>
    <w:p w14:paraId="1A13F474" w14:textId="1C51C732"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Veremos  a la ley y el derecho como función educativa, la autoridad de la ley justificada en su necesidad social, las leyes reconocidas si se ajustan al principio de la ley de la comunidad, el bien común; </w:t>
      </w:r>
      <w:r w:rsidR="00D4423A" w:rsidRPr="000D3432">
        <w:rPr>
          <w:rFonts w:asciiTheme="minorHAnsi" w:hAnsiTheme="minorHAnsi" w:cs="Arial"/>
          <w:szCs w:val="24"/>
        </w:rPr>
        <w:t>así</w:t>
      </w:r>
      <w:r w:rsidRPr="000D3432">
        <w:rPr>
          <w:rFonts w:asciiTheme="minorHAnsi" w:hAnsiTheme="minorHAnsi" w:cs="Arial"/>
          <w:szCs w:val="24"/>
        </w:rPr>
        <w:t xml:space="preserve"> como la Sociedad ideas, el concepto primigenio de Estado, y la idea de una sociedad gobernada por Filósofos. </w:t>
      </w:r>
    </w:p>
    <w:p w14:paraId="0A95C469" w14:textId="77777777" w:rsidR="001925CE" w:rsidRPr="000D3432" w:rsidRDefault="001925CE" w:rsidP="00A95498">
      <w:pPr>
        <w:jc w:val="both"/>
        <w:rPr>
          <w:rFonts w:asciiTheme="minorHAnsi" w:hAnsiTheme="minorHAnsi" w:cs="Arial"/>
          <w:szCs w:val="24"/>
        </w:rPr>
      </w:pPr>
    </w:p>
    <w:p w14:paraId="2E9CA173"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Trataremos de escarbar en la mente de ARISTÓTELES, cuyo razonamiento ha pasado por la Lógica, con sus Silogismos, así mismo como sus concepciones de propiedad, sus formas de organización del Estado, basado en la Monarquía, Aristocracia, Democracia. Su concepción de Igualdad, y de Justicia. Asimismo como la Moral y el Derecho aún confrontados. </w:t>
      </w:r>
    </w:p>
    <w:p w14:paraId="49EA802F" w14:textId="77777777" w:rsidR="001925CE" w:rsidRPr="000D3432" w:rsidRDefault="001925CE" w:rsidP="00A95498">
      <w:pPr>
        <w:jc w:val="both"/>
        <w:rPr>
          <w:rFonts w:asciiTheme="minorHAnsi" w:hAnsiTheme="minorHAnsi" w:cs="Arial"/>
          <w:szCs w:val="24"/>
        </w:rPr>
      </w:pPr>
    </w:p>
    <w:p w14:paraId="444468E2"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En el Texto se examina también la teoría de SANTO TOMAS DE AQUINO, de quien se puede sintetizar su pensamiento jurídico como el Derecho como espejo y parte del orden divino del mundo; sus explicaciones sobre la Ley Eterna, la Ley Natural, la Ley Humana. Así sobre que la Ley humana sólo es ley si se deriva de la ley eterna, la Ley Natural nace de la naturaleza, la Ley Humana positiva nace de la voluntad de los hombres. Las concepciones tomistas del Derecho. </w:t>
      </w:r>
    </w:p>
    <w:p w14:paraId="0F788FD4" w14:textId="77777777" w:rsidR="001925CE" w:rsidRPr="000D3432" w:rsidRDefault="001925CE" w:rsidP="00A95498">
      <w:pPr>
        <w:jc w:val="both"/>
        <w:rPr>
          <w:rFonts w:asciiTheme="minorHAnsi" w:hAnsiTheme="minorHAnsi" w:cs="Arial"/>
          <w:szCs w:val="24"/>
        </w:rPr>
      </w:pPr>
    </w:p>
    <w:p w14:paraId="1F3276CF" w14:textId="77777777" w:rsidR="001925CE" w:rsidRPr="000D3432" w:rsidRDefault="001925CE" w:rsidP="00A95498">
      <w:pPr>
        <w:jc w:val="both"/>
        <w:rPr>
          <w:rFonts w:asciiTheme="minorHAnsi" w:hAnsiTheme="minorHAnsi" w:cs="Arial"/>
          <w:szCs w:val="24"/>
        </w:rPr>
      </w:pPr>
    </w:p>
    <w:p w14:paraId="6E049EEA"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Más tarde concebiremos el PENSAMIENTO MODERNO, con DESCARTES  y sus Discurso del método. Luego SPINOZA   judío repudiado por la Sinagoga, con sus concepciones sobre el Derecho como expresión de la razón pura (como expresión de la naturaleza); el hombre condicionado por las leyes de la naturaleza; la identificación al derecho con el poder, así como la teoría de que cada uno tiene tanto derecho cuanto poder posee; la teorización del Panteísmo, es decir que todo deriva de Dios, o de la naturaleza impersonal. </w:t>
      </w:r>
    </w:p>
    <w:p w14:paraId="42516E4B" w14:textId="77777777" w:rsidR="001925CE" w:rsidRPr="000D3432" w:rsidRDefault="001925CE" w:rsidP="00A95498">
      <w:pPr>
        <w:numPr>
          <w:ilvl w:val="12"/>
          <w:numId w:val="0"/>
        </w:numPr>
        <w:jc w:val="both"/>
        <w:rPr>
          <w:rFonts w:asciiTheme="minorHAnsi" w:hAnsiTheme="minorHAnsi" w:cs="Arial"/>
          <w:szCs w:val="24"/>
        </w:rPr>
      </w:pPr>
    </w:p>
    <w:p w14:paraId="490113AE" w14:textId="77777777" w:rsidR="001925CE" w:rsidRPr="000D3432" w:rsidRDefault="001925CE" w:rsidP="00A95498">
      <w:pPr>
        <w:numPr>
          <w:ilvl w:val="12"/>
          <w:numId w:val="0"/>
        </w:numPr>
        <w:jc w:val="both"/>
        <w:rPr>
          <w:rFonts w:asciiTheme="minorHAnsi" w:hAnsiTheme="minorHAnsi" w:cs="Arial"/>
          <w:szCs w:val="24"/>
        </w:rPr>
      </w:pPr>
      <w:r w:rsidRPr="000D3432">
        <w:rPr>
          <w:rFonts w:asciiTheme="minorHAnsi" w:hAnsiTheme="minorHAnsi" w:cs="Arial"/>
          <w:szCs w:val="24"/>
        </w:rPr>
        <w:t>PASCAL, que fue un filósofo matemático, quien habla sobre el problema existencial, es decir que el problema es estar con el otro; también sobre la diversidad e inestabilidad de las leyes humanas, sobre la justicia que entiende que es difícil de reconocer el sujeto de discusión, sobre la fuerza , etc,</w:t>
      </w:r>
    </w:p>
    <w:p w14:paraId="495CCB48" w14:textId="77777777" w:rsidR="001925CE" w:rsidRPr="000D3432" w:rsidRDefault="001925CE" w:rsidP="00A95498">
      <w:pPr>
        <w:numPr>
          <w:ilvl w:val="12"/>
          <w:numId w:val="0"/>
        </w:numPr>
        <w:jc w:val="both"/>
        <w:rPr>
          <w:rFonts w:asciiTheme="minorHAnsi" w:hAnsiTheme="minorHAnsi" w:cs="Arial"/>
          <w:szCs w:val="24"/>
        </w:rPr>
      </w:pPr>
    </w:p>
    <w:p w14:paraId="07EF7788"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MAQUIAVELO, de quien puede sintetizarse su discurso como el Derecho como  descripción, expresión de la realidad; así mismo como la imposición del Derecho por razones del Estado para evitar el mal como fundamento; el Derecho como relación de fuerzas políticas. </w:t>
      </w:r>
    </w:p>
    <w:p w14:paraId="08C93EE1"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El Derecho como descripción, expresión de la realidad</w:t>
      </w:r>
    </w:p>
    <w:p w14:paraId="2B7DE022" w14:textId="77777777" w:rsidR="001925CE" w:rsidRPr="000D3432" w:rsidRDefault="001925CE" w:rsidP="00A95498">
      <w:pPr>
        <w:jc w:val="both"/>
        <w:rPr>
          <w:rFonts w:asciiTheme="minorHAnsi" w:hAnsiTheme="minorHAnsi" w:cs="Arial"/>
          <w:szCs w:val="24"/>
          <w:u w:val="single"/>
        </w:rPr>
      </w:pPr>
    </w:p>
    <w:p w14:paraId="170C3A24"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HOBBES, filósofo Inglés, quien plantea que la condición natural del hombre es la concisión de perpetuo estado de lucha, de guerra, y cree en el derecho instituido, implantado por el soberano es un orden jurídico con utilidad de paz y de seguridad públicas. Hobes habla del Juez subordinado a un Soberano, del Derecho no sale de la acción jurisprudencial de los jueces sino del mandato del soberano. </w:t>
      </w:r>
    </w:p>
    <w:p w14:paraId="4B1F3CFC" w14:textId="77777777" w:rsidR="001925CE" w:rsidRPr="000D3432" w:rsidRDefault="001925CE" w:rsidP="00A95498">
      <w:pPr>
        <w:jc w:val="both"/>
        <w:rPr>
          <w:rFonts w:asciiTheme="minorHAnsi" w:hAnsiTheme="minorHAnsi" w:cs="Arial"/>
          <w:szCs w:val="24"/>
        </w:rPr>
      </w:pPr>
    </w:p>
    <w:p w14:paraId="08737B73"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LOCKE, que piensa en el derecho como fundamento de la Constitución. Asimismo cree que el egoísmo es el eje o motor del crecimiento individual y por extensión del crecimiento colectivo. </w:t>
      </w:r>
    </w:p>
    <w:p w14:paraId="51538D78" w14:textId="77777777" w:rsidR="001925CE" w:rsidRPr="000D3432" w:rsidRDefault="001925CE" w:rsidP="00A95498">
      <w:pPr>
        <w:jc w:val="both"/>
        <w:rPr>
          <w:rFonts w:asciiTheme="minorHAnsi" w:hAnsiTheme="minorHAnsi" w:cs="Arial"/>
          <w:szCs w:val="24"/>
        </w:rPr>
      </w:pPr>
    </w:p>
    <w:p w14:paraId="0D671242"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ROUSSEAU, con su Contrato Social: Cree que el Derecho positivo orientado a realizar la utilidad pública; y que la ley es la expresión de la voluntad general, no mandato arbitrario, así como el derecho es el centro de la vida social. </w:t>
      </w:r>
    </w:p>
    <w:p w14:paraId="46342366" w14:textId="77777777" w:rsidR="001925CE" w:rsidRPr="000D3432" w:rsidRDefault="001925CE" w:rsidP="00A95498">
      <w:pPr>
        <w:jc w:val="both"/>
        <w:rPr>
          <w:rFonts w:asciiTheme="minorHAnsi" w:hAnsiTheme="minorHAnsi" w:cs="Arial"/>
          <w:szCs w:val="24"/>
        </w:rPr>
      </w:pPr>
    </w:p>
    <w:p w14:paraId="593EED73"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KANT, que cree en la razón y percepciones (sentidos) tienen validez pero también errores, y en la fórmula “siempre debes actuar de tal modo que al mismo tiempo desees que la regla según la cual actúas pueda convertirse en una ley general”. Hablando del Categórico incondicionado; creyendo en el derecho como una ciencia del deber ser, y que la coacción como elemento característico </w:t>
      </w:r>
      <w:r w:rsidRPr="000D3432">
        <w:rPr>
          <w:rFonts w:asciiTheme="minorHAnsi" w:hAnsiTheme="minorHAnsi" w:cs="Arial"/>
          <w:szCs w:val="24"/>
        </w:rPr>
        <w:lastRenderedPageBreak/>
        <w:t>del Derecho. Así como la libertad hace al hombre un fin en si mismo; el derecho es una especie de ética que pertenece al reino del deber ser y que es formulada a priori por la razón práctica. Asimismo hace la distinción entre Derecho y Moral.</w:t>
      </w:r>
    </w:p>
    <w:p w14:paraId="5E28361C" w14:textId="77777777" w:rsidR="001925CE" w:rsidRPr="000D3432" w:rsidRDefault="001925CE" w:rsidP="00A95498">
      <w:pPr>
        <w:jc w:val="both"/>
        <w:rPr>
          <w:rFonts w:asciiTheme="minorHAnsi" w:hAnsiTheme="minorHAnsi" w:cs="Arial"/>
          <w:szCs w:val="24"/>
        </w:rPr>
      </w:pPr>
    </w:p>
    <w:p w14:paraId="47B0A823"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HEGEL</w:t>
      </w:r>
      <w:r w:rsidRPr="000D3432">
        <w:rPr>
          <w:rFonts w:asciiTheme="minorHAnsi" w:hAnsiTheme="minorHAnsi" w:cs="Arial"/>
          <w:szCs w:val="24"/>
          <w:u w:val="single"/>
        </w:rPr>
        <w:t xml:space="preserve">, </w:t>
      </w:r>
      <w:r w:rsidRPr="000D3432">
        <w:rPr>
          <w:rFonts w:asciiTheme="minorHAnsi" w:hAnsiTheme="minorHAnsi" w:cs="Arial"/>
          <w:szCs w:val="24"/>
        </w:rPr>
        <w:t xml:space="preserve">de quien se puede sintetizar como el Derecho como expresión del espíritu. Así sólo se puede ser malo o bueno en relación con un contexto histórico; la verdad es un proceso histórico; la Dialéctica como método, tesis, antítesis, síntesis, el Derecho dentro del marco de la moral. </w:t>
      </w:r>
    </w:p>
    <w:p w14:paraId="5F2F29FE" w14:textId="77777777" w:rsidR="001925CE" w:rsidRPr="000D3432" w:rsidRDefault="001925CE" w:rsidP="00A95498">
      <w:pPr>
        <w:jc w:val="both"/>
        <w:rPr>
          <w:rFonts w:asciiTheme="minorHAnsi" w:hAnsiTheme="minorHAnsi" w:cs="Arial"/>
          <w:szCs w:val="24"/>
        </w:rPr>
      </w:pPr>
    </w:p>
    <w:p w14:paraId="2F6AE8F7"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 MARX</w:t>
      </w:r>
      <w:r w:rsidRPr="000D3432">
        <w:rPr>
          <w:rFonts w:asciiTheme="minorHAnsi" w:hAnsiTheme="minorHAnsi" w:cs="Arial"/>
          <w:szCs w:val="24"/>
          <w:u w:val="single"/>
        </w:rPr>
        <w:t>,</w:t>
      </w:r>
      <w:r w:rsidRPr="000D3432">
        <w:rPr>
          <w:rFonts w:asciiTheme="minorHAnsi" w:hAnsiTheme="minorHAnsi" w:cs="Arial"/>
          <w:szCs w:val="24"/>
        </w:rPr>
        <w:t xml:space="preserve"> sintetizado como El Derecho como ideología de clase. Hablando de la plusvalía, del Estado socialista, de la repartición igualitaria de la riqueza, de la superestructura, ideas, como se piensa, instituciones políticas, leyes, religión; del Derecho como una cuestión de intereses, del Delito como lucha de un individuo aislado contra las condiciones dominantes, como resultado de las condiciones, circunstancias sociales. </w:t>
      </w:r>
    </w:p>
    <w:p w14:paraId="33781097" w14:textId="77777777" w:rsidR="001925CE" w:rsidRPr="000D3432" w:rsidRDefault="001925CE" w:rsidP="00A95498">
      <w:pPr>
        <w:jc w:val="both"/>
        <w:rPr>
          <w:rFonts w:asciiTheme="minorHAnsi" w:hAnsiTheme="minorHAnsi" w:cs="Arial"/>
          <w:szCs w:val="24"/>
        </w:rPr>
      </w:pPr>
    </w:p>
    <w:p w14:paraId="202147ED"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KELSEN, en el que se sintetiza “El Derecho es una específica técnica social, por medio de la cual es posible obtener una conducta humana deseable”. </w:t>
      </w:r>
    </w:p>
    <w:p w14:paraId="37D1051F" w14:textId="77777777" w:rsidR="001925CE" w:rsidRPr="000D3432" w:rsidRDefault="001925CE" w:rsidP="00A95498">
      <w:pPr>
        <w:jc w:val="both"/>
        <w:rPr>
          <w:rFonts w:asciiTheme="minorHAnsi" w:hAnsiTheme="minorHAnsi" w:cs="Arial"/>
          <w:szCs w:val="24"/>
        </w:rPr>
      </w:pPr>
    </w:p>
    <w:p w14:paraId="68BE4EAD" w14:textId="77777777" w:rsidR="001925CE" w:rsidRPr="000D3432" w:rsidRDefault="001925CE" w:rsidP="00A95498">
      <w:pPr>
        <w:jc w:val="both"/>
        <w:rPr>
          <w:rFonts w:asciiTheme="minorHAnsi" w:hAnsiTheme="minorHAnsi" w:cs="Arial"/>
          <w:szCs w:val="24"/>
        </w:rPr>
      </w:pPr>
    </w:p>
    <w:p w14:paraId="67DD2992"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PENSAMIENTO POSTMODERNO, que identifica a nuestro parecer un autor. </w:t>
      </w:r>
    </w:p>
    <w:p w14:paraId="2A90C75E" w14:textId="77777777" w:rsidR="001925CE" w:rsidRPr="000D3432" w:rsidRDefault="001925CE" w:rsidP="00A95498">
      <w:pPr>
        <w:jc w:val="both"/>
        <w:rPr>
          <w:rFonts w:asciiTheme="minorHAnsi" w:hAnsiTheme="minorHAnsi" w:cs="Arial"/>
          <w:szCs w:val="24"/>
        </w:rPr>
      </w:pPr>
    </w:p>
    <w:p w14:paraId="0F3D2842"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NIETZSCHE, y su concepción del Derecho como voluntad de Poder. Hablando de la muerte de Dios, del Derecho como voluntad de poder, del no creer en la voluntad de poder, y tampoco cree en el bien común; así mismo habla de la verdad como generalidad puesta en juicio. </w:t>
      </w:r>
    </w:p>
    <w:p w14:paraId="383E2DEA" w14:textId="77777777" w:rsidR="001925CE" w:rsidRPr="000D3432" w:rsidRDefault="001925CE" w:rsidP="00A95498">
      <w:pPr>
        <w:jc w:val="both"/>
        <w:rPr>
          <w:rFonts w:asciiTheme="minorHAnsi" w:hAnsiTheme="minorHAnsi" w:cs="Arial"/>
          <w:szCs w:val="24"/>
        </w:rPr>
      </w:pPr>
    </w:p>
    <w:p w14:paraId="44743DDA" w14:textId="77777777" w:rsidR="001925CE" w:rsidRPr="000D3432" w:rsidRDefault="001925CE" w:rsidP="00A95498">
      <w:pPr>
        <w:jc w:val="both"/>
        <w:rPr>
          <w:rFonts w:asciiTheme="minorHAnsi" w:hAnsiTheme="minorHAnsi" w:cs="Arial"/>
          <w:szCs w:val="24"/>
        </w:rPr>
      </w:pPr>
    </w:p>
    <w:p w14:paraId="3A75B7DA"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CUARTA SECCIÓN</w:t>
      </w:r>
    </w:p>
    <w:p w14:paraId="511AF000"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LA DIALECTICA DEL DERECHO Y OTROS ENSAYOS</w:t>
      </w:r>
    </w:p>
    <w:p w14:paraId="1176069F"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(4.- El Almuerzo Desnudo...)</w:t>
      </w:r>
    </w:p>
    <w:p w14:paraId="77E8B456" w14:textId="77777777" w:rsidR="001925CE" w:rsidRPr="000D3432" w:rsidRDefault="001925CE" w:rsidP="00A95498">
      <w:pPr>
        <w:jc w:val="both"/>
        <w:rPr>
          <w:rFonts w:asciiTheme="minorHAnsi" w:hAnsiTheme="minorHAnsi" w:cs="Arial"/>
          <w:szCs w:val="24"/>
        </w:rPr>
      </w:pPr>
    </w:p>
    <w:p w14:paraId="355B3863" w14:textId="77777777" w:rsidR="001925CE" w:rsidRPr="000D3432" w:rsidRDefault="001925CE" w:rsidP="00A95498">
      <w:pPr>
        <w:jc w:val="both"/>
        <w:rPr>
          <w:rFonts w:asciiTheme="minorHAnsi" w:hAnsiTheme="minorHAnsi" w:cs="Arial"/>
          <w:szCs w:val="24"/>
        </w:rPr>
      </w:pPr>
    </w:p>
    <w:p w14:paraId="078EEC3C"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Esta es la sección más divertida, a mi parecer, pues nace de las inquietudes sobre el derecho en general, concluyendo con propuestas para hacer empresa. No se intenta probar nada científicamente, sino ensayar algunas preguntas y otras respuestas acerca del mundo jurídico, hacer juegos experimentales para ejercitar el cerebro, y encontrar unos apacibles razonamientos que provoquen la curiosidad por generar soluciones a los problemas planteados. </w:t>
      </w:r>
    </w:p>
    <w:p w14:paraId="11096B1A" w14:textId="77777777" w:rsidR="001925CE" w:rsidRPr="000D3432" w:rsidRDefault="001925CE" w:rsidP="00A95498">
      <w:pPr>
        <w:jc w:val="both"/>
        <w:rPr>
          <w:rFonts w:asciiTheme="minorHAnsi" w:hAnsiTheme="minorHAnsi" w:cs="Arial"/>
          <w:szCs w:val="24"/>
        </w:rPr>
      </w:pPr>
    </w:p>
    <w:p w14:paraId="315E8BDA" w14:textId="77777777" w:rsidR="001925CE" w:rsidRPr="000D3432" w:rsidRDefault="001925CE" w:rsidP="00A95498">
      <w:pPr>
        <w:jc w:val="both"/>
        <w:rPr>
          <w:rFonts w:asciiTheme="minorHAnsi" w:hAnsiTheme="minorHAnsi" w:cs="Arial"/>
          <w:szCs w:val="24"/>
        </w:rPr>
      </w:pPr>
      <w:r w:rsidRPr="000D3432">
        <w:rPr>
          <w:rFonts w:asciiTheme="minorHAnsi" w:hAnsiTheme="minorHAnsi" w:cs="Arial"/>
          <w:szCs w:val="24"/>
        </w:rPr>
        <w:t xml:space="preserve">Así, hemos tocado algunas  temas e instituciones jurídicas que permitan darnos una idea global del mundo del derecho. Se ha recorrido, así, por los caminos de Justiniano, con su Corpus JurisCivilis, insertando un relato sobre su relación con una cortesana; posteriormente también tenemos un texto sobre los abogados y su variopinta función, hemos entrado, luego, en el ataúd de los juristas como Francesco Carnelutti, Jorge Basadre. Más allá hemos tocado temas tan dispares como el Derecho y la Religión,  el Derecho y el Medio Ambiente, Oratoria Forense, Epistemología, Literatura, Drogas, Mercado, y por último, el Amor, </w:t>
      </w:r>
      <w:r w:rsidRPr="000D3432">
        <w:rPr>
          <w:rFonts w:asciiTheme="minorHAnsi" w:hAnsiTheme="minorHAnsi" w:cs="Arial"/>
          <w:szCs w:val="24"/>
        </w:rPr>
        <w:lastRenderedPageBreak/>
        <w:t>entre otros ensayos.</w:t>
      </w:r>
    </w:p>
    <w:p w14:paraId="60F40695" w14:textId="77777777" w:rsidR="008B62EC" w:rsidRPr="000D3432" w:rsidRDefault="008B62EC" w:rsidP="00A95498">
      <w:pPr>
        <w:jc w:val="both"/>
        <w:rPr>
          <w:rFonts w:asciiTheme="minorHAnsi" w:hAnsiTheme="minorHAnsi"/>
          <w:szCs w:val="24"/>
        </w:rPr>
      </w:pPr>
    </w:p>
    <w:p w14:paraId="4E791A86" w14:textId="77777777" w:rsidR="008B62EC" w:rsidRPr="000D3432" w:rsidRDefault="008B62EC" w:rsidP="008B62EC">
      <w:pPr>
        <w:pStyle w:val="Ttulo1"/>
        <w:spacing w:line="240" w:lineRule="auto"/>
        <w:jc w:val="center"/>
        <w:rPr>
          <w:rFonts w:asciiTheme="minorHAnsi" w:hAnsiTheme="minorHAnsi"/>
          <w:sz w:val="24"/>
          <w:szCs w:val="24"/>
          <w:lang w:val="es-ES_tradnl"/>
        </w:rPr>
      </w:pPr>
      <w:r w:rsidRPr="000D3432">
        <w:rPr>
          <w:rFonts w:asciiTheme="minorHAnsi" w:hAnsiTheme="minorHAnsi"/>
          <w:sz w:val="24"/>
          <w:szCs w:val="24"/>
          <w:lang w:val="es-ES_tradnl"/>
        </w:rPr>
        <w:t>ARRIBA LAS MANOS</w:t>
      </w:r>
    </w:p>
    <w:p w14:paraId="7215861B" w14:textId="16FB6086" w:rsidR="008B62EC" w:rsidRPr="000D3432" w:rsidRDefault="008B62EC" w:rsidP="008B62EC">
      <w:pPr>
        <w:pStyle w:val="Ttulo1"/>
        <w:spacing w:line="240" w:lineRule="auto"/>
        <w:jc w:val="center"/>
        <w:rPr>
          <w:rFonts w:asciiTheme="minorHAnsi" w:hAnsiTheme="minorHAnsi"/>
          <w:sz w:val="24"/>
          <w:szCs w:val="24"/>
          <w:lang w:val="es-ES_tradnl"/>
        </w:rPr>
      </w:pPr>
      <w:r w:rsidRPr="000D3432">
        <w:rPr>
          <w:rFonts w:asciiTheme="minorHAnsi" w:hAnsiTheme="minorHAnsi"/>
          <w:sz w:val="24"/>
          <w:szCs w:val="24"/>
          <w:lang w:val="es-ES_tradnl"/>
        </w:rPr>
        <w:t xml:space="preserve"> Y ENTREGA TU DINERO AL ESTADO</w:t>
      </w:r>
    </w:p>
    <w:p w14:paraId="637E5552" w14:textId="77777777" w:rsidR="008B62EC" w:rsidRPr="000D3432" w:rsidRDefault="008B62EC" w:rsidP="008B62EC">
      <w:pPr>
        <w:jc w:val="both"/>
        <w:rPr>
          <w:rFonts w:asciiTheme="minorHAnsi" w:hAnsiTheme="minorHAnsi" w:cs="Arial"/>
          <w:b/>
          <w:szCs w:val="24"/>
          <w:lang w:val="es-ES_tradnl"/>
        </w:rPr>
      </w:pPr>
    </w:p>
    <w:p w14:paraId="009C0C20"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 xml:space="preserve">Con fecha que ya mi memoria dejó atrás, ante la moda del Derecho Tributario como una garantía de fuente económica, si se dominaba dicha materia, y anteriormente habiendo encontrado unas copias del libro “Hipótesis de Incidencia Tributaria”, de autoría de Geraldo Ataliba, escritor brasileño, que escribió un texto alucinante sobre el Derecho Tributario: “...Derecho Tributario es aquella que contiene el mandato: ‘entréguese dinero al Estado’”, que terminó por convencerme de la genialidad del tema tributario, y de saber porqué el Estado nos cobra por el sólo hecho de existir (todo niño viene con un tributo bajo el brazo). </w:t>
      </w:r>
    </w:p>
    <w:p w14:paraId="7D89D939" w14:textId="77777777" w:rsidR="008B62EC" w:rsidRPr="000D3432" w:rsidRDefault="008B62EC" w:rsidP="008B62EC">
      <w:pPr>
        <w:jc w:val="both"/>
        <w:rPr>
          <w:rFonts w:asciiTheme="minorHAnsi" w:hAnsiTheme="minorHAnsi" w:cs="Arial"/>
          <w:szCs w:val="24"/>
          <w:lang w:val="es-ES_tradnl"/>
        </w:rPr>
      </w:pPr>
    </w:p>
    <w:p w14:paraId="2C5F695A"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Fue también gracias a un entretenido tributarista, Ponce de León, el cual no tenía una de las orejas –como Vincent Van Gogh-, que logró captar mi atención hacia aquella disciplina, que más tarde olvidé.</w:t>
      </w:r>
    </w:p>
    <w:p w14:paraId="63597AA2" w14:textId="77777777" w:rsidR="008B62EC" w:rsidRPr="000D3432" w:rsidRDefault="008B62EC" w:rsidP="008B62EC">
      <w:pPr>
        <w:jc w:val="both"/>
        <w:rPr>
          <w:rFonts w:asciiTheme="minorHAnsi" w:hAnsiTheme="minorHAnsi" w:cs="Arial"/>
          <w:szCs w:val="24"/>
          <w:lang w:val="es-ES_tradnl"/>
        </w:rPr>
      </w:pPr>
    </w:p>
    <w:p w14:paraId="7AC289FD"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 xml:space="preserve">Sobre Derecho Tributario escribí también el tema de la Cobranza Coactiva en la Sunat, que fue un trabajo que realicé cuando era catedrático de la Universidad Privada de Tacna, y por encargo e imposición de mi escondida enamorada, ex alumna ella, de pelo rubio con su plata, loca pero constante en sus ideas, que con una habilidad envidiable, logró no sólo que hiciera el texto que era un trabajo para su profesor de Derecho Tributario, el cual, al parecer le estaba haciendo la vida a cuadritos por dos circunstancias, le gustaba hacer a cuadritos la vida a los alumnos como un signo que el derecho, la educación debe lograrse con mucho esfuerzo, y en segundo lugar, porque al parecer la pretendía, le gustaba, o le movía el piso, y utilizaba la nota para hacerse notar, a pesar que tenía una fama de buen orador, extrovertido y difícil profesor. Fue por aquellas circunstancias, no sé si ciertas o falsas, que mi joven ex alumna enamorada secreta (ella estaba enamorada al parecer de otro) me propulsó a hacerle su trabajo de clases, y hasta pagarle unas clases de Tributario a profesor particular -una sola fecha-, para entender dicho curso y poder aprobarlo. </w:t>
      </w:r>
    </w:p>
    <w:p w14:paraId="1434B9C1" w14:textId="77777777" w:rsidR="008B62EC" w:rsidRPr="000D3432" w:rsidRDefault="008B62EC" w:rsidP="008B62EC">
      <w:pPr>
        <w:jc w:val="both"/>
        <w:rPr>
          <w:rFonts w:asciiTheme="minorHAnsi" w:hAnsiTheme="minorHAnsi" w:cs="Arial"/>
          <w:szCs w:val="24"/>
          <w:lang w:val="es-ES_tradnl"/>
        </w:rPr>
      </w:pPr>
    </w:p>
    <w:p w14:paraId="45C6EAEB" w14:textId="77777777" w:rsidR="008B62EC" w:rsidRPr="000D3432" w:rsidRDefault="008B62EC" w:rsidP="008B62EC">
      <w:pPr>
        <w:jc w:val="both"/>
        <w:rPr>
          <w:rFonts w:asciiTheme="minorHAnsi" w:hAnsiTheme="minorHAnsi" w:cs="Arial"/>
          <w:b/>
          <w:szCs w:val="24"/>
          <w:lang w:val="es-ES_tradnl"/>
        </w:rPr>
      </w:pPr>
      <w:r w:rsidRPr="000D3432">
        <w:rPr>
          <w:rFonts w:asciiTheme="minorHAnsi" w:hAnsiTheme="minorHAnsi" w:cs="Arial"/>
          <w:szCs w:val="24"/>
          <w:lang w:val="es-ES_tradnl"/>
        </w:rPr>
        <w:t xml:space="preserve">Hoy, gracias a esta forma de ser usado, puedo agradecer (aún sigue siendo una locaza, a la cual una nueva enamorada –también secreta- le decía, “la india blanca”), que pude reescribir el presente texto, que no tiene el más mérito de haber sido reescrito con toda la pasión de quien concibe la peculiaridad –a nuestro parecer injusta- del Estado de cobrarnos por el sólo hecho de existir, en la hipótesis que desde allí somos un costo social, le costamos a la sociedad, y por lo tanto al Estado.  </w:t>
      </w:r>
    </w:p>
    <w:p w14:paraId="7B2F0FFC" w14:textId="77777777" w:rsidR="008B62EC" w:rsidRPr="000D3432" w:rsidRDefault="008B62EC" w:rsidP="008B62EC">
      <w:pPr>
        <w:jc w:val="both"/>
        <w:rPr>
          <w:rFonts w:asciiTheme="minorHAnsi" w:hAnsiTheme="minorHAnsi" w:cs="Arial"/>
          <w:b/>
          <w:szCs w:val="24"/>
          <w:lang w:val="es-ES_tradnl"/>
        </w:rPr>
      </w:pPr>
    </w:p>
    <w:p w14:paraId="578535D9" w14:textId="77777777" w:rsidR="008B62EC" w:rsidRPr="000D3432" w:rsidRDefault="008B62EC" w:rsidP="008B62EC">
      <w:pPr>
        <w:jc w:val="both"/>
        <w:rPr>
          <w:rFonts w:asciiTheme="minorHAnsi" w:hAnsiTheme="minorHAnsi" w:cs="Arial"/>
          <w:szCs w:val="24"/>
          <w:lang w:val="es-ES_tradnl"/>
        </w:rPr>
      </w:pPr>
      <w:r w:rsidRPr="000D3432">
        <w:rPr>
          <w:rFonts w:asciiTheme="minorHAnsi" w:hAnsiTheme="minorHAnsi" w:cs="Arial"/>
          <w:szCs w:val="24"/>
          <w:lang w:val="es-ES_tradnl"/>
        </w:rPr>
        <w:t>El libro está estructurado de tal forma que una persona pueda leer brevemente el resumen de lo más significativo del Derecho Tributario, de aquella relación normativa que se produce entre el Estado y los tributantes, pero con una noción crítica del porqué se tiene que pagar desde incluso antes del nacimiento, y luego, porqué se tiene que pagar tanto tributo, y tan alto tributo en nuestra sociedad, sin hacer las diferenciaciones entre los que gastan más y los que gastan menos, o consumen más o menos los servicios del Estado, y por lo tanto, pensamos que no existe justicia en la tributación, que este se realiza sobrepasando la propia condición humana, y que si antes se había implementado como un acto de subordinación del individuo al Estado, esta vez agrega que el individuo se subordina a los demás, porque tiene que pagar tributos desiguales, incluso y perjudicando, muchas veces, su ponderación o equilibrio para no crear necesidades de servicio, etc.</w:t>
      </w:r>
    </w:p>
    <w:p w14:paraId="2C6FB70D" w14:textId="77777777" w:rsidR="008B62EC" w:rsidRPr="000D3432" w:rsidRDefault="008B62EC" w:rsidP="008B62EC">
      <w:pPr>
        <w:jc w:val="both"/>
        <w:rPr>
          <w:rFonts w:asciiTheme="minorHAnsi" w:hAnsiTheme="minorHAnsi" w:cs="Arial"/>
          <w:szCs w:val="24"/>
          <w:lang w:val="es-ES_tradnl"/>
        </w:rPr>
      </w:pPr>
    </w:p>
    <w:p w14:paraId="54CE32CE" w14:textId="77777777" w:rsidR="008B62EC" w:rsidRPr="000D3432" w:rsidRDefault="008B62EC" w:rsidP="008B62EC">
      <w:pPr>
        <w:jc w:val="both"/>
        <w:rPr>
          <w:rFonts w:asciiTheme="minorHAnsi" w:hAnsiTheme="minorHAnsi" w:cs="Arial"/>
          <w:b/>
          <w:szCs w:val="24"/>
          <w:lang w:val="es-ES_tradnl"/>
        </w:rPr>
      </w:pPr>
    </w:p>
    <w:p w14:paraId="057FF4D0" w14:textId="77777777" w:rsidR="008B62EC" w:rsidRPr="000D3432" w:rsidRDefault="008B62EC" w:rsidP="008B62EC">
      <w:pPr>
        <w:jc w:val="both"/>
        <w:rPr>
          <w:rFonts w:asciiTheme="minorHAnsi" w:hAnsiTheme="minorHAnsi" w:cs="Arial"/>
          <w:b/>
          <w:szCs w:val="24"/>
          <w:lang w:val="es-ES_tradnl"/>
        </w:rPr>
      </w:pPr>
    </w:p>
    <w:p w14:paraId="18DF793A" w14:textId="77777777" w:rsidR="008B62EC" w:rsidRPr="000D3432" w:rsidRDefault="008B62EC" w:rsidP="008B62EC">
      <w:pPr>
        <w:jc w:val="both"/>
        <w:rPr>
          <w:rFonts w:asciiTheme="minorHAnsi" w:hAnsiTheme="minorHAnsi" w:cs="Arial"/>
          <w:b/>
          <w:szCs w:val="24"/>
          <w:lang w:val="es-ES_tradnl"/>
        </w:rPr>
      </w:pPr>
    </w:p>
    <w:p w14:paraId="503A593F" w14:textId="77777777" w:rsidR="008B62EC" w:rsidRPr="000D3432" w:rsidRDefault="008B62EC" w:rsidP="008B62EC">
      <w:pPr>
        <w:jc w:val="both"/>
        <w:rPr>
          <w:rFonts w:asciiTheme="minorHAnsi" w:hAnsiTheme="minorHAnsi" w:cs="Arial"/>
          <w:b/>
          <w:szCs w:val="24"/>
          <w:lang w:val="es-ES_tradnl"/>
        </w:rPr>
      </w:pPr>
    </w:p>
    <w:p w14:paraId="0CAD5EAB" w14:textId="77777777" w:rsidR="008B62EC" w:rsidRPr="000D3432" w:rsidRDefault="008B62EC" w:rsidP="00A95498">
      <w:pPr>
        <w:jc w:val="both"/>
        <w:rPr>
          <w:rFonts w:asciiTheme="minorHAnsi" w:hAnsiTheme="minorHAnsi"/>
          <w:szCs w:val="24"/>
        </w:rPr>
      </w:pPr>
    </w:p>
    <w:p w14:paraId="1A8BE69C" w14:textId="77777777" w:rsidR="001925CE" w:rsidRPr="000D3432" w:rsidRDefault="001925CE" w:rsidP="00A95498">
      <w:pPr>
        <w:jc w:val="both"/>
        <w:rPr>
          <w:rFonts w:asciiTheme="minorHAnsi" w:hAnsiTheme="minorHAnsi"/>
          <w:szCs w:val="24"/>
        </w:rPr>
      </w:pPr>
    </w:p>
    <w:p w14:paraId="041A9FAE" w14:textId="33C7EB68" w:rsidR="007D3FFB" w:rsidRPr="000D3432" w:rsidRDefault="007D3FFB">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179EB8E5" w14:textId="77777777" w:rsidR="001925CE" w:rsidRPr="000D3432" w:rsidRDefault="001925CE" w:rsidP="00A95498">
      <w:pPr>
        <w:jc w:val="both"/>
        <w:rPr>
          <w:rFonts w:asciiTheme="minorHAnsi" w:hAnsiTheme="minorHAnsi"/>
          <w:szCs w:val="24"/>
        </w:rPr>
      </w:pPr>
    </w:p>
    <w:p w14:paraId="0C6C81BF" w14:textId="77777777" w:rsidR="001925CE" w:rsidRPr="000D3432" w:rsidRDefault="001925CE" w:rsidP="00A95498">
      <w:pPr>
        <w:jc w:val="both"/>
        <w:rPr>
          <w:rFonts w:asciiTheme="minorHAnsi" w:hAnsiTheme="minorHAnsi"/>
          <w:szCs w:val="24"/>
        </w:rPr>
      </w:pPr>
    </w:p>
    <w:p w14:paraId="39BA4452" w14:textId="77777777" w:rsidR="001925CE" w:rsidRPr="000D3432" w:rsidRDefault="001925CE" w:rsidP="00A95498">
      <w:pPr>
        <w:jc w:val="both"/>
        <w:rPr>
          <w:rFonts w:asciiTheme="minorHAnsi" w:hAnsiTheme="minorHAnsi"/>
          <w:szCs w:val="24"/>
        </w:rPr>
      </w:pPr>
    </w:p>
    <w:p w14:paraId="39DBBFA7" w14:textId="77777777" w:rsidR="001925CE" w:rsidRPr="000D3432" w:rsidRDefault="001925CE" w:rsidP="00A95498">
      <w:pPr>
        <w:jc w:val="both"/>
        <w:rPr>
          <w:rFonts w:asciiTheme="minorHAnsi" w:hAnsiTheme="minorHAnsi"/>
          <w:szCs w:val="24"/>
        </w:rPr>
      </w:pPr>
    </w:p>
    <w:p w14:paraId="3E54368B" w14:textId="77777777" w:rsidR="001925CE" w:rsidRPr="000D3432" w:rsidRDefault="001925CE" w:rsidP="00A95498">
      <w:pPr>
        <w:jc w:val="both"/>
        <w:rPr>
          <w:rFonts w:asciiTheme="minorHAnsi" w:hAnsiTheme="minorHAnsi"/>
          <w:szCs w:val="24"/>
        </w:rPr>
      </w:pPr>
    </w:p>
    <w:p w14:paraId="3FBD5A46" w14:textId="77777777" w:rsidR="001925CE" w:rsidRPr="000D3432" w:rsidRDefault="001925CE" w:rsidP="00A95498">
      <w:pPr>
        <w:jc w:val="both"/>
        <w:rPr>
          <w:rFonts w:asciiTheme="minorHAnsi" w:hAnsiTheme="minorHAnsi"/>
          <w:szCs w:val="24"/>
        </w:rPr>
      </w:pPr>
    </w:p>
    <w:p w14:paraId="5E3CF8DC" w14:textId="77777777" w:rsidR="001925CE" w:rsidRPr="000D3432" w:rsidRDefault="001925CE" w:rsidP="00A95498">
      <w:pPr>
        <w:jc w:val="both"/>
        <w:rPr>
          <w:rFonts w:asciiTheme="minorHAnsi" w:hAnsiTheme="minorHAnsi"/>
          <w:szCs w:val="24"/>
        </w:rPr>
      </w:pPr>
    </w:p>
    <w:p w14:paraId="6423EA0F" w14:textId="77777777" w:rsidR="001925CE" w:rsidRPr="000D3432" w:rsidRDefault="001925CE" w:rsidP="00A95498">
      <w:pPr>
        <w:jc w:val="both"/>
        <w:rPr>
          <w:rFonts w:asciiTheme="minorHAnsi" w:hAnsiTheme="minorHAnsi"/>
          <w:szCs w:val="24"/>
        </w:rPr>
      </w:pPr>
    </w:p>
    <w:p w14:paraId="4AD12EF0" w14:textId="77777777" w:rsidR="00166143" w:rsidRPr="000D3432" w:rsidRDefault="00166143" w:rsidP="00166143">
      <w:pPr>
        <w:ind w:right="2422"/>
        <w:jc w:val="both"/>
        <w:rPr>
          <w:rFonts w:asciiTheme="minorHAnsi" w:hAnsiTheme="minorHAnsi" w:cs="Arial"/>
          <w:szCs w:val="24"/>
        </w:rPr>
      </w:pPr>
    </w:p>
    <w:p w14:paraId="56028B5F" w14:textId="77777777" w:rsidR="00166143" w:rsidRPr="000D3432" w:rsidRDefault="00166143" w:rsidP="00166143">
      <w:pPr>
        <w:ind w:right="2422"/>
        <w:jc w:val="both"/>
        <w:rPr>
          <w:rFonts w:asciiTheme="minorHAnsi" w:hAnsiTheme="minorHAnsi" w:cs="Arial"/>
          <w:szCs w:val="24"/>
        </w:rPr>
      </w:pPr>
    </w:p>
    <w:p w14:paraId="3AA9A1B7" w14:textId="77777777" w:rsidR="00166143" w:rsidRPr="000D3432" w:rsidRDefault="00166143" w:rsidP="00166143">
      <w:pPr>
        <w:ind w:right="2422"/>
        <w:jc w:val="both"/>
        <w:rPr>
          <w:rFonts w:asciiTheme="minorHAnsi" w:hAnsiTheme="minorHAnsi" w:cs="Arial"/>
          <w:szCs w:val="24"/>
        </w:rPr>
      </w:pPr>
    </w:p>
    <w:p w14:paraId="2C7E58D7" w14:textId="77777777" w:rsidR="00166143" w:rsidRPr="000D3432" w:rsidRDefault="00166143" w:rsidP="00166143">
      <w:pPr>
        <w:jc w:val="center"/>
        <w:rPr>
          <w:rFonts w:asciiTheme="minorHAnsi" w:hAnsiTheme="minorHAnsi"/>
          <w:b/>
          <w:color w:val="000000"/>
          <w:szCs w:val="24"/>
        </w:rPr>
      </w:pPr>
    </w:p>
    <w:p w14:paraId="50D72EFE" w14:textId="77777777" w:rsidR="001925CE" w:rsidRPr="000D3432" w:rsidRDefault="001925CE" w:rsidP="00A95498">
      <w:pPr>
        <w:jc w:val="center"/>
        <w:rPr>
          <w:rFonts w:asciiTheme="minorHAnsi" w:hAnsiTheme="minorHAnsi"/>
          <w:b/>
          <w:szCs w:val="24"/>
          <w:u w:val="single"/>
        </w:rPr>
      </w:pPr>
    </w:p>
    <w:p w14:paraId="6A32B58A" w14:textId="77777777" w:rsidR="001925CE" w:rsidRPr="000D3432" w:rsidRDefault="001925CE" w:rsidP="00A95498">
      <w:pPr>
        <w:jc w:val="center"/>
        <w:rPr>
          <w:rFonts w:asciiTheme="minorHAnsi" w:hAnsiTheme="minorHAnsi"/>
          <w:b/>
          <w:color w:val="C0504D" w:themeColor="accent2"/>
          <w:szCs w:val="24"/>
          <w:u w:val="single"/>
        </w:rPr>
      </w:pPr>
      <w:r w:rsidRPr="000D3432">
        <w:rPr>
          <w:rFonts w:asciiTheme="minorHAnsi" w:hAnsiTheme="minorHAnsi"/>
          <w:b/>
          <w:color w:val="C0504D" w:themeColor="accent2"/>
          <w:szCs w:val="24"/>
          <w:u w:val="single"/>
        </w:rPr>
        <w:t>PRIMER BLOQUE</w:t>
      </w:r>
    </w:p>
    <w:p w14:paraId="366B6539" w14:textId="77777777" w:rsidR="001925CE" w:rsidRPr="000D3432" w:rsidRDefault="001925CE" w:rsidP="00A95498">
      <w:pPr>
        <w:jc w:val="center"/>
        <w:rPr>
          <w:rFonts w:asciiTheme="minorHAnsi" w:hAnsiTheme="minorHAnsi"/>
          <w:b/>
          <w:color w:val="C0504D" w:themeColor="accent2"/>
          <w:szCs w:val="24"/>
        </w:rPr>
      </w:pPr>
      <w:r w:rsidRPr="000D3432">
        <w:rPr>
          <w:rFonts w:asciiTheme="minorHAnsi" w:hAnsiTheme="minorHAnsi"/>
          <w:b/>
          <w:color w:val="C0504D" w:themeColor="accent2"/>
          <w:szCs w:val="24"/>
        </w:rPr>
        <w:t>EL DERECHO Y LA FILOSOFÍA DEL DERECHO</w:t>
      </w:r>
    </w:p>
    <w:p w14:paraId="5116F95F" w14:textId="77777777" w:rsidR="001925CE" w:rsidRPr="000D3432" w:rsidRDefault="001925CE" w:rsidP="00A95498">
      <w:pPr>
        <w:jc w:val="center"/>
        <w:rPr>
          <w:rFonts w:asciiTheme="minorHAnsi" w:hAnsiTheme="minorHAnsi" w:cs="Arial"/>
          <w:color w:val="C0504D" w:themeColor="accent2"/>
          <w:szCs w:val="24"/>
        </w:rPr>
      </w:pPr>
      <w:r w:rsidRPr="000D3432">
        <w:rPr>
          <w:rFonts w:asciiTheme="minorHAnsi" w:hAnsiTheme="minorHAnsi" w:cs="Arial"/>
          <w:color w:val="C0504D" w:themeColor="accent2"/>
          <w:szCs w:val="24"/>
        </w:rPr>
        <w:t xml:space="preserve"> (EXTRAVÍOS SOBRE FILOSOFÍA DEL DERECHO...)</w:t>
      </w:r>
    </w:p>
    <w:p w14:paraId="79699E28" w14:textId="77777777" w:rsidR="001925CE" w:rsidRPr="000D3432" w:rsidRDefault="001925CE" w:rsidP="00A95498">
      <w:pPr>
        <w:jc w:val="both"/>
        <w:rPr>
          <w:rFonts w:asciiTheme="minorHAnsi" w:hAnsiTheme="minorHAnsi"/>
          <w:color w:val="C0504D" w:themeColor="accent2"/>
          <w:szCs w:val="24"/>
        </w:rPr>
      </w:pPr>
    </w:p>
    <w:p w14:paraId="1A18E20C" w14:textId="77777777" w:rsidR="001925CE" w:rsidRPr="000D3432" w:rsidRDefault="001925CE" w:rsidP="00A95498">
      <w:pPr>
        <w:jc w:val="center"/>
        <w:rPr>
          <w:rFonts w:asciiTheme="minorHAnsi" w:hAnsiTheme="minorHAnsi"/>
          <w:b/>
          <w:szCs w:val="24"/>
        </w:rPr>
      </w:pPr>
    </w:p>
    <w:p w14:paraId="47A49A49" w14:textId="77777777" w:rsidR="001925CE" w:rsidRPr="000D3432" w:rsidRDefault="001925CE" w:rsidP="00A95498">
      <w:pPr>
        <w:jc w:val="center"/>
        <w:rPr>
          <w:rFonts w:asciiTheme="minorHAnsi" w:hAnsiTheme="minorHAnsi"/>
          <w:b/>
          <w:szCs w:val="24"/>
        </w:rPr>
      </w:pPr>
    </w:p>
    <w:p w14:paraId="10BFB7A4" w14:textId="77777777" w:rsidR="001925CE" w:rsidRPr="000D3432" w:rsidRDefault="001925CE" w:rsidP="00A95498">
      <w:pPr>
        <w:jc w:val="center"/>
        <w:rPr>
          <w:rFonts w:asciiTheme="minorHAnsi" w:hAnsiTheme="minorHAnsi"/>
          <w:b/>
          <w:szCs w:val="24"/>
        </w:rPr>
      </w:pPr>
    </w:p>
    <w:p w14:paraId="25F4CF3E" w14:textId="77777777" w:rsidR="001925CE" w:rsidRPr="000D3432" w:rsidRDefault="001925CE" w:rsidP="00A95498">
      <w:pPr>
        <w:jc w:val="center"/>
        <w:rPr>
          <w:rFonts w:asciiTheme="minorHAnsi" w:hAnsiTheme="minorHAnsi"/>
          <w:b/>
          <w:szCs w:val="24"/>
        </w:rPr>
      </w:pPr>
    </w:p>
    <w:p w14:paraId="3BBF4DFF" w14:textId="77777777" w:rsidR="001925CE" w:rsidRPr="000D3432" w:rsidRDefault="001925CE" w:rsidP="00A95498">
      <w:pPr>
        <w:jc w:val="center"/>
        <w:rPr>
          <w:rFonts w:asciiTheme="minorHAnsi" w:hAnsiTheme="minorHAnsi"/>
          <w:b/>
          <w:szCs w:val="24"/>
        </w:rPr>
      </w:pPr>
    </w:p>
    <w:p w14:paraId="35200CA0" w14:textId="77777777" w:rsidR="001925CE" w:rsidRPr="000D3432" w:rsidRDefault="001925CE" w:rsidP="00A95498">
      <w:pPr>
        <w:jc w:val="center"/>
        <w:rPr>
          <w:rFonts w:asciiTheme="minorHAnsi" w:hAnsiTheme="minorHAnsi"/>
          <w:b/>
          <w:szCs w:val="24"/>
        </w:rPr>
      </w:pPr>
    </w:p>
    <w:p w14:paraId="29911990"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3E8E6F12" w14:textId="77777777" w:rsidR="001925CE" w:rsidRPr="000D3432" w:rsidRDefault="001925CE" w:rsidP="00A95498">
      <w:pPr>
        <w:jc w:val="center"/>
        <w:rPr>
          <w:rFonts w:asciiTheme="minorHAnsi" w:hAnsiTheme="minorHAnsi"/>
          <w:b/>
          <w:szCs w:val="24"/>
        </w:rPr>
      </w:pPr>
    </w:p>
    <w:p w14:paraId="7947E37F" w14:textId="77777777" w:rsidR="001925CE" w:rsidRPr="000D3432" w:rsidRDefault="001925CE" w:rsidP="00A95498">
      <w:pPr>
        <w:jc w:val="center"/>
        <w:rPr>
          <w:rFonts w:asciiTheme="minorHAnsi" w:hAnsiTheme="minorHAnsi"/>
          <w:b/>
          <w:szCs w:val="24"/>
        </w:rPr>
      </w:pPr>
    </w:p>
    <w:p w14:paraId="55EF76CC" w14:textId="77777777" w:rsidR="001925CE" w:rsidRPr="000D3432" w:rsidRDefault="001925CE" w:rsidP="00A95498">
      <w:pPr>
        <w:jc w:val="center"/>
        <w:rPr>
          <w:rFonts w:asciiTheme="minorHAnsi" w:hAnsiTheme="minorHAnsi"/>
          <w:b/>
          <w:szCs w:val="24"/>
        </w:rPr>
      </w:pPr>
    </w:p>
    <w:p w14:paraId="5EAD4D18" w14:textId="77777777" w:rsidR="001925CE" w:rsidRPr="000D3432" w:rsidRDefault="001925CE" w:rsidP="00A95498">
      <w:pPr>
        <w:jc w:val="center"/>
        <w:rPr>
          <w:rFonts w:asciiTheme="minorHAnsi" w:hAnsiTheme="minorHAnsi"/>
          <w:b/>
          <w:szCs w:val="24"/>
        </w:rPr>
      </w:pPr>
    </w:p>
    <w:p w14:paraId="39737B85" w14:textId="77777777" w:rsidR="001925CE" w:rsidRPr="000D3432" w:rsidRDefault="001925CE" w:rsidP="00A95498">
      <w:pPr>
        <w:jc w:val="center"/>
        <w:rPr>
          <w:rFonts w:asciiTheme="minorHAnsi" w:hAnsiTheme="minorHAnsi"/>
          <w:b/>
          <w:szCs w:val="24"/>
        </w:rPr>
      </w:pPr>
    </w:p>
    <w:p w14:paraId="1E566314" w14:textId="77777777" w:rsidR="001925CE" w:rsidRPr="000D3432" w:rsidRDefault="001925CE" w:rsidP="00A95498">
      <w:pPr>
        <w:jc w:val="center"/>
        <w:rPr>
          <w:rFonts w:asciiTheme="minorHAnsi" w:hAnsiTheme="minorHAnsi"/>
          <w:b/>
          <w:szCs w:val="24"/>
        </w:rPr>
      </w:pPr>
    </w:p>
    <w:p w14:paraId="7323ADDC" w14:textId="77777777" w:rsidR="001925CE" w:rsidRPr="000D3432" w:rsidRDefault="001925CE" w:rsidP="00A95498">
      <w:pPr>
        <w:jc w:val="center"/>
        <w:rPr>
          <w:rFonts w:asciiTheme="minorHAnsi" w:hAnsiTheme="minorHAnsi"/>
          <w:b/>
          <w:szCs w:val="24"/>
        </w:rPr>
      </w:pPr>
    </w:p>
    <w:p w14:paraId="3AD1C895" w14:textId="77777777" w:rsidR="001925CE" w:rsidRPr="000D3432" w:rsidRDefault="001925CE" w:rsidP="00A95498">
      <w:pPr>
        <w:jc w:val="center"/>
        <w:rPr>
          <w:rFonts w:asciiTheme="minorHAnsi" w:hAnsiTheme="minorHAnsi"/>
          <w:b/>
          <w:szCs w:val="24"/>
        </w:rPr>
      </w:pPr>
    </w:p>
    <w:p w14:paraId="1D08D91E" w14:textId="77777777" w:rsidR="001925CE" w:rsidRPr="000D3432" w:rsidRDefault="001925CE" w:rsidP="00A95498">
      <w:pPr>
        <w:jc w:val="center"/>
        <w:rPr>
          <w:rFonts w:asciiTheme="minorHAnsi" w:hAnsiTheme="minorHAnsi"/>
          <w:b/>
          <w:color w:val="4F81BD" w:themeColor="accent1"/>
          <w:szCs w:val="24"/>
          <w:u w:val="single"/>
        </w:rPr>
      </w:pPr>
      <w:r w:rsidRPr="000D3432">
        <w:rPr>
          <w:rFonts w:asciiTheme="minorHAnsi" w:hAnsiTheme="minorHAnsi"/>
          <w:b/>
          <w:color w:val="4F81BD" w:themeColor="accent1"/>
          <w:szCs w:val="24"/>
          <w:u w:val="single"/>
        </w:rPr>
        <w:t>EL DERECHO Y LA FILOSOFÍA DEL DERECHO</w:t>
      </w:r>
    </w:p>
    <w:p w14:paraId="777E1755" w14:textId="77777777" w:rsidR="001925CE" w:rsidRPr="000D3432" w:rsidRDefault="001925CE" w:rsidP="00A95498">
      <w:pPr>
        <w:jc w:val="center"/>
        <w:rPr>
          <w:rFonts w:asciiTheme="minorHAnsi" w:hAnsiTheme="minorHAnsi" w:cs="Arial"/>
          <w:color w:val="4F81BD" w:themeColor="accent1"/>
          <w:szCs w:val="24"/>
        </w:rPr>
      </w:pPr>
      <w:r w:rsidRPr="000D3432">
        <w:rPr>
          <w:rFonts w:asciiTheme="minorHAnsi" w:hAnsiTheme="minorHAnsi" w:cs="Arial"/>
          <w:color w:val="4F81BD" w:themeColor="accent1"/>
          <w:szCs w:val="24"/>
        </w:rPr>
        <w:t>(</w:t>
      </w:r>
      <w:r w:rsidR="00FD5063" w:rsidRPr="000D3432">
        <w:rPr>
          <w:rFonts w:asciiTheme="minorHAnsi" w:hAnsiTheme="minorHAnsi" w:cs="Arial"/>
          <w:color w:val="4F81BD" w:themeColor="accent1"/>
          <w:szCs w:val="24"/>
        </w:rPr>
        <w:t>Extravíos sobre Filosofía del Derecho</w:t>
      </w:r>
      <w:r w:rsidRPr="000D3432">
        <w:rPr>
          <w:rFonts w:asciiTheme="minorHAnsi" w:hAnsiTheme="minorHAnsi" w:cs="Arial"/>
          <w:color w:val="4F81BD" w:themeColor="accent1"/>
          <w:szCs w:val="24"/>
        </w:rPr>
        <w:t>)</w:t>
      </w:r>
    </w:p>
    <w:p w14:paraId="3B520400" w14:textId="77777777" w:rsidR="001925CE" w:rsidRPr="000D3432" w:rsidRDefault="001925CE" w:rsidP="00A95498">
      <w:pPr>
        <w:jc w:val="center"/>
        <w:rPr>
          <w:rFonts w:asciiTheme="minorHAnsi" w:hAnsiTheme="minorHAnsi"/>
          <w:b/>
          <w:szCs w:val="24"/>
        </w:rPr>
      </w:pPr>
    </w:p>
    <w:p w14:paraId="2E15443B" w14:textId="77777777" w:rsidR="001925CE" w:rsidRPr="000D3432" w:rsidRDefault="001925CE" w:rsidP="00A95498">
      <w:pPr>
        <w:jc w:val="center"/>
        <w:rPr>
          <w:rFonts w:asciiTheme="minorHAnsi" w:hAnsiTheme="minorHAnsi"/>
          <w:b/>
          <w:szCs w:val="24"/>
        </w:rPr>
      </w:pPr>
    </w:p>
    <w:p w14:paraId="00E758D7" w14:textId="77777777" w:rsidR="001925CE" w:rsidRPr="000D3432" w:rsidRDefault="001925CE" w:rsidP="00A95498">
      <w:pPr>
        <w:jc w:val="center"/>
        <w:rPr>
          <w:rFonts w:asciiTheme="minorHAnsi" w:hAnsiTheme="minorHAnsi"/>
          <w:b/>
          <w:szCs w:val="24"/>
        </w:rPr>
      </w:pPr>
    </w:p>
    <w:p w14:paraId="4647D592" w14:textId="77777777" w:rsidR="001925CE" w:rsidRPr="000D3432" w:rsidRDefault="001925CE" w:rsidP="00A95498">
      <w:pPr>
        <w:rPr>
          <w:rFonts w:asciiTheme="minorHAnsi" w:hAnsiTheme="minorHAnsi"/>
          <w:b/>
          <w:szCs w:val="24"/>
        </w:rPr>
      </w:pPr>
      <w:r w:rsidRPr="000D3432">
        <w:rPr>
          <w:rFonts w:asciiTheme="minorHAnsi" w:hAnsiTheme="minorHAnsi"/>
          <w:b/>
          <w:szCs w:val="24"/>
        </w:rPr>
        <w:t>I.- Buscando el sentido de la Filosofía</w:t>
      </w:r>
    </w:p>
    <w:p w14:paraId="4CD914FC" w14:textId="77777777" w:rsidR="001925CE" w:rsidRPr="000D3432" w:rsidRDefault="001925CE" w:rsidP="00A95498">
      <w:pPr>
        <w:rPr>
          <w:rFonts w:asciiTheme="minorHAnsi" w:hAnsiTheme="minorHAnsi"/>
          <w:szCs w:val="24"/>
        </w:rPr>
      </w:pPr>
    </w:p>
    <w:p w14:paraId="3F06EFC6" w14:textId="77777777" w:rsidR="00FD5063" w:rsidRPr="000D3432" w:rsidRDefault="001925CE" w:rsidP="00A95498">
      <w:pPr>
        <w:jc w:val="both"/>
        <w:rPr>
          <w:rFonts w:asciiTheme="minorHAnsi" w:hAnsiTheme="minorHAnsi"/>
          <w:szCs w:val="24"/>
        </w:rPr>
      </w:pPr>
      <w:r w:rsidRPr="000D3432">
        <w:rPr>
          <w:rFonts w:asciiTheme="minorHAnsi" w:hAnsiTheme="minorHAnsi"/>
          <w:szCs w:val="24"/>
        </w:rPr>
        <w:t>¿Será pretensioso querer hablar de Filosofía desde un texto de circunstancias? ¿Será la Filosofía sólo apropiada para seres d</w:t>
      </w:r>
      <w:r w:rsidR="00FD5063" w:rsidRPr="000D3432">
        <w:rPr>
          <w:rFonts w:asciiTheme="minorHAnsi" w:hAnsiTheme="minorHAnsi"/>
          <w:szCs w:val="24"/>
        </w:rPr>
        <w:t>ivinos y mentes brillantes? ¿U</w:t>
      </w:r>
      <w:r w:rsidRPr="000D3432">
        <w:rPr>
          <w:rFonts w:asciiTheme="minorHAnsi" w:hAnsiTheme="minorHAnsi"/>
          <w:szCs w:val="24"/>
        </w:rPr>
        <w:t>na persona común nunca esta</w:t>
      </w:r>
      <w:r w:rsidR="00FD5063" w:rsidRPr="000D3432">
        <w:rPr>
          <w:rFonts w:asciiTheme="minorHAnsi" w:hAnsiTheme="minorHAnsi"/>
          <w:szCs w:val="24"/>
        </w:rPr>
        <w:t xml:space="preserve">rá al alcance de la Filosofía? ¿Sólo Kant, </w:t>
      </w:r>
    </w:p>
    <w:p w14:paraId="08294BCF" w14:textId="77777777" w:rsidR="008A3333" w:rsidRPr="000D3432" w:rsidRDefault="008A3333" w:rsidP="00A95498">
      <w:pPr>
        <w:jc w:val="both"/>
        <w:rPr>
          <w:rFonts w:asciiTheme="minorHAnsi" w:hAnsiTheme="minorHAnsi"/>
          <w:szCs w:val="24"/>
        </w:rPr>
      </w:pPr>
    </w:p>
    <w:p w14:paraId="334E059D" w14:textId="77777777" w:rsidR="008A3333" w:rsidRPr="000D3432" w:rsidRDefault="008A3333" w:rsidP="00A95498">
      <w:pPr>
        <w:jc w:val="both"/>
        <w:rPr>
          <w:rFonts w:asciiTheme="minorHAnsi" w:hAnsiTheme="minorHAnsi"/>
          <w:szCs w:val="24"/>
        </w:rPr>
      </w:pPr>
    </w:p>
    <w:p w14:paraId="533A2177" w14:textId="77777777" w:rsidR="008A3333" w:rsidRPr="000D3432" w:rsidRDefault="008A3333" w:rsidP="00A95498">
      <w:pPr>
        <w:jc w:val="both"/>
        <w:rPr>
          <w:rFonts w:asciiTheme="minorHAnsi" w:hAnsiTheme="minorHAnsi"/>
          <w:szCs w:val="24"/>
        </w:rPr>
      </w:pPr>
      <w:r w:rsidRPr="000D3432">
        <w:rPr>
          <w:rFonts w:asciiTheme="minorHAnsi" w:hAnsiTheme="minorHAnsi"/>
          <w:szCs w:val="24"/>
        </w:rPr>
        <w:t>como Juan Mabillon, Hugo Grocio, Samuel Pufendorf, Chistian Thomasius, César Beccaria, Jeremy Bentham, Filangieri, Juan Pablo Marat, Mostesquieu, Jean Jacques Rousseau, Voltaire, Feurbach, Karl Hommel, John Howard, Gotthold Lessing, Johann Schiller, Romagnosi, Inmanuel Kant, Hans Gross, Franz Klein, Pellegrino Rossi, Giovanni Carmignani, Antonio Rosini, Francisco Carrara, Manuel De Lardizábil y Uribe, Luis Luchini, Joaquín Francisco Pacheco, Mario Francisco Pagano, Franck Enrique Pessina, Carlos David Augusto Roeder, Francisco Giner De los Ríos, Pedro Dorado Montero, Franz Joseph Gall, Juan Bautista De la Porta, Juan Caspar Lavater,  Quetelet, Lambert Adolpe Jacques, Adre Michael Guerry, César Ezequiel Lombroso, Enrico Ferri, Rafael Garófalo, Augusto Comte, Alejandro Lacassagne, Gabriel Tarde, Bernardino Alimena, Manuel Carnevale, Fran Von Liszt, Adolfo Merkel, Ricardo Von Hammel, Edmundo Mezger, Adolfo Prins, Puglia, Florián, Harry Godland, Charles R. Von Birkmayer, Ernst Von Beling, Hugo Conti, Silvio Lhongui, Vittorio Vicente Lanza, Montalbeno, Falchi, Trajieno, Carlos Binding, Vicente Manzini, Arturo Rocco, Max Ernet Mayer</w:t>
      </w:r>
    </w:p>
    <w:p w14:paraId="7822AC5E" w14:textId="77777777" w:rsidR="008A3333" w:rsidRPr="000D3432" w:rsidRDefault="008A3333" w:rsidP="00A95498">
      <w:pPr>
        <w:jc w:val="both"/>
        <w:rPr>
          <w:rFonts w:asciiTheme="minorHAnsi" w:hAnsiTheme="minorHAnsi"/>
          <w:szCs w:val="24"/>
        </w:rPr>
      </w:pPr>
    </w:p>
    <w:p w14:paraId="653B7FB1" w14:textId="77777777" w:rsidR="008A3333" w:rsidRPr="000D3432" w:rsidRDefault="008A3333" w:rsidP="008A3333">
      <w:pPr>
        <w:jc w:val="both"/>
        <w:rPr>
          <w:rFonts w:asciiTheme="minorHAnsi" w:hAnsiTheme="minorHAnsi" w:cs="Calibri"/>
          <w:szCs w:val="24"/>
          <w:lang w:eastAsia="es-PE"/>
        </w:rPr>
      </w:pPr>
      <w:r w:rsidRPr="000D3432">
        <w:rPr>
          <w:rFonts w:asciiTheme="minorHAnsi" w:hAnsiTheme="minorHAnsi"/>
          <w:szCs w:val="24"/>
        </w:rPr>
        <w:t xml:space="preserve">Sólo pueden hacer filosofía y escribir grandes relatos o metarrelatos con esa carga intelectual como </w:t>
      </w:r>
      <w:r w:rsidRPr="000D3432">
        <w:rPr>
          <w:rFonts w:asciiTheme="minorHAnsi" w:hAnsiTheme="minorHAnsi" w:cs="Calibri"/>
          <w:bCs/>
          <w:i/>
          <w:iCs/>
          <w:szCs w:val="24"/>
          <w:lang w:eastAsia="es-PE"/>
        </w:rPr>
        <w:t xml:space="preserve">Confesiones, de San Agustín; </w:t>
      </w:r>
      <w:r w:rsidRPr="000D3432">
        <w:rPr>
          <w:rFonts w:asciiTheme="minorHAnsi" w:hAnsiTheme="minorHAnsi" w:cs="Calibri"/>
          <w:bCs/>
          <w:i/>
          <w:szCs w:val="24"/>
          <w:lang w:eastAsia="es-PE"/>
        </w:rPr>
        <w:t>Diario de un escritor y otros escritos</w:t>
      </w:r>
      <w:r w:rsidRPr="000D3432">
        <w:rPr>
          <w:rFonts w:asciiTheme="minorHAnsi" w:hAnsiTheme="minorHAnsi" w:cs="Calibri"/>
          <w:bCs/>
          <w:szCs w:val="24"/>
          <w:lang w:eastAsia="es-PE"/>
        </w:rPr>
        <w:t xml:space="preserve">, de </w:t>
      </w:r>
      <w:r w:rsidRPr="000D3432">
        <w:rPr>
          <w:rFonts w:asciiTheme="minorHAnsi" w:hAnsiTheme="minorHAnsi" w:cs="Calibri"/>
          <w:iCs/>
          <w:szCs w:val="24"/>
          <w:lang w:eastAsia="es-PE"/>
        </w:rPr>
        <w:t xml:space="preserve">Fiódor Dostoyevski; </w:t>
      </w:r>
      <w:r w:rsidRPr="000D3432">
        <w:rPr>
          <w:rFonts w:asciiTheme="minorHAnsi" w:hAnsiTheme="minorHAnsi" w:cs="Calibri"/>
          <w:i/>
          <w:iCs/>
          <w:szCs w:val="24"/>
          <w:lang w:eastAsia="es-PE"/>
        </w:rPr>
        <w:t>El Libro Negro,</w:t>
      </w:r>
      <w:r w:rsidRPr="000D3432">
        <w:rPr>
          <w:rFonts w:asciiTheme="minorHAnsi" w:hAnsiTheme="minorHAnsi" w:cs="Calibri"/>
          <w:iCs/>
          <w:szCs w:val="24"/>
          <w:lang w:eastAsia="es-PE"/>
        </w:rPr>
        <w:t xml:space="preserve"> </w:t>
      </w:r>
      <w:r w:rsidRPr="000D3432">
        <w:rPr>
          <w:rFonts w:asciiTheme="minorHAnsi" w:hAnsiTheme="minorHAnsi" w:cs="Calibri"/>
          <w:i/>
          <w:iCs/>
          <w:szCs w:val="24"/>
          <w:lang w:eastAsia="es-PE"/>
        </w:rPr>
        <w:t xml:space="preserve">Un hombre acabado, </w:t>
      </w:r>
      <w:r w:rsidRPr="000D3432">
        <w:rPr>
          <w:rFonts w:asciiTheme="minorHAnsi" w:hAnsiTheme="minorHAnsi" w:cs="Calibri"/>
          <w:iCs/>
          <w:szCs w:val="24"/>
          <w:lang w:eastAsia="es-PE"/>
        </w:rPr>
        <w:t xml:space="preserve">de </w:t>
      </w:r>
      <w:r w:rsidRPr="000D3432">
        <w:rPr>
          <w:rFonts w:asciiTheme="minorHAnsi" w:hAnsiTheme="minorHAnsi" w:cs="Calibri"/>
          <w:szCs w:val="24"/>
          <w:lang w:eastAsia="es-PE"/>
        </w:rPr>
        <w:t xml:space="preserve">Giovanni Papini; </w:t>
      </w:r>
      <w:r w:rsidRPr="000D3432">
        <w:rPr>
          <w:rFonts w:asciiTheme="minorHAnsi" w:hAnsiTheme="minorHAnsi" w:cs="Calibri"/>
          <w:bCs/>
          <w:i/>
          <w:iCs/>
          <w:szCs w:val="24"/>
          <w:lang w:eastAsia="es-PE"/>
        </w:rPr>
        <w:t xml:space="preserve">Fouché El Genio Tenebroso, de </w:t>
      </w:r>
      <w:r w:rsidRPr="000D3432">
        <w:rPr>
          <w:rFonts w:asciiTheme="minorHAnsi" w:hAnsiTheme="minorHAnsi" w:cs="Calibri"/>
          <w:bCs/>
          <w:iCs/>
          <w:szCs w:val="24"/>
          <w:lang w:eastAsia="es-PE"/>
        </w:rPr>
        <w:t xml:space="preserve">Stefan Zweig; </w:t>
      </w:r>
      <w:r w:rsidRPr="000D3432">
        <w:rPr>
          <w:rFonts w:asciiTheme="minorHAnsi" w:hAnsiTheme="minorHAnsi" w:cs="Calibri"/>
          <w:bCs/>
          <w:i/>
          <w:szCs w:val="24"/>
          <w:lang w:eastAsia="es-PE"/>
        </w:rPr>
        <w:t xml:space="preserve">Gandhi, de </w:t>
      </w:r>
      <w:r w:rsidRPr="000D3432">
        <w:rPr>
          <w:rFonts w:asciiTheme="minorHAnsi" w:hAnsiTheme="minorHAnsi" w:cs="Calibri"/>
          <w:bCs/>
          <w:szCs w:val="24"/>
          <w:lang w:eastAsia="es-PE"/>
        </w:rPr>
        <w:t xml:space="preserve">Romain Rolland; </w:t>
      </w:r>
      <w:r w:rsidRPr="000D3432">
        <w:rPr>
          <w:rFonts w:asciiTheme="minorHAnsi" w:hAnsiTheme="minorHAnsi" w:cs="Calibri"/>
          <w:bCs/>
          <w:i/>
          <w:szCs w:val="24"/>
          <w:lang w:eastAsia="es-PE"/>
        </w:rPr>
        <w:t xml:space="preserve">La Lucha contra el Demonio </w:t>
      </w:r>
      <w:r w:rsidRPr="000D3432">
        <w:rPr>
          <w:rFonts w:asciiTheme="minorHAnsi" w:hAnsiTheme="minorHAnsi" w:cs="Calibri"/>
          <w:bCs/>
          <w:i/>
          <w:iCs/>
          <w:szCs w:val="24"/>
          <w:lang w:eastAsia="es-PE"/>
        </w:rPr>
        <w:t xml:space="preserve">(Hölderlin, Kleist, Nietzsche), </w:t>
      </w:r>
      <w:r w:rsidRPr="000D3432">
        <w:rPr>
          <w:rFonts w:asciiTheme="minorHAnsi" w:hAnsiTheme="minorHAnsi" w:cs="Calibri"/>
          <w:bCs/>
          <w:iCs/>
          <w:szCs w:val="24"/>
          <w:lang w:eastAsia="es-PE"/>
        </w:rPr>
        <w:t xml:space="preserve">Stefan Zweig; </w:t>
      </w:r>
      <w:r w:rsidRPr="000D3432">
        <w:rPr>
          <w:rFonts w:asciiTheme="minorHAnsi" w:hAnsiTheme="minorHAnsi" w:cs="Calibri"/>
          <w:i/>
          <w:szCs w:val="24"/>
          <w:lang w:eastAsia="es-PE"/>
        </w:rPr>
        <w:t xml:space="preserve">Una Temporada en el Infierno, de </w:t>
      </w:r>
      <w:r w:rsidRPr="000D3432">
        <w:rPr>
          <w:rFonts w:asciiTheme="minorHAnsi" w:hAnsiTheme="minorHAnsi" w:cs="Calibri"/>
          <w:szCs w:val="24"/>
          <w:lang w:eastAsia="es-PE"/>
        </w:rPr>
        <w:t xml:space="preserve">Arthur Rimbaud; </w:t>
      </w:r>
      <w:r w:rsidRPr="000D3432">
        <w:rPr>
          <w:rFonts w:asciiTheme="minorHAnsi" w:hAnsiTheme="minorHAnsi" w:cs="Calibri"/>
          <w:bCs/>
          <w:i/>
          <w:szCs w:val="24"/>
          <w:lang w:eastAsia="es-PE"/>
        </w:rPr>
        <w:t xml:space="preserve">De mi vida, escritos autobiográficos de juventud, </w:t>
      </w:r>
      <w:r w:rsidRPr="000D3432">
        <w:rPr>
          <w:rFonts w:asciiTheme="minorHAnsi" w:hAnsiTheme="minorHAnsi" w:cs="Calibri"/>
          <w:bCs/>
          <w:szCs w:val="24"/>
          <w:lang w:eastAsia="es-PE"/>
        </w:rPr>
        <w:t xml:space="preserve">de Friedrich Nietszche; </w:t>
      </w:r>
      <w:r w:rsidRPr="000D3432">
        <w:rPr>
          <w:rFonts w:asciiTheme="minorHAnsi" w:hAnsiTheme="minorHAnsi" w:cs="Calibri"/>
          <w:bCs/>
          <w:i/>
          <w:szCs w:val="24"/>
          <w:lang w:eastAsia="es-PE"/>
        </w:rPr>
        <w:t>Tres Maestros: Balzac – Dickens – Dostoiewski</w:t>
      </w:r>
      <w:r w:rsidRPr="000D3432">
        <w:rPr>
          <w:rFonts w:asciiTheme="minorHAnsi" w:hAnsiTheme="minorHAnsi" w:cs="Calibri"/>
          <w:bCs/>
          <w:szCs w:val="24"/>
          <w:lang w:eastAsia="es-PE"/>
        </w:rPr>
        <w:t xml:space="preserve">, de Stefan Zweig; </w:t>
      </w:r>
      <w:r w:rsidRPr="000D3432">
        <w:rPr>
          <w:rFonts w:asciiTheme="minorHAnsi" w:hAnsiTheme="minorHAnsi" w:cs="Calibri"/>
          <w:bCs/>
          <w:i/>
          <w:szCs w:val="24"/>
          <w:lang w:eastAsia="es-PE"/>
        </w:rPr>
        <w:t>Erasmo de Rotterdam. Triunfo y Tragedia,</w:t>
      </w:r>
      <w:r w:rsidRPr="000D3432">
        <w:rPr>
          <w:rFonts w:asciiTheme="minorHAnsi" w:hAnsiTheme="minorHAnsi" w:cs="Calibri"/>
          <w:bCs/>
          <w:szCs w:val="24"/>
          <w:lang w:eastAsia="es-PE"/>
        </w:rPr>
        <w:t xml:space="preserve"> de </w:t>
      </w:r>
      <w:r w:rsidRPr="000D3432">
        <w:rPr>
          <w:rFonts w:asciiTheme="minorHAnsi" w:hAnsiTheme="minorHAnsi" w:cs="Calibri"/>
          <w:szCs w:val="24"/>
          <w:lang w:eastAsia="es-PE"/>
        </w:rPr>
        <w:t xml:space="preserve">Stefan Zweig; </w:t>
      </w:r>
      <w:r w:rsidRPr="000D3432">
        <w:rPr>
          <w:rFonts w:asciiTheme="minorHAnsi" w:hAnsiTheme="minorHAnsi" w:cs="Calibri"/>
          <w:i/>
          <w:szCs w:val="24"/>
          <w:lang w:eastAsia="es-PE"/>
        </w:rPr>
        <w:t>Confesiones</w:t>
      </w:r>
      <w:r w:rsidRPr="000D3432">
        <w:rPr>
          <w:rFonts w:asciiTheme="minorHAnsi" w:hAnsiTheme="minorHAnsi" w:cs="Calibri"/>
          <w:szCs w:val="24"/>
          <w:lang w:eastAsia="es-PE"/>
        </w:rPr>
        <w:t xml:space="preserve">, de Jean Jaques Rousseau; </w:t>
      </w:r>
      <w:r w:rsidRPr="000D3432">
        <w:rPr>
          <w:rFonts w:asciiTheme="minorHAnsi" w:hAnsiTheme="minorHAnsi" w:cs="Calibri"/>
          <w:i/>
          <w:szCs w:val="24"/>
          <w:lang w:eastAsia="es-PE"/>
        </w:rPr>
        <w:t xml:space="preserve">Diario de un seductor, de Soren </w:t>
      </w:r>
      <w:r w:rsidRPr="000D3432">
        <w:rPr>
          <w:rFonts w:asciiTheme="minorHAnsi" w:hAnsiTheme="minorHAnsi" w:cs="Calibri"/>
          <w:szCs w:val="24"/>
          <w:lang w:eastAsia="es-PE"/>
        </w:rPr>
        <w:t xml:space="preserve">Kierkegaard. </w:t>
      </w:r>
    </w:p>
    <w:p w14:paraId="369E98B8" w14:textId="77777777" w:rsidR="008A3333" w:rsidRPr="000D3432" w:rsidRDefault="008A3333" w:rsidP="008A3333">
      <w:pPr>
        <w:jc w:val="both"/>
        <w:rPr>
          <w:rFonts w:asciiTheme="minorHAnsi" w:hAnsiTheme="minorHAnsi" w:cs="Calibri"/>
          <w:szCs w:val="24"/>
          <w:lang w:eastAsia="es-PE"/>
        </w:rPr>
      </w:pPr>
    </w:p>
    <w:p w14:paraId="7D55A880" w14:textId="77777777" w:rsidR="008A3333" w:rsidRPr="000D3432" w:rsidRDefault="008A3333" w:rsidP="008A3333">
      <w:pPr>
        <w:jc w:val="both"/>
        <w:rPr>
          <w:rFonts w:asciiTheme="minorHAnsi" w:hAnsiTheme="minorHAnsi" w:cs="Calibri"/>
          <w:szCs w:val="24"/>
          <w:lang w:eastAsia="es-PE"/>
        </w:rPr>
      </w:pPr>
      <w:r w:rsidRPr="000D3432">
        <w:rPr>
          <w:rFonts w:asciiTheme="minorHAnsi" w:hAnsiTheme="minorHAnsi" w:cs="Calibri"/>
          <w:szCs w:val="24"/>
          <w:lang w:eastAsia="es-PE"/>
        </w:rPr>
        <w:t xml:space="preserve"> </w:t>
      </w:r>
    </w:p>
    <w:p w14:paraId="5A2E38A6" w14:textId="77777777" w:rsidR="008A3333" w:rsidRPr="000D3432" w:rsidRDefault="008A3333" w:rsidP="008A3333">
      <w:pPr>
        <w:rPr>
          <w:rFonts w:asciiTheme="minorHAnsi" w:hAnsiTheme="minorHAnsi" w:cs="Calibri"/>
          <w:szCs w:val="24"/>
          <w:lang w:eastAsia="es-PE"/>
        </w:rPr>
      </w:pPr>
    </w:p>
    <w:p w14:paraId="3A4025C7" w14:textId="77777777" w:rsidR="008A3333" w:rsidRPr="000D3432" w:rsidRDefault="008A3333" w:rsidP="008A3333">
      <w:pPr>
        <w:rPr>
          <w:rFonts w:asciiTheme="minorHAnsi" w:hAnsiTheme="minorHAnsi"/>
          <w:b/>
          <w:szCs w:val="24"/>
        </w:rPr>
      </w:pPr>
      <w:bookmarkStart w:id="0" w:name="_Toc293174087"/>
      <w:bookmarkStart w:id="1" w:name="_Toc300945477"/>
      <w:bookmarkStart w:id="2" w:name="_Toc312148858"/>
      <w:bookmarkStart w:id="3" w:name="_Toc312149187"/>
      <w:bookmarkStart w:id="4" w:name="_Toc312149516"/>
      <w:r w:rsidRPr="000D3432">
        <w:rPr>
          <w:rFonts w:asciiTheme="minorHAnsi" w:hAnsiTheme="minorHAnsi"/>
          <w:b/>
          <w:szCs w:val="24"/>
        </w:rPr>
        <w:t>b) Derecho:</w:t>
      </w:r>
      <w:bookmarkEnd w:id="0"/>
      <w:bookmarkEnd w:id="1"/>
      <w:bookmarkEnd w:id="2"/>
      <w:bookmarkEnd w:id="3"/>
      <w:bookmarkEnd w:id="4"/>
      <w:r w:rsidRPr="000D3432">
        <w:rPr>
          <w:rFonts w:asciiTheme="minorHAnsi" w:hAnsiTheme="minorHAnsi"/>
          <w:b/>
          <w:szCs w:val="24"/>
        </w:rPr>
        <w:t xml:space="preserve"> </w:t>
      </w:r>
    </w:p>
    <w:p w14:paraId="49F6053B"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 xml:space="preserve">Teoría del Derecho </w:t>
      </w:r>
    </w:p>
    <w:p w14:paraId="7E337C46"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 xml:space="preserve">Edgar Bodenheimer </w:t>
      </w:r>
    </w:p>
    <w:p w14:paraId="18339373"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La Filosofía del Derecho – Situación General </w:t>
      </w:r>
    </w:p>
    <w:p w14:paraId="0DAC6CBC"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Tratado los Delitos y las Penas </w:t>
      </w:r>
    </w:p>
    <w:p w14:paraId="2AD4267D"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César Bonesana Marqués de Beccaria</w:t>
      </w:r>
    </w:p>
    <w:p w14:paraId="27D55A1C"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Derecho y razón. Teoría del garantismo penal</w:t>
      </w:r>
    </w:p>
    <w:p w14:paraId="3EEEAFB3"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Luigi Ferrajoli</w:t>
      </w:r>
    </w:p>
    <w:p w14:paraId="65D74376"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Derecho Penal. Parte General</w:t>
      </w:r>
    </w:p>
    <w:p w14:paraId="0E43F31E"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bCs/>
          <w:sz w:val="24"/>
          <w:szCs w:val="24"/>
          <w:lang w:eastAsia="es-PE"/>
        </w:rPr>
        <w:t xml:space="preserve">Tomo I. </w:t>
      </w:r>
      <w:r w:rsidRPr="000D3432">
        <w:rPr>
          <w:rFonts w:cs="Calibri"/>
          <w:sz w:val="24"/>
          <w:szCs w:val="24"/>
          <w:lang w:eastAsia="es-PE"/>
        </w:rPr>
        <w:t>Fundamentos. La Estructura de la Teoría Del Delito</w:t>
      </w:r>
    </w:p>
    <w:p w14:paraId="5FD272EE"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Claus Roxin</w:t>
      </w:r>
    </w:p>
    <w:p w14:paraId="278FF4AC"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Tomás Jofré, Introductor de Giuseppe Chiovenda en el Derecho Argentino</w:t>
      </w:r>
    </w:p>
    <w:p w14:paraId="58AA26A7"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Por Abelardo Levaggi</w:t>
      </w:r>
    </w:p>
    <w:p w14:paraId="1299A90A"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Sesenticinco Años de Evolución en la Filosofía del Derecho</w:t>
      </w:r>
    </w:p>
    <w:p w14:paraId="2BF6AC57"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Edgar Bodenheimer</w:t>
      </w:r>
    </w:p>
    <w:p w14:paraId="313E58ED"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Filosofía del Derecho. </w:t>
      </w:r>
    </w:p>
    <w:p w14:paraId="3FE65556"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Pablo Raúl Bonorino</w:t>
      </w:r>
    </w:p>
    <w:p w14:paraId="0264AAE6"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Jairo Iván Peña Ayazo</w:t>
      </w:r>
    </w:p>
    <w:p w14:paraId="6AFCE72F"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Fundamentos </w:t>
      </w:r>
      <w:r w:rsidRPr="000D3432">
        <w:rPr>
          <w:rFonts w:cs="Calibri"/>
          <w:sz w:val="24"/>
          <w:szCs w:val="24"/>
          <w:lang w:eastAsia="es-PE"/>
        </w:rPr>
        <w:t xml:space="preserve">del </w:t>
      </w:r>
      <w:r w:rsidRPr="000D3432">
        <w:rPr>
          <w:rFonts w:cs="Calibri"/>
          <w:bCs/>
          <w:sz w:val="24"/>
          <w:szCs w:val="24"/>
          <w:lang w:eastAsia="es-PE"/>
        </w:rPr>
        <w:t>Derecho Procesal Civil</w:t>
      </w:r>
    </w:p>
    <w:p w14:paraId="033DE7AC"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Eduardo J. Couture</w:t>
      </w:r>
    </w:p>
    <w:p w14:paraId="78ED63C2"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Derecho, Política y Justicia</w:t>
      </w:r>
    </w:p>
    <w:p w14:paraId="4619051C"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Giorgio Del Vecchio</w:t>
      </w:r>
    </w:p>
    <w:p w14:paraId="48E5E8D9"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En Defensa de la Usura</w:t>
      </w:r>
    </w:p>
    <w:p w14:paraId="3722B954"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Jeremy Bentham</w:t>
      </w:r>
    </w:p>
    <w:p w14:paraId="4A2CA5F4"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Un Viaje Al Brasil. Impresiones de un Conferenciante, seguidas de un Estudio sobre el Derecho Penal Brasileño</w:t>
      </w:r>
    </w:p>
    <w:p w14:paraId="2DE764B2"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Luis Jiménez De Asúa</w:t>
      </w:r>
    </w:p>
    <w:p w14:paraId="210EDF73"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Principios De Derecho Penal, La Ley Y El Delito</w:t>
      </w:r>
    </w:p>
    <w:p w14:paraId="529F1000"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Luis Jiménez De Asúa</w:t>
      </w:r>
    </w:p>
    <w:p w14:paraId="3B35A5F2"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El Derecho A La Pereza</w:t>
      </w:r>
    </w:p>
    <w:p w14:paraId="142BF581"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P. Lafargue</w:t>
      </w:r>
    </w:p>
    <w:p w14:paraId="75761F5D"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Derecho Civil</w:t>
      </w:r>
    </w:p>
    <w:p w14:paraId="4F9E3A41"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Marcel Planiol – Georges Ripert</w:t>
      </w:r>
    </w:p>
    <w:p w14:paraId="042DB90B"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Del Asesinato Considerado Como Una De Las Bellas Artes</w:t>
      </w:r>
    </w:p>
    <w:p w14:paraId="69207DE9"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i/>
          <w:iCs/>
          <w:sz w:val="24"/>
          <w:szCs w:val="24"/>
          <w:lang w:eastAsia="es-PE"/>
        </w:rPr>
      </w:pPr>
      <w:r w:rsidRPr="000D3432">
        <w:rPr>
          <w:rFonts w:cs="Calibri"/>
          <w:i/>
          <w:iCs/>
          <w:sz w:val="24"/>
          <w:szCs w:val="24"/>
          <w:lang w:eastAsia="es-PE"/>
        </w:rPr>
        <w:t>Thomas De Quincey:</w:t>
      </w:r>
    </w:p>
    <w:p w14:paraId="1E8B4636"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La Naturaleza De La Filosofía Del Derecho</w:t>
      </w:r>
    </w:p>
    <w:p w14:paraId="6011550A"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Robert Alexy</w:t>
      </w:r>
    </w:p>
    <w:p w14:paraId="13F84F28" w14:textId="77777777" w:rsidR="008A3333" w:rsidRPr="000D3432" w:rsidRDefault="008A3333" w:rsidP="009E6E2E">
      <w:pPr>
        <w:pStyle w:val="Prrafodelista"/>
        <w:numPr>
          <w:ilvl w:val="0"/>
          <w:numId w:val="46"/>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Tratado De Las Pruebas Judiciales</w:t>
      </w:r>
    </w:p>
    <w:p w14:paraId="380161F0"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Jeremy Bentham</w:t>
      </w:r>
    </w:p>
    <w:p w14:paraId="2816F4B4" w14:textId="77777777" w:rsidR="008A3333" w:rsidRPr="000D3432" w:rsidRDefault="008A3333" w:rsidP="009E6E2E">
      <w:pPr>
        <w:pStyle w:val="Prrafodelista"/>
        <w:numPr>
          <w:ilvl w:val="0"/>
          <w:numId w:val="46"/>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La Lucha Por El Derecho</w:t>
      </w:r>
    </w:p>
    <w:p w14:paraId="13B65FEE"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Rudolf Von Ihering</w:t>
      </w:r>
    </w:p>
    <w:p w14:paraId="568AEC53" w14:textId="77777777" w:rsidR="008A3333" w:rsidRPr="000D3432" w:rsidRDefault="008A3333" w:rsidP="009E6E2E">
      <w:pPr>
        <w:pStyle w:val="Prrafodelista"/>
        <w:numPr>
          <w:ilvl w:val="0"/>
          <w:numId w:val="46"/>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Filosofía del Derecho</w:t>
      </w:r>
    </w:p>
    <w:p w14:paraId="2A991534"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Giiorgio Del Vecchio</w:t>
      </w:r>
    </w:p>
    <w:p w14:paraId="4DCF38B1" w14:textId="77777777" w:rsidR="008A3333" w:rsidRPr="000D3432" w:rsidRDefault="008A3333" w:rsidP="008A3333">
      <w:pPr>
        <w:rPr>
          <w:rFonts w:asciiTheme="minorHAnsi" w:hAnsiTheme="minorHAnsi" w:cs="Calibri"/>
          <w:bCs/>
          <w:szCs w:val="24"/>
          <w:lang w:eastAsia="es-PE"/>
        </w:rPr>
      </w:pPr>
    </w:p>
    <w:p w14:paraId="21BEBF1C" w14:textId="77777777" w:rsidR="008A3333" w:rsidRPr="000D3432" w:rsidRDefault="008A3333" w:rsidP="008A3333">
      <w:pPr>
        <w:rPr>
          <w:rFonts w:asciiTheme="minorHAnsi" w:hAnsiTheme="minorHAnsi"/>
          <w:b/>
          <w:szCs w:val="24"/>
        </w:rPr>
      </w:pPr>
      <w:bookmarkStart w:id="5" w:name="_Toc293174088"/>
      <w:bookmarkStart w:id="6" w:name="_Toc300945478"/>
      <w:bookmarkStart w:id="7" w:name="_Toc312148859"/>
      <w:bookmarkStart w:id="8" w:name="_Toc312149188"/>
      <w:bookmarkStart w:id="9" w:name="_Toc312149517"/>
      <w:r w:rsidRPr="000D3432">
        <w:rPr>
          <w:rFonts w:asciiTheme="minorHAnsi" w:hAnsiTheme="minorHAnsi"/>
          <w:b/>
          <w:szCs w:val="24"/>
        </w:rPr>
        <w:t>c) Literatura:</w:t>
      </w:r>
      <w:bookmarkEnd w:id="5"/>
      <w:bookmarkEnd w:id="6"/>
      <w:bookmarkEnd w:id="7"/>
      <w:bookmarkEnd w:id="8"/>
      <w:bookmarkEnd w:id="9"/>
      <w:r w:rsidRPr="000D3432">
        <w:rPr>
          <w:rFonts w:asciiTheme="minorHAnsi" w:hAnsiTheme="minorHAnsi"/>
          <w:b/>
          <w:szCs w:val="24"/>
        </w:rPr>
        <w:t xml:space="preserve"> </w:t>
      </w:r>
    </w:p>
    <w:p w14:paraId="2DB662B9"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lastRenderedPageBreak/>
        <w:t>El libro de lo increible</w:t>
      </w:r>
    </w:p>
    <w:p w14:paraId="48F62CF9"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Despistes Y Destrezas</w:t>
      </w:r>
    </w:p>
    <w:p w14:paraId="2728172A"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Mario Benedett</w:t>
      </w:r>
    </w:p>
    <w:p w14:paraId="480D5D68"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El Ricachón En La Corte</w:t>
      </w:r>
    </w:p>
    <w:p w14:paraId="43C52CA2"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Moliere</w:t>
      </w:r>
    </w:p>
    <w:p w14:paraId="7E4E121F"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El Jugador</w:t>
      </w:r>
    </w:p>
    <w:p w14:paraId="141A3636"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Fiódor Dostoyevski</w:t>
      </w:r>
    </w:p>
    <w:p w14:paraId="4C9E6E56"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Yo Acuso. La verdad en marcha</w:t>
      </w:r>
    </w:p>
    <w:p w14:paraId="74FBC656"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Emilio Zola</w:t>
      </w:r>
    </w:p>
    <w:p w14:paraId="79F4BD10"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Memorias del subsuelo</w:t>
      </w:r>
    </w:p>
    <w:p w14:paraId="3D05F757"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Fedor Dostoiesvski</w:t>
      </w:r>
    </w:p>
    <w:p w14:paraId="28EE8712"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La Libertad del Espíritu</w:t>
      </w:r>
    </w:p>
    <w:p w14:paraId="61C0756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Paul Valery</w:t>
      </w:r>
    </w:p>
    <w:p w14:paraId="2F66107F"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Del Sentimiento Trágico de la Vida</w:t>
      </w:r>
    </w:p>
    <w:p w14:paraId="7993A48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Miguel De Unamuno</w:t>
      </w:r>
    </w:p>
    <w:p w14:paraId="301D0CA5" w14:textId="77777777" w:rsidR="008A3333" w:rsidRPr="000D3432" w:rsidRDefault="008A3333" w:rsidP="009E6E2E">
      <w:pPr>
        <w:pStyle w:val="Prrafodelista"/>
        <w:numPr>
          <w:ilvl w:val="0"/>
          <w:numId w:val="47"/>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Sobre el Poder de la Prensa</w:t>
      </w:r>
    </w:p>
    <w:p w14:paraId="657AD1C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José Ortega y Gasset</w:t>
      </w:r>
    </w:p>
    <w:p w14:paraId="33CFD10F" w14:textId="77777777" w:rsidR="008A3333" w:rsidRPr="000D3432" w:rsidRDefault="008A3333" w:rsidP="008A3333">
      <w:pPr>
        <w:rPr>
          <w:rFonts w:asciiTheme="minorHAnsi" w:hAnsiTheme="minorHAnsi" w:cs="Calibri"/>
          <w:szCs w:val="24"/>
          <w:lang w:eastAsia="es-PE"/>
        </w:rPr>
      </w:pPr>
    </w:p>
    <w:p w14:paraId="469404A4" w14:textId="77777777" w:rsidR="008A3333" w:rsidRPr="000D3432" w:rsidRDefault="008A3333" w:rsidP="008A3333">
      <w:pPr>
        <w:rPr>
          <w:rFonts w:asciiTheme="minorHAnsi" w:hAnsiTheme="minorHAnsi"/>
          <w:b/>
          <w:szCs w:val="24"/>
        </w:rPr>
      </w:pPr>
      <w:bookmarkStart w:id="10" w:name="_Toc293174089"/>
      <w:bookmarkStart w:id="11" w:name="_Toc300945479"/>
      <w:bookmarkStart w:id="12" w:name="_Toc312148860"/>
      <w:bookmarkStart w:id="13" w:name="_Toc312149189"/>
      <w:bookmarkStart w:id="14" w:name="_Toc312149518"/>
      <w:r w:rsidRPr="000D3432">
        <w:rPr>
          <w:rFonts w:asciiTheme="minorHAnsi" w:hAnsiTheme="minorHAnsi"/>
          <w:b/>
          <w:szCs w:val="24"/>
        </w:rPr>
        <w:t>d) Filosofía:</w:t>
      </w:r>
      <w:bookmarkEnd w:id="10"/>
      <w:bookmarkEnd w:id="11"/>
      <w:bookmarkEnd w:id="12"/>
      <w:bookmarkEnd w:id="13"/>
      <w:bookmarkEnd w:id="14"/>
      <w:r w:rsidRPr="000D3432">
        <w:rPr>
          <w:rFonts w:asciiTheme="minorHAnsi" w:hAnsiTheme="minorHAnsi"/>
          <w:b/>
          <w:szCs w:val="24"/>
        </w:rPr>
        <w:t xml:space="preserve"> </w:t>
      </w:r>
    </w:p>
    <w:p w14:paraId="3782D967"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Ideología y aparatos ideológicos de Estado, Freud y Lacan</w:t>
      </w:r>
    </w:p>
    <w:p w14:paraId="31DB0562"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Louis Althusser</w:t>
      </w:r>
    </w:p>
    <w:p w14:paraId="3A6A4696"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Diccionario De Politica</w:t>
      </w:r>
    </w:p>
    <w:p w14:paraId="1A22B4F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Norberto Bobbio</w:t>
      </w:r>
    </w:p>
    <w:p w14:paraId="40865F92"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Diccionario del Diablo</w:t>
      </w:r>
    </w:p>
    <w:p w14:paraId="7E0D4212"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Ambrose Gwinet Bierce </w:t>
      </w:r>
    </w:p>
    <w:p w14:paraId="5DACAB2B"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Spinoza Filosofia-Practica </w:t>
      </w:r>
    </w:p>
    <w:p w14:paraId="442F6990"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Gilles Deleuze</w:t>
      </w:r>
    </w:p>
    <w:p w14:paraId="69F18417"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La concepción de la Filosofía Jurídica en la obra de Giorgio Del Vecchio</w:t>
      </w:r>
    </w:p>
    <w:p w14:paraId="71654AD5"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María José Moreno Cuñat</w:t>
      </w:r>
    </w:p>
    <w:p w14:paraId="55F4BD78"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Tomás Jofré, Introductor de Giuseppe Chiovenda en el Derecho Argentino</w:t>
      </w:r>
    </w:p>
    <w:p w14:paraId="29159A9C"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Por Abelardo Levaggi</w:t>
      </w:r>
    </w:p>
    <w:p w14:paraId="3CD9095F"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Diccionario de Falacias</w:t>
      </w:r>
    </w:p>
    <w:p w14:paraId="6D494BEA"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Ricardo García Damborenea</w:t>
      </w:r>
    </w:p>
    <w:p w14:paraId="2FF23802"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 xml:space="preserve">Diccionario Filosófico </w:t>
      </w:r>
    </w:p>
    <w:p w14:paraId="7A5B830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Voltaire</w:t>
      </w:r>
    </w:p>
    <w:p w14:paraId="23BFCA97"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Vidas de los Filósofos más Ilustres</w:t>
      </w:r>
    </w:p>
    <w:p w14:paraId="0FCBCB50"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Diogenes  Laercio</w:t>
      </w:r>
    </w:p>
    <w:p w14:paraId="18438858"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Los Límites de la Interpretación</w:t>
      </w:r>
    </w:p>
    <w:p w14:paraId="71D247F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Umberto Eco</w:t>
      </w:r>
    </w:p>
    <w:p w14:paraId="2B20EC09"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 xml:space="preserve">El Libro Negro </w:t>
      </w:r>
    </w:p>
    <w:p w14:paraId="290BEC6A"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Giovanni Papini</w:t>
      </w:r>
    </w:p>
    <w:p w14:paraId="49795B80"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El Fin y los Medios</w:t>
      </w:r>
    </w:p>
    <w:p w14:paraId="4FB811CB"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Aldous Huxley</w:t>
      </w:r>
    </w:p>
    <w:p w14:paraId="638F7FD8"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Respuestas de Chomsky a ocho preguntas sobre El Anarquismo</w:t>
      </w:r>
    </w:p>
    <w:p w14:paraId="13287F47"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i/>
          <w:iCs/>
          <w:sz w:val="24"/>
          <w:szCs w:val="24"/>
          <w:lang w:eastAsia="es-PE"/>
        </w:rPr>
      </w:pPr>
      <w:r w:rsidRPr="000D3432">
        <w:rPr>
          <w:rFonts w:cs="Calibri"/>
          <w:bCs/>
          <w:i/>
          <w:iCs/>
          <w:sz w:val="24"/>
          <w:szCs w:val="24"/>
          <w:lang w:eastAsia="es-PE"/>
        </w:rPr>
        <w:t>Comentario General Sobre todas las Preguntas:</w:t>
      </w:r>
    </w:p>
    <w:p w14:paraId="13A7794C"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Curso de Lingüística General</w:t>
      </w:r>
    </w:p>
    <w:p w14:paraId="1AE51C6C"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Ferdinand De Saussure</w:t>
      </w:r>
    </w:p>
    <w:p w14:paraId="62801D78"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Así Habló Zaratustra</w:t>
      </w:r>
    </w:p>
    <w:p w14:paraId="67F7744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lastRenderedPageBreak/>
        <w:t>Friedrich Nietzsche</w:t>
      </w:r>
    </w:p>
    <w:p w14:paraId="1B35F43C"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i/>
          <w:iCs/>
          <w:sz w:val="24"/>
          <w:szCs w:val="24"/>
          <w:lang w:eastAsia="es-PE"/>
        </w:rPr>
      </w:pPr>
      <w:r w:rsidRPr="000D3432">
        <w:rPr>
          <w:rFonts w:cs="Calibri"/>
          <w:bCs/>
          <w:sz w:val="24"/>
          <w:szCs w:val="24"/>
          <w:lang w:eastAsia="es-PE"/>
        </w:rPr>
        <w:t xml:space="preserve">Teoría de la Acción Comunicativa, Ii </w:t>
      </w:r>
      <w:r w:rsidRPr="000D3432">
        <w:rPr>
          <w:rFonts w:cs="Calibri"/>
          <w:i/>
          <w:iCs/>
          <w:sz w:val="24"/>
          <w:szCs w:val="24"/>
          <w:lang w:eastAsia="es-PE"/>
        </w:rPr>
        <w:t xml:space="preserve">Crítica De La Razón Funcionalista </w:t>
      </w:r>
    </w:p>
    <w:p w14:paraId="7FE76D19"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i/>
          <w:iCs/>
          <w:sz w:val="24"/>
          <w:szCs w:val="24"/>
          <w:lang w:eastAsia="es-PE"/>
        </w:rPr>
      </w:pPr>
      <w:r w:rsidRPr="000D3432">
        <w:rPr>
          <w:rFonts w:cs="Calibri"/>
          <w:i/>
          <w:iCs/>
          <w:sz w:val="24"/>
          <w:szCs w:val="24"/>
          <w:lang w:eastAsia="es-PE"/>
        </w:rPr>
        <w:t xml:space="preserve">Jürgen Habermas </w:t>
      </w:r>
    </w:p>
    <w:p w14:paraId="6C5146F9"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Los Nueve Libros de la Historia</w:t>
      </w:r>
    </w:p>
    <w:p w14:paraId="051CB812"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Herodoto De Halicarnaso</w:t>
      </w:r>
    </w:p>
    <w:p w14:paraId="39CE3686"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Tratado De La Naturaleza Humana</w:t>
      </w:r>
    </w:p>
    <w:p w14:paraId="370E7E0F"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David Hume</w:t>
      </w:r>
    </w:p>
    <w:p w14:paraId="4206D4F3"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En Defensa De La Usura</w:t>
      </w:r>
    </w:p>
    <w:p w14:paraId="1B243D67"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Jeremy Bentham</w:t>
      </w:r>
    </w:p>
    <w:p w14:paraId="58546B10" w14:textId="77777777" w:rsidR="008A3333" w:rsidRPr="000D3432" w:rsidRDefault="008A3333" w:rsidP="009E6E2E">
      <w:pPr>
        <w:pStyle w:val="Prrafodelista"/>
        <w:numPr>
          <w:ilvl w:val="0"/>
          <w:numId w:val="48"/>
        </w:numPr>
        <w:spacing w:after="0" w:line="240" w:lineRule="auto"/>
        <w:ind w:left="567"/>
        <w:contextualSpacing w:val="0"/>
        <w:jc w:val="both"/>
        <w:rPr>
          <w:rFonts w:cs="Calibri"/>
          <w:caps/>
          <w:sz w:val="24"/>
          <w:szCs w:val="24"/>
        </w:rPr>
      </w:pPr>
      <w:r w:rsidRPr="000D3432">
        <w:rPr>
          <w:rFonts w:cs="Calibri"/>
          <w:sz w:val="24"/>
          <w:szCs w:val="24"/>
        </w:rPr>
        <w:t>Los Mitos Griegos</w:t>
      </w:r>
    </w:p>
    <w:p w14:paraId="399C2C10" w14:textId="77777777" w:rsidR="008A3333" w:rsidRPr="000D3432" w:rsidRDefault="008A3333" w:rsidP="008A3333">
      <w:pPr>
        <w:pStyle w:val="Prrafodelista"/>
        <w:spacing w:after="0" w:line="240" w:lineRule="auto"/>
        <w:ind w:left="567"/>
        <w:contextualSpacing w:val="0"/>
        <w:jc w:val="both"/>
        <w:rPr>
          <w:rFonts w:cs="Calibri"/>
          <w:sz w:val="24"/>
          <w:szCs w:val="24"/>
        </w:rPr>
      </w:pPr>
      <w:r w:rsidRPr="000D3432">
        <w:rPr>
          <w:rFonts w:cs="Calibri"/>
          <w:sz w:val="24"/>
          <w:szCs w:val="24"/>
        </w:rPr>
        <w:t>Friedrich Georg Jünger</w:t>
      </w:r>
    </w:p>
    <w:p w14:paraId="37534731"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jc w:val="both"/>
        <w:rPr>
          <w:rFonts w:cs="Calibri"/>
          <w:sz w:val="24"/>
          <w:szCs w:val="24"/>
          <w:lang w:eastAsia="es-PE"/>
        </w:rPr>
      </w:pPr>
      <w:r w:rsidRPr="000D3432">
        <w:rPr>
          <w:rFonts w:cs="Calibri"/>
          <w:sz w:val="24"/>
          <w:szCs w:val="24"/>
          <w:lang w:eastAsia="es-PE"/>
        </w:rPr>
        <w:t>Ante la Ley</w:t>
      </w:r>
    </w:p>
    <w:p w14:paraId="10DEF36D" w14:textId="77777777" w:rsidR="008A3333" w:rsidRPr="000D3432" w:rsidRDefault="008A3333" w:rsidP="008A3333">
      <w:pPr>
        <w:pStyle w:val="Prrafodelista"/>
        <w:autoSpaceDE w:val="0"/>
        <w:autoSpaceDN w:val="0"/>
        <w:adjustRightInd w:val="0"/>
        <w:spacing w:after="0" w:line="240" w:lineRule="auto"/>
        <w:ind w:left="567"/>
        <w:contextualSpacing w:val="0"/>
        <w:jc w:val="both"/>
        <w:rPr>
          <w:rFonts w:cs="Calibri"/>
          <w:sz w:val="24"/>
          <w:szCs w:val="24"/>
          <w:lang w:eastAsia="es-PE"/>
        </w:rPr>
      </w:pPr>
      <w:r w:rsidRPr="000D3432">
        <w:rPr>
          <w:rFonts w:cs="Calibri"/>
          <w:sz w:val="24"/>
          <w:szCs w:val="24"/>
          <w:lang w:eastAsia="es-PE"/>
        </w:rPr>
        <w:t>Franz Kafka</w:t>
      </w:r>
    </w:p>
    <w:p w14:paraId="542D6128"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Critica del Juicio</w:t>
      </w:r>
    </w:p>
    <w:p w14:paraId="6BF51D16" w14:textId="77777777" w:rsidR="008A3333" w:rsidRPr="000D3432" w:rsidRDefault="008A3333" w:rsidP="008A3333">
      <w:pPr>
        <w:pStyle w:val="Prrafodelista"/>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Kant</w:t>
      </w:r>
    </w:p>
    <w:p w14:paraId="3569C1DD"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Carta sobre la Tolerancia</w:t>
      </w:r>
    </w:p>
    <w:p w14:paraId="353F1247" w14:textId="77777777" w:rsidR="008A3333" w:rsidRPr="000D3432" w:rsidRDefault="008A3333" w:rsidP="008A3333">
      <w:pPr>
        <w:pStyle w:val="Prrafodelista"/>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John Locke</w:t>
      </w:r>
    </w:p>
    <w:p w14:paraId="4FAD0336"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Ensayo sobre el Gobierno Civil</w:t>
      </w:r>
    </w:p>
    <w:p w14:paraId="3B610B27" w14:textId="77777777" w:rsidR="008A3333" w:rsidRPr="000D3432" w:rsidRDefault="008A3333" w:rsidP="008A3333">
      <w:pPr>
        <w:pStyle w:val="Prrafodelista"/>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Locke, John</w:t>
      </w:r>
    </w:p>
    <w:p w14:paraId="14F5BD86" w14:textId="77777777" w:rsidR="008A3333" w:rsidRPr="000D3432" w:rsidRDefault="008A3333" w:rsidP="009E6E2E">
      <w:pPr>
        <w:pStyle w:val="Prrafodelista"/>
        <w:numPr>
          <w:ilvl w:val="0"/>
          <w:numId w:val="48"/>
        </w:numPr>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 xml:space="preserve">Lógica del Sentido </w:t>
      </w:r>
    </w:p>
    <w:p w14:paraId="327475CD" w14:textId="77777777" w:rsidR="008A3333" w:rsidRPr="000D3432" w:rsidRDefault="008A3333" w:rsidP="008A3333">
      <w:pPr>
        <w:pStyle w:val="Prrafodelista"/>
        <w:autoSpaceDE w:val="0"/>
        <w:autoSpaceDN w:val="0"/>
        <w:adjustRightInd w:val="0"/>
        <w:spacing w:after="0" w:line="240" w:lineRule="auto"/>
        <w:ind w:left="567"/>
        <w:contextualSpacing w:val="0"/>
        <w:jc w:val="both"/>
        <w:rPr>
          <w:rFonts w:cs="Calibri"/>
          <w:bCs/>
          <w:sz w:val="24"/>
          <w:szCs w:val="24"/>
          <w:lang w:eastAsia="es-PE"/>
        </w:rPr>
      </w:pPr>
      <w:r w:rsidRPr="000D3432">
        <w:rPr>
          <w:rFonts w:cs="Calibri"/>
          <w:bCs/>
          <w:sz w:val="24"/>
          <w:szCs w:val="24"/>
          <w:lang w:eastAsia="es-PE"/>
        </w:rPr>
        <w:t>Guilles Deleuze</w:t>
      </w:r>
    </w:p>
    <w:p w14:paraId="38D81530"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Los beneficios de privatizar el control del delito</w:t>
      </w:r>
      <w:r w:rsidRPr="000D3432">
        <w:rPr>
          <w:rFonts w:eastAsia="Times New Roman" w:cs="Calibri"/>
          <w:sz w:val="24"/>
          <w:szCs w:val="24"/>
          <w:lang w:eastAsia="es-PE"/>
        </w:rPr>
        <w:t> </w:t>
      </w:r>
      <w:r w:rsidRPr="000D3432">
        <w:rPr>
          <w:rFonts w:eastAsia="Times New Roman" w:cs="Calibri"/>
          <w:sz w:val="24"/>
          <w:szCs w:val="24"/>
          <w:lang w:eastAsia="es-PE"/>
        </w:rPr>
        <w:br/>
      </w:r>
      <w:r w:rsidRPr="000D3432">
        <w:rPr>
          <w:rFonts w:eastAsia="Times New Roman" w:cs="Calibri"/>
          <w:bCs/>
          <w:sz w:val="24"/>
          <w:szCs w:val="24"/>
          <w:lang w:eastAsia="es-PE"/>
        </w:rPr>
        <w:t>Bruce L. Benson</w:t>
      </w:r>
    </w:p>
    <w:p w14:paraId="54B19280"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Una temporada en el Infierno</w:t>
      </w:r>
    </w:p>
    <w:p w14:paraId="3B4E1DF4"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Rimbaud</w:t>
      </w:r>
    </w:p>
    <w:p w14:paraId="3EDFF13B"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Ensayos-TomoII-v1</w:t>
      </w:r>
    </w:p>
    <w:p w14:paraId="30364B3D"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Montaigne</w:t>
      </w:r>
    </w:p>
    <w:p w14:paraId="2DF11EBB"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Mil mesetas capitalismo y esquizofrenia</w:t>
      </w:r>
    </w:p>
    <w:p w14:paraId="1634AEEC"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Deleuze y Guattari</w:t>
      </w:r>
    </w:p>
    <w:p w14:paraId="7E27560B"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Monadologia – </w:t>
      </w:r>
    </w:p>
    <w:p w14:paraId="461CDAAF"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Leibniz</w:t>
      </w:r>
    </w:p>
    <w:p w14:paraId="5BFE3A9F"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Diccionario de Política</w:t>
      </w:r>
    </w:p>
    <w:p w14:paraId="431BD7CD"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Norberto Bobbio</w:t>
      </w:r>
    </w:p>
    <w:p w14:paraId="1E32BED9"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Artículos</w:t>
      </w:r>
    </w:p>
    <w:p w14:paraId="1BD0497A"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Olivier Beaud</w:t>
      </w:r>
    </w:p>
    <w:p w14:paraId="209F7B1B"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Tolerancia y Responsabilidad Intelectual </w:t>
      </w:r>
    </w:p>
    <w:p w14:paraId="21426D9D"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Karl Popper</w:t>
      </w:r>
    </w:p>
    <w:p w14:paraId="0C73D95C"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Qué es Filosofía </w:t>
      </w:r>
    </w:p>
    <w:p w14:paraId="5366502C"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Ortega Y Gasset</w:t>
      </w:r>
    </w:p>
    <w:p w14:paraId="171E9934"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Filosofia en el Tocador</w:t>
      </w:r>
    </w:p>
    <w:p w14:paraId="0BE824FA"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Sade</w:t>
      </w:r>
    </w:p>
    <w:p w14:paraId="63DF506D"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Tratados Morales</w:t>
      </w:r>
    </w:p>
    <w:p w14:paraId="091D5BFD"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Seneca</w:t>
      </w:r>
    </w:p>
    <w:p w14:paraId="465EAC16"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Sobre la brevedad de la vida</w:t>
      </w:r>
    </w:p>
    <w:p w14:paraId="38FCA428"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Seneca</w:t>
      </w:r>
    </w:p>
    <w:p w14:paraId="4F32560B"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La Decadencia de Occidente</w:t>
      </w:r>
    </w:p>
    <w:p w14:paraId="591BB0B9"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Spengler Oswald</w:t>
      </w:r>
    </w:p>
    <w:p w14:paraId="1657830D"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Sobre la libertad</w:t>
      </w:r>
    </w:p>
    <w:p w14:paraId="364B3508"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lastRenderedPageBreak/>
        <w:t>Stuart Mill John</w:t>
      </w:r>
    </w:p>
    <w:p w14:paraId="7E3E4D4B"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Historia del Imperio Ruso bajo Pedro El Grande</w:t>
      </w:r>
    </w:p>
    <w:p w14:paraId="37282AD6"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Voltaire</w:t>
      </w:r>
    </w:p>
    <w:p w14:paraId="1B001F7F" w14:textId="77777777" w:rsidR="008A3333" w:rsidRPr="000D3432" w:rsidRDefault="008A3333" w:rsidP="009E6E2E">
      <w:pPr>
        <w:pStyle w:val="Prrafodelista"/>
        <w:numPr>
          <w:ilvl w:val="0"/>
          <w:numId w:val="48"/>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Cartas Filosóficas</w:t>
      </w:r>
    </w:p>
    <w:p w14:paraId="6EC5171D"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Voltaire</w:t>
      </w:r>
    </w:p>
    <w:p w14:paraId="1A14946C" w14:textId="77777777" w:rsidR="008A3333" w:rsidRPr="000D3432" w:rsidRDefault="008A3333" w:rsidP="008A3333">
      <w:pPr>
        <w:shd w:val="clear" w:color="auto" w:fill="FFFFFF"/>
        <w:rPr>
          <w:rFonts w:asciiTheme="minorHAnsi" w:hAnsiTheme="minorHAnsi" w:cs="Calibri"/>
          <w:bCs/>
          <w:szCs w:val="24"/>
          <w:lang w:eastAsia="es-PE"/>
        </w:rPr>
      </w:pPr>
    </w:p>
    <w:p w14:paraId="228EA178" w14:textId="77777777" w:rsidR="008A3333" w:rsidRPr="000D3432" w:rsidRDefault="008A3333" w:rsidP="008A3333">
      <w:pPr>
        <w:rPr>
          <w:rFonts w:asciiTheme="minorHAnsi" w:hAnsiTheme="minorHAnsi"/>
          <w:b/>
          <w:szCs w:val="24"/>
        </w:rPr>
      </w:pPr>
      <w:bookmarkStart w:id="15" w:name="_Toc293174090"/>
      <w:bookmarkStart w:id="16" w:name="_Toc300945480"/>
      <w:bookmarkStart w:id="17" w:name="_Toc312148861"/>
      <w:bookmarkStart w:id="18" w:name="_Toc312149190"/>
      <w:bookmarkStart w:id="19" w:name="_Toc312149519"/>
      <w:r w:rsidRPr="000D3432">
        <w:rPr>
          <w:rFonts w:asciiTheme="minorHAnsi" w:hAnsiTheme="minorHAnsi"/>
          <w:b/>
          <w:szCs w:val="24"/>
        </w:rPr>
        <w:t>f) Literatura:</w:t>
      </w:r>
      <w:bookmarkEnd w:id="15"/>
      <w:bookmarkEnd w:id="16"/>
      <w:bookmarkEnd w:id="17"/>
      <w:bookmarkEnd w:id="18"/>
      <w:bookmarkEnd w:id="19"/>
    </w:p>
    <w:p w14:paraId="54D52ED7"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La literatura y el mal</w:t>
      </w:r>
    </w:p>
    <w:p w14:paraId="1172DB6E"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Georges Bataille</w:t>
      </w:r>
    </w:p>
    <w:p w14:paraId="7E58BEF5"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Van Gogh el suicidado por la sociedad</w:t>
      </w:r>
    </w:p>
    <w:p w14:paraId="2DA2BF75"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Artaud_Antonin</w:t>
      </w:r>
    </w:p>
    <w:p w14:paraId="5797A81F"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Factotum</w:t>
      </w:r>
    </w:p>
    <w:p w14:paraId="70198513"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Bukowski Charles</w:t>
      </w:r>
    </w:p>
    <w:p w14:paraId="1E13259D"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El Funcionario </w:t>
      </w:r>
    </w:p>
    <w:p w14:paraId="5F96A750"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Vicente Blasco Ibáñez</w:t>
      </w:r>
    </w:p>
    <w:p w14:paraId="319D9981"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El Libro Negro </w:t>
      </w:r>
    </w:p>
    <w:p w14:paraId="0616C3DB"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Giovanni Papini</w:t>
      </w:r>
    </w:p>
    <w:p w14:paraId="326461CE"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El segundo sexo </w:t>
      </w:r>
    </w:p>
    <w:p w14:paraId="5008ECFC"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Simone De Beauvoir</w:t>
      </w:r>
    </w:p>
    <w:p w14:paraId="01784E87"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Escritos de un viejo indecente </w:t>
      </w:r>
    </w:p>
    <w:p w14:paraId="7F692F63"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Bukowski</w:t>
      </w:r>
    </w:p>
    <w:p w14:paraId="014BD877" w14:textId="77777777" w:rsidR="008A3333" w:rsidRPr="000D3432" w:rsidRDefault="008A3333" w:rsidP="009E6E2E">
      <w:pPr>
        <w:pStyle w:val="Prrafodelista"/>
        <w:numPr>
          <w:ilvl w:val="0"/>
          <w:numId w:val="49"/>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Así Habló Zaratustra</w:t>
      </w:r>
    </w:p>
    <w:p w14:paraId="55BBF0AC"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Friedrich Wilhelm Nietzsche</w:t>
      </w:r>
    </w:p>
    <w:p w14:paraId="260CCD1B" w14:textId="77777777" w:rsidR="008A3333" w:rsidRPr="000D3432" w:rsidRDefault="008A3333" w:rsidP="008A3333">
      <w:pPr>
        <w:shd w:val="clear" w:color="auto" w:fill="FFFFFF"/>
        <w:rPr>
          <w:rFonts w:asciiTheme="minorHAnsi" w:hAnsiTheme="minorHAnsi" w:cs="Calibri"/>
          <w:bCs/>
          <w:szCs w:val="24"/>
          <w:lang w:eastAsia="es-PE"/>
        </w:rPr>
      </w:pPr>
    </w:p>
    <w:p w14:paraId="542542D9" w14:textId="77777777" w:rsidR="008A3333" w:rsidRPr="000D3432" w:rsidRDefault="008A3333" w:rsidP="008A3333">
      <w:pPr>
        <w:rPr>
          <w:rFonts w:asciiTheme="minorHAnsi" w:hAnsiTheme="minorHAnsi"/>
          <w:b/>
          <w:szCs w:val="24"/>
        </w:rPr>
      </w:pPr>
      <w:bookmarkStart w:id="20" w:name="_Toc293174091"/>
      <w:bookmarkStart w:id="21" w:name="_Toc300945481"/>
      <w:bookmarkStart w:id="22" w:name="_Toc312148862"/>
      <w:bookmarkStart w:id="23" w:name="_Toc312149191"/>
      <w:bookmarkStart w:id="24" w:name="_Toc312149520"/>
      <w:r w:rsidRPr="000D3432">
        <w:rPr>
          <w:rFonts w:asciiTheme="minorHAnsi" w:hAnsiTheme="minorHAnsi"/>
          <w:b/>
          <w:szCs w:val="24"/>
        </w:rPr>
        <w:t>g) Michel Foucault:</w:t>
      </w:r>
      <w:bookmarkEnd w:id="20"/>
      <w:bookmarkEnd w:id="21"/>
      <w:bookmarkEnd w:id="22"/>
      <w:bookmarkEnd w:id="23"/>
      <w:bookmarkEnd w:id="24"/>
      <w:r w:rsidRPr="000D3432">
        <w:rPr>
          <w:rFonts w:asciiTheme="minorHAnsi" w:hAnsiTheme="minorHAnsi"/>
          <w:b/>
          <w:szCs w:val="24"/>
        </w:rPr>
        <w:t xml:space="preserve"> </w:t>
      </w:r>
    </w:p>
    <w:p w14:paraId="348267F5"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Historia de la locura en la época clásica</w:t>
      </w:r>
    </w:p>
    <w:p w14:paraId="09DAF5C7"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3013899E"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7 Sentencias Sobre el Septimo Angel </w:t>
      </w:r>
    </w:p>
    <w:p w14:paraId="78934052"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44178665"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Discurso  y verdad en la Antigua Grecia </w:t>
      </w:r>
    </w:p>
    <w:p w14:paraId="558BAD3A"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6A81706C"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El Coraje de la Verdad </w:t>
      </w:r>
    </w:p>
    <w:p w14:paraId="02C2BDB9"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03F5178F"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El Yo Minimalista y otras conversaciones </w:t>
      </w:r>
    </w:p>
    <w:p w14:paraId="6C958903"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3FB63489"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Entre Filosofia y Literatura </w:t>
      </w:r>
    </w:p>
    <w:p w14:paraId="4C0A5172"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42E36EE9"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La arqueología del saber </w:t>
      </w:r>
    </w:p>
    <w:p w14:paraId="2A22BB16"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116FF7B0"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Seguridad, Territorio y Poblacion </w:t>
      </w:r>
    </w:p>
    <w:p w14:paraId="0F7DD35D"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692241A4" w14:textId="77777777" w:rsidR="008A3333" w:rsidRPr="000D3432" w:rsidRDefault="008A3333" w:rsidP="009E6E2E">
      <w:pPr>
        <w:pStyle w:val="Prrafodelista"/>
        <w:numPr>
          <w:ilvl w:val="0"/>
          <w:numId w:val="50"/>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Vigilar y Castigar </w:t>
      </w:r>
    </w:p>
    <w:p w14:paraId="623D2CE2"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Michel Foucault</w:t>
      </w:r>
    </w:p>
    <w:p w14:paraId="5FEFC10D" w14:textId="77777777" w:rsidR="008A3333" w:rsidRPr="000D3432" w:rsidRDefault="008A3333" w:rsidP="008A3333">
      <w:pPr>
        <w:shd w:val="clear" w:color="auto" w:fill="FFFFFF"/>
        <w:rPr>
          <w:rFonts w:asciiTheme="minorHAnsi" w:hAnsiTheme="minorHAnsi" w:cs="Calibri"/>
          <w:bCs/>
          <w:szCs w:val="24"/>
          <w:lang w:eastAsia="es-PE"/>
        </w:rPr>
      </w:pPr>
    </w:p>
    <w:p w14:paraId="0BCDFF98" w14:textId="77777777" w:rsidR="008A3333" w:rsidRPr="000D3432" w:rsidRDefault="008A3333" w:rsidP="008A3333">
      <w:pPr>
        <w:rPr>
          <w:rFonts w:asciiTheme="minorHAnsi" w:hAnsiTheme="minorHAnsi"/>
          <w:b/>
          <w:szCs w:val="24"/>
        </w:rPr>
      </w:pPr>
      <w:bookmarkStart w:id="25" w:name="_Toc293174092"/>
      <w:bookmarkStart w:id="26" w:name="_Toc300945482"/>
      <w:bookmarkStart w:id="27" w:name="_Toc312148863"/>
      <w:bookmarkStart w:id="28" w:name="_Toc312149192"/>
      <w:bookmarkStart w:id="29" w:name="_Toc312149521"/>
      <w:r w:rsidRPr="000D3432">
        <w:rPr>
          <w:rFonts w:asciiTheme="minorHAnsi" w:hAnsiTheme="minorHAnsi"/>
          <w:b/>
          <w:szCs w:val="24"/>
        </w:rPr>
        <w:t>h) Anarquismo y Derecho</w:t>
      </w:r>
      <w:bookmarkEnd w:id="25"/>
      <w:bookmarkEnd w:id="26"/>
      <w:bookmarkEnd w:id="27"/>
      <w:bookmarkEnd w:id="28"/>
      <w:bookmarkEnd w:id="29"/>
      <w:r w:rsidRPr="000D3432">
        <w:rPr>
          <w:rFonts w:asciiTheme="minorHAnsi" w:hAnsiTheme="minorHAnsi"/>
          <w:b/>
          <w:szCs w:val="24"/>
        </w:rPr>
        <w:t xml:space="preserve"> </w:t>
      </w:r>
    </w:p>
    <w:p w14:paraId="78D324F6" w14:textId="77777777" w:rsidR="008A3333" w:rsidRPr="000D3432" w:rsidRDefault="008A3333" w:rsidP="009E6E2E">
      <w:pPr>
        <w:pStyle w:val="Prrafodelista"/>
        <w:numPr>
          <w:ilvl w:val="0"/>
          <w:numId w:val="45"/>
        </w:numPr>
        <w:spacing w:after="0" w:line="240" w:lineRule="auto"/>
        <w:ind w:left="567"/>
        <w:contextualSpacing w:val="0"/>
        <w:rPr>
          <w:rFonts w:cs="Calibri"/>
          <w:sz w:val="24"/>
          <w:szCs w:val="24"/>
        </w:rPr>
      </w:pPr>
      <w:r w:rsidRPr="000D3432">
        <w:rPr>
          <w:rFonts w:cs="Calibri"/>
          <w:sz w:val="24"/>
          <w:szCs w:val="24"/>
        </w:rPr>
        <w:t xml:space="preserve">Actualidad del anarquismo - </w:t>
      </w:r>
      <w:r w:rsidRPr="000D3432">
        <w:rPr>
          <w:rFonts w:cs="Calibri"/>
          <w:bCs/>
          <w:sz w:val="24"/>
          <w:szCs w:val="24"/>
          <w:lang w:eastAsia="es-PE"/>
        </w:rPr>
        <w:t>Tomás Ibánez</w:t>
      </w:r>
    </w:p>
    <w:p w14:paraId="573DDACA" w14:textId="77777777" w:rsidR="008A3333" w:rsidRPr="000D3432" w:rsidRDefault="008A3333" w:rsidP="009E6E2E">
      <w:pPr>
        <w:pStyle w:val="Prrafodelista"/>
        <w:numPr>
          <w:ilvl w:val="0"/>
          <w:numId w:val="45"/>
        </w:numPr>
        <w:spacing w:after="0" w:line="240" w:lineRule="auto"/>
        <w:ind w:left="567"/>
        <w:contextualSpacing w:val="0"/>
        <w:rPr>
          <w:rFonts w:cs="Calibri"/>
          <w:sz w:val="24"/>
          <w:szCs w:val="24"/>
        </w:rPr>
      </w:pPr>
      <w:r w:rsidRPr="000D3432">
        <w:rPr>
          <w:rFonts w:cs="Calibri"/>
          <w:sz w:val="24"/>
          <w:szCs w:val="24"/>
        </w:rPr>
        <w:t xml:space="preserve">Contra la democracia - </w:t>
      </w:r>
      <w:r w:rsidRPr="000D3432">
        <w:rPr>
          <w:rFonts w:cs="Calibri"/>
          <w:sz w:val="24"/>
          <w:szCs w:val="24"/>
          <w:lang w:eastAsia="es-PE"/>
        </w:rPr>
        <w:t>H. Karmate</w:t>
      </w:r>
    </w:p>
    <w:p w14:paraId="7AFF6719" w14:textId="77777777" w:rsidR="008A3333" w:rsidRPr="000D3432" w:rsidRDefault="008A3333" w:rsidP="009E6E2E">
      <w:pPr>
        <w:pStyle w:val="Prrafodelista"/>
        <w:numPr>
          <w:ilvl w:val="0"/>
          <w:numId w:val="45"/>
        </w:numPr>
        <w:spacing w:after="0" w:line="240" w:lineRule="auto"/>
        <w:ind w:left="567"/>
        <w:contextualSpacing w:val="0"/>
        <w:rPr>
          <w:rFonts w:cs="Calibri"/>
          <w:bCs/>
          <w:sz w:val="24"/>
          <w:szCs w:val="24"/>
          <w:lang w:eastAsia="es-PE"/>
        </w:rPr>
      </w:pPr>
      <w:r w:rsidRPr="000D3432">
        <w:rPr>
          <w:rFonts w:cs="Calibri"/>
          <w:sz w:val="24"/>
          <w:szCs w:val="24"/>
        </w:rPr>
        <w:lastRenderedPageBreak/>
        <w:t xml:space="preserve">Contra los Jueces </w:t>
      </w:r>
      <w:r w:rsidRPr="000D3432">
        <w:rPr>
          <w:rFonts w:cs="Calibri"/>
          <w:bCs/>
          <w:sz w:val="24"/>
          <w:szCs w:val="24"/>
          <w:lang w:eastAsia="es-PE"/>
        </w:rPr>
        <w:t>(El discurso anarquista en sede judicial)</w:t>
      </w:r>
      <w:r w:rsidRPr="000D3432">
        <w:rPr>
          <w:rFonts w:cs="Calibri"/>
          <w:sz w:val="24"/>
          <w:szCs w:val="24"/>
        </w:rPr>
        <w:t xml:space="preserve"> -</w:t>
      </w:r>
      <w:r w:rsidRPr="000D3432">
        <w:rPr>
          <w:rFonts w:cs="Calibri"/>
          <w:sz w:val="24"/>
          <w:szCs w:val="24"/>
          <w:lang w:eastAsia="es-PE"/>
        </w:rPr>
        <w:t xml:space="preserve"> Aníbal A. D’Auria</w:t>
      </w:r>
    </w:p>
    <w:p w14:paraId="3323239E" w14:textId="77777777" w:rsidR="008A3333" w:rsidRPr="000D3432" w:rsidRDefault="008A3333" w:rsidP="009E6E2E">
      <w:pPr>
        <w:pStyle w:val="Prrafodelista"/>
        <w:numPr>
          <w:ilvl w:val="0"/>
          <w:numId w:val="45"/>
        </w:numPr>
        <w:spacing w:after="0" w:line="240" w:lineRule="auto"/>
        <w:ind w:left="567"/>
        <w:contextualSpacing w:val="0"/>
        <w:rPr>
          <w:rFonts w:cs="Calibri"/>
          <w:sz w:val="24"/>
          <w:szCs w:val="24"/>
          <w:lang w:eastAsia="es-PE"/>
        </w:rPr>
      </w:pPr>
      <w:r w:rsidRPr="000D3432">
        <w:rPr>
          <w:rFonts w:cs="Calibri"/>
          <w:sz w:val="24"/>
          <w:szCs w:val="24"/>
          <w:lang w:eastAsia="es-PE"/>
        </w:rPr>
        <w:t>El anarquismo frente al derecho. Lecturas sobre Propiedad, Familia, Estado y Justicia</w:t>
      </w:r>
    </w:p>
    <w:p w14:paraId="661A2FD9" w14:textId="77777777" w:rsidR="008A3333" w:rsidRPr="000D3432" w:rsidRDefault="008A3333" w:rsidP="009E6E2E">
      <w:pPr>
        <w:pStyle w:val="Prrafodelista"/>
        <w:numPr>
          <w:ilvl w:val="0"/>
          <w:numId w:val="45"/>
        </w:numPr>
        <w:spacing w:after="0" w:line="240" w:lineRule="auto"/>
        <w:ind w:left="567"/>
        <w:contextualSpacing w:val="0"/>
        <w:rPr>
          <w:rFonts w:cs="Calibri"/>
          <w:sz w:val="24"/>
          <w:szCs w:val="24"/>
          <w:lang w:eastAsia="es-PE"/>
        </w:rPr>
      </w:pPr>
      <w:r w:rsidRPr="000D3432">
        <w:rPr>
          <w:rFonts w:cs="Calibri"/>
          <w:sz w:val="24"/>
          <w:szCs w:val="24"/>
          <w:lang w:eastAsia="es-PE"/>
        </w:rPr>
        <w:t>Grupo de Estudio sobre Anarquismo</w:t>
      </w:r>
    </w:p>
    <w:p w14:paraId="15AA94AA" w14:textId="77777777" w:rsidR="008A3333" w:rsidRPr="000D3432" w:rsidRDefault="008A3333" w:rsidP="009E6E2E">
      <w:pPr>
        <w:pStyle w:val="Prrafodelista"/>
        <w:numPr>
          <w:ilvl w:val="0"/>
          <w:numId w:val="45"/>
        </w:numPr>
        <w:spacing w:after="0" w:line="240" w:lineRule="auto"/>
        <w:ind w:left="567"/>
        <w:contextualSpacing w:val="0"/>
        <w:rPr>
          <w:rFonts w:cs="Calibri"/>
          <w:bCs/>
          <w:sz w:val="24"/>
          <w:szCs w:val="24"/>
          <w:lang w:eastAsia="es-PE"/>
        </w:rPr>
      </w:pPr>
      <w:r w:rsidRPr="000D3432">
        <w:rPr>
          <w:rFonts w:cs="Calibri"/>
          <w:bCs/>
          <w:sz w:val="24"/>
          <w:szCs w:val="24"/>
          <w:lang w:eastAsia="es-PE"/>
        </w:rPr>
        <w:t>Desobediencia Civil Y Otros Textos - Henry David Thoreau - Osvaldo Baigorria</w:t>
      </w:r>
    </w:p>
    <w:p w14:paraId="4C1608C3"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i/>
          <w:iCs/>
          <w:sz w:val="24"/>
          <w:szCs w:val="24"/>
          <w:lang w:eastAsia="es-PE"/>
        </w:rPr>
      </w:pPr>
      <w:r w:rsidRPr="000D3432">
        <w:rPr>
          <w:rFonts w:cs="Calibri"/>
          <w:bCs/>
          <w:i/>
          <w:iCs/>
          <w:sz w:val="24"/>
          <w:szCs w:val="24"/>
          <w:lang w:eastAsia="es-PE"/>
        </w:rPr>
        <w:t>Compilador</w:t>
      </w:r>
    </w:p>
    <w:p w14:paraId="045AF3DD"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El Amor Libre </w:t>
      </w:r>
      <w:r w:rsidRPr="000D3432">
        <w:rPr>
          <w:rFonts w:cs="Calibri"/>
          <w:bCs/>
          <w:i/>
          <w:iCs/>
          <w:sz w:val="24"/>
          <w:szCs w:val="24"/>
          <w:lang w:eastAsia="es-PE"/>
        </w:rPr>
        <w:t>Eros Y Anarquía</w:t>
      </w:r>
    </w:p>
    <w:p w14:paraId="304A22A7" w14:textId="77777777" w:rsidR="008A3333" w:rsidRPr="000D3432" w:rsidRDefault="008A3333" w:rsidP="009E6E2E">
      <w:pPr>
        <w:pStyle w:val="Prrafodelista"/>
        <w:numPr>
          <w:ilvl w:val="0"/>
          <w:numId w:val="45"/>
        </w:numPr>
        <w:spacing w:after="0" w:line="240" w:lineRule="auto"/>
        <w:ind w:left="567"/>
        <w:contextualSpacing w:val="0"/>
        <w:rPr>
          <w:rFonts w:cs="Calibri"/>
          <w:bCs/>
          <w:sz w:val="24"/>
          <w:szCs w:val="24"/>
          <w:lang w:eastAsia="es-PE"/>
        </w:rPr>
      </w:pPr>
      <w:r w:rsidRPr="000D3432">
        <w:rPr>
          <w:rFonts w:cs="Calibri"/>
          <w:bCs/>
          <w:sz w:val="24"/>
          <w:szCs w:val="24"/>
          <w:lang w:eastAsia="es-PE"/>
        </w:rPr>
        <w:t>El Anarquismo - Daniel Guérin</w:t>
      </w:r>
    </w:p>
    <w:p w14:paraId="27203171" w14:textId="77777777" w:rsidR="008A3333" w:rsidRPr="000D3432" w:rsidRDefault="008A3333" w:rsidP="009E6E2E">
      <w:pPr>
        <w:pStyle w:val="Prrafodelista"/>
        <w:numPr>
          <w:ilvl w:val="0"/>
          <w:numId w:val="45"/>
        </w:numPr>
        <w:spacing w:after="0" w:line="240" w:lineRule="auto"/>
        <w:ind w:left="567"/>
        <w:contextualSpacing w:val="0"/>
        <w:rPr>
          <w:rFonts w:cs="Calibri"/>
          <w:bCs/>
          <w:i/>
          <w:iCs/>
          <w:sz w:val="24"/>
          <w:szCs w:val="24"/>
          <w:lang w:eastAsia="es-PE"/>
        </w:rPr>
      </w:pPr>
      <w:r w:rsidRPr="000D3432">
        <w:rPr>
          <w:rFonts w:cs="Calibri"/>
          <w:bCs/>
          <w:sz w:val="24"/>
          <w:szCs w:val="24"/>
          <w:lang w:eastAsia="es-PE"/>
        </w:rPr>
        <w:t xml:space="preserve">El Lenguaje Libertario. </w:t>
      </w:r>
      <w:r w:rsidRPr="000D3432">
        <w:rPr>
          <w:rFonts w:cs="Calibri"/>
          <w:bCs/>
          <w:i/>
          <w:iCs/>
          <w:sz w:val="24"/>
          <w:szCs w:val="24"/>
          <w:lang w:eastAsia="es-PE"/>
        </w:rPr>
        <w:t>Antología Del Pensamiento Anarquista Contemporáneo</w:t>
      </w:r>
      <w:r w:rsidRPr="000D3432">
        <w:rPr>
          <w:rFonts w:cs="Calibri"/>
          <w:bCs/>
          <w:sz w:val="24"/>
          <w:szCs w:val="24"/>
          <w:lang w:eastAsia="es-PE"/>
        </w:rPr>
        <w:t xml:space="preserve"> - Christian Ferrer </w:t>
      </w:r>
      <w:r w:rsidRPr="000D3432">
        <w:rPr>
          <w:rFonts w:cs="Calibri"/>
          <w:bCs/>
          <w:i/>
          <w:iCs/>
          <w:sz w:val="24"/>
          <w:szCs w:val="24"/>
          <w:lang w:eastAsia="es-PE"/>
        </w:rPr>
        <w:t>(Compilador)</w:t>
      </w:r>
    </w:p>
    <w:p w14:paraId="19158E8D"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 xml:space="preserve">El Único y su Propiedad - </w:t>
      </w:r>
      <w:r w:rsidRPr="000D3432">
        <w:rPr>
          <w:rFonts w:cs="Calibri"/>
          <w:sz w:val="24"/>
          <w:szCs w:val="24"/>
          <w:lang w:eastAsia="es-PE"/>
        </w:rPr>
        <w:t>Max Stirner</w:t>
      </w:r>
    </w:p>
    <w:p w14:paraId="6B0A6A2C"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Estatismo Y Anarquía - Mijail Bakunin</w:t>
      </w:r>
    </w:p>
    <w:p w14:paraId="0998079C"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Estatismo y Anarquía</w:t>
      </w:r>
    </w:p>
    <w:p w14:paraId="28689542"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Mijail Bakunin</w:t>
      </w:r>
    </w:p>
    <w:p w14:paraId="4F32D78C"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La Abolición del Estado</w:t>
      </w:r>
    </w:p>
    <w:p w14:paraId="6C83F624"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Perspectivas Anarquistas y Marxistas</w:t>
      </w:r>
    </w:p>
    <w:p w14:paraId="1D86AC94"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Wayne Price</w:t>
      </w:r>
    </w:p>
    <w:p w14:paraId="52977A03"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La Moral Anarquista y otros Escritos</w:t>
      </w:r>
    </w:p>
    <w:p w14:paraId="1830B389"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Piotr Kropotkin</w:t>
      </w:r>
    </w:p>
    <w:p w14:paraId="1F645E92"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sz w:val="24"/>
          <w:szCs w:val="24"/>
          <w:lang w:eastAsia="es-PE"/>
        </w:rPr>
      </w:pPr>
      <w:r w:rsidRPr="000D3432">
        <w:rPr>
          <w:rFonts w:cs="Calibri"/>
          <w:bCs/>
          <w:sz w:val="24"/>
          <w:szCs w:val="24"/>
          <w:lang w:eastAsia="es-PE"/>
        </w:rPr>
        <w:t xml:space="preserve">Libertarias en América del Sur </w:t>
      </w:r>
      <w:r w:rsidRPr="000D3432">
        <w:rPr>
          <w:rFonts w:cs="Calibri"/>
          <w:sz w:val="24"/>
          <w:szCs w:val="24"/>
          <w:lang w:eastAsia="es-PE"/>
        </w:rPr>
        <w:t>De la A a la Z</w:t>
      </w:r>
    </w:p>
    <w:p w14:paraId="688CCBAC"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sz w:val="24"/>
          <w:szCs w:val="24"/>
          <w:lang w:eastAsia="es-PE"/>
        </w:rPr>
      </w:pPr>
      <w:r w:rsidRPr="000D3432">
        <w:rPr>
          <w:rFonts w:cs="Calibri"/>
          <w:sz w:val="24"/>
          <w:szCs w:val="24"/>
          <w:lang w:eastAsia="es-PE"/>
        </w:rPr>
        <w:t>Cristina Guzzo</w:t>
      </w:r>
    </w:p>
    <w:p w14:paraId="7C6E6E02" w14:textId="77777777" w:rsidR="008A3333" w:rsidRPr="000D3432" w:rsidRDefault="008A3333" w:rsidP="009E6E2E">
      <w:pPr>
        <w:pStyle w:val="Prrafodelista"/>
        <w:numPr>
          <w:ilvl w:val="0"/>
          <w:numId w:val="45"/>
        </w:numPr>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¿Qué Es la Propiedad?</w:t>
      </w:r>
    </w:p>
    <w:p w14:paraId="337F2B7A"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i/>
          <w:iCs/>
          <w:sz w:val="24"/>
          <w:szCs w:val="24"/>
          <w:lang w:eastAsia="es-PE"/>
        </w:rPr>
      </w:pPr>
      <w:r w:rsidRPr="000D3432">
        <w:rPr>
          <w:rFonts w:cs="Calibri"/>
          <w:bCs/>
          <w:i/>
          <w:iCs/>
          <w:sz w:val="24"/>
          <w:szCs w:val="24"/>
          <w:lang w:eastAsia="es-PE"/>
        </w:rPr>
        <w:t>Investigaciones Sobre El Principio del Derecho y del Gobierno</w:t>
      </w:r>
    </w:p>
    <w:p w14:paraId="30B3BEC3"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r w:rsidRPr="000D3432">
        <w:rPr>
          <w:rFonts w:cs="Calibri"/>
          <w:bCs/>
          <w:sz w:val="24"/>
          <w:szCs w:val="24"/>
          <w:lang w:eastAsia="es-PE"/>
        </w:rPr>
        <w:t>Pierre Joseph Proudhon</w:t>
      </w:r>
    </w:p>
    <w:p w14:paraId="7AAA17B4" w14:textId="77777777" w:rsidR="008A3333" w:rsidRPr="000D3432" w:rsidRDefault="008A3333" w:rsidP="008A3333">
      <w:pPr>
        <w:pStyle w:val="Prrafodelista"/>
        <w:autoSpaceDE w:val="0"/>
        <w:autoSpaceDN w:val="0"/>
        <w:adjustRightInd w:val="0"/>
        <w:spacing w:after="0" w:line="240" w:lineRule="auto"/>
        <w:ind w:left="567"/>
        <w:contextualSpacing w:val="0"/>
        <w:rPr>
          <w:rFonts w:cs="Calibri"/>
          <w:bCs/>
          <w:sz w:val="24"/>
          <w:szCs w:val="24"/>
          <w:lang w:eastAsia="es-PE"/>
        </w:rPr>
      </w:pPr>
    </w:p>
    <w:p w14:paraId="6A5C3E90" w14:textId="77777777" w:rsidR="008A3333" w:rsidRPr="000D3432" w:rsidRDefault="008A3333" w:rsidP="008A3333">
      <w:pPr>
        <w:rPr>
          <w:rFonts w:asciiTheme="minorHAnsi" w:hAnsiTheme="minorHAnsi"/>
          <w:b/>
          <w:szCs w:val="24"/>
        </w:rPr>
      </w:pPr>
      <w:bookmarkStart w:id="30" w:name="_Toc293174093"/>
      <w:bookmarkStart w:id="31" w:name="_Toc300945483"/>
      <w:bookmarkStart w:id="32" w:name="_Toc312148864"/>
      <w:bookmarkStart w:id="33" w:name="_Toc312149193"/>
      <w:bookmarkStart w:id="34" w:name="_Toc312149522"/>
      <w:r w:rsidRPr="000D3432">
        <w:rPr>
          <w:rFonts w:asciiTheme="minorHAnsi" w:hAnsiTheme="minorHAnsi"/>
          <w:b/>
          <w:szCs w:val="24"/>
        </w:rPr>
        <w:t>i) Poesía:</w:t>
      </w:r>
      <w:bookmarkEnd w:id="30"/>
      <w:bookmarkEnd w:id="31"/>
      <w:bookmarkEnd w:id="32"/>
      <w:bookmarkEnd w:id="33"/>
      <w:bookmarkEnd w:id="34"/>
    </w:p>
    <w:p w14:paraId="6FD902FC" w14:textId="77777777" w:rsidR="008A3333" w:rsidRPr="000D3432" w:rsidRDefault="008A3333" w:rsidP="009E6E2E">
      <w:pPr>
        <w:pStyle w:val="Prrafodelista"/>
        <w:numPr>
          <w:ilvl w:val="0"/>
          <w:numId w:val="51"/>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Arquitrave</w:t>
      </w:r>
    </w:p>
    <w:p w14:paraId="7354743B"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Charles Bukowski</w:t>
      </w:r>
    </w:p>
    <w:p w14:paraId="09FBF0DA" w14:textId="77777777" w:rsidR="008A3333" w:rsidRPr="000D3432" w:rsidRDefault="008A3333" w:rsidP="009E6E2E">
      <w:pPr>
        <w:pStyle w:val="Prrafodelista"/>
        <w:numPr>
          <w:ilvl w:val="0"/>
          <w:numId w:val="51"/>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Las Flores del Mal </w:t>
      </w:r>
    </w:p>
    <w:p w14:paraId="21538096"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Baudelaire </w:t>
      </w:r>
    </w:p>
    <w:p w14:paraId="1B78C679" w14:textId="77777777" w:rsidR="008A3333" w:rsidRPr="000D3432" w:rsidRDefault="008A3333" w:rsidP="009E6E2E">
      <w:pPr>
        <w:pStyle w:val="Prrafodelista"/>
        <w:numPr>
          <w:ilvl w:val="0"/>
          <w:numId w:val="51"/>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Rubaiyat</w:t>
      </w:r>
    </w:p>
    <w:p w14:paraId="0362CA7B"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Omar Khayyam</w:t>
      </w:r>
    </w:p>
    <w:p w14:paraId="7FFE7ED6" w14:textId="77777777" w:rsidR="008A3333" w:rsidRPr="000D3432" w:rsidRDefault="008A3333" w:rsidP="009E6E2E">
      <w:pPr>
        <w:pStyle w:val="Prrafodelista"/>
        <w:numPr>
          <w:ilvl w:val="0"/>
          <w:numId w:val="51"/>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 xml:space="preserve">Una Temporada en el Infierno </w:t>
      </w:r>
    </w:p>
    <w:p w14:paraId="6154D3BF"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Rimbaud</w:t>
      </w:r>
    </w:p>
    <w:p w14:paraId="0E4C37E8" w14:textId="77777777" w:rsidR="008A3333" w:rsidRPr="000D3432" w:rsidRDefault="008A3333" w:rsidP="009E6E2E">
      <w:pPr>
        <w:pStyle w:val="Prrafodelista"/>
        <w:numPr>
          <w:ilvl w:val="0"/>
          <w:numId w:val="51"/>
        </w:numPr>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Hojas de hierba</w:t>
      </w:r>
    </w:p>
    <w:p w14:paraId="1D0979E1" w14:textId="77777777" w:rsidR="008A3333" w:rsidRPr="000D3432" w:rsidRDefault="008A3333" w:rsidP="008A3333">
      <w:pPr>
        <w:pStyle w:val="Prrafodelista"/>
        <w:shd w:val="clear" w:color="auto" w:fill="FFFFFF"/>
        <w:spacing w:after="0" w:line="240" w:lineRule="auto"/>
        <w:ind w:left="567"/>
        <w:contextualSpacing w:val="0"/>
        <w:rPr>
          <w:rFonts w:eastAsia="Times New Roman" w:cs="Calibri"/>
          <w:bCs/>
          <w:sz w:val="24"/>
          <w:szCs w:val="24"/>
          <w:lang w:eastAsia="es-PE"/>
        </w:rPr>
      </w:pPr>
      <w:r w:rsidRPr="000D3432">
        <w:rPr>
          <w:rFonts w:eastAsia="Times New Roman" w:cs="Calibri"/>
          <w:bCs/>
          <w:sz w:val="24"/>
          <w:szCs w:val="24"/>
          <w:lang w:eastAsia="es-PE"/>
        </w:rPr>
        <w:t>Whitman</w:t>
      </w:r>
    </w:p>
    <w:p w14:paraId="0F9561DE" w14:textId="77777777" w:rsidR="008A3333" w:rsidRPr="000D3432" w:rsidRDefault="008A3333" w:rsidP="008A3333">
      <w:pPr>
        <w:pStyle w:val="Textonotaalfinal"/>
        <w:jc w:val="both"/>
        <w:rPr>
          <w:rFonts w:asciiTheme="minorHAnsi" w:hAnsiTheme="minorHAnsi"/>
          <w:lang w:val="es-ES_tradnl"/>
        </w:rPr>
      </w:pPr>
    </w:p>
    <w:p w14:paraId="70D82CCE" w14:textId="77777777" w:rsidR="008A3333" w:rsidRPr="000D3432" w:rsidRDefault="008A3333" w:rsidP="00A95498">
      <w:pPr>
        <w:jc w:val="both"/>
        <w:rPr>
          <w:rFonts w:asciiTheme="minorHAnsi" w:hAnsiTheme="minorHAnsi"/>
          <w:szCs w:val="24"/>
        </w:rPr>
      </w:pPr>
    </w:p>
    <w:p w14:paraId="303BCCA7" w14:textId="77777777" w:rsidR="008A3333" w:rsidRPr="000D3432" w:rsidRDefault="008A3333" w:rsidP="00A95498">
      <w:pPr>
        <w:jc w:val="both"/>
        <w:rPr>
          <w:rFonts w:asciiTheme="minorHAnsi" w:hAnsiTheme="minorHAnsi"/>
          <w:szCs w:val="24"/>
        </w:rPr>
      </w:pPr>
    </w:p>
    <w:p w14:paraId="0126F937" w14:textId="77777777" w:rsidR="00FD5063" w:rsidRPr="000D3432" w:rsidRDefault="00FD5063" w:rsidP="00A95498">
      <w:pPr>
        <w:jc w:val="both"/>
        <w:rPr>
          <w:rFonts w:asciiTheme="minorHAnsi" w:hAnsiTheme="minorHAnsi"/>
          <w:szCs w:val="24"/>
        </w:rPr>
      </w:pPr>
    </w:p>
    <w:p w14:paraId="4F335E9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fueron las primeras preguntas que consternaron mi angustiado, frágil y débil pensamiento. Por eso sería un acto astuto dejar los contextos filosóficos para aquellos que reúnen los requisitos para engendrarlos y sostenerlos. Sin embargo la Filosofía es un concepto, un texto, un idilio o un instrumento que puede ser utilizado sin que sea degenerado necesariamente su sentido. Bajo ese pretexto abordaremos el tema, como un intento de encontrar su incógnito </w:t>
      </w:r>
      <w:r w:rsidRPr="000D3432">
        <w:rPr>
          <w:rFonts w:asciiTheme="minorHAnsi" w:hAnsiTheme="minorHAnsi"/>
          <w:szCs w:val="24"/>
        </w:rPr>
        <w:lastRenderedPageBreak/>
        <w:t xml:space="preserve">sentido y lograr ver su afinidad con aquello que hace al derecho su propio justificante. </w:t>
      </w:r>
    </w:p>
    <w:p w14:paraId="00C095C3" w14:textId="77777777" w:rsidR="001925CE" w:rsidRPr="000D3432" w:rsidRDefault="001925CE" w:rsidP="00A95498">
      <w:pPr>
        <w:jc w:val="both"/>
        <w:rPr>
          <w:rFonts w:asciiTheme="minorHAnsi" w:hAnsiTheme="minorHAnsi"/>
          <w:szCs w:val="24"/>
        </w:rPr>
      </w:pPr>
    </w:p>
    <w:p w14:paraId="773DFCA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Bertrand Russell, por ejemplo, nos da una clara noción del sentido de la Filosofía, enfundándola en palabras como “autoafirmación”, uso de la “razón deliberada”, para tratar de lograr el mejor modo de vida; y es en este contexto que escribiría: “La filosofía, contrariamente a la ciencia, nace de una especie de </w:t>
      </w:r>
      <w:r w:rsidRPr="000D3432">
        <w:rPr>
          <w:rFonts w:asciiTheme="minorHAnsi" w:hAnsiTheme="minorHAnsi"/>
          <w:color w:val="FF0000"/>
          <w:szCs w:val="24"/>
        </w:rPr>
        <w:t>autoafirmación:</w:t>
      </w:r>
      <w:r w:rsidRPr="000D3432">
        <w:rPr>
          <w:rFonts w:asciiTheme="minorHAnsi" w:hAnsiTheme="minorHAnsi"/>
          <w:szCs w:val="24"/>
        </w:rPr>
        <w:t xml:space="preserve"> una creencia de que nuestros fines tienen una relación importante con los fines del universo, y que, a la larga, el curso de los acontecimientos se realizará de acuerdo con nuestros deseos. / “El hombre carece de filosofía va por la vida preso en los prejuicios derivados del sentido común, de las creencias habituales de su tiempo o de su nación, y de las convicciones nacidas en su mente sin consentimiento ni cooperación de su </w:t>
      </w:r>
      <w:r w:rsidRPr="000D3432">
        <w:rPr>
          <w:rFonts w:asciiTheme="minorHAnsi" w:hAnsiTheme="minorHAnsi"/>
          <w:color w:val="FF0000"/>
          <w:szCs w:val="24"/>
        </w:rPr>
        <w:t>razón deliberada</w:t>
      </w:r>
      <w:r w:rsidRPr="000D3432">
        <w:rPr>
          <w:rFonts w:asciiTheme="minorHAnsi" w:hAnsiTheme="minorHAnsi"/>
          <w:szCs w:val="24"/>
        </w:rPr>
        <w:t xml:space="preserve">. / La filosofía ha tenido, desde sus comienzos, dos objetivos diferentes, que se consideraban estrechamente relacionados entre sí. Por una parte tendía al entendimiento teórico de la estructura mundial; por la otra, trataba de descubrir e inculcar </w:t>
      </w:r>
      <w:r w:rsidRPr="000D3432">
        <w:rPr>
          <w:rFonts w:asciiTheme="minorHAnsi" w:hAnsiTheme="minorHAnsi"/>
          <w:color w:val="FF0000"/>
          <w:szCs w:val="24"/>
        </w:rPr>
        <w:t>el mejor modo de vida posible</w:t>
      </w:r>
      <w:r w:rsidRPr="000D3432">
        <w:rPr>
          <w:rFonts w:asciiTheme="minorHAnsi" w:hAnsiTheme="minorHAnsi"/>
          <w:szCs w:val="24"/>
        </w:rPr>
        <w:t>.”</w:t>
      </w:r>
    </w:p>
    <w:p w14:paraId="20138AD0" w14:textId="77777777" w:rsidR="001925CE" w:rsidRPr="000D3432" w:rsidRDefault="001925CE" w:rsidP="00A95498">
      <w:pPr>
        <w:ind w:left="708"/>
        <w:jc w:val="right"/>
        <w:rPr>
          <w:rFonts w:asciiTheme="minorHAnsi" w:hAnsiTheme="minorHAnsi"/>
          <w:i/>
          <w:szCs w:val="24"/>
        </w:rPr>
      </w:pPr>
    </w:p>
    <w:p w14:paraId="28C10649" w14:textId="77777777" w:rsidR="001925CE" w:rsidRPr="000D3432" w:rsidRDefault="001925CE" w:rsidP="00A95498">
      <w:pPr>
        <w:ind w:left="708"/>
        <w:jc w:val="right"/>
        <w:rPr>
          <w:rFonts w:asciiTheme="minorHAnsi" w:hAnsiTheme="minorHAnsi"/>
          <w:i/>
          <w:szCs w:val="24"/>
        </w:rPr>
      </w:pPr>
    </w:p>
    <w:p w14:paraId="101AE541" w14:textId="77777777" w:rsidR="001925CE" w:rsidRPr="000D3432" w:rsidRDefault="001925CE" w:rsidP="00A95498">
      <w:pPr>
        <w:ind w:left="708"/>
        <w:jc w:val="right"/>
        <w:rPr>
          <w:rFonts w:asciiTheme="minorHAnsi" w:hAnsiTheme="minorHAnsi"/>
          <w:szCs w:val="24"/>
        </w:rPr>
      </w:pPr>
    </w:p>
    <w:p w14:paraId="72D9B412" w14:textId="77777777" w:rsidR="001925CE" w:rsidRPr="000D3432" w:rsidRDefault="001925CE" w:rsidP="00A95498">
      <w:pPr>
        <w:ind w:left="708"/>
        <w:jc w:val="both"/>
        <w:rPr>
          <w:rFonts w:asciiTheme="minorHAnsi" w:hAnsiTheme="minorHAnsi"/>
          <w:szCs w:val="24"/>
        </w:rPr>
      </w:pPr>
    </w:p>
    <w:p w14:paraId="24DDFEFE" w14:textId="77777777" w:rsidR="001925CE" w:rsidRPr="000D3432" w:rsidRDefault="001925CE" w:rsidP="00A95498">
      <w:pPr>
        <w:ind w:left="708"/>
        <w:jc w:val="both"/>
        <w:rPr>
          <w:rFonts w:asciiTheme="minorHAnsi" w:hAnsiTheme="minorHAnsi"/>
          <w:i/>
          <w:szCs w:val="24"/>
        </w:rPr>
      </w:pPr>
      <w:r w:rsidRPr="000D3432">
        <w:rPr>
          <w:rFonts w:asciiTheme="minorHAnsi" w:hAnsiTheme="minorHAnsi"/>
          <w:i/>
          <w:szCs w:val="24"/>
        </w:rPr>
        <w:t xml:space="preserve">“El más fuerte no lo es jamás bastante para ser siempre el amo o señor, si no </w:t>
      </w:r>
      <w:r w:rsidRPr="000D3432">
        <w:rPr>
          <w:rFonts w:asciiTheme="minorHAnsi" w:hAnsiTheme="minorHAnsi"/>
          <w:i/>
          <w:color w:val="FF0000"/>
          <w:szCs w:val="24"/>
        </w:rPr>
        <w:t>transforma su fuerza en derecho</w:t>
      </w:r>
      <w:r w:rsidRPr="000D3432">
        <w:rPr>
          <w:rFonts w:asciiTheme="minorHAnsi" w:hAnsiTheme="minorHAnsi"/>
          <w:i/>
          <w:szCs w:val="24"/>
        </w:rPr>
        <w:t xml:space="preserve"> y la obediencia en deber. De ahí el derecho del más fuerte, tomado irónicamente en apariencia y realmente establecido en principio. Pero, ¿se nos explicará nunca esta palabra? La fuerza es una potencia física, y no veo qué moralidad puede resultar de sus efectos. Ceder a la fuerza es un acto de necesidad, no de voluntad; cuando más, puede ser de prudencia. ¿En qué sentido podrá ser un deber?</w:t>
      </w:r>
    </w:p>
    <w:p w14:paraId="738C11D7" w14:textId="77777777" w:rsidR="001925CE" w:rsidRPr="000D3432" w:rsidRDefault="001925CE" w:rsidP="00A95498">
      <w:pPr>
        <w:ind w:left="708"/>
        <w:jc w:val="both"/>
        <w:rPr>
          <w:rFonts w:asciiTheme="minorHAnsi" w:hAnsiTheme="minorHAnsi"/>
          <w:i/>
          <w:szCs w:val="24"/>
        </w:rPr>
      </w:pPr>
    </w:p>
    <w:p w14:paraId="5F954E74" w14:textId="77777777" w:rsidR="001925CE" w:rsidRPr="000D3432" w:rsidRDefault="001925CE" w:rsidP="00A95498">
      <w:pPr>
        <w:ind w:left="708"/>
        <w:jc w:val="both"/>
        <w:rPr>
          <w:rFonts w:asciiTheme="minorHAnsi" w:hAnsiTheme="minorHAnsi"/>
          <w:i/>
          <w:szCs w:val="24"/>
        </w:rPr>
      </w:pPr>
      <w:r w:rsidRPr="000D3432">
        <w:rPr>
          <w:rFonts w:asciiTheme="minorHAnsi" w:hAnsiTheme="minorHAnsi"/>
          <w:i/>
          <w:szCs w:val="24"/>
        </w:rPr>
        <w:t xml:space="preserve">Supongamos por un momento este pretendido derecho: yo afirmo que resulta de él un galimatías inexplicable, porque si la fuerza constituye el derecho, como el efecto cambia con la causa, toda fuerza superior a la primera, modificará el derecho. Desde que se puede desobedecer impunemente, se puede legítimamente, y puesto que el </w:t>
      </w:r>
      <w:r w:rsidRPr="000D3432">
        <w:rPr>
          <w:rFonts w:asciiTheme="minorHAnsi" w:hAnsiTheme="minorHAnsi"/>
          <w:i/>
          <w:color w:val="FF0000"/>
          <w:szCs w:val="24"/>
        </w:rPr>
        <w:t>más fuerte tiene siempre razón, no se trata más que de procurar serlo</w:t>
      </w:r>
      <w:r w:rsidRPr="000D3432">
        <w:rPr>
          <w:rFonts w:asciiTheme="minorHAnsi" w:hAnsiTheme="minorHAnsi"/>
          <w:i/>
          <w:szCs w:val="24"/>
        </w:rPr>
        <w:t>. ¿Qué es, pues, un derecho que perece cuando la fuerza cesa? Si es preciso obedecer por fuerza, no es necesario obedecer por deber, y si la fuerza desaparece, la obligación no existe. Resulta, por consiguiente, que la palabra derecho no añade nada a la fuerza ni significa aquí nada en absoluto.</w:t>
      </w:r>
    </w:p>
    <w:p w14:paraId="7DEFA0F6" w14:textId="77777777" w:rsidR="001925CE" w:rsidRPr="000D3432" w:rsidRDefault="001925CE" w:rsidP="00A95498">
      <w:pPr>
        <w:ind w:left="708"/>
        <w:jc w:val="both"/>
        <w:rPr>
          <w:rFonts w:asciiTheme="minorHAnsi" w:hAnsiTheme="minorHAnsi"/>
          <w:i/>
          <w:szCs w:val="24"/>
        </w:rPr>
      </w:pPr>
    </w:p>
    <w:p w14:paraId="6CFF01FD" w14:textId="77777777" w:rsidR="001925CE" w:rsidRPr="000D3432" w:rsidRDefault="001925CE" w:rsidP="00A95498">
      <w:pPr>
        <w:pStyle w:val="Sangra3detdecuerpo"/>
        <w:spacing w:after="0"/>
        <w:ind w:left="708"/>
        <w:jc w:val="both"/>
        <w:rPr>
          <w:rFonts w:asciiTheme="minorHAnsi" w:hAnsiTheme="minorHAnsi"/>
          <w:i/>
          <w:sz w:val="24"/>
          <w:szCs w:val="24"/>
        </w:rPr>
      </w:pPr>
      <w:r w:rsidRPr="000D3432">
        <w:rPr>
          <w:rFonts w:asciiTheme="minorHAnsi" w:hAnsiTheme="minorHAnsi"/>
          <w:i/>
          <w:sz w:val="24"/>
          <w:szCs w:val="24"/>
        </w:rPr>
        <w:t>Obedeced a los poderes. Si esto quiere decir: Ceded a la fuerza, el precepto es bueno, pero superfluo. Respondo de que no será jamás violado. Todo poder emana de Dios, lo reconozco, pero toda enfermedad también. ¿Estará prohibido por ello, recurrir al médico? ¿Si un bandido me sorprende en un bosque, estaré no solamente por la fuerza, sino aun pudiendo evitarlo, obligado en conciencia entregarle mi bolsa? Porque, en fin, la pistola que él tiene es un poder.</w:t>
      </w:r>
    </w:p>
    <w:p w14:paraId="0DFC343C" w14:textId="77777777" w:rsidR="001925CE" w:rsidRPr="000D3432" w:rsidRDefault="001925CE" w:rsidP="00A95498">
      <w:pPr>
        <w:pStyle w:val="Sangra3detdecuerpo"/>
        <w:spacing w:after="0"/>
        <w:ind w:left="708"/>
        <w:jc w:val="both"/>
        <w:rPr>
          <w:rFonts w:asciiTheme="minorHAnsi" w:hAnsiTheme="minorHAnsi"/>
          <w:i/>
          <w:sz w:val="24"/>
          <w:szCs w:val="24"/>
        </w:rPr>
      </w:pPr>
    </w:p>
    <w:p w14:paraId="1F6C95E0" w14:textId="77777777" w:rsidR="001925CE" w:rsidRPr="000D3432" w:rsidRDefault="001925CE" w:rsidP="00A95498">
      <w:pPr>
        <w:ind w:left="708"/>
        <w:jc w:val="both"/>
        <w:rPr>
          <w:rFonts w:asciiTheme="minorHAnsi" w:hAnsiTheme="minorHAnsi"/>
          <w:i/>
          <w:szCs w:val="24"/>
        </w:rPr>
      </w:pPr>
      <w:r w:rsidRPr="000D3432">
        <w:rPr>
          <w:rFonts w:asciiTheme="minorHAnsi" w:hAnsiTheme="minorHAnsi"/>
          <w:i/>
          <w:szCs w:val="24"/>
        </w:rPr>
        <w:t xml:space="preserve">Convengamos, pues, en que la fuerza no hace el derecho y en que no se está obligado a obedecer sino a los poderes legítimos. Así, mi cuestión primitiva queda siempre en pie.” </w:t>
      </w:r>
    </w:p>
    <w:p w14:paraId="23BE6F12" w14:textId="77777777" w:rsidR="001925CE" w:rsidRPr="000D3432" w:rsidRDefault="001925CE" w:rsidP="00A95498">
      <w:pPr>
        <w:ind w:left="708"/>
        <w:jc w:val="right"/>
        <w:rPr>
          <w:rFonts w:asciiTheme="minorHAnsi" w:hAnsiTheme="minorHAnsi"/>
          <w:i/>
          <w:szCs w:val="24"/>
        </w:rPr>
      </w:pPr>
      <w:r w:rsidRPr="000D3432">
        <w:rPr>
          <w:rFonts w:asciiTheme="minorHAnsi" w:hAnsiTheme="minorHAnsi"/>
          <w:i/>
          <w:szCs w:val="24"/>
        </w:rPr>
        <w:t>Jean Jacques Rousseau</w:t>
      </w:r>
    </w:p>
    <w:p w14:paraId="5BB7BDF5" w14:textId="77777777" w:rsidR="001925CE" w:rsidRPr="000D3432" w:rsidRDefault="001925CE" w:rsidP="00A95498">
      <w:pPr>
        <w:rPr>
          <w:rFonts w:asciiTheme="minorHAnsi" w:hAnsiTheme="minorHAnsi"/>
          <w:szCs w:val="24"/>
        </w:rPr>
      </w:pPr>
    </w:p>
    <w:p w14:paraId="32FF579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conocimiento o saber escolar nos da ya una idea de qué es la filosofía. Pero esta noción se queda en la “escolástica”, es decir en una simple “transmisión de saberes”, que luego se hacen saberes dominantes tradicionales</w:t>
      </w:r>
      <w:r w:rsidRPr="000D3432">
        <w:rPr>
          <w:rStyle w:val="Refdenotaalpie"/>
          <w:rFonts w:asciiTheme="minorHAnsi" w:hAnsiTheme="minorHAnsi"/>
          <w:sz w:val="24"/>
          <w:szCs w:val="24"/>
        </w:rPr>
        <w:footnoteReference w:id="2"/>
      </w:r>
      <w:r w:rsidRPr="000D3432">
        <w:rPr>
          <w:rFonts w:asciiTheme="minorHAnsi" w:hAnsiTheme="minorHAnsi"/>
          <w:szCs w:val="24"/>
        </w:rPr>
        <w:t>(se los usa sin saber cuál es el origen y sentido primario de los mismos). Pero nosotros tenemos que abordar el tema desde una perspectiva ontológica</w:t>
      </w:r>
      <w:r w:rsidRPr="000D3432">
        <w:rPr>
          <w:rStyle w:val="Refdenotaalpie"/>
          <w:rFonts w:asciiTheme="minorHAnsi" w:hAnsiTheme="minorHAnsi"/>
          <w:sz w:val="24"/>
          <w:szCs w:val="24"/>
        </w:rPr>
        <w:footnoteReference w:id="3"/>
      </w:r>
      <w:r w:rsidRPr="000D3432">
        <w:rPr>
          <w:rFonts w:asciiTheme="minorHAnsi" w:hAnsiTheme="minorHAnsi"/>
          <w:szCs w:val="24"/>
        </w:rPr>
        <w:t xml:space="preserve"> del derecho. Eso significa que no podemos quedarnos con esa visión reducida de la filosofía. ¿cuál es esa noción reducida de la que estamos hablando? Pues nada menos aquella que identifica a la filosofía con el “amor a la sabiduría” y nada más. Porque la filosofía ya no es sólo amor a la sabiduría, al menos no en derecho. Es además la “búsqueda de las causas últimas de las cosas”, búsqueda del “sentido”. Y ¿cuál es este sentido? Pues nada menos que el hombre, el ser, el “ente” y éste es “lo que es”</w:t>
      </w:r>
      <w:r w:rsidRPr="000D3432">
        <w:rPr>
          <w:rStyle w:val="Refdenotaalpie"/>
          <w:rFonts w:asciiTheme="minorHAnsi" w:hAnsiTheme="minorHAnsi"/>
          <w:sz w:val="24"/>
          <w:szCs w:val="24"/>
        </w:rPr>
        <w:footnoteReference w:id="4"/>
      </w:r>
      <w:r w:rsidRPr="000D3432">
        <w:rPr>
          <w:rFonts w:asciiTheme="minorHAnsi" w:hAnsiTheme="minorHAnsi"/>
          <w:szCs w:val="24"/>
        </w:rPr>
        <w:t xml:space="preserve"> , a diferencia de “el ser”, que es el hecho de que cualquier ente dado </w:t>
      </w:r>
      <w:r w:rsidRPr="000D3432">
        <w:rPr>
          <w:rFonts w:asciiTheme="minorHAnsi" w:hAnsiTheme="minorHAnsi"/>
          <w:i/>
          <w:szCs w:val="24"/>
        </w:rPr>
        <w:t>sea</w:t>
      </w:r>
      <w:r w:rsidRPr="000D3432">
        <w:rPr>
          <w:rStyle w:val="Refdenotaalpie"/>
          <w:rFonts w:asciiTheme="minorHAnsi" w:hAnsiTheme="minorHAnsi"/>
          <w:i/>
          <w:sz w:val="24"/>
          <w:szCs w:val="24"/>
        </w:rPr>
        <w:footnoteReference w:id="5"/>
      </w:r>
      <w:r w:rsidRPr="000D3432">
        <w:rPr>
          <w:rFonts w:asciiTheme="minorHAnsi" w:hAnsiTheme="minorHAnsi"/>
          <w:szCs w:val="24"/>
        </w:rPr>
        <w:t>. Y ¿Qué es el ser humano? Si le preguntáramos a alguien este daría sólo su nombre, y eso acabaría el asunto. Pero en Derecho el ser, no significa sólo un nombre uno no es un nombre, sino un “ser”, y ¿quién es uno? Uno es el que es</w:t>
      </w:r>
      <w:r w:rsidRPr="000D3432">
        <w:rPr>
          <w:rStyle w:val="Refdenotaalpie"/>
          <w:rFonts w:asciiTheme="minorHAnsi" w:hAnsiTheme="minorHAnsi"/>
          <w:sz w:val="24"/>
          <w:szCs w:val="24"/>
        </w:rPr>
        <w:footnoteReference w:id="6"/>
      </w:r>
      <w:r w:rsidRPr="000D3432">
        <w:rPr>
          <w:rFonts w:asciiTheme="minorHAnsi" w:hAnsiTheme="minorHAnsi"/>
          <w:szCs w:val="24"/>
        </w:rPr>
        <w:t>.  Ese “ser” en términos jurídicos se denomina: “persona”. ¿Y qué es ser persona?, pues no se más que un “sujeto, eje, de imputación de derechos y deberes”</w:t>
      </w:r>
      <w:r w:rsidRPr="000D3432">
        <w:rPr>
          <w:rStyle w:val="Refdenotaalpie"/>
          <w:rFonts w:asciiTheme="minorHAnsi" w:hAnsiTheme="minorHAnsi"/>
          <w:sz w:val="24"/>
          <w:szCs w:val="24"/>
        </w:rPr>
        <w:footnoteReference w:id="7"/>
      </w:r>
      <w:r w:rsidRPr="000D3432">
        <w:rPr>
          <w:rFonts w:asciiTheme="minorHAnsi" w:hAnsiTheme="minorHAnsi"/>
          <w:szCs w:val="24"/>
        </w:rPr>
        <w:t>. Y si nos volvemos positivistas (creemos que todo debe estar en los códigos y las leyes y nada más, perdiendo la perspectiva de totalidad del ser humano, o su carácter expansivo) podemos citar el artículo 1°. “La persona humana es sujeto de derecho desde su nacimiento…”</w:t>
      </w:r>
      <w:r w:rsidRPr="000D3432">
        <w:rPr>
          <w:rStyle w:val="Refdenotaalpie"/>
          <w:rFonts w:asciiTheme="minorHAnsi" w:hAnsiTheme="minorHAnsi"/>
          <w:sz w:val="24"/>
          <w:szCs w:val="24"/>
        </w:rPr>
        <w:footnoteReference w:id="8"/>
      </w:r>
    </w:p>
    <w:p w14:paraId="08D011CD" w14:textId="77777777" w:rsidR="001925CE" w:rsidRPr="000D3432" w:rsidRDefault="001925CE" w:rsidP="00A95498">
      <w:pPr>
        <w:jc w:val="both"/>
        <w:rPr>
          <w:rFonts w:asciiTheme="minorHAnsi" w:hAnsiTheme="minorHAnsi"/>
          <w:szCs w:val="24"/>
        </w:rPr>
      </w:pPr>
    </w:p>
    <w:p w14:paraId="3147A610"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persona tiene personalidad jurídica, es decir es susceptible de atribución de derechos y deberes, “…la persona es el ser humano entre su nacimiento y su muerte, con personalidad jurídica, es decir, con capacidad de tener deberes y derechos”</w:t>
      </w:r>
      <w:r w:rsidRPr="000D3432">
        <w:rPr>
          <w:rStyle w:val="Refdenotaalpie"/>
          <w:rFonts w:asciiTheme="minorHAnsi" w:hAnsiTheme="minorHAnsi"/>
          <w:sz w:val="24"/>
          <w:szCs w:val="24"/>
        </w:rPr>
        <w:footnoteReference w:id="9"/>
      </w:r>
      <w:r w:rsidRPr="000D3432">
        <w:rPr>
          <w:rFonts w:asciiTheme="minorHAnsi" w:hAnsiTheme="minorHAnsi"/>
          <w:szCs w:val="24"/>
        </w:rPr>
        <w:t>.</w:t>
      </w:r>
    </w:p>
    <w:p w14:paraId="24BA7D5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La Filosofía del Derecho tiene que ver necesaria e imprescindiblemente con el ser humano, con la persona natural. </w:t>
      </w:r>
    </w:p>
    <w:p w14:paraId="21666D89" w14:textId="77777777" w:rsidR="001925CE" w:rsidRPr="000D3432" w:rsidRDefault="001925CE" w:rsidP="00A95498">
      <w:pPr>
        <w:jc w:val="both"/>
        <w:rPr>
          <w:rFonts w:asciiTheme="minorHAnsi" w:hAnsiTheme="minorHAnsi"/>
          <w:szCs w:val="24"/>
        </w:rPr>
      </w:pPr>
    </w:p>
    <w:p w14:paraId="7184E3D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La Filosofía habla, pues, del ser humano, de la persona humana, natural. </w:t>
      </w:r>
    </w:p>
    <w:p w14:paraId="12252BA9" w14:textId="77777777" w:rsidR="001925CE" w:rsidRPr="000D3432" w:rsidRDefault="001925CE" w:rsidP="00A95498">
      <w:pPr>
        <w:jc w:val="both"/>
        <w:rPr>
          <w:rFonts w:asciiTheme="minorHAnsi" w:hAnsiTheme="minorHAnsi"/>
          <w:szCs w:val="24"/>
        </w:rPr>
      </w:pPr>
    </w:p>
    <w:p w14:paraId="3708BEB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Pero eso que es lo sabido no es suficientemente comprendido, no hay una relación precisa entre utilidad y filosofía. Así que esta -la filosofía- supervive entre dos suposiciones, contrarias y hasta antagónicas: </w:t>
      </w:r>
    </w:p>
    <w:p w14:paraId="658A82BF" w14:textId="77777777" w:rsidR="001925CE" w:rsidRPr="000D3432" w:rsidRDefault="001925CE" w:rsidP="00A95498">
      <w:pPr>
        <w:jc w:val="both"/>
        <w:rPr>
          <w:rFonts w:asciiTheme="minorHAnsi" w:hAnsiTheme="minorHAnsi"/>
          <w:szCs w:val="24"/>
        </w:rPr>
      </w:pPr>
    </w:p>
    <w:p w14:paraId="0DC6BFA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De la Filosofía “se esperan revelaciones extraordinarias”</w:t>
      </w:r>
      <w:r w:rsidRPr="000D3432">
        <w:rPr>
          <w:rStyle w:val="Refdenotaalpie"/>
          <w:rFonts w:asciiTheme="minorHAnsi" w:hAnsiTheme="minorHAnsi"/>
          <w:sz w:val="24"/>
          <w:szCs w:val="24"/>
        </w:rPr>
        <w:footnoteReference w:id="10"/>
      </w:r>
      <w:r w:rsidRPr="000D3432">
        <w:rPr>
          <w:rFonts w:asciiTheme="minorHAnsi" w:hAnsiTheme="minorHAnsi"/>
          <w:szCs w:val="24"/>
        </w:rPr>
        <w:t>. O se la desprecia como “un pensar que no tiene objeto”</w:t>
      </w:r>
      <w:r w:rsidRPr="000D3432">
        <w:rPr>
          <w:rStyle w:val="Refdenotaalpie"/>
          <w:rFonts w:asciiTheme="minorHAnsi" w:hAnsiTheme="minorHAnsi"/>
          <w:sz w:val="24"/>
          <w:szCs w:val="24"/>
        </w:rPr>
        <w:footnoteReference w:id="11"/>
      </w:r>
      <w:r w:rsidRPr="000D3432">
        <w:rPr>
          <w:rFonts w:asciiTheme="minorHAnsi" w:hAnsiTheme="minorHAnsi"/>
          <w:szCs w:val="24"/>
        </w:rPr>
        <w:t>; se la tiene como algo “simple y comprensible, al que se puede llegar simplemente con el sentido común”; O se la tiene como algo oscuro, confuso, “se la tiene por tan difícil que es una desesperación el ocuparse de ella”.</w:t>
      </w:r>
      <w:r w:rsidRPr="000D3432">
        <w:rPr>
          <w:rStyle w:val="Refdenotaalpie"/>
          <w:rFonts w:asciiTheme="minorHAnsi" w:hAnsiTheme="minorHAnsi"/>
          <w:sz w:val="24"/>
          <w:szCs w:val="24"/>
        </w:rPr>
        <w:footnoteReference w:id="12"/>
      </w:r>
    </w:p>
    <w:p w14:paraId="1CB3B447" w14:textId="77777777" w:rsidR="001925CE" w:rsidRPr="000D3432" w:rsidRDefault="001925CE" w:rsidP="00A95498">
      <w:pPr>
        <w:jc w:val="both"/>
        <w:rPr>
          <w:rFonts w:asciiTheme="minorHAnsi" w:hAnsiTheme="minorHAnsi"/>
          <w:szCs w:val="24"/>
        </w:rPr>
      </w:pPr>
    </w:p>
    <w:p w14:paraId="3517C14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Pero la filosofía ha sido atacada también por la ciencia, igual que el derecho. Hubo un tiempo que la filosofía quiso ser científica, a esa filosofía que utilizaba el método científico se la llamó positivismo. La pretensión filosófica era la “certeza”, Jasper decía: “La certeza me parecía entonces que solo podría darla la ciencia y, queriendo que fuese la filosofía, tenía que ser una filosofía prendida de las ciencias y nacida de ellas. Todos conocen esta filosofía: en nuestro tiempo, llamase positivismo.”</w:t>
      </w:r>
      <w:r w:rsidRPr="000D3432">
        <w:rPr>
          <w:rStyle w:val="Refdenotaalpie"/>
          <w:rFonts w:asciiTheme="minorHAnsi" w:hAnsiTheme="minorHAnsi"/>
          <w:sz w:val="24"/>
          <w:szCs w:val="24"/>
        </w:rPr>
        <w:footnoteReference w:id="13"/>
      </w:r>
    </w:p>
    <w:p w14:paraId="6B5E0D64" w14:textId="77777777" w:rsidR="001925CE" w:rsidRPr="000D3432" w:rsidRDefault="001925CE" w:rsidP="00A95498">
      <w:pPr>
        <w:jc w:val="both"/>
        <w:rPr>
          <w:rFonts w:asciiTheme="minorHAnsi" w:hAnsiTheme="minorHAnsi"/>
          <w:szCs w:val="24"/>
        </w:rPr>
      </w:pPr>
    </w:p>
    <w:p w14:paraId="12349E4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Una de las más grandes contradicciones para la filosofía ha sido la ciencia, ¿Qué es ciencia? Sería la primera pregunta: Lo resumimos. Ciencia : “Conjunto de conocimientos sistemáticamente organizados, universalmente válidos y </w:t>
      </w:r>
      <w:r w:rsidRPr="000D3432">
        <w:rPr>
          <w:rFonts w:asciiTheme="minorHAnsi" w:hAnsiTheme="minorHAnsi"/>
          <w:szCs w:val="24"/>
        </w:rPr>
        <w:lastRenderedPageBreak/>
        <w:t>pasibles de ser verificados”.</w:t>
      </w:r>
      <w:r w:rsidRPr="000D3432">
        <w:rPr>
          <w:rStyle w:val="Refdenotaalpie"/>
          <w:rFonts w:asciiTheme="minorHAnsi" w:hAnsiTheme="minorHAnsi"/>
          <w:sz w:val="24"/>
          <w:szCs w:val="24"/>
        </w:rPr>
        <w:footnoteReference w:id="14"/>
      </w:r>
    </w:p>
    <w:p w14:paraId="07A9DC3F" w14:textId="77777777" w:rsidR="001925CE" w:rsidRPr="000D3432" w:rsidRDefault="001925CE" w:rsidP="00A95498">
      <w:pPr>
        <w:jc w:val="both"/>
        <w:rPr>
          <w:rFonts w:asciiTheme="minorHAnsi" w:hAnsiTheme="minorHAnsi"/>
          <w:szCs w:val="24"/>
        </w:rPr>
      </w:pPr>
    </w:p>
    <w:p w14:paraId="1A73226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ciencia ganadora de un imperio, su imperio, por su disposición de “certera”, “verificable”, “universalista”.</w:t>
      </w:r>
    </w:p>
    <w:p w14:paraId="4DFC524A" w14:textId="77777777" w:rsidR="001925CE" w:rsidRPr="000D3432" w:rsidRDefault="001925CE" w:rsidP="00A95498">
      <w:pPr>
        <w:jc w:val="both"/>
        <w:rPr>
          <w:rFonts w:asciiTheme="minorHAnsi" w:hAnsiTheme="minorHAnsi"/>
          <w:szCs w:val="24"/>
        </w:rPr>
      </w:pPr>
    </w:p>
    <w:p w14:paraId="63EDBE8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 “Para un hombre con fe en la ciencia”  la filosofía es una contradicción, o no llega a estas presuposiciones de “certera”, “verificable”, “universalista”. Este hombre cientificista</w:t>
      </w:r>
      <w:r w:rsidRPr="000D3432">
        <w:rPr>
          <w:rStyle w:val="Refdenotaalpie"/>
          <w:rFonts w:asciiTheme="minorHAnsi" w:hAnsiTheme="minorHAnsi"/>
          <w:sz w:val="24"/>
          <w:szCs w:val="24"/>
        </w:rPr>
        <w:footnoteReference w:id="15"/>
      </w:r>
      <w:r w:rsidRPr="000D3432">
        <w:rPr>
          <w:rFonts w:asciiTheme="minorHAnsi" w:hAnsiTheme="minorHAnsi"/>
          <w:szCs w:val="24"/>
        </w:rPr>
        <w:t xml:space="preserve">  acusa a la filosofía de carecer “por completo de resultados universalmente válidos y susceptibles de ser sabidos y poseídos”</w:t>
      </w:r>
      <w:r w:rsidRPr="000D3432">
        <w:rPr>
          <w:rStyle w:val="Refdenotaalpie"/>
          <w:rFonts w:asciiTheme="minorHAnsi" w:hAnsiTheme="minorHAnsi"/>
          <w:sz w:val="24"/>
          <w:szCs w:val="24"/>
        </w:rPr>
        <w:footnoteReference w:id="16"/>
      </w:r>
      <w:r w:rsidRPr="000D3432">
        <w:rPr>
          <w:rFonts w:asciiTheme="minorHAnsi" w:hAnsiTheme="minorHAnsi"/>
          <w:szCs w:val="24"/>
        </w:rPr>
        <w:t>. El talón de Aquiles de la filosofía, se dice, es que no tiene conocimientos universalmente válidos, y menos verificables, puesto que “en filosofía no hay unanimidad alguna acerca de lo conocido definitivamente”</w:t>
      </w:r>
      <w:r w:rsidRPr="000D3432">
        <w:rPr>
          <w:rStyle w:val="Refdenotaalpie"/>
          <w:rFonts w:asciiTheme="minorHAnsi" w:hAnsiTheme="minorHAnsi"/>
          <w:sz w:val="24"/>
          <w:szCs w:val="24"/>
        </w:rPr>
        <w:footnoteReference w:id="17"/>
      </w:r>
    </w:p>
    <w:p w14:paraId="32B3B649" w14:textId="77777777" w:rsidR="001925CE" w:rsidRPr="000D3432" w:rsidRDefault="001925CE" w:rsidP="00A95498">
      <w:pPr>
        <w:jc w:val="both"/>
        <w:rPr>
          <w:rFonts w:asciiTheme="minorHAnsi" w:hAnsiTheme="minorHAnsi"/>
          <w:szCs w:val="24"/>
        </w:rPr>
      </w:pPr>
    </w:p>
    <w:p w14:paraId="3364D58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disputa entre ciencia y filosofía surge , o se desprende, de un entredicho; entre dos dominios de saber, dos formas de conocimiento (muchas veces se quiso subordinar la filosofía a la ciencia). Se cree en el carácter de un proceso progresivo, que tendría la ciencia y no la filosofía. El adelanto, el avance, el progreso, en la ciencia está determinado. En filosofía no. “Estamos ciertamente mucho más adelantados que Hipócrates, el médico griego; pero apenas podemos decir que estemos más adelantados que Platón.”</w:t>
      </w:r>
      <w:r w:rsidRPr="000D3432">
        <w:rPr>
          <w:rStyle w:val="Refdenotaalpie"/>
          <w:rFonts w:asciiTheme="minorHAnsi" w:hAnsiTheme="minorHAnsi"/>
          <w:sz w:val="24"/>
          <w:szCs w:val="24"/>
        </w:rPr>
        <w:footnoteReference w:id="18"/>
      </w:r>
      <w:r w:rsidRPr="000D3432">
        <w:rPr>
          <w:rFonts w:asciiTheme="minorHAnsi" w:hAnsiTheme="minorHAnsi"/>
          <w:szCs w:val="24"/>
        </w:rPr>
        <w:t xml:space="preserve"> . El avance, el “proceso progresivo”, en la ciencia es verificable, en filosofía no, “sólo estamos adelantados en punto al material de conocimientos científicos”</w:t>
      </w:r>
      <w:r w:rsidRPr="000D3432">
        <w:rPr>
          <w:rStyle w:val="Refdenotaalpie"/>
          <w:rFonts w:asciiTheme="minorHAnsi" w:hAnsiTheme="minorHAnsi"/>
          <w:sz w:val="24"/>
          <w:szCs w:val="24"/>
        </w:rPr>
        <w:footnoteReference w:id="19"/>
      </w:r>
      <w:r w:rsidRPr="000D3432">
        <w:rPr>
          <w:rFonts w:asciiTheme="minorHAnsi" w:hAnsiTheme="minorHAnsi"/>
          <w:szCs w:val="24"/>
        </w:rPr>
        <w:t>. La “certeza” con la que está investida la ciencia es incorruptible. El saber científico es el mismo para todo el mundo, para todo el intelecto; la certeza científica es “la misma para todo el intelecto”</w:t>
      </w:r>
      <w:r w:rsidRPr="000D3432">
        <w:rPr>
          <w:rStyle w:val="Refdenotaalpie"/>
          <w:rFonts w:asciiTheme="minorHAnsi" w:hAnsiTheme="minorHAnsi"/>
          <w:sz w:val="24"/>
          <w:szCs w:val="24"/>
        </w:rPr>
        <w:footnoteReference w:id="20"/>
      </w:r>
      <w:r w:rsidRPr="000D3432">
        <w:rPr>
          <w:rFonts w:asciiTheme="minorHAnsi" w:hAnsiTheme="minorHAnsi"/>
          <w:szCs w:val="24"/>
        </w:rPr>
        <w:t>. Por ejemplo, todo el mundo sabe que el licor tiene efectos embriagadores</w:t>
      </w:r>
      <w:r w:rsidRPr="000D3432">
        <w:rPr>
          <w:rStyle w:val="Refdenotaalpie"/>
          <w:rFonts w:asciiTheme="minorHAnsi" w:hAnsiTheme="minorHAnsi"/>
          <w:sz w:val="24"/>
          <w:szCs w:val="24"/>
        </w:rPr>
        <w:footnoteReference w:id="21"/>
      </w:r>
      <w:r w:rsidRPr="000D3432">
        <w:rPr>
          <w:rFonts w:asciiTheme="minorHAnsi" w:hAnsiTheme="minorHAnsi"/>
          <w:szCs w:val="24"/>
        </w:rPr>
        <w:t xml:space="preserve">, pero no se sabe a ciencia cierta cómo afectará emocionalmente a cada ser humano, cual es su tolerancia, etc. </w:t>
      </w:r>
    </w:p>
    <w:p w14:paraId="3E61638E" w14:textId="77777777" w:rsidR="001925CE" w:rsidRPr="000D3432" w:rsidRDefault="001925CE" w:rsidP="00A95498">
      <w:pPr>
        <w:jc w:val="both"/>
        <w:rPr>
          <w:rFonts w:asciiTheme="minorHAnsi" w:hAnsiTheme="minorHAnsi"/>
          <w:szCs w:val="24"/>
        </w:rPr>
      </w:pPr>
    </w:p>
    <w:p w14:paraId="3935168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ciencia  se ocupa de un objeto determinado: el cuerpo, los átomos, la materia, los genes, etc., es laparte material, aquello que se puede ver o comprobar, y por lo tanto existe la certeza de ese saber. Son objetos medibles matemáticamente, “son objetos especiales”</w:t>
      </w:r>
      <w:r w:rsidRPr="000D3432">
        <w:rPr>
          <w:rStyle w:val="Refdenotaalpie"/>
          <w:rFonts w:asciiTheme="minorHAnsi" w:hAnsiTheme="minorHAnsi"/>
          <w:sz w:val="24"/>
          <w:szCs w:val="24"/>
        </w:rPr>
        <w:footnoteReference w:id="22"/>
      </w:r>
      <w:r w:rsidRPr="000D3432">
        <w:rPr>
          <w:rFonts w:asciiTheme="minorHAnsi" w:hAnsiTheme="minorHAnsi"/>
          <w:szCs w:val="24"/>
        </w:rPr>
        <w:t>. Pero estos objetos sobre los que trata la ciencia no son necesarios para todo el mundo, mientras que la filosofía tratase “de la totalidad del ser que interesa la hombre en cuanto hombre”.</w:t>
      </w:r>
      <w:r w:rsidRPr="000D3432">
        <w:rPr>
          <w:rStyle w:val="Refdenotaalpie"/>
          <w:rFonts w:asciiTheme="minorHAnsi" w:hAnsiTheme="minorHAnsi"/>
          <w:sz w:val="24"/>
          <w:szCs w:val="24"/>
        </w:rPr>
        <w:footnoteReference w:id="23"/>
      </w:r>
      <w:r w:rsidRPr="000D3432">
        <w:rPr>
          <w:rFonts w:asciiTheme="minorHAnsi" w:hAnsiTheme="minorHAnsi"/>
          <w:szCs w:val="24"/>
        </w:rPr>
        <w:t xml:space="preserve"> En filosofía no se trata de hacer como en la ciencia, por ejemplo, de descubrir un telescopio para mirar las lindas estrellitas y acumular conocimientos, sino que en filosofía se </w:t>
      </w:r>
      <w:r w:rsidRPr="000D3432">
        <w:rPr>
          <w:rFonts w:asciiTheme="minorHAnsi" w:hAnsiTheme="minorHAnsi"/>
          <w:szCs w:val="24"/>
        </w:rPr>
        <w:lastRenderedPageBreak/>
        <w:t>trata sobre el hombre y su condición de tal, su condición humana, se trata de enfrentar a este ser humano con sus necesidades primarias. Ver las estrellas no es necesario a todo el mundo. Cómo se siente un ser humano es un saber “necesario”. En fin, la filosofía sólo tienen sentido si desemboca en el hombre</w:t>
      </w:r>
      <w:r w:rsidRPr="000D3432">
        <w:rPr>
          <w:rStyle w:val="Refdenotaalpie"/>
          <w:rFonts w:asciiTheme="minorHAnsi" w:hAnsiTheme="minorHAnsi"/>
          <w:sz w:val="24"/>
          <w:szCs w:val="24"/>
        </w:rPr>
        <w:footnoteReference w:id="24"/>
      </w:r>
      <w:r w:rsidRPr="000D3432">
        <w:rPr>
          <w:rFonts w:asciiTheme="minorHAnsi" w:hAnsiTheme="minorHAnsi"/>
          <w:szCs w:val="24"/>
        </w:rPr>
        <w:t>. Parece pues que “no hay manera de escapar a la filosofía”</w:t>
      </w:r>
      <w:r w:rsidRPr="000D3432">
        <w:rPr>
          <w:rStyle w:val="Refdenotaalpie"/>
          <w:rFonts w:asciiTheme="minorHAnsi" w:hAnsiTheme="minorHAnsi"/>
          <w:sz w:val="24"/>
          <w:szCs w:val="24"/>
        </w:rPr>
        <w:footnoteReference w:id="25"/>
      </w:r>
      <w:r w:rsidRPr="000D3432">
        <w:rPr>
          <w:rFonts w:asciiTheme="minorHAnsi" w:hAnsiTheme="minorHAnsi"/>
          <w:szCs w:val="24"/>
        </w:rPr>
        <w:t>.</w:t>
      </w:r>
    </w:p>
    <w:p w14:paraId="44AF0281" w14:textId="77777777" w:rsidR="001925CE" w:rsidRPr="000D3432" w:rsidRDefault="001925CE" w:rsidP="00A95498">
      <w:pPr>
        <w:jc w:val="both"/>
        <w:rPr>
          <w:rFonts w:asciiTheme="minorHAnsi" w:hAnsiTheme="minorHAnsi"/>
          <w:szCs w:val="24"/>
        </w:rPr>
      </w:pPr>
    </w:p>
    <w:p w14:paraId="08FFDC31" w14:textId="77777777" w:rsidR="001925CE" w:rsidRPr="000D3432" w:rsidRDefault="001925CE" w:rsidP="00A95498">
      <w:pPr>
        <w:jc w:val="both"/>
        <w:rPr>
          <w:rFonts w:asciiTheme="minorHAnsi" w:hAnsiTheme="minorHAnsi"/>
          <w:b/>
          <w:szCs w:val="24"/>
        </w:rPr>
      </w:pPr>
    </w:p>
    <w:p w14:paraId="5AAF08A9"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II.- LA FILOSOFÍA DEL DERECHO</w:t>
      </w:r>
    </w:p>
    <w:p w14:paraId="07EC1277" w14:textId="77777777" w:rsidR="001925CE" w:rsidRPr="000D3432" w:rsidRDefault="001925CE" w:rsidP="00A95498">
      <w:pPr>
        <w:jc w:val="both"/>
        <w:rPr>
          <w:rFonts w:asciiTheme="minorHAnsi" w:hAnsiTheme="minorHAnsi"/>
          <w:szCs w:val="24"/>
        </w:rPr>
      </w:pPr>
    </w:p>
    <w:p w14:paraId="068D154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La </w:t>
      </w:r>
      <w:r w:rsidRPr="000D3432">
        <w:rPr>
          <w:rFonts w:asciiTheme="minorHAnsi" w:hAnsiTheme="minorHAnsi"/>
          <w:b/>
          <w:szCs w:val="24"/>
        </w:rPr>
        <w:t xml:space="preserve">Filosofía del Derecho </w:t>
      </w:r>
      <w:r w:rsidRPr="000D3432">
        <w:rPr>
          <w:rFonts w:asciiTheme="minorHAnsi" w:hAnsiTheme="minorHAnsi"/>
          <w:szCs w:val="24"/>
        </w:rPr>
        <w:t>“es el elemento que articula y fusiona las heterogéneas dimensiones del Derecho, utilizando todas las fuentes a su alcance y dando principio y sentido a la actividad jurídica.”</w:t>
      </w:r>
      <w:r w:rsidRPr="000D3432">
        <w:rPr>
          <w:rStyle w:val="Refdenotaalpie"/>
          <w:rFonts w:asciiTheme="minorHAnsi" w:hAnsiTheme="minorHAnsi"/>
          <w:sz w:val="24"/>
          <w:szCs w:val="24"/>
        </w:rPr>
        <w:footnoteReference w:id="26"/>
      </w:r>
    </w:p>
    <w:p w14:paraId="6D753707" w14:textId="77777777" w:rsidR="001925CE" w:rsidRPr="000D3432" w:rsidRDefault="001925CE" w:rsidP="00A95498">
      <w:pPr>
        <w:jc w:val="center"/>
        <w:rPr>
          <w:rFonts w:asciiTheme="minorHAnsi" w:hAnsiTheme="minorHAnsi"/>
          <w:b/>
          <w:szCs w:val="24"/>
        </w:rPr>
      </w:pPr>
    </w:p>
    <w:p w14:paraId="44CCEE45" w14:textId="77777777" w:rsidR="001925CE" w:rsidRPr="000D3432" w:rsidRDefault="001925CE" w:rsidP="00A95498">
      <w:pPr>
        <w:pStyle w:val="Textodecuerpo3"/>
        <w:spacing w:after="0"/>
        <w:jc w:val="both"/>
        <w:rPr>
          <w:rFonts w:asciiTheme="minorHAnsi" w:hAnsiTheme="minorHAnsi"/>
          <w:sz w:val="24"/>
          <w:szCs w:val="24"/>
        </w:rPr>
      </w:pPr>
      <w:r w:rsidRPr="000D3432">
        <w:rPr>
          <w:rFonts w:asciiTheme="minorHAnsi" w:hAnsiTheme="minorHAnsi"/>
          <w:sz w:val="24"/>
          <w:szCs w:val="24"/>
        </w:rPr>
        <w:t xml:space="preserve">No sé aún si la filosofía resuelva algo, o si algo es conveniente ser resuelto. Pero lo que si sé es que la Filosofía es un tipo de lenguaje, o al menos se manifiesta por medio del lenguaje. El lenguaje, sin embargo, ha creado alucinantes formas de complicar o mejorar la vida. El lenguaje lo es todo en un mundo social. Lenguaje que se conforma como un mosaico con innumerables potencialidades internas que intentan salir, que pretenden descifrar al mundo, comprenderlo y configurarlo. El lenguaje, pues, es lo que permite la sociedad. Sin él no habría posibilidad de sociedad. Pero, como en la Torre de Babel, el lenguaje se multiplica, se hace diverso, variopinto, diferente, multiforme complejo y hasta complicado. Hay que, por eso, determinarlo, demarcarlo, encerrarlo dentro de un contexto conceptual, para poder utilizarlo. Y ese contexto recién le da forma, contenido, sentido. </w:t>
      </w:r>
    </w:p>
    <w:p w14:paraId="04DDA81C" w14:textId="77777777" w:rsidR="001925CE" w:rsidRPr="000D3432" w:rsidRDefault="001925CE" w:rsidP="00A95498">
      <w:pPr>
        <w:jc w:val="both"/>
        <w:rPr>
          <w:rFonts w:asciiTheme="minorHAnsi" w:hAnsiTheme="minorHAnsi"/>
          <w:szCs w:val="24"/>
        </w:rPr>
      </w:pPr>
    </w:p>
    <w:p w14:paraId="4686E1E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Pues bien, si hemos dicho que todo es lenguaje, y que la Filosofía también lo es, ¿cuál es el contexto de esta filosofía? ¿Qué le da sentido? ¿qué busca? ¿cuál su finalidad?</w:t>
      </w:r>
    </w:p>
    <w:p w14:paraId="3F947F48" w14:textId="77777777" w:rsidR="001925CE" w:rsidRPr="000D3432" w:rsidRDefault="001925CE" w:rsidP="00A95498">
      <w:pPr>
        <w:jc w:val="both"/>
        <w:rPr>
          <w:rFonts w:asciiTheme="minorHAnsi" w:hAnsiTheme="minorHAnsi"/>
          <w:szCs w:val="24"/>
        </w:rPr>
      </w:pPr>
    </w:p>
    <w:p w14:paraId="3EE3C160"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Filosofía ha sido descrita como el amor a la sabiduría, pero esta es siempre insuficiente. Porque se ama aquello que se quiere conocer, aquello que se quiere internalizar, aquello que, en última instancia, permitirá, nuestra felicidad. No es el amor a la sabiduría, pues, lo que define a la Filosofía, porque no se ama la sabiduría por simple sabiduría, sino porque nos permite la felicidad, por que nos posibilita algo más que el simple conocimiento, porque este conocimiento proporcionado es relevante y trascendental, y no meramente rutinario o descriptivo. La filosofía es aquella que construye un sentido a los actos humanos, a la misma vida humana. Le da al hombre la posibilidad de justificar su existencia.</w:t>
      </w:r>
    </w:p>
    <w:p w14:paraId="427E6002" w14:textId="77777777" w:rsidR="001925CE" w:rsidRPr="000D3432" w:rsidRDefault="001925CE" w:rsidP="00A95498">
      <w:pPr>
        <w:jc w:val="both"/>
        <w:rPr>
          <w:rFonts w:asciiTheme="minorHAnsi" w:hAnsiTheme="minorHAnsi"/>
          <w:szCs w:val="24"/>
        </w:rPr>
      </w:pPr>
    </w:p>
    <w:p w14:paraId="0536084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Pero cuando hablamos de Filosofía del Derecho, tenemos un contexto más grande. Si la Filosofía es sentido, el Derecho es aquello que permite que este sentido exista. La Filosofía del Derecho se muestra así como aquella que </w:t>
      </w:r>
      <w:r w:rsidRPr="000D3432">
        <w:rPr>
          <w:rFonts w:asciiTheme="minorHAnsi" w:hAnsiTheme="minorHAnsi"/>
          <w:szCs w:val="24"/>
        </w:rPr>
        <w:lastRenderedPageBreak/>
        <w:t xml:space="preserve">posibilita la existencia ética de la vida humana. </w:t>
      </w:r>
    </w:p>
    <w:p w14:paraId="04E8D761" w14:textId="77777777" w:rsidR="001925CE" w:rsidRPr="000D3432" w:rsidRDefault="001925CE" w:rsidP="00A95498">
      <w:pPr>
        <w:jc w:val="both"/>
        <w:rPr>
          <w:rFonts w:asciiTheme="minorHAnsi" w:hAnsiTheme="minorHAnsi"/>
          <w:szCs w:val="24"/>
        </w:rPr>
      </w:pPr>
    </w:p>
    <w:p w14:paraId="739B453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Pero veamos que dicen ciertos autores sobre la Filosofía del Derecho.</w:t>
      </w:r>
    </w:p>
    <w:p w14:paraId="26BAD919" w14:textId="77777777" w:rsidR="001925CE" w:rsidRPr="000D3432" w:rsidRDefault="001925CE" w:rsidP="00A95498">
      <w:pPr>
        <w:jc w:val="both"/>
        <w:rPr>
          <w:rFonts w:asciiTheme="minorHAnsi" w:hAnsiTheme="minorHAnsi"/>
          <w:szCs w:val="24"/>
        </w:rPr>
      </w:pPr>
    </w:p>
    <w:p w14:paraId="69275BA3" w14:textId="77777777" w:rsidR="001925CE" w:rsidRPr="000D3432" w:rsidRDefault="001925CE" w:rsidP="00A95498">
      <w:pPr>
        <w:ind w:left="708"/>
        <w:jc w:val="both"/>
        <w:rPr>
          <w:rFonts w:asciiTheme="minorHAnsi" w:hAnsiTheme="minorHAnsi"/>
          <w:szCs w:val="24"/>
        </w:rPr>
      </w:pPr>
      <w:r w:rsidRPr="000D3432">
        <w:rPr>
          <w:rFonts w:asciiTheme="minorHAnsi" w:hAnsiTheme="minorHAnsi"/>
          <w:szCs w:val="24"/>
        </w:rPr>
        <w:t>“…, la Filosofía del Derecho es una concepción universal, de carácter racional, acerca del mundo jurídico. Universal, porque es común a todas las ramas del derecho positivo; racional, porque es una concepción del pensamiento. La Filosofía no es dogmática e indiscutible como la fe, sino que maneja conceptos; por eso no sólo es universal, sino además racional.”</w:t>
      </w:r>
      <w:r w:rsidRPr="000D3432">
        <w:rPr>
          <w:rStyle w:val="Refdenotaalpie"/>
          <w:rFonts w:asciiTheme="minorHAnsi" w:hAnsiTheme="minorHAnsi"/>
          <w:sz w:val="24"/>
          <w:szCs w:val="24"/>
        </w:rPr>
        <w:footnoteReference w:id="27"/>
      </w:r>
    </w:p>
    <w:p w14:paraId="25F367F7" w14:textId="77777777" w:rsidR="001925CE" w:rsidRPr="000D3432" w:rsidRDefault="001925CE" w:rsidP="00A95498">
      <w:pPr>
        <w:jc w:val="both"/>
        <w:rPr>
          <w:rFonts w:asciiTheme="minorHAnsi" w:hAnsiTheme="minorHAnsi"/>
          <w:szCs w:val="24"/>
        </w:rPr>
      </w:pPr>
    </w:p>
    <w:p w14:paraId="05E829DA" w14:textId="77777777" w:rsidR="001925CE" w:rsidRPr="000D3432" w:rsidRDefault="001925CE" w:rsidP="00A95498">
      <w:pPr>
        <w:ind w:left="708"/>
        <w:jc w:val="both"/>
        <w:rPr>
          <w:rFonts w:asciiTheme="minorHAnsi" w:hAnsiTheme="minorHAnsi"/>
          <w:szCs w:val="24"/>
        </w:rPr>
      </w:pPr>
      <w:r w:rsidRPr="000D3432">
        <w:rPr>
          <w:rFonts w:asciiTheme="minorHAnsi" w:hAnsiTheme="minorHAnsi"/>
          <w:szCs w:val="24"/>
        </w:rPr>
        <w:t xml:space="preserve">“Como dice </w:t>
      </w:r>
      <w:r w:rsidRPr="000D3432">
        <w:rPr>
          <w:rFonts w:asciiTheme="minorHAnsi" w:hAnsiTheme="minorHAnsi"/>
          <w:smallCaps/>
          <w:szCs w:val="24"/>
        </w:rPr>
        <w:t>Sarmiento,</w:t>
      </w:r>
      <w:r w:rsidRPr="000D3432">
        <w:rPr>
          <w:rFonts w:asciiTheme="minorHAnsi" w:hAnsiTheme="minorHAnsi"/>
          <w:szCs w:val="24"/>
        </w:rPr>
        <w:t xml:space="preserve"> la filosofía es una toma de posición en la vida, y la filosofía del Derecho es una toma de posición en el derecho”.</w:t>
      </w:r>
      <w:r w:rsidRPr="000D3432">
        <w:rPr>
          <w:rStyle w:val="Refdenotaalpie"/>
          <w:rFonts w:asciiTheme="minorHAnsi" w:hAnsiTheme="minorHAnsi"/>
          <w:sz w:val="24"/>
          <w:szCs w:val="24"/>
        </w:rPr>
        <w:footnoteReference w:id="28"/>
      </w:r>
    </w:p>
    <w:p w14:paraId="369A4FBC" w14:textId="77777777" w:rsidR="001925CE" w:rsidRPr="000D3432" w:rsidRDefault="001925CE" w:rsidP="00A95498">
      <w:pPr>
        <w:ind w:left="708"/>
        <w:jc w:val="both"/>
        <w:rPr>
          <w:rFonts w:asciiTheme="minorHAnsi" w:hAnsiTheme="minorHAnsi"/>
          <w:szCs w:val="24"/>
        </w:rPr>
      </w:pPr>
    </w:p>
    <w:p w14:paraId="58F1BA55" w14:textId="77777777" w:rsidR="001925CE" w:rsidRPr="000D3432" w:rsidRDefault="001925CE" w:rsidP="00A95498">
      <w:pPr>
        <w:ind w:left="708"/>
        <w:jc w:val="both"/>
        <w:rPr>
          <w:rFonts w:asciiTheme="minorHAnsi" w:hAnsiTheme="minorHAnsi"/>
          <w:szCs w:val="24"/>
        </w:rPr>
      </w:pPr>
      <w:r w:rsidRPr="000D3432">
        <w:rPr>
          <w:rFonts w:asciiTheme="minorHAnsi" w:hAnsiTheme="minorHAnsi"/>
          <w:szCs w:val="24"/>
        </w:rPr>
        <w:t>“Toda filosofía del Derecho forma parte de una determinada filosofía general, puesto que ofrece reflexiones filosóficas acerca de los fundamentos generales del derecho. (…)</w:t>
      </w:r>
    </w:p>
    <w:p w14:paraId="4C864351" w14:textId="77777777" w:rsidR="001925CE" w:rsidRPr="000D3432" w:rsidRDefault="001925CE" w:rsidP="00A95498">
      <w:pPr>
        <w:ind w:left="708"/>
        <w:jc w:val="both"/>
        <w:rPr>
          <w:rFonts w:asciiTheme="minorHAnsi" w:hAnsiTheme="minorHAnsi"/>
          <w:szCs w:val="24"/>
        </w:rPr>
      </w:pPr>
      <w:r w:rsidRPr="000D3432">
        <w:rPr>
          <w:rFonts w:asciiTheme="minorHAnsi" w:hAnsiTheme="minorHAnsi"/>
          <w:szCs w:val="24"/>
        </w:rPr>
        <w:t xml:space="preserve">(…)es dudosa la idea expresada con frecuencia por los abogados de tipo más práctico, de que la ley no involucra una filosofía del derecho. Porque la ley consiste en declaraciones o enunciados expresados verbalmente, y tales declaraciones, comúnmente llamadas juicios -que en derecho son, netamente, juicios normativos-, dan lugar a una clase de cuestiones filosóficas generales, de significación para tales juicios.” </w:t>
      </w:r>
    </w:p>
    <w:p w14:paraId="55D15E9B" w14:textId="77777777" w:rsidR="001925CE" w:rsidRPr="000D3432" w:rsidRDefault="001925CE" w:rsidP="00A95498">
      <w:pPr>
        <w:ind w:left="708"/>
        <w:jc w:val="right"/>
        <w:rPr>
          <w:rFonts w:asciiTheme="minorHAnsi" w:hAnsiTheme="minorHAnsi"/>
          <w:szCs w:val="24"/>
          <w:lang w:val="es-ES_tradnl"/>
        </w:rPr>
      </w:pPr>
      <w:r w:rsidRPr="000D3432">
        <w:rPr>
          <w:rFonts w:asciiTheme="minorHAnsi" w:hAnsiTheme="minorHAnsi"/>
          <w:szCs w:val="24"/>
          <w:lang w:val="es-ES_tradnl"/>
        </w:rPr>
        <w:t>C.J. Friedrich.</w:t>
      </w:r>
    </w:p>
    <w:p w14:paraId="5C273487" w14:textId="77777777" w:rsidR="001925CE" w:rsidRPr="000D3432" w:rsidRDefault="001925CE" w:rsidP="00A95498">
      <w:pPr>
        <w:ind w:left="708"/>
        <w:jc w:val="both"/>
        <w:rPr>
          <w:rFonts w:asciiTheme="minorHAnsi" w:hAnsiTheme="minorHAnsi"/>
          <w:szCs w:val="24"/>
          <w:lang w:val="es-ES_tradnl"/>
        </w:rPr>
      </w:pPr>
    </w:p>
    <w:p w14:paraId="6716FF2D" w14:textId="77777777" w:rsidR="001925CE" w:rsidRPr="000D3432" w:rsidRDefault="001925CE" w:rsidP="00A95498">
      <w:pPr>
        <w:ind w:left="708"/>
        <w:jc w:val="both"/>
        <w:rPr>
          <w:rFonts w:asciiTheme="minorHAnsi" w:hAnsiTheme="minorHAnsi"/>
          <w:szCs w:val="24"/>
        </w:rPr>
      </w:pPr>
      <w:r w:rsidRPr="000D3432">
        <w:rPr>
          <w:rFonts w:asciiTheme="minorHAnsi" w:hAnsiTheme="minorHAnsi"/>
          <w:szCs w:val="24"/>
        </w:rPr>
        <w:t xml:space="preserve">“El jusfilósofo -filósofo del Derecho- no se interesa por las interioridades de la ciencia. Se inquieta por encontrar los supuestos de validez universal que hacen posible la ciencia, por la determinación ontológica del Derecho, por el estudio del pensamiento jurídico. Ante una figura jurídica no se preocupa por analizarla cómo la encuentra en el ordenamiento, sino que indaga por su ‘cómo debe ser’, por la justicia o injusticia que encarna.” </w:t>
      </w:r>
    </w:p>
    <w:p w14:paraId="78483CE8" w14:textId="77777777" w:rsidR="001925CE" w:rsidRPr="000D3432" w:rsidRDefault="001925CE" w:rsidP="00A95498">
      <w:pPr>
        <w:ind w:left="708"/>
        <w:jc w:val="both"/>
        <w:rPr>
          <w:rFonts w:asciiTheme="minorHAnsi" w:hAnsiTheme="minorHAnsi"/>
          <w:szCs w:val="24"/>
        </w:rPr>
      </w:pPr>
      <w:r w:rsidRPr="000D3432">
        <w:rPr>
          <w:rFonts w:asciiTheme="minorHAnsi" w:hAnsiTheme="minorHAnsi"/>
          <w:szCs w:val="24"/>
        </w:rPr>
        <w:t>Carlos Fernández Sessarego.</w:t>
      </w:r>
      <w:r w:rsidRPr="000D3432">
        <w:rPr>
          <w:rStyle w:val="Refdenotaalpie"/>
          <w:rFonts w:asciiTheme="minorHAnsi" w:hAnsiTheme="minorHAnsi"/>
          <w:sz w:val="24"/>
          <w:szCs w:val="24"/>
        </w:rPr>
        <w:footnoteReference w:id="29"/>
      </w:r>
    </w:p>
    <w:p w14:paraId="06558F24" w14:textId="77777777" w:rsidR="001925CE" w:rsidRPr="000D3432" w:rsidRDefault="001925CE" w:rsidP="00A95498">
      <w:pPr>
        <w:jc w:val="both"/>
        <w:rPr>
          <w:rFonts w:asciiTheme="minorHAnsi" w:hAnsiTheme="minorHAnsi"/>
          <w:szCs w:val="24"/>
        </w:rPr>
      </w:pPr>
    </w:p>
    <w:p w14:paraId="1B60F920"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III.- JUSTIFICACIÓN DE LA FILOSOFÍA:</w:t>
      </w:r>
    </w:p>
    <w:p w14:paraId="7241F812" w14:textId="77777777" w:rsidR="001925CE" w:rsidRPr="000D3432" w:rsidRDefault="001925CE" w:rsidP="00A95498">
      <w:pPr>
        <w:jc w:val="both"/>
        <w:rPr>
          <w:rFonts w:asciiTheme="minorHAnsi" w:hAnsiTheme="minorHAnsi"/>
          <w:szCs w:val="24"/>
        </w:rPr>
      </w:pPr>
    </w:p>
    <w:p w14:paraId="67D6B44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Para entender la justificación de la Filosofía podríamos discernir sobre si es “</w:t>
      </w:r>
      <w:r w:rsidRPr="000D3432">
        <w:rPr>
          <w:rFonts w:asciiTheme="minorHAnsi" w:hAnsiTheme="minorHAnsi"/>
          <w:i/>
          <w:szCs w:val="24"/>
        </w:rPr>
        <w:t xml:space="preserve">conveniente </w:t>
      </w:r>
      <w:r w:rsidRPr="000D3432">
        <w:rPr>
          <w:rFonts w:asciiTheme="minorHAnsi" w:hAnsiTheme="minorHAnsi"/>
          <w:szCs w:val="24"/>
        </w:rPr>
        <w:t xml:space="preserve">en términos prácticos y </w:t>
      </w:r>
      <w:r w:rsidRPr="000D3432">
        <w:rPr>
          <w:rFonts w:asciiTheme="minorHAnsi" w:hAnsiTheme="minorHAnsi"/>
          <w:i/>
          <w:szCs w:val="24"/>
        </w:rPr>
        <w:t>necesaria</w:t>
      </w:r>
      <w:r w:rsidRPr="000D3432">
        <w:rPr>
          <w:rFonts w:asciiTheme="minorHAnsi" w:hAnsiTheme="minorHAnsi"/>
          <w:szCs w:val="24"/>
        </w:rPr>
        <w:t xml:space="preserve"> en términos teóricos”. Poder saber “en cuanto a su </w:t>
      </w:r>
      <w:r w:rsidRPr="000D3432">
        <w:rPr>
          <w:rFonts w:asciiTheme="minorHAnsi" w:hAnsiTheme="minorHAnsi"/>
          <w:i/>
          <w:szCs w:val="24"/>
        </w:rPr>
        <w:t xml:space="preserve">conveniencia </w:t>
      </w:r>
      <w:r w:rsidRPr="000D3432">
        <w:rPr>
          <w:rFonts w:asciiTheme="minorHAnsi" w:hAnsiTheme="minorHAnsi"/>
          <w:szCs w:val="24"/>
        </w:rPr>
        <w:t xml:space="preserve">: ¿qué tan conveniente es (…)?, es decir, ¿para qué sirve?; </w:t>
      </w:r>
      <w:r w:rsidRPr="000D3432">
        <w:rPr>
          <w:rFonts w:asciiTheme="minorHAnsi" w:hAnsiTheme="minorHAnsi"/>
          <w:i/>
          <w:szCs w:val="24"/>
        </w:rPr>
        <w:t>relevancia</w:t>
      </w:r>
      <w:r w:rsidRPr="000D3432">
        <w:rPr>
          <w:rFonts w:asciiTheme="minorHAnsi" w:hAnsiTheme="minorHAnsi"/>
          <w:szCs w:val="24"/>
        </w:rPr>
        <w:t xml:space="preserve">: ¿cuál es su trascendencia para la sociedad?, ¿quiénes se beneficiarán con los resultados de la investigación?, ¿de qué modo? ; </w:t>
      </w:r>
      <w:r w:rsidRPr="000D3432">
        <w:rPr>
          <w:rFonts w:asciiTheme="minorHAnsi" w:hAnsiTheme="minorHAnsi"/>
          <w:i/>
          <w:szCs w:val="24"/>
        </w:rPr>
        <w:t>implicaciones prácticas:</w:t>
      </w:r>
      <w:r w:rsidRPr="000D3432">
        <w:rPr>
          <w:rFonts w:asciiTheme="minorHAnsi" w:hAnsiTheme="minorHAnsi"/>
          <w:szCs w:val="24"/>
        </w:rPr>
        <w:t xml:space="preserve"> ¿ayudará a resolver algún problema práctico?; </w:t>
      </w:r>
      <w:r w:rsidRPr="000D3432">
        <w:rPr>
          <w:rFonts w:asciiTheme="minorHAnsi" w:hAnsiTheme="minorHAnsi"/>
          <w:i/>
          <w:szCs w:val="24"/>
        </w:rPr>
        <w:t>valor teórico:</w:t>
      </w:r>
      <w:r w:rsidRPr="000D3432">
        <w:rPr>
          <w:rFonts w:asciiTheme="minorHAnsi" w:hAnsiTheme="minorHAnsi"/>
          <w:szCs w:val="24"/>
        </w:rPr>
        <w:t xml:space="preserve"> ¿se llenará algún vacío del conocimiento?, ¿se podrán generalizar los resultados a principios más amplios?, ¿la información que se obtenga puede </w:t>
      </w:r>
      <w:r w:rsidRPr="000D3432">
        <w:rPr>
          <w:rFonts w:asciiTheme="minorHAnsi" w:hAnsiTheme="minorHAnsi"/>
          <w:szCs w:val="24"/>
        </w:rPr>
        <w:lastRenderedPageBreak/>
        <w:t xml:space="preserve">servir para comentar, desarrollar o apoyar una teoría?, ¿ofrece la posibilidad de una exploración fructífera de algún fenómeno (…) ; </w:t>
      </w:r>
      <w:r w:rsidRPr="000D3432">
        <w:rPr>
          <w:rFonts w:asciiTheme="minorHAnsi" w:hAnsiTheme="minorHAnsi"/>
          <w:i/>
          <w:szCs w:val="24"/>
        </w:rPr>
        <w:t xml:space="preserve"> utilidad metódica:</w:t>
      </w:r>
      <w:r w:rsidRPr="000D3432">
        <w:rPr>
          <w:rFonts w:asciiTheme="minorHAnsi" w:hAnsiTheme="minorHAnsi"/>
          <w:szCs w:val="24"/>
        </w:rPr>
        <w:t xml:space="preserve"> (…) sugiere cómo estudiar más adecuadamente un fenómeno?”</w:t>
      </w:r>
      <w:r w:rsidRPr="000D3432">
        <w:rPr>
          <w:rStyle w:val="Refdenotaalpie"/>
          <w:rFonts w:asciiTheme="minorHAnsi" w:hAnsiTheme="minorHAnsi"/>
          <w:sz w:val="24"/>
          <w:szCs w:val="24"/>
        </w:rPr>
        <w:footnoteReference w:id="30"/>
      </w:r>
      <w:r w:rsidRPr="000D3432">
        <w:rPr>
          <w:rFonts w:asciiTheme="minorHAnsi" w:hAnsiTheme="minorHAnsi"/>
          <w:szCs w:val="24"/>
        </w:rPr>
        <w:t xml:space="preserve"> Estas que son unas proposiciones para hacer una investigación jurídica, sirven también para intentar una visión sobre la justificación de la Filosofía del Derecho. Lo primero a hacer, es luego, hacernos las preguntas arriba enumeradas y si la Filosofía del Derecho cumple con éstas.</w:t>
      </w:r>
    </w:p>
    <w:p w14:paraId="32CE5392" w14:textId="77777777" w:rsidR="001925CE" w:rsidRPr="000D3432" w:rsidRDefault="001925CE" w:rsidP="00A95498">
      <w:pPr>
        <w:jc w:val="both"/>
        <w:rPr>
          <w:rFonts w:asciiTheme="minorHAnsi" w:hAnsiTheme="minorHAnsi"/>
          <w:szCs w:val="24"/>
        </w:rPr>
      </w:pPr>
    </w:p>
    <w:p w14:paraId="3068CAB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Una justificación es siempre decir el porqué de la importancia de algo. Es lo que sirve de fundamento, de base, de sostén para la existencia de algo. Algunos autores como Juan Manuel Teran piensan que no existe una justificación para la Filosofía, no al menos desde el punto de vista práctico.</w:t>
      </w:r>
      <w:r w:rsidRPr="000D3432">
        <w:rPr>
          <w:rStyle w:val="Refdenotaalpie"/>
          <w:rFonts w:asciiTheme="minorHAnsi" w:hAnsiTheme="minorHAnsi"/>
          <w:sz w:val="24"/>
          <w:szCs w:val="24"/>
        </w:rPr>
        <w:footnoteReference w:id="31"/>
      </w:r>
      <w:r w:rsidRPr="000D3432">
        <w:rPr>
          <w:rFonts w:asciiTheme="minorHAnsi" w:hAnsiTheme="minorHAnsi"/>
          <w:szCs w:val="24"/>
        </w:rPr>
        <w:t xml:space="preserve"> Eso significa, según el mismo autor, primero: a) que el Derecho “no puede justificarse como una disciplina que prepare para la técnica profesional de jurista”</w:t>
      </w:r>
      <w:r w:rsidRPr="000D3432">
        <w:rPr>
          <w:rStyle w:val="Refdenotaalpie"/>
          <w:rFonts w:asciiTheme="minorHAnsi" w:hAnsiTheme="minorHAnsi"/>
          <w:sz w:val="24"/>
          <w:szCs w:val="24"/>
        </w:rPr>
        <w:footnoteReference w:id="32"/>
      </w:r>
      <w:r w:rsidRPr="000D3432">
        <w:rPr>
          <w:rFonts w:asciiTheme="minorHAnsi" w:hAnsiTheme="minorHAnsi"/>
          <w:szCs w:val="24"/>
        </w:rPr>
        <w:t xml:space="preserve">; b) Que “no se puede pretender que tenga una utilidad directa para aumentar los conocimientos de las ramas del derecho positivos; c) Desde este punto de vista, con razón se la califica de inadecuada e inútil para las necesidades de la vida jurídica; d) La justificación de su estudio consiste en que la </w:t>
      </w:r>
      <w:r w:rsidRPr="000D3432">
        <w:rPr>
          <w:rFonts w:asciiTheme="minorHAnsi" w:hAnsiTheme="minorHAnsi"/>
          <w:i/>
          <w:szCs w:val="24"/>
        </w:rPr>
        <w:t xml:space="preserve">Jurisprudencia técnica es insuficiente para dar unidad de visión a los estudios mismos del derecho positivo; y </w:t>
      </w:r>
      <w:r w:rsidRPr="000D3432">
        <w:rPr>
          <w:rFonts w:asciiTheme="minorHAnsi" w:hAnsiTheme="minorHAnsi"/>
          <w:szCs w:val="24"/>
        </w:rPr>
        <w:t>aún cuando en la técnica jurídica se conocen las ciencias jurídicas positivas, esa  técnica no encuentra justificación para sus fines; e) Para saber qué es la Jurisprudencia técnica, su sistema y estructura, y cuáles son sus fines, se necesita la Filosofía del Derecho.”</w:t>
      </w:r>
      <w:r w:rsidRPr="000D3432">
        <w:rPr>
          <w:rStyle w:val="Refdenotaalpie"/>
          <w:rFonts w:asciiTheme="minorHAnsi" w:hAnsiTheme="minorHAnsi"/>
          <w:sz w:val="24"/>
          <w:szCs w:val="24"/>
        </w:rPr>
        <w:footnoteReference w:id="33"/>
      </w:r>
    </w:p>
    <w:p w14:paraId="3F360E5F" w14:textId="77777777" w:rsidR="001925CE" w:rsidRPr="000D3432" w:rsidRDefault="001925CE" w:rsidP="00A95498">
      <w:pPr>
        <w:jc w:val="both"/>
        <w:rPr>
          <w:rFonts w:asciiTheme="minorHAnsi" w:hAnsiTheme="minorHAnsi"/>
          <w:szCs w:val="24"/>
        </w:rPr>
      </w:pPr>
    </w:p>
    <w:p w14:paraId="17D23352" w14:textId="77777777" w:rsidR="001925CE" w:rsidRPr="000D3432" w:rsidRDefault="001925CE" w:rsidP="00A95498">
      <w:pPr>
        <w:jc w:val="both"/>
        <w:rPr>
          <w:rFonts w:asciiTheme="minorHAnsi" w:hAnsiTheme="minorHAnsi"/>
          <w:szCs w:val="24"/>
        </w:rPr>
      </w:pPr>
    </w:p>
    <w:p w14:paraId="76079E5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Vamos a explicar el punto a) que el Derecho “no puede justificarse como una disciplina que prepare para la técnica profesional de jurista”. Eso significa que se considera la parte “técnica” del Derecho. Pero qué es esa técnica.</w:t>
      </w:r>
      <w:r w:rsidRPr="000D3432">
        <w:rPr>
          <w:rStyle w:val="Refdenotaalpie"/>
          <w:rFonts w:asciiTheme="minorHAnsi" w:hAnsiTheme="minorHAnsi"/>
          <w:sz w:val="24"/>
          <w:szCs w:val="24"/>
        </w:rPr>
        <w:footnoteReference w:id="34"/>
      </w:r>
      <w:r w:rsidRPr="000D3432">
        <w:rPr>
          <w:rFonts w:asciiTheme="minorHAnsi" w:hAnsiTheme="minorHAnsi"/>
          <w:szCs w:val="24"/>
        </w:rPr>
        <w:t xml:space="preserve"> Tenemos </w:t>
      </w:r>
      <w:r w:rsidRPr="000D3432">
        <w:rPr>
          <w:rFonts w:asciiTheme="minorHAnsi" w:hAnsiTheme="minorHAnsi"/>
          <w:szCs w:val="24"/>
        </w:rPr>
        <w:lastRenderedPageBreak/>
        <w:t>que determinar primero que en Derecho técnica es un método, una forma cómo conducir los actos humanos. “La técnica específica del derecho, que consiste -recordémoslo- en hacer seguir un acto de coacción visto como un mal a una conducta humana considerada como socialmente nociva, puede ser utilizada con miras a alcanzar no importa qué fin social, ya que el derecho no es un fin sino un medio. Desde este punto de vista, el derecho es una técnica de coacción social estrechamente ligada a un orden social que ella tiene por finalidad mantener.”</w:t>
      </w:r>
      <w:r w:rsidRPr="000D3432">
        <w:rPr>
          <w:rStyle w:val="Refdenotaalpie"/>
          <w:rFonts w:asciiTheme="minorHAnsi" w:hAnsiTheme="minorHAnsi"/>
          <w:sz w:val="24"/>
          <w:szCs w:val="24"/>
        </w:rPr>
        <w:footnoteReference w:id="35"/>
      </w:r>
      <w:r w:rsidRPr="000D3432">
        <w:rPr>
          <w:rFonts w:asciiTheme="minorHAnsi" w:hAnsiTheme="minorHAnsi"/>
          <w:szCs w:val="24"/>
        </w:rPr>
        <w:t>Pero a lo que se refiere Teran es que el Derecho no prepara al jurista, o en todo caso no prepara suficientemente al jurisconsulto para el “ejercicio” del Derecho; esto considerando que dentro de las técnicas sólo encuadramos al derecho adjetivo (códigos procesales) o incluso sustantivo (códigosciviles35). Eso supone que aprender las técnicas no son suficientes, no son totales, no son completas. Esto tiene que hacer referencia, necesariamente a las técnicas en el Derecho, que han sido definidas, según indica Máximo Pacheco, parafraseando a Aníbal Bascuñán Valdés, como “el conjunto de reglas y habilidades prácticas para la búsqueda o creación, la individualización, elaboración y aprovechamiento de las Fuentes de Conocimiento Jurídico y de las Fuentes Jurídicas, para la realización y superación de las Ciencias del Derecho y del Ordenamiento Jurídico Positivo”.</w:t>
      </w:r>
      <w:r w:rsidRPr="000D3432">
        <w:rPr>
          <w:rStyle w:val="Refdenotaalpie"/>
          <w:rFonts w:asciiTheme="minorHAnsi" w:hAnsiTheme="minorHAnsi"/>
          <w:sz w:val="24"/>
          <w:szCs w:val="24"/>
        </w:rPr>
        <w:footnoteReference w:id="36"/>
      </w:r>
    </w:p>
    <w:p w14:paraId="1D52495F" w14:textId="77777777" w:rsidR="001925CE" w:rsidRPr="000D3432" w:rsidRDefault="001925CE" w:rsidP="00A95498">
      <w:pPr>
        <w:jc w:val="both"/>
        <w:rPr>
          <w:rFonts w:asciiTheme="minorHAnsi" w:hAnsiTheme="minorHAnsi"/>
          <w:szCs w:val="24"/>
        </w:rPr>
      </w:pPr>
    </w:p>
    <w:p w14:paraId="78D58C5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Uno de los puntos más importantes es el de que la Filosofía del Derecho permite dar una unidad de visión al Derecho positivo. La filosofía del Derecho sirve, trascendentalmente para saber cuales son los fines del Derecho. Evaluarlos,  motivarlos,coadyuvarlos y probar si los conceptos positivos funcionan o no en cada realidad geográfica y espacial.</w:t>
      </w:r>
    </w:p>
    <w:p w14:paraId="3376B73C" w14:textId="77777777" w:rsidR="001925CE" w:rsidRPr="000D3432" w:rsidRDefault="001925CE" w:rsidP="00A95498">
      <w:pPr>
        <w:jc w:val="both"/>
        <w:rPr>
          <w:rFonts w:asciiTheme="minorHAnsi" w:hAnsiTheme="minorHAnsi"/>
          <w:szCs w:val="24"/>
        </w:rPr>
      </w:pPr>
    </w:p>
    <w:p w14:paraId="6C603E8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resto de cláusulas se explican por sí solas.</w:t>
      </w:r>
    </w:p>
    <w:p w14:paraId="434CAB8C" w14:textId="77777777" w:rsidR="001925CE" w:rsidRPr="000D3432" w:rsidRDefault="001925CE" w:rsidP="00A95498">
      <w:pPr>
        <w:jc w:val="both"/>
        <w:rPr>
          <w:rFonts w:asciiTheme="minorHAnsi" w:hAnsiTheme="minorHAnsi"/>
          <w:szCs w:val="24"/>
        </w:rPr>
      </w:pPr>
    </w:p>
    <w:p w14:paraId="6F5DEB4E"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0118FA30" w14:textId="77777777" w:rsidR="001925CE" w:rsidRPr="000D3432" w:rsidRDefault="001925CE" w:rsidP="00A95498">
      <w:pPr>
        <w:jc w:val="center"/>
        <w:rPr>
          <w:rFonts w:asciiTheme="minorHAnsi" w:hAnsiTheme="minorHAnsi"/>
          <w:b/>
          <w:szCs w:val="24"/>
        </w:rPr>
      </w:pPr>
    </w:p>
    <w:p w14:paraId="3642B7D0" w14:textId="77777777" w:rsidR="001925CE" w:rsidRPr="000D3432" w:rsidRDefault="001925CE" w:rsidP="00A95498">
      <w:pPr>
        <w:jc w:val="center"/>
        <w:rPr>
          <w:rFonts w:asciiTheme="minorHAnsi" w:hAnsiTheme="minorHAnsi"/>
          <w:b/>
          <w:szCs w:val="24"/>
        </w:rPr>
      </w:pPr>
    </w:p>
    <w:p w14:paraId="38927F21" w14:textId="77777777" w:rsidR="001925CE" w:rsidRPr="000D3432" w:rsidRDefault="001925CE" w:rsidP="00A95498">
      <w:pPr>
        <w:jc w:val="center"/>
        <w:rPr>
          <w:rFonts w:asciiTheme="minorHAnsi" w:hAnsiTheme="minorHAnsi"/>
          <w:b/>
          <w:szCs w:val="24"/>
        </w:rPr>
      </w:pPr>
    </w:p>
    <w:p w14:paraId="6723EEC0" w14:textId="77777777" w:rsidR="001925CE" w:rsidRPr="000D3432" w:rsidRDefault="001925CE" w:rsidP="00A95498">
      <w:pPr>
        <w:jc w:val="center"/>
        <w:rPr>
          <w:rFonts w:asciiTheme="minorHAnsi" w:hAnsiTheme="minorHAnsi"/>
          <w:b/>
          <w:szCs w:val="24"/>
        </w:rPr>
      </w:pPr>
    </w:p>
    <w:p w14:paraId="688B2CD1" w14:textId="77777777" w:rsidR="001925CE" w:rsidRPr="000D3432" w:rsidRDefault="001925CE" w:rsidP="00A95498">
      <w:pPr>
        <w:jc w:val="center"/>
        <w:rPr>
          <w:rFonts w:asciiTheme="minorHAnsi" w:hAnsiTheme="minorHAnsi"/>
          <w:b/>
          <w:szCs w:val="24"/>
        </w:rPr>
      </w:pPr>
    </w:p>
    <w:p w14:paraId="3E432B70" w14:textId="77777777" w:rsidR="001925CE" w:rsidRPr="000D3432" w:rsidRDefault="001925CE" w:rsidP="00A95498">
      <w:pPr>
        <w:jc w:val="center"/>
        <w:rPr>
          <w:rFonts w:asciiTheme="minorHAnsi" w:hAnsiTheme="minorHAnsi"/>
          <w:b/>
          <w:szCs w:val="24"/>
        </w:rPr>
      </w:pPr>
    </w:p>
    <w:p w14:paraId="31E6358A" w14:textId="77777777" w:rsidR="001925CE" w:rsidRPr="000D3432" w:rsidRDefault="001925CE" w:rsidP="00A95498">
      <w:pPr>
        <w:jc w:val="center"/>
        <w:rPr>
          <w:rFonts w:asciiTheme="minorHAnsi" w:hAnsiTheme="minorHAnsi"/>
          <w:b/>
          <w:szCs w:val="24"/>
        </w:rPr>
      </w:pPr>
    </w:p>
    <w:p w14:paraId="08539D03" w14:textId="77777777" w:rsidR="00D4423A" w:rsidRPr="000D3432" w:rsidRDefault="00D4423A" w:rsidP="00A95498">
      <w:pPr>
        <w:jc w:val="center"/>
        <w:rPr>
          <w:rFonts w:asciiTheme="minorHAnsi" w:hAnsiTheme="minorHAnsi"/>
          <w:b/>
          <w:szCs w:val="24"/>
        </w:rPr>
      </w:pPr>
    </w:p>
    <w:p w14:paraId="0ABB3963" w14:textId="77777777" w:rsidR="00D4423A" w:rsidRPr="000D3432" w:rsidRDefault="00D4423A" w:rsidP="00A95498">
      <w:pPr>
        <w:jc w:val="center"/>
        <w:rPr>
          <w:rFonts w:asciiTheme="minorHAnsi" w:hAnsiTheme="minorHAnsi"/>
          <w:b/>
          <w:szCs w:val="24"/>
        </w:rPr>
      </w:pPr>
    </w:p>
    <w:p w14:paraId="4B952E68" w14:textId="77777777" w:rsidR="00D4423A" w:rsidRPr="000D3432" w:rsidRDefault="00D4423A" w:rsidP="00A95498">
      <w:pPr>
        <w:jc w:val="center"/>
        <w:rPr>
          <w:rFonts w:asciiTheme="minorHAnsi" w:hAnsiTheme="minorHAnsi"/>
          <w:b/>
          <w:szCs w:val="24"/>
        </w:rPr>
      </w:pPr>
    </w:p>
    <w:p w14:paraId="67A0BE68" w14:textId="77777777" w:rsidR="001925CE" w:rsidRPr="000D3432" w:rsidRDefault="001925CE" w:rsidP="00A95498">
      <w:pPr>
        <w:jc w:val="center"/>
        <w:rPr>
          <w:rFonts w:asciiTheme="minorHAnsi" w:hAnsiTheme="minorHAnsi"/>
          <w:b/>
          <w:szCs w:val="24"/>
        </w:rPr>
      </w:pPr>
    </w:p>
    <w:p w14:paraId="1CB57C5E"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SEGUNDO BLOQUE</w:t>
      </w:r>
    </w:p>
    <w:p w14:paraId="7970DACB"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LA CONCEPCIÓN DEL DERECHO</w:t>
      </w:r>
    </w:p>
    <w:p w14:paraId="798683DF" w14:textId="77777777" w:rsidR="001925CE" w:rsidRPr="000D3432" w:rsidRDefault="001925CE" w:rsidP="00A95498">
      <w:pPr>
        <w:jc w:val="center"/>
        <w:rPr>
          <w:rFonts w:asciiTheme="minorHAnsi" w:hAnsiTheme="minorHAnsi" w:cs="Arial"/>
          <w:szCs w:val="24"/>
        </w:rPr>
      </w:pPr>
      <w:r w:rsidRPr="000D3432">
        <w:rPr>
          <w:rFonts w:asciiTheme="minorHAnsi" w:hAnsiTheme="minorHAnsi" w:cs="Arial"/>
          <w:szCs w:val="24"/>
        </w:rPr>
        <w:t>(La Anticoncepción del Derecho...)</w:t>
      </w:r>
    </w:p>
    <w:p w14:paraId="387DF208" w14:textId="77777777" w:rsidR="001925CE" w:rsidRPr="000D3432" w:rsidRDefault="001925CE" w:rsidP="00A95498">
      <w:pPr>
        <w:jc w:val="both"/>
        <w:rPr>
          <w:rFonts w:asciiTheme="minorHAnsi" w:hAnsiTheme="minorHAnsi" w:cs="Arial"/>
          <w:b/>
          <w:szCs w:val="24"/>
        </w:rPr>
      </w:pPr>
    </w:p>
    <w:p w14:paraId="456C4B2E" w14:textId="77777777" w:rsidR="001925CE" w:rsidRPr="000D3432" w:rsidRDefault="001925CE" w:rsidP="00A95498">
      <w:pPr>
        <w:jc w:val="center"/>
        <w:rPr>
          <w:rFonts w:asciiTheme="minorHAnsi" w:hAnsiTheme="minorHAnsi" w:cs="Arial"/>
          <w:b/>
          <w:szCs w:val="24"/>
        </w:rPr>
      </w:pPr>
    </w:p>
    <w:p w14:paraId="668CF887" w14:textId="77777777" w:rsidR="001925CE" w:rsidRPr="000D3432" w:rsidRDefault="001925CE" w:rsidP="00A95498">
      <w:pPr>
        <w:jc w:val="center"/>
        <w:rPr>
          <w:rFonts w:asciiTheme="minorHAnsi" w:hAnsiTheme="minorHAnsi"/>
          <w:b/>
          <w:szCs w:val="24"/>
        </w:rPr>
      </w:pPr>
    </w:p>
    <w:p w14:paraId="4927448F" w14:textId="77777777" w:rsidR="001925CE" w:rsidRPr="000D3432" w:rsidRDefault="001925CE" w:rsidP="00A95498">
      <w:pPr>
        <w:jc w:val="center"/>
        <w:rPr>
          <w:rFonts w:asciiTheme="minorHAnsi" w:hAnsiTheme="minorHAnsi"/>
          <w:b/>
          <w:szCs w:val="24"/>
        </w:rPr>
      </w:pPr>
    </w:p>
    <w:p w14:paraId="027E02E9" w14:textId="77777777" w:rsidR="001925CE" w:rsidRPr="000D3432" w:rsidRDefault="001925CE" w:rsidP="00A95498">
      <w:pPr>
        <w:jc w:val="center"/>
        <w:rPr>
          <w:rFonts w:asciiTheme="minorHAnsi" w:hAnsiTheme="minorHAnsi"/>
          <w:b/>
          <w:szCs w:val="24"/>
        </w:rPr>
      </w:pPr>
    </w:p>
    <w:p w14:paraId="374259C5"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077AAC18" w14:textId="77777777" w:rsidR="001925CE" w:rsidRPr="000D3432" w:rsidRDefault="001925CE" w:rsidP="00A95498">
      <w:pPr>
        <w:jc w:val="center"/>
        <w:rPr>
          <w:rFonts w:asciiTheme="minorHAnsi" w:hAnsiTheme="minorHAnsi"/>
          <w:b/>
          <w:szCs w:val="24"/>
        </w:rPr>
      </w:pPr>
    </w:p>
    <w:p w14:paraId="0828D0D1" w14:textId="77777777" w:rsidR="001925CE" w:rsidRPr="000D3432" w:rsidRDefault="001925CE" w:rsidP="00A95498">
      <w:pPr>
        <w:jc w:val="center"/>
        <w:rPr>
          <w:rFonts w:asciiTheme="minorHAnsi" w:hAnsiTheme="minorHAnsi"/>
          <w:b/>
          <w:szCs w:val="24"/>
        </w:rPr>
      </w:pPr>
    </w:p>
    <w:p w14:paraId="20DF88F7" w14:textId="77777777" w:rsidR="001925CE" w:rsidRPr="000D3432" w:rsidRDefault="001925CE" w:rsidP="00A95498">
      <w:pPr>
        <w:jc w:val="center"/>
        <w:rPr>
          <w:rFonts w:asciiTheme="minorHAnsi" w:hAnsiTheme="minorHAnsi"/>
          <w:b/>
          <w:szCs w:val="24"/>
        </w:rPr>
      </w:pPr>
    </w:p>
    <w:p w14:paraId="3A96378F" w14:textId="77777777" w:rsidR="001925CE" w:rsidRPr="000D3432" w:rsidRDefault="001925CE" w:rsidP="00A95498">
      <w:pPr>
        <w:jc w:val="center"/>
        <w:rPr>
          <w:rFonts w:asciiTheme="minorHAnsi" w:hAnsiTheme="minorHAnsi"/>
          <w:b/>
          <w:szCs w:val="24"/>
          <w:u w:val="single"/>
        </w:rPr>
      </w:pPr>
    </w:p>
    <w:p w14:paraId="2FDE3BE5" w14:textId="77777777" w:rsidR="001925CE" w:rsidRPr="000D3432" w:rsidRDefault="001925CE" w:rsidP="00A95498">
      <w:pPr>
        <w:jc w:val="center"/>
        <w:rPr>
          <w:rFonts w:asciiTheme="minorHAnsi" w:hAnsiTheme="minorHAnsi"/>
          <w:b/>
          <w:szCs w:val="24"/>
          <w:u w:val="single"/>
        </w:rPr>
      </w:pPr>
    </w:p>
    <w:p w14:paraId="7BAC9CF3" w14:textId="77777777" w:rsidR="001925CE" w:rsidRPr="000D3432" w:rsidRDefault="001925CE" w:rsidP="00A95498">
      <w:pPr>
        <w:jc w:val="center"/>
        <w:rPr>
          <w:rFonts w:asciiTheme="minorHAnsi" w:hAnsiTheme="minorHAnsi"/>
          <w:b/>
          <w:szCs w:val="24"/>
          <w:u w:val="single"/>
        </w:rPr>
      </w:pPr>
    </w:p>
    <w:p w14:paraId="280E1189" w14:textId="77777777" w:rsidR="001925CE" w:rsidRPr="000D3432" w:rsidRDefault="001925CE" w:rsidP="00A95498">
      <w:pPr>
        <w:jc w:val="center"/>
        <w:rPr>
          <w:rFonts w:asciiTheme="minorHAnsi" w:hAnsiTheme="minorHAnsi"/>
          <w:b/>
          <w:szCs w:val="24"/>
          <w:u w:val="single"/>
        </w:rPr>
      </w:pPr>
    </w:p>
    <w:p w14:paraId="3EC386F7" w14:textId="77777777" w:rsidR="001925CE" w:rsidRPr="000D3432" w:rsidRDefault="001925CE" w:rsidP="00A95498">
      <w:pPr>
        <w:jc w:val="center"/>
        <w:rPr>
          <w:rFonts w:asciiTheme="minorHAnsi" w:hAnsiTheme="minorHAnsi"/>
          <w:b/>
          <w:szCs w:val="24"/>
          <w:u w:val="single"/>
        </w:rPr>
      </w:pPr>
    </w:p>
    <w:p w14:paraId="6E1D9588" w14:textId="77777777" w:rsidR="001925CE" w:rsidRPr="000D3432" w:rsidRDefault="001925CE" w:rsidP="00A95498">
      <w:pPr>
        <w:jc w:val="center"/>
        <w:rPr>
          <w:rFonts w:asciiTheme="minorHAnsi" w:hAnsiTheme="minorHAnsi"/>
          <w:b/>
          <w:szCs w:val="24"/>
          <w:u w:val="single"/>
        </w:rPr>
      </w:pPr>
      <w:r w:rsidRPr="000D3432">
        <w:rPr>
          <w:rFonts w:asciiTheme="minorHAnsi" w:hAnsiTheme="minorHAnsi"/>
          <w:b/>
          <w:szCs w:val="24"/>
          <w:u w:val="single"/>
        </w:rPr>
        <w:t>SEGUNDO BLOQUE</w:t>
      </w:r>
    </w:p>
    <w:p w14:paraId="7FFE8082"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LA CONCEPCIÓN DEL DERECHO</w:t>
      </w:r>
    </w:p>
    <w:p w14:paraId="6194F00A" w14:textId="77777777" w:rsidR="001925CE" w:rsidRPr="000D3432" w:rsidRDefault="001925CE" w:rsidP="00A95498">
      <w:pPr>
        <w:jc w:val="center"/>
        <w:rPr>
          <w:rFonts w:asciiTheme="minorHAnsi" w:hAnsiTheme="minorHAnsi" w:cs="Arial"/>
          <w:szCs w:val="24"/>
        </w:rPr>
      </w:pPr>
      <w:r w:rsidRPr="000D3432">
        <w:rPr>
          <w:rFonts w:asciiTheme="minorHAnsi" w:hAnsiTheme="minorHAnsi" w:cs="Arial"/>
          <w:szCs w:val="24"/>
        </w:rPr>
        <w:t>(La Anticoncepción del Derecho...)</w:t>
      </w:r>
    </w:p>
    <w:p w14:paraId="29C9905E" w14:textId="77777777" w:rsidR="001925CE" w:rsidRPr="000D3432" w:rsidRDefault="001925CE" w:rsidP="00A95498">
      <w:pPr>
        <w:jc w:val="center"/>
        <w:rPr>
          <w:rFonts w:asciiTheme="minorHAnsi" w:hAnsiTheme="minorHAnsi"/>
          <w:b/>
          <w:szCs w:val="24"/>
        </w:rPr>
      </w:pPr>
    </w:p>
    <w:p w14:paraId="34B42CBB" w14:textId="77777777" w:rsidR="001925CE" w:rsidRPr="000D3432" w:rsidRDefault="001925CE" w:rsidP="00A95498">
      <w:pPr>
        <w:jc w:val="center"/>
        <w:rPr>
          <w:rFonts w:asciiTheme="minorHAnsi" w:hAnsiTheme="minorHAnsi"/>
          <w:b/>
          <w:szCs w:val="24"/>
        </w:rPr>
      </w:pPr>
    </w:p>
    <w:p w14:paraId="7F24DFD1" w14:textId="77777777" w:rsidR="001925CE" w:rsidRPr="000D3432" w:rsidRDefault="001925CE" w:rsidP="00A95498">
      <w:pPr>
        <w:jc w:val="both"/>
        <w:rPr>
          <w:rFonts w:asciiTheme="minorHAnsi" w:hAnsiTheme="minorHAnsi"/>
          <w:b/>
          <w:szCs w:val="24"/>
        </w:rPr>
      </w:pPr>
    </w:p>
    <w:p w14:paraId="44AB459E" w14:textId="77777777" w:rsidR="001925CE" w:rsidRPr="000D3432" w:rsidRDefault="001925CE" w:rsidP="00A95498">
      <w:pPr>
        <w:jc w:val="both"/>
        <w:rPr>
          <w:rFonts w:asciiTheme="minorHAnsi" w:hAnsiTheme="minorHAnsi"/>
          <w:b/>
          <w:szCs w:val="24"/>
        </w:rPr>
      </w:pPr>
    </w:p>
    <w:p w14:paraId="799A9F6D"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 xml:space="preserve">- Generalidades: </w:t>
      </w:r>
    </w:p>
    <w:p w14:paraId="3BE3216B" w14:textId="77777777" w:rsidR="001925CE" w:rsidRPr="000D3432" w:rsidRDefault="001925CE" w:rsidP="00A95498">
      <w:pPr>
        <w:ind w:firstLine="426"/>
        <w:jc w:val="both"/>
        <w:rPr>
          <w:rFonts w:asciiTheme="minorHAnsi" w:hAnsiTheme="minorHAnsi"/>
          <w:szCs w:val="24"/>
        </w:rPr>
      </w:pPr>
    </w:p>
    <w:p w14:paraId="1385D36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Derecho siempre “misterioso” –como decía Galgano- y dinámico, debe, para madurar con libertad, ser iluminado y replanteado por aspectos contemporáneos, con acuciosos discursos jurídicos, que permitan conectar el mundo, las experiencias y/o prácticas jurídicas con las necesidades del hombre, de modo que generen ese encuentro entre norma y realidad. El Derecho tiene sed de ser lúcida lucha contra los obstáculos que impidan la libre convivencia de los hombres y sus intereses. El Derecho siempre ha hecho que las neuronas se sacudan, ha inventado soluciones constantemente, ha improvisado -sobre ciertos conceptos sociales, jurídicos, económicos, etc., formados o en formación- las respuestas a los problemas de conflictos de intereses, a la desconexión entre realidad teórica y realidad humana. </w:t>
      </w:r>
    </w:p>
    <w:p w14:paraId="100CB000" w14:textId="77777777" w:rsidR="001925CE" w:rsidRPr="000D3432" w:rsidRDefault="001925CE" w:rsidP="00A95498">
      <w:pPr>
        <w:ind w:firstLine="426"/>
        <w:jc w:val="both"/>
        <w:rPr>
          <w:rFonts w:asciiTheme="minorHAnsi" w:hAnsiTheme="minorHAnsi"/>
          <w:szCs w:val="24"/>
        </w:rPr>
      </w:pPr>
    </w:p>
    <w:p w14:paraId="51C8BAB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Derecho siempre aspirante a transformar el mundo en determinado orden (cósmico, divino, natural, positivista, etc.), ha devenido en soportarlo, hacerlo llevadero, o al menos a conectarlo con las exigencias humanas. El Derecho deslizándose en la atmósfera de la realidad, de la teoría, del discurso, de las prácticas y experiencias, ha advertido que para vivir no hay recetas, sólo caminos y decisiones a seguir y tomar; simulacros de orden (cómo los códigos, leyes, etc). El Derecho es un camino que conduce a todas partes, no es todas partes, es un medio que rastrea una suma de vivencias, para aclararlas, plantearlas y ordenarlas. Es un arma que han inventado los hombres para defenderse de la arbitrariedad, del infortunio, de la fosilización de la vida, del incierto, etc; es un medio que intenta afinar y mejorar los recursos expresivos de sus objetivos, la libertad y el respeto de los derechos del hombre, es la facultad de ejercer el Derecho a ser hombres o mujeres libres. </w:t>
      </w:r>
    </w:p>
    <w:p w14:paraId="1CAF68E7" w14:textId="77777777" w:rsidR="001925CE" w:rsidRPr="000D3432" w:rsidRDefault="001925CE" w:rsidP="00A95498">
      <w:pPr>
        <w:ind w:firstLine="426"/>
        <w:jc w:val="center"/>
        <w:rPr>
          <w:rFonts w:asciiTheme="minorHAnsi" w:hAnsiTheme="minorHAnsi"/>
          <w:szCs w:val="24"/>
        </w:rPr>
      </w:pPr>
      <w:r w:rsidRPr="000D3432">
        <w:rPr>
          <w:rFonts w:asciiTheme="minorHAnsi" w:hAnsiTheme="minorHAnsi"/>
          <w:szCs w:val="24"/>
        </w:rPr>
        <w:t>* * *</w:t>
      </w:r>
    </w:p>
    <w:p w14:paraId="105833C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explicar la concepción del Derecho desde esta perspectiva, usaremos, como elementos que se interconectaran determinados conceptos: Derecho, Orden, y Poder.</w:t>
      </w:r>
    </w:p>
    <w:p w14:paraId="22C6DBD8" w14:textId="77777777" w:rsidR="001925CE" w:rsidRPr="000D3432" w:rsidRDefault="001925CE" w:rsidP="00A95498">
      <w:pPr>
        <w:ind w:firstLine="426"/>
        <w:jc w:val="both"/>
        <w:rPr>
          <w:rFonts w:asciiTheme="minorHAnsi" w:hAnsiTheme="minorHAnsi"/>
          <w:szCs w:val="24"/>
        </w:rPr>
      </w:pPr>
    </w:p>
    <w:p w14:paraId="41ECA7B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Desde esta perspectiva intentaremos dar una visión general de lo que </w:t>
      </w:r>
      <w:r w:rsidRPr="000D3432">
        <w:rPr>
          <w:rFonts w:asciiTheme="minorHAnsi" w:hAnsiTheme="minorHAnsi"/>
          <w:szCs w:val="24"/>
        </w:rPr>
        <w:lastRenderedPageBreak/>
        <w:t xml:space="preserve">entendemos por Derecho. Darnos una noción clara de la “idea” que se tiene de lo que es Derecho. Tomaremos muy en cuenta cómo empezamos </w:t>
      </w:r>
      <w:r w:rsidRPr="000D3432">
        <w:rPr>
          <w:rFonts w:asciiTheme="minorHAnsi" w:hAnsiTheme="minorHAnsi"/>
          <w:szCs w:val="24"/>
        </w:rPr>
        <w:noBreakHyphen/>
        <w:t>con que idea de Derecho</w:t>
      </w:r>
      <w:r w:rsidRPr="000D3432">
        <w:rPr>
          <w:rFonts w:asciiTheme="minorHAnsi" w:hAnsiTheme="minorHAnsi"/>
          <w:szCs w:val="24"/>
        </w:rPr>
        <w:noBreakHyphen/>
        <w:t xml:space="preserve"> y cómo terminamos, que significará ratificar nuestras ideas (algunas), desvirtuarlas (otras), entender, aclarar, desmembrar otras más y darnos una nueva, renovada y pulida concepción del Derecho. Luego veremos el movimiento de los instrumentos del derecho  </w:t>
      </w:r>
      <w:r w:rsidRPr="000D3432">
        <w:rPr>
          <w:rFonts w:asciiTheme="minorHAnsi" w:hAnsiTheme="minorHAnsi"/>
          <w:szCs w:val="24"/>
        </w:rPr>
        <w:noBreakHyphen/>
        <w:t xml:space="preserve">es decir, aquellos que se utilizan para que éste funcione activamente en las relaciones jurídicas-, y todo ese conjunto de experiencias, prácticas, relaciones jurídicas, etc, que necesitan ser exigiblemente solucionadas para la convivencia y que sea necesaria la intervención de los órganos del Estado para solucionar esos conflictos de intereses. </w:t>
      </w:r>
    </w:p>
    <w:p w14:paraId="2EE9E9F3" w14:textId="77777777" w:rsidR="001925CE" w:rsidRPr="000D3432" w:rsidRDefault="001925CE" w:rsidP="00A95498">
      <w:pPr>
        <w:ind w:firstLine="426"/>
        <w:jc w:val="both"/>
        <w:rPr>
          <w:rFonts w:asciiTheme="minorHAnsi" w:hAnsiTheme="minorHAnsi"/>
          <w:szCs w:val="24"/>
        </w:rPr>
      </w:pPr>
    </w:p>
    <w:p w14:paraId="5EC0CF0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ámbito de nuestro estudio en esta perspectiva circulará en base a ciertos factores conceptuales: el Derecho, el Orden, y el Poder. Con esto pretendemos especular sobre la interrelación de estos factores como determinantes en la creación de nuestro sistema jurídico. Es decir, lo que haremos es estudiar el Derecho -como creación del Poder- que establece cierto orden jurídico, que crea la división de lo legal y lo ilegal. Queremos describir cómo el Derecho -a través del poder- crea el "bien" y el "mal", que traducidos a lenguaje jurídico sería más bien lo “legal” y lo “ilegal”, imponiéndolos a la sociedad con todas las justificantes jurídicas del bien común, determinando un cierto tipo de orden jurídico y social. </w:t>
      </w:r>
    </w:p>
    <w:p w14:paraId="25D3A294" w14:textId="77777777" w:rsidR="001925CE" w:rsidRPr="000D3432" w:rsidRDefault="001925CE" w:rsidP="00A95498">
      <w:pPr>
        <w:ind w:firstLine="426"/>
        <w:jc w:val="both"/>
        <w:rPr>
          <w:rFonts w:asciiTheme="minorHAnsi" w:hAnsiTheme="minorHAnsi"/>
          <w:szCs w:val="24"/>
        </w:rPr>
      </w:pPr>
    </w:p>
    <w:p w14:paraId="4310C97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Estos puntos, en concreto, nos interesan porque afectan directamente en la forma de comprender y actuar de los agentes que intervienen en la creación del Derecho y en los que practican el Derecho (que en realidad somos todos los que vivimos dentro de una sociedad, pero que en nuestra investigación delimitaremos a lo que hemos denominado “ámbito jurídico”); y porque nos dará pistas  para resolver -de alguna manera- los muchos “complejos jurídicos” que tenemos, que surgen del mal entendido de lo que significa la convivencia, conforme a ciertas normas que se suponen Derecho.</w:t>
      </w:r>
    </w:p>
    <w:p w14:paraId="760E329F" w14:textId="77777777" w:rsidR="001925CE" w:rsidRPr="000D3432" w:rsidRDefault="001925CE" w:rsidP="00A95498">
      <w:pPr>
        <w:ind w:firstLine="426"/>
        <w:jc w:val="both"/>
        <w:rPr>
          <w:rFonts w:asciiTheme="minorHAnsi" w:hAnsiTheme="minorHAnsi"/>
          <w:szCs w:val="24"/>
        </w:rPr>
      </w:pPr>
    </w:p>
    <w:p w14:paraId="19B8EDC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Empezaremos por delimitar los conceptos con que vamos a trabajar: Derecho, Orden, Poder, para plantearnos una clara proposición de la investigación. Hacemos la anotación de que, en este trabajo “delimitar” no significa, definir absoluta y dogmáticamente estos conceptos, sino establecer un margen, marco que me permita circular por ellos, y observar los lineamientos por los cuales enrumbo esta investigación, proponiendo esta investigación más bien como algo flexible y abierto a nuevas especulaciones y discursos teóricos. Puesto que no hay nada tan dinámico como el Derecho, y tratar de asentarlo en estructuras teóricas absolutas iría contra su propia naturaleza.</w:t>
      </w:r>
    </w:p>
    <w:p w14:paraId="6686DA69" w14:textId="77777777" w:rsidR="001925CE" w:rsidRPr="000D3432" w:rsidRDefault="001925CE" w:rsidP="00A95498">
      <w:pPr>
        <w:ind w:firstLine="426"/>
        <w:jc w:val="both"/>
        <w:rPr>
          <w:rFonts w:asciiTheme="minorHAnsi" w:hAnsiTheme="minorHAnsi"/>
          <w:szCs w:val="24"/>
        </w:rPr>
      </w:pPr>
    </w:p>
    <w:p w14:paraId="5E75D64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Conceptualizaremos sintéticamente: Derecho, Orden, Poder. Limitando mi investigación al ámbito jurídico de la ciudad de Tacna. Este ámbito jurídico engloba a los magistrados, abogados, docentes y universitarios en Derecho.</w:t>
      </w:r>
    </w:p>
    <w:p w14:paraId="69AAE784" w14:textId="77777777" w:rsidR="001925CE" w:rsidRPr="000D3432" w:rsidRDefault="001925CE" w:rsidP="00A95498">
      <w:pPr>
        <w:ind w:firstLine="426"/>
        <w:jc w:val="both"/>
        <w:rPr>
          <w:rFonts w:asciiTheme="minorHAnsi" w:hAnsiTheme="minorHAnsi"/>
          <w:szCs w:val="24"/>
        </w:rPr>
      </w:pPr>
    </w:p>
    <w:p w14:paraId="5C809ED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Luego analizaremos cómo estos conceptos han ido perfilándose, transmutándose, aniquilándose, complementándose, efectivizándose, etc.,  de </w:t>
      </w:r>
      <w:r w:rsidRPr="000D3432">
        <w:rPr>
          <w:rFonts w:asciiTheme="minorHAnsi" w:hAnsiTheme="minorHAnsi"/>
          <w:szCs w:val="24"/>
        </w:rPr>
        <w:lastRenderedPageBreak/>
        <w:t xml:space="preserve">acuerdo a los valores reinantes y al tipo de poder dominante. El curso que toman lo determina el saber dominante, o los dominios del saber vigente. </w:t>
      </w:r>
    </w:p>
    <w:p w14:paraId="4D5ADA40" w14:textId="77777777" w:rsidR="001925CE" w:rsidRPr="000D3432" w:rsidRDefault="001925CE" w:rsidP="00A95498">
      <w:pPr>
        <w:ind w:firstLine="426"/>
        <w:jc w:val="both"/>
        <w:rPr>
          <w:rFonts w:asciiTheme="minorHAnsi" w:hAnsiTheme="minorHAnsi"/>
          <w:szCs w:val="24"/>
        </w:rPr>
      </w:pPr>
    </w:p>
    <w:p w14:paraId="3173A6E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Después pretendemos verificar cómo la vida jurídica se ha movilizado a través del juego de estos conceptos como “factores” determinantes, directrices. Nada nuevo bajo el sol, sin embargo es de nuestro interés observar al Derecho en la concepción del mundo  dualista, concepción occidental que explica la existencia de dos extremos eternamente en contradicción.</w:t>
      </w:r>
    </w:p>
    <w:p w14:paraId="3CD7146F" w14:textId="77777777" w:rsidR="001925CE" w:rsidRPr="000D3432" w:rsidRDefault="001925CE" w:rsidP="00A95498">
      <w:pPr>
        <w:ind w:firstLine="426"/>
        <w:jc w:val="both"/>
        <w:rPr>
          <w:rFonts w:asciiTheme="minorHAnsi" w:hAnsiTheme="minorHAnsi"/>
          <w:szCs w:val="24"/>
        </w:rPr>
      </w:pPr>
    </w:p>
    <w:p w14:paraId="2237AD5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Así también nos preguntamos si ¿será cierto que lo que no cambia  es más bien el “poder”, que fluctúa de unas manos a otras, pero que sigue siendo poder?. ¿Es el poder como capacidad de afectar, motor creador del orden (Derecho) y del Caos (delincuencia) justificado o no, de acuerdo al momento histórico y su requerimiento?</w:t>
      </w:r>
    </w:p>
    <w:p w14:paraId="4D025D64" w14:textId="77777777" w:rsidR="001925CE" w:rsidRPr="000D3432" w:rsidRDefault="001925CE" w:rsidP="00A95498">
      <w:pPr>
        <w:ind w:firstLine="426"/>
        <w:jc w:val="both"/>
        <w:rPr>
          <w:rFonts w:asciiTheme="minorHAnsi" w:hAnsiTheme="minorHAnsi"/>
          <w:szCs w:val="24"/>
        </w:rPr>
      </w:pPr>
    </w:p>
    <w:p w14:paraId="6EC59D4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último, una vez planteados ciertos conceptos, intentaremos involucrarnos en el laberíntico mundo del fenómeno mental. Evidenciar la necesidad de elevar a categoría primaria la condición mental de los hombres respecto al mundo y sus representaciones jurídicas. De esta forma intentaremos mostrar el fenómeno de la asimilación de las influencias modernizantes con mentalidad y actos premodernos, lo que ha provocado, no sólo el colapso del mundo jurídico, sino la mala e ineficaz, y hasta nula, aplicación de los conceptos modernos en la vida jurídica de los hombres. Los procesos de cambio y renovación, la reformulación de la vida jurídica, para el progreso y desarrollo de las interrelaciones sociales ha fracasado. Ha habido, en esto un principal factor: la mentalidad actual, la condición mental del hombre de ser acrítico, premoderno</w:t>
      </w:r>
      <w:r w:rsidRPr="000D3432">
        <w:rPr>
          <w:rStyle w:val="Refdenotaalpie"/>
          <w:rFonts w:asciiTheme="minorHAnsi" w:hAnsiTheme="minorHAnsi"/>
          <w:sz w:val="24"/>
          <w:szCs w:val="24"/>
          <w:vertAlign w:val="superscript"/>
        </w:rPr>
        <w:footnoteReference w:id="37"/>
      </w:r>
      <w:r w:rsidRPr="000D3432">
        <w:rPr>
          <w:rFonts w:asciiTheme="minorHAnsi" w:hAnsiTheme="minorHAnsi"/>
          <w:szCs w:val="24"/>
        </w:rPr>
        <w:t xml:space="preserve">, pero su premodernidad no es absoluta, hay en él, en el hombre contemporáneo una mezcla conceptual descoordinada, inconexa. Es decir, no somos cien por ciento premodernos, ni tampoco cien por ciento modernos, y menos cien por ciento postmodernos. Somos más bien un mezcolanza de todo, una mala asimilación de todo. </w:t>
      </w:r>
    </w:p>
    <w:p w14:paraId="2E302987" w14:textId="77777777" w:rsidR="001925CE" w:rsidRPr="000D3432" w:rsidRDefault="001925CE" w:rsidP="00A95498">
      <w:pPr>
        <w:ind w:firstLine="426"/>
        <w:jc w:val="both"/>
        <w:rPr>
          <w:rFonts w:asciiTheme="minorHAnsi" w:hAnsiTheme="minorHAnsi"/>
          <w:szCs w:val="24"/>
        </w:rPr>
      </w:pPr>
    </w:p>
    <w:p w14:paraId="08B5ED7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 tal forma que se plantea la pregunta urgente de saber, al tener muy confusas las cosas, ¿cómo se presenta el Derecho?, ¿cómo se expresa?, ¿cómo lo asumimos y usamos? ¿Con qué tipo de concepción mental? Y ¿qué se puede hacer para salvar estas incongruencias?</w:t>
      </w:r>
    </w:p>
    <w:p w14:paraId="4662FA3E" w14:textId="77777777" w:rsidR="001925CE" w:rsidRPr="000D3432" w:rsidRDefault="001925CE" w:rsidP="00A95498">
      <w:pPr>
        <w:ind w:firstLine="426"/>
        <w:jc w:val="both"/>
        <w:rPr>
          <w:rFonts w:asciiTheme="minorHAnsi" w:hAnsiTheme="minorHAnsi"/>
          <w:szCs w:val="24"/>
        </w:rPr>
      </w:pPr>
    </w:p>
    <w:p w14:paraId="5E26EF7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Para darnos una primera visión, si el Derecho es una creación del hombre, que a través del poder ha establecido cierto orden, ¿cómo se produce el problema de la asimilación mental premoderna, mala asimilación de las </w:t>
      </w:r>
      <w:r w:rsidRPr="000D3432">
        <w:rPr>
          <w:rFonts w:asciiTheme="minorHAnsi" w:hAnsiTheme="minorHAnsi"/>
          <w:szCs w:val="24"/>
        </w:rPr>
        <w:lastRenderedPageBreak/>
        <w:t>influencias modernizantes en la práctica jurídica, que hacen ineficaz el planteamiento teórico de estas influencias modernizantes?</w:t>
      </w:r>
    </w:p>
    <w:p w14:paraId="16BDAB5C" w14:textId="77777777" w:rsidR="001925CE" w:rsidRPr="000D3432" w:rsidRDefault="001925CE" w:rsidP="00A95498">
      <w:pPr>
        <w:ind w:firstLine="426"/>
        <w:jc w:val="both"/>
        <w:rPr>
          <w:rFonts w:asciiTheme="minorHAnsi" w:hAnsiTheme="minorHAnsi"/>
          <w:szCs w:val="24"/>
        </w:rPr>
      </w:pPr>
    </w:p>
    <w:p w14:paraId="056396F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Empezaremos nuestra investigación exponiendo cada uno de estos conceptos: Derecho, Orden, Poder, para que, conectados, podamos darnos una idea del problema planteado.</w:t>
      </w:r>
    </w:p>
    <w:p w14:paraId="58A2E0C3" w14:textId="77777777" w:rsidR="001925CE" w:rsidRPr="000D3432" w:rsidRDefault="001925CE" w:rsidP="00A95498">
      <w:pPr>
        <w:pStyle w:val="Ttulo1"/>
        <w:spacing w:line="240" w:lineRule="auto"/>
        <w:rPr>
          <w:rFonts w:asciiTheme="minorHAnsi" w:hAnsiTheme="minorHAnsi"/>
          <w:b w:val="0"/>
          <w:i w:val="0"/>
          <w:sz w:val="24"/>
          <w:szCs w:val="24"/>
        </w:rPr>
      </w:pPr>
    </w:p>
    <w:p w14:paraId="7B9575AC" w14:textId="77777777" w:rsidR="001925CE" w:rsidRPr="000D3432" w:rsidRDefault="001925CE" w:rsidP="00A95498">
      <w:pPr>
        <w:pStyle w:val="Ttulo1"/>
        <w:spacing w:line="240" w:lineRule="auto"/>
        <w:rPr>
          <w:rFonts w:asciiTheme="minorHAnsi" w:hAnsiTheme="minorHAnsi"/>
          <w:sz w:val="24"/>
          <w:szCs w:val="24"/>
        </w:rPr>
      </w:pPr>
      <w:bookmarkStart w:id="35" w:name="_Toc318102853"/>
      <w:r w:rsidRPr="000D3432">
        <w:rPr>
          <w:rFonts w:asciiTheme="minorHAnsi" w:hAnsiTheme="minorHAnsi"/>
          <w:i w:val="0"/>
          <w:sz w:val="24"/>
          <w:szCs w:val="24"/>
        </w:rPr>
        <w:t>- Capacidad y Voluntad Crítica:</w:t>
      </w:r>
      <w:bookmarkEnd w:id="35"/>
    </w:p>
    <w:p w14:paraId="2FD049B6" w14:textId="77777777" w:rsidR="001925CE" w:rsidRPr="000D3432" w:rsidRDefault="001925CE" w:rsidP="00A95498">
      <w:pPr>
        <w:ind w:firstLine="426"/>
        <w:jc w:val="both"/>
        <w:rPr>
          <w:rFonts w:asciiTheme="minorHAnsi" w:hAnsiTheme="minorHAnsi"/>
          <w:szCs w:val="24"/>
        </w:rPr>
      </w:pPr>
    </w:p>
    <w:p w14:paraId="64A8994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Antes de entrar a explorar y analizar los conceptos: Derecho, orden, poder, queremos ensayar el título “Voluntad Crítica”. Empezaremos diciendo que hay evidentemente en el peruano de hoy poca capacidad de razonamiento teórico-jurídico sobre “aquella cosa llamada Derecho”. Y lo peor es que incluso aquellos -los hombres de derecho- que estamos, o deberíamos estar premunidos de esta capacidad de razonamiento jurídico no lo estamos. El problema empieza ya desde el mundo y espacio universitario. Esto puede deberse, por un lado, a que los conceptos teóricos, expuestos allí, sobre el Derecho están como apartados de la práctica, y la práctica como apartada de la teoría. Sin embargo la conexión entre teoría y práctica no es la esencia del problema -sí un elemento importante-, no resuelve el problema del proceso cognoscitivo del Derecho. La asimilación del Derecho, de lo que es, de su función en la sociedad actual, etc., no se resuelve sólo a través del entendimiento y comprensión de los discursos jurídicos expuestos en las universidades. No es suficiente la acumulación de conocimientos doctrinarios y procesalistas, que suponemos se hacen de muy buena fe.  Es necesario, además, la formación de una capacidad crítica y autocrítica de los elementos teóricos que nos proponen como fundamentos del Derecho y  conectar esto con esa “intuición de naturaleza extralógica del que nos habla Diez Picazo. Para lograr esto, el individuo tiene que hacer un proceso de reflexión, una vez comprendido los conceptos teóricos del Derecho, para luego </w:t>
      </w:r>
      <w:r w:rsidRPr="000D3432">
        <w:rPr>
          <w:rFonts w:asciiTheme="minorHAnsi" w:hAnsiTheme="minorHAnsi"/>
          <w:b/>
          <w:szCs w:val="24"/>
        </w:rPr>
        <w:t>darle forma</w:t>
      </w:r>
      <w:r w:rsidRPr="000D3432">
        <w:rPr>
          <w:rFonts w:asciiTheme="minorHAnsi" w:hAnsiTheme="minorHAnsi"/>
          <w:szCs w:val="24"/>
        </w:rPr>
        <w:t xml:space="preserve"> a todo lo aprendido, y poderlo expresar de manera más o menos precisa y coherente</w:t>
      </w:r>
      <w:r w:rsidRPr="000D3432">
        <w:rPr>
          <w:rStyle w:val="Refdenotaalpie"/>
          <w:rFonts w:asciiTheme="minorHAnsi" w:hAnsiTheme="minorHAnsi"/>
          <w:sz w:val="24"/>
          <w:szCs w:val="24"/>
          <w:vertAlign w:val="superscript"/>
        </w:rPr>
        <w:footnoteReference w:id="38"/>
      </w:r>
      <w:r w:rsidRPr="000D3432">
        <w:rPr>
          <w:rFonts w:asciiTheme="minorHAnsi" w:hAnsiTheme="minorHAnsi"/>
          <w:szCs w:val="24"/>
        </w:rPr>
        <w:t>. Esto es lo que podría decirse: formarse un cerebro de abogado -en el más alto y buen sentido de la palabra-, es decir la construcción en el hombre de derecho la capacidad de razonamiento jurídico, no el aprendizaje mal asimilado, difuso y complejo de datos jurídicos e históricos, sino más bien el “desarrollo de la capacidad de razonamiento y reflexión crítica”</w:t>
      </w:r>
      <w:r w:rsidRPr="000D3432">
        <w:rPr>
          <w:rStyle w:val="Refdenotaalpie"/>
          <w:rFonts w:asciiTheme="minorHAnsi" w:hAnsiTheme="minorHAnsi"/>
          <w:sz w:val="24"/>
          <w:szCs w:val="24"/>
          <w:vertAlign w:val="superscript"/>
        </w:rPr>
        <w:footnoteReference w:id="39"/>
      </w:r>
      <w:r w:rsidRPr="000D3432">
        <w:rPr>
          <w:rFonts w:asciiTheme="minorHAnsi" w:hAnsiTheme="minorHAnsi"/>
          <w:szCs w:val="24"/>
        </w:rPr>
        <w:t xml:space="preserve"> del hombre de derecho, conectado con cierta intuición metajurídica.</w:t>
      </w:r>
    </w:p>
    <w:p w14:paraId="330CB0DA" w14:textId="77777777" w:rsidR="001925CE" w:rsidRPr="000D3432" w:rsidRDefault="001925CE" w:rsidP="00A95498">
      <w:pPr>
        <w:ind w:firstLine="426"/>
        <w:jc w:val="both"/>
        <w:rPr>
          <w:rFonts w:asciiTheme="minorHAnsi" w:hAnsiTheme="minorHAnsi"/>
          <w:szCs w:val="24"/>
        </w:rPr>
      </w:pPr>
    </w:p>
    <w:p w14:paraId="08E96B4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hombre de derecho deberá, mediante esta capacidad de razonamiento crítico jurídico, abordar -desde una estructura de conceptos y categorías lógicas, además de cierta intuición extralógica- los problemas y fenómenos jurídicos que se presentan. Esta capacidad crítica de razonamiento jurídico, de pensamiento jurídico, es el primer problema en el hombre de derecho de hoy. Esta mala integración de los elementos jurídicos conservadores y la novedades jurídicas que presenta el constante dinamismo social, la perenne circunstancia de crear </w:t>
      </w:r>
      <w:r w:rsidRPr="000D3432">
        <w:rPr>
          <w:rFonts w:asciiTheme="minorHAnsi" w:hAnsiTheme="minorHAnsi"/>
          <w:szCs w:val="24"/>
        </w:rPr>
        <w:lastRenderedPageBreak/>
        <w:t>nuevos fenómenos jurídicos, fenómenos vitales o modos de presentarse y acontecer la vida humana</w:t>
      </w:r>
      <w:r w:rsidRPr="000D3432">
        <w:rPr>
          <w:rStyle w:val="Refdenotaalpie"/>
          <w:rFonts w:asciiTheme="minorHAnsi" w:hAnsiTheme="minorHAnsi"/>
          <w:sz w:val="24"/>
          <w:szCs w:val="24"/>
          <w:vertAlign w:val="superscript"/>
        </w:rPr>
        <w:footnoteReference w:id="40"/>
      </w:r>
      <w:r w:rsidRPr="000D3432">
        <w:rPr>
          <w:rFonts w:asciiTheme="minorHAnsi" w:hAnsiTheme="minorHAnsi"/>
          <w:szCs w:val="24"/>
        </w:rPr>
        <w:t>, no asumidos crítica y conscientemente,  han impedido asimilar coherentemente los procesos e influencias modernizantes, y han provocado una compleja situación de donde nadie parece poder salir: la modernización tradicionalista, es decir que todo cambia para que nada cambie; o en términos más populares, la modernización chicha.</w:t>
      </w:r>
    </w:p>
    <w:p w14:paraId="7DC5FCC0" w14:textId="77777777" w:rsidR="001925CE" w:rsidRPr="000D3432" w:rsidRDefault="001925CE" w:rsidP="00A95498">
      <w:pPr>
        <w:ind w:firstLine="426"/>
        <w:jc w:val="both"/>
        <w:rPr>
          <w:rFonts w:asciiTheme="minorHAnsi" w:hAnsiTheme="minorHAnsi"/>
          <w:szCs w:val="24"/>
        </w:rPr>
      </w:pPr>
    </w:p>
    <w:p w14:paraId="2F7E502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modernización ha servido sólo como maquillaje del viejo y obsoleto sistema jurídico, de las viejas y decadentes maneras de hacer Derecho. Las cosas no han cambiado lo suficiente como para que cambien. No existe ese anhelo de largo aliento, que se llama progreso. No puede haber, porque no se ha aprendido a asimilar y usar las influencias modernizantes con mentalidad moderna o postmoderna, no ha habido esa “peculiar condición, crítica y autocrítica, de ajustarnos creativamente a nuestro tiempo”.</w:t>
      </w:r>
    </w:p>
    <w:p w14:paraId="1BD5D27E" w14:textId="77777777" w:rsidR="001925CE" w:rsidRPr="000D3432" w:rsidRDefault="001925CE" w:rsidP="00A95498">
      <w:pPr>
        <w:ind w:firstLine="426"/>
        <w:jc w:val="both"/>
        <w:rPr>
          <w:rFonts w:asciiTheme="minorHAnsi" w:hAnsiTheme="minorHAnsi"/>
          <w:szCs w:val="24"/>
        </w:rPr>
      </w:pPr>
    </w:p>
    <w:p w14:paraId="74F8FBF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importancia del Derecho y sus problemas, viene de su condición omnisciente, de ser “cosas de todos” de ser un fenómeno vital, social, “...el derecho es algo que se produce dentro de la vida social. Más aún: es él mismo la vida social o, por lo menos, una zona o un sector de la vida social, aunque no, obviamente, toda la vida social.”</w:t>
      </w:r>
      <w:r w:rsidRPr="000D3432">
        <w:rPr>
          <w:rStyle w:val="Refdenotaalpie"/>
          <w:rFonts w:asciiTheme="minorHAnsi" w:hAnsiTheme="minorHAnsi"/>
          <w:sz w:val="24"/>
          <w:szCs w:val="24"/>
          <w:vertAlign w:val="superscript"/>
        </w:rPr>
        <w:footnoteReference w:id="41"/>
      </w:r>
      <w:r w:rsidRPr="000D3432">
        <w:rPr>
          <w:rFonts w:asciiTheme="minorHAnsi" w:hAnsiTheme="minorHAnsi"/>
          <w:szCs w:val="24"/>
        </w:rPr>
        <w:t xml:space="preserve"> Por eso es necesario estudiarlo armónicamente.</w:t>
      </w:r>
    </w:p>
    <w:p w14:paraId="0EE65A65" w14:textId="77777777" w:rsidR="001925CE" w:rsidRPr="000D3432" w:rsidRDefault="001925CE" w:rsidP="00A95498">
      <w:pPr>
        <w:jc w:val="both"/>
        <w:rPr>
          <w:rFonts w:asciiTheme="minorHAnsi" w:hAnsiTheme="minorHAnsi"/>
          <w:szCs w:val="24"/>
        </w:rPr>
      </w:pPr>
    </w:p>
    <w:p w14:paraId="36268253" w14:textId="77777777" w:rsidR="001925CE" w:rsidRPr="000D3432" w:rsidRDefault="001925CE" w:rsidP="00A95498">
      <w:pPr>
        <w:jc w:val="both"/>
        <w:rPr>
          <w:rFonts w:asciiTheme="minorHAnsi" w:hAnsiTheme="minorHAnsi"/>
          <w:szCs w:val="24"/>
        </w:rPr>
      </w:pPr>
    </w:p>
    <w:p w14:paraId="7E627560" w14:textId="77777777" w:rsidR="001925CE" w:rsidRPr="000D3432" w:rsidRDefault="001925CE" w:rsidP="00A95498">
      <w:pPr>
        <w:jc w:val="both"/>
        <w:rPr>
          <w:rFonts w:asciiTheme="minorHAnsi" w:hAnsiTheme="minorHAnsi"/>
          <w:szCs w:val="24"/>
        </w:rPr>
      </w:pPr>
      <w:r w:rsidRPr="000D3432">
        <w:rPr>
          <w:rFonts w:asciiTheme="minorHAnsi" w:hAnsiTheme="minorHAnsi"/>
          <w:b/>
          <w:i/>
          <w:szCs w:val="24"/>
        </w:rPr>
        <w:t>1.-</w:t>
      </w:r>
      <w:r w:rsidRPr="000D3432">
        <w:rPr>
          <w:rFonts w:asciiTheme="minorHAnsi" w:hAnsiTheme="minorHAnsi"/>
          <w:b/>
          <w:i/>
          <w:smallCaps/>
          <w:szCs w:val="24"/>
        </w:rPr>
        <w:t>Derecho</w:t>
      </w:r>
    </w:p>
    <w:p w14:paraId="223DF22A" w14:textId="77777777" w:rsidR="001925CE" w:rsidRPr="000D3432" w:rsidRDefault="001925CE" w:rsidP="00A95498">
      <w:pPr>
        <w:pStyle w:val="Prraffo"/>
        <w:spacing w:line="240" w:lineRule="auto"/>
        <w:rPr>
          <w:rFonts w:asciiTheme="minorHAnsi" w:hAnsiTheme="minorHAnsi"/>
          <w:sz w:val="24"/>
          <w:szCs w:val="24"/>
        </w:rPr>
      </w:pPr>
    </w:p>
    <w:p w14:paraId="3D800CB3"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“Como bien expresa Galgano, Galgano, Francesco, </w:t>
      </w:r>
      <w:r w:rsidRPr="000D3432">
        <w:rPr>
          <w:rFonts w:asciiTheme="minorHAnsi" w:hAnsiTheme="minorHAnsi"/>
          <w:i/>
          <w:sz w:val="24"/>
          <w:szCs w:val="24"/>
        </w:rPr>
        <w:t>II rovescio del diritto</w:t>
      </w:r>
      <w:r w:rsidRPr="000D3432">
        <w:rPr>
          <w:rFonts w:asciiTheme="minorHAnsi" w:hAnsiTheme="minorHAnsi"/>
          <w:sz w:val="24"/>
          <w:szCs w:val="24"/>
        </w:rPr>
        <w:t xml:space="preserve">, Milano, Giuffre, 1991, p. 3. La palabra </w:t>
      </w:r>
      <w:r w:rsidRPr="000D3432">
        <w:rPr>
          <w:rFonts w:asciiTheme="minorHAnsi" w:hAnsiTheme="minorHAnsi"/>
          <w:i/>
          <w:sz w:val="24"/>
          <w:szCs w:val="24"/>
        </w:rPr>
        <w:t>directum</w:t>
      </w:r>
      <w:r w:rsidRPr="000D3432">
        <w:rPr>
          <w:rFonts w:asciiTheme="minorHAnsi" w:hAnsiTheme="minorHAnsi"/>
          <w:sz w:val="24"/>
          <w:szCs w:val="24"/>
        </w:rPr>
        <w:t xml:space="preserve"> –en vulgar “derecho”- aparece como por encanto en la historia, sale de la neblina del tiempo, sin que nadie pueda explicar por qué razón sustituye o asume, con frecuencia, al </w:t>
      </w:r>
      <w:r w:rsidRPr="000D3432">
        <w:rPr>
          <w:rFonts w:asciiTheme="minorHAnsi" w:hAnsiTheme="minorHAnsi"/>
          <w:i/>
          <w:sz w:val="24"/>
          <w:szCs w:val="24"/>
        </w:rPr>
        <w:t>jus</w:t>
      </w:r>
      <w:r w:rsidRPr="000D3432">
        <w:rPr>
          <w:rFonts w:asciiTheme="minorHAnsi" w:hAnsiTheme="minorHAnsi"/>
          <w:sz w:val="24"/>
          <w:szCs w:val="24"/>
        </w:rPr>
        <w:t xml:space="preserve"> de los romanos que, no obstante el ignoto surgimiento de la expresión “derecho”, no desaparece sino que sobrevive en múltiples vocablos de raigal importancia, como “justicia”, “jurisprudencia”, “jurista”, “juez”, “jurisdicción”, “judicatura”, “justiciable”.</w:t>
      </w:r>
      <w:r w:rsidRPr="000D3432">
        <w:rPr>
          <w:rStyle w:val="Refdenotaalpie"/>
          <w:rFonts w:asciiTheme="minorHAnsi" w:hAnsiTheme="minorHAnsi"/>
          <w:sz w:val="24"/>
          <w:szCs w:val="24"/>
          <w:vertAlign w:val="superscript"/>
        </w:rPr>
        <w:footnoteReference w:id="42"/>
      </w:r>
    </w:p>
    <w:p w14:paraId="747407E4" w14:textId="77777777" w:rsidR="001925CE" w:rsidRPr="000D3432" w:rsidRDefault="001925CE" w:rsidP="00A95498">
      <w:pPr>
        <w:pStyle w:val="Textodecuerpo"/>
        <w:spacing w:line="240" w:lineRule="auto"/>
        <w:ind w:firstLine="426"/>
        <w:rPr>
          <w:rFonts w:asciiTheme="minorHAnsi" w:hAnsiTheme="minorHAnsi"/>
          <w:sz w:val="24"/>
          <w:szCs w:val="24"/>
        </w:rPr>
      </w:pPr>
    </w:p>
    <w:p w14:paraId="225FA001" w14:textId="77777777" w:rsidR="001925CE" w:rsidRPr="000D3432" w:rsidRDefault="001925CE" w:rsidP="00A95498">
      <w:pPr>
        <w:pStyle w:val="Textodecuerpo"/>
        <w:spacing w:line="240" w:lineRule="auto"/>
        <w:ind w:firstLine="426"/>
        <w:rPr>
          <w:rFonts w:asciiTheme="minorHAnsi" w:hAnsiTheme="minorHAnsi"/>
          <w:sz w:val="24"/>
          <w:szCs w:val="24"/>
        </w:rPr>
      </w:pPr>
      <w:r w:rsidRPr="000D3432">
        <w:rPr>
          <w:rFonts w:asciiTheme="minorHAnsi" w:hAnsiTheme="minorHAnsi"/>
          <w:sz w:val="24"/>
          <w:szCs w:val="24"/>
        </w:rPr>
        <w:t>Por su parte Kant expresaba que aún se estaba buscando el concepto de Derecho. Pues bien, veamos el porqué de esta complejidad lingüística (multifacetismo), semántica, cognoscitiva. Y sea cual fuere la conclusión habremos de proseguir nuestro camino e investigación, incluso sin respuesta definitiva alguna, como lo hubiera querido Bertrand Russell.</w:t>
      </w:r>
    </w:p>
    <w:p w14:paraId="498A08AD" w14:textId="77777777" w:rsidR="001925CE" w:rsidRPr="000D3432" w:rsidRDefault="001925CE" w:rsidP="00A95498">
      <w:pPr>
        <w:jc w:val="both"/>
        <w:rPr>
          <w:rFonts w:asciiTheme="minorHAnsi" w:hAnsiTheme="minorHAnsi"/>
          <w:szCs w:val="24"/>
        </w:rPr>
      </w:pPr>
    </w:p>
    <w:p w14:paraId="4F7BA52C"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a.- El problema del concepto del Derecho:</w:t>
      </w:r>
    </w:p>
    <w:p w14:paraId="557C5808" w14:textId="77777777" w:rsidR="001925CE" w:rsidRPr="000D3432" w:rsidRDefault="001925CE" w:rsidP="00A95498">
      <w:pPr>
        <w:ind w:firstLine="426"/>
        <w:jc w:val="both"/>
        <w:rPr>
          <w:rFonts w:asciiTheme="minorHAnsi" w:hAnsiTheme="minorHAnsi"/>
          <w:szCs w:val="24"/>
        </w:rPr>
      </w:pPr>
    </w:p>
    <w:p w14:paraId="1E4A1CF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 xml:space="preserve">Empezaremos citando a Bobbio para aclarar desde ya, que los conceptos, e incluso las definiciones científicas, sobre el Derecho no pueden ser de carácter restringido, sino de sentido amplio; y que lo importante de los conceptos no es obtener uno absoluto y total, sino uno oportuno. </w:t>
      </w:r>
    </w:p>
    <w:p w14:paraId="1C455B4A"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“Las definiciones de términos científicos son convencionales..., lo que significa que nadie tiene el monopolio de la palabra “derecho”... no hay una definición verdadera y una falsa, sino cuando más solo una definición más o menos oportuna.”</w:t>
      </w:r>
      <w:r w:rsidRPr="000D3432">
        <w:rPr>
          <w:rStyle w:val="Refdenotaalpie"/>
          <w:rFonts w:asciiTheme="minorHAnsi" w:hAnsiTheme="minorHAnsi"/>
          <w:sz w:val="24"/>
          <w:szCs w:val="24"/>
          <w:vertAlign w:val="superscript"/>
        </w:rPr>
        <w:footnoteReference w:id="43"/>
      </w:r>
    </w:p>
    <w:p w14:paraId="2BCBE486" w14:textId="77777777" w:rsidR="001925CE" w:rsidRPr="000D3432" w:rsidRDefault="001925CE" w:rsidP="00A95498">
      <w:pPr>
        <w:ind w:firstLine="426"/>
        <w:jc w:val="both"/>
        <w:rPr>
          <w:rFonts w:asciiTheme="minorHAnsi" w:hAnsiTheme="minorHAnsi"/>
          <w:szCs w:val="24"/>
        </w:rPr>
      </w:pPr>
    </w:p>
    <w:p w14:paraId="480ABCD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Siguiendo está línea diremos que existe hoy una infinidad de acepciones sobre el Derecho. Unos menos operativos que otros, unos más científicos, otros más filosóficos, aquellos más políticos y estos hegemónicamente económicos, etc. Hay, por otra parte, otro inconveniente al hablar de Derecho: su multifacetismo lingüístico, su configuración semántica. El problema consiste en que la palabra derecho es usada en diversos contextos. El sentido y dirección con que hablamos de Derecho se entenderá sólo en relación al contexto dentro del cual hablamos.</w:t>
      </w:r>
    </w:p>
    <w:p w14:paraId="5EFAC3D1"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palabra “derecho” es usada dentro de contextos diferentes y sólo por referencia a ellos adquiere un determinado sentido. Pero quedando en este nivel parece evidente que no es posible aspirar a un concepto del Derecho, pues por de pronto no hay cosa que sea el Derecho sino sólo distintos contextos o universos de discurso donde esa palabra adquiere cierta significación.”</w:t>
      </w:r>
      <w:r w:rsidRPr="000D3432">
        <w:rPr>
          <w:rStyle w:val="Refdenotaalpie"/>
          <w:rFonts w:asciiTheme="minorHAnsi" w:hAnsiTheme="minorHAnsi"/>
          <w:sz w:val="24"/>
          <w:szCs w:val="24"/>
          <w:vertAlign w:val="superscript"/>
        </w:rPr>
        <w:footnoteReference w:id="44"/>
      </w:r>
    </w:p>
    <w:p w14:paraId="5537089C" w14:textId="77777777" w:rsidR="001925CE" w:rsidRPr="000D3432" w:rsidRDefault="001925CE" w:rsidP="00A95498">
      <w:pPr>
        <w:ind w:firstLine="426"/>
        <w:jc w:val="both"/>
        <w:rPr>
          <w:rFonts w:asciiTheme="minorHAnsi" w:hAnsiTheme="minorHAnsi"/>
          <w:szCs w:val="24"/>
        </w:rPr>
      </w:pPr>
    </w:p>
    <w:p w14:paraId="3B5220C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Hay luego una necesidad que aparece como primaria, convenir la dirección y sentido que hemos de usar para estudiar al Derecho vital, viviente, vigente, no cómo un sistema normativo, fundamentado en la ley  solamente, ni como ideal ético de justicia en exclusividad, ni como sólo la facultad subjetiva de los hombres para hacer o no hacer algo, sino como la relación o articulación entre todos ellos. Es decir con una concepción integral y armónica que pueda servirnos para resolver el gran problema de la complejidad del Derecho y de su comprensión. </w:t>
      </w:r>
    </w:p>
    <w:p w14:paraId="58C0B03C" w14:textId="77777777" w:rsidR="001925CE" w:rsidRPr="000D3432" w:rsidRDefault="001925CE" w:rsidP="00A95498">
      <w:pPr>
        <w:ind w:firstLine="426"/>
        <w:jc w:val="both"/>
        <w:rPr>
          <w:rFonts w:asciiTheme="minorHAnsi" w:hAnsiTheme="minorHAnsi"/>
          <w:szCs w:val="24"/>
        </w:rPr>
      </w:pPr>
    </w:p>
    <w:p w14:paraId="7335D93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Tenemos clara conciencia de la existencia de ciertas fases diferenciales de la concepción del Derecho: la subjetiva (que explicará al Derecho como una facultad); la normativista (que considera al Derecho como un sistema de normas); la Eticista (que considera al Derecho como un ideal ético de justicia); La académica (que toma al Derecho como un objeto de estudio, una disciplina o rama de estudio); etc.</w:t>
      </w:r>
    </w:p>
    <w:p w14:paraId="73DC0B7E" w14:textId="77777777" w:rsidR="001925CE" w:rsidRPr="000D3432" w:rsidRDefault="001925CE" w:rsidP="00A95498">
      <w:pPr>
        <w:ind w:firstLine="426"/>
        <w:jc w:val="both"/>
        <w:rPr>
          <w:rFonts w:asciiTheme="minorHAnsi" w:hAnsiTheme="minorHAnsi"/>
          <w:szCs w:val="24"/>
        </w:rPr>
      </w:pPr>
    </w:p>
    <w:p w14:paraId="5BB1D73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Una clasificación más ordenada de la multiplicidad de sentidos en que es tomado el término Derecho, es la siguiente:</w:t>
      </w:r>
    </w:p>
    <w:p w14:paraId="509AF96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1.-  Derecho como facultad. Derecho subjetivo (facultad o poder).</w:t>
      </w:r>
    </w:p>
    <w:p w14:paraId="645DDD3F" w14:textId="77777777" w:rsidR="001925CE" w:rsidRPr="000D3432" w:rsidRDefault="001925CE" w:rsidP="00A95498">
      <w:pPr>
        <w:ind w:left="425" w:firstLine="426"/>
        <w:jc w:val="both"/>
        <w:rPr>
          <w:rFonts w:asciiTheme="minorHAnsi" w:hAnsiTheme="minorHAnsi"/>
          <w:szCs w:val="24"/>
        </w:rPr>
      </w:pPr>
      <w:r w:rsidRPr="000D3432">
        <w:rPr>
          <w:rFonts w:asciiTheme="minorHAnsi" w:hAnsiTheme="minorHAnsi"/>
          <w:szCs w:val="24"/>
        </w:rPr>
        <w:t>Se llama Derecho subjetivo a ese poder reconocido socialmente.</w:t>
      </w:r>
    </w:p>
    <w:p w14:paraId="7FFDA003" w14:textId="77777777" w:rsidR="001925CE" w:rsidRPr="000D3432" w:rsidRDefault="001925CE" w:rsidP="00A95498">
      <w:pPr>
        <w:ind w:left="850"/>
        <w:jc w:val="both"/>
        <w:rPr>
          <w:rFonts w:asciiTheme="minorHAnsi" w:hAnsiTheme="minorHAnsi"/>
          <w:szCs w:val="24"/>
        </w:rPr>
      </w:pPr>
      <w:r w:rsidRPr="000D3432">
        <w:rPr>
          <w:rFonts w:asciiTheme="minorHAnsi" w:hAnsiTheme="minorHAnsi"/>
          <w:szCs w:val="24"/>
        </w:rPr>
        <w:t xml:space="preserve">“Cuando hablo de derecho me refiero generalmente a un poder que, en </w:t>
      </w:r>
      <w:r w:rsidRPr="000D3432">
        <w:rPr>
          <w:rFonts w:asciiTheme="minorHAnsi" w:hAnsiTheme="minorHAnsi"/>
          <w:szCs w:val="24"/>
        </w:rPr>
        <w:lastRenderedPageBreak/>
        <w:t>caso necesario, es susceptible de imponerse coactivamente...con una coacción ...socialmente aceptable... coacción que la comunidad en que vivimos ampara e incluso organiza.”</w:t>
      </w:r>
      <w:r w:rsidRPr="000D3432">
        <w:rPr>
          <w:rStyle w:val="Refdenotaalpie"/>
          <w:rFonts w:asciiTheme="minorHAnsi" w:hAnsiTheme="minorHAnsi"/>
          <w:sz w:val="24"/>
          <w:szCs w:val="24"/>
          <w:vertAlign w:val="superscript"/>
        </w:rPr>
        <w:footnoteReference w:id="45"/>
      </w:r>
    </w:p>
    <w:p w14:paraId="3FF0830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2.-  Derecho como ciencia, disciplina: (rama de estudio)</w:t>
      </w:r>
    </w:p>
    <w:p w14:paraId="08DFB22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3.-  Derecho como ideal ético o moral de justicia,</w:t>
      </w:r>
    </w:p>
    <w:p w14:paraId="08C18F3B" w14:textId="77777777" w:rsidR="001925CE" w:rsidRPr="000D3432" w:rsidRDefault="001925CE" w:rsidP="00A95498">
      <w:pPr>
        <w:ind w:left="851" w:hanging="426"/>
        <w:jc w:val="both"/>
        <w:rPr>
          <w:rFonts w:asciiTheme="minorHAnsi" w:hAnsiTheme="minorHAnsi"/>
          <w:szCs w:val="24"/>
        </w:rPr>
      </w:pPr>
      <w:r w:rsidRPr="000D3432">
        <w:rPr>
          <w:rFonts w:asciiTheme="minorHAnsi" w:hAnsiTheme="minorHAnsi"/>
          <w:szCs w:val="24"/>
        </w:rPr>
        <w:t xml:space="preserve">4.- </w:t>
      </w:r>
      <w:r w:rsidRPr="000D3432">
        <w:rPr>
          <w:rFonts w:asciiTheme="minorHAnsi" w:hAnsiTheme="minorHAnsi"/>
          <w:szCs w:val="24"/>
        </w:rPr>
        <w:tab/>
        <w:t>Derecho como norma o sistema de normas: (Derecho objetivo), que La Torre define así: “...conjunto de normas respaldadas por una coacción social organizada”.</w:t>
      </w:r>
      <w:r w:rsidRPr="000D3432">
        <w:rPr>
          <w:rStyle w:val="Refdenotaalpie"/>
          <w:rFonts w:asciiTheme="minorHAnsi" w:hAnsiTheme="minorHAnsi"/>
          <w:sz w:val="24"/>
          <w:szCs w:val="24"/>
          <w:vertAlign w:val="superscript"/>
        </w:rPr>
        <w:footnoteReference w:id="46"/>
      </w:r>
    </w:p>
    <w:p w14:paraId="04A08BDA" w14:textId="77777777" w:rsidR="001925CE" w:rsidRPr="000D3432" w:rsidRDefault="001925CE" w:rsidP="00A95498">
      <w:pPr>
        <w:ind w:firstLine="426"/>
        <w:jc w:val="both"/>
        <w:rPr>
          <w:rFonts w:asciiTheme="minorHAnsi" w:hAnsiTheme="minorHAnsi"/>
          <w:szCs w:val="24"/>
        </w:rPr>
      </w:pPr>
    </w:p>
    <w:p w14:paraId="1E21CD4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Hemos resuelto no hacer una diferenciación excluyente, sino más bien tomar como punto de nuestra investigación una concepción integral, armónica, relacionante de todos estos sentidos. ¿porqué? Porque a nuestro parecer el Derecho no es un fenómeno definido y estructurado absoluta y dogmáticamente, sino un </w:t>
      </w:r>
      <w:r w:rsidRPr="000D3432">
        <w:rPr>
          <w:rFonts w:asciiTheme="minorHAnsi" w:hAnsiTheme="minorHAnsi"/>
          <w:i/>
          <w:szCs w:val="24"/>
        </w:rPr>
        <w:t>proceso social</w:t>
      </w:r>
      <w:r w:rsidRPr="000D3432">
        <w:rPr>
          <w:rFonts w:asciiTheme="minorHAnsi" w:hAnsiTheme="minorHAnsi"/>
          <w:szCs w:val="24"/>
        </w:rPr>
        <w:t xml:space="preserve">, normativo, subjetivo, disciplinario, etc. </w:t>
      </w:r>
    </w:p>
    <w:p w14:paraId="11CC5D7B"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682AFED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problema predominante de la concepción del Derecho es, como expone Luis Legaz y Lacambra, de orden relacionante: “El problema, sin embargo, es si existe una estructura subyacente a las distintas significaciones de la que pueda predicarse la condición de jurídica.”</w:t>
      </w:r>
      <w:r w:rsidRPr="000D3432">
        <w:rPr>
          <w:rStyle w:val="Refdenotaalpie"/>
          <w:rFonts w:asciiTheme="minorHAnsi" w:hAnsiTheme="minorHAnsi"/>
          <w:sz w:val="24"/>
          <w:szCs w:val="24"/>
          <w:vertAlign w:val="superscript"/>
        </w:rPr>
        <w:footnoteReference w:id="47"/>
      </w:r>
    </w:p>
    <w:p w14:paraId="5480538E" w14:textId="77777777" w:rsidR="001925CE" w:rsidRPr="000D3432" w:rsidRDefault="001925CE" w:rsidP="00A95498">
      <w:pPr>
        <w:ind w:firstLine="426"/>
        <w:jc w:val="both"/>
        <w:rPr>
          <w:rFonts w:asciiTheme="minorHAnsi" w:hAnsiTheme="minorHAnsi"/>
          <w:szCs w:val="24"/>
        </w:rPr>
      </w:pPr>
    </w:p>
    <w:p w14:paraId="5A123E4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concepto del Derecho se muestra por lo pronto inaprensible, confuso, extraño, diverso y aún paradójico. Concepciones sobre el Derecho tan extrañas y como diría HerberHart, “oscurecidas desde tiempo atrás por representaciones groseramente falsas de su naturaleza esencial”. Es necesario, pues tener y obtener una visión clara del conjunto, o una concepción de conjunto, integral del Derecho. Por el momento hemos de tener en cuenta qué elementos deben estar presentes en el concepto de Derecho. Para esto usaremos a Bobbio, que expone los elementos esenciales que para Santi Romano debe tener todo concepto de Derecho:</w:t>
      </w:r>
    </w:p>
    <w:p w14:paraId="08ED40BB"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concepto de derecho debe, en nuestra opinión, contener los siguientes elementos esenciales:</w:t>
      </w:r>
    </w:p>
    <w:p w14:paraId="10D90C38"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b/>
          <w:sz w:val="24"/>
          <w:szCs w:val="24"/>
        </w:rPr>
        <w:t>a)</w:t>
      </w:r>
      <w:r w:rsidRPr="000D3432">
        <w:rPr>
          <w:rFonts w:asciiTheme="minorHAnsi" w:hAnsiTheme="minorHAnsi"/>
          <w:sz w:val="24"/>
          <w:szCs w:val="24"/>
        </w:rPr>
        <w:t xml:space="preserve"> Ante todo debe comprender </w:t>
      </w:r>
      <w:r w:rsidRPr="000D3432">
        <w:rPr>
          <w:rFonts w:asciiTheme="minorHAnsi" w:hAnsiTheme="minorHAnsi"/>
          <w:b/>
          <w:sz w:val="24"/>
          <w:szCs w:val="24"/>
        </w:rPr>
        <w:t>el concepto de sociedad</w:t>
      </w:r>
      <w:r w:rsidRPr="000D3432">
        <w:rPr>
          <w:rFonts w:asciiTheme="minorHAnsi" w:hAnsiTheme="minorHAnsi"/>
          <w:sz w:val="24"/>
          <w:szCs w:val="24"/>
        </w:rPr>
        <w:t>. Esto en dos sentidos recíprocos que se completan mutuamente: lo que no sale de la esfera puramente individual, lo que no supera la vida del particular como tal, no es derecho (</w:t>
      </w:r>
      <w:r w:rsidRPr="000D3432">
        <w:rPr>
          <w:rFonts w:asciiTheme="minorHAnsi" w:hAnsiTheme="minorHAnsi"/>
          <w:i/>
          <w:sz w:val="24"/>
          <w:szCs w:val="24"/>
        </w:rPr>
        <w:t>ubiiusibisocietas</w:t>
      </w:r>
      <w:r w:rsidRPr="000D3432">
        <w:rPr>
          <w:rFonts w:asciiTheme="minorHAnsi" w:hAnsiTheme="minorHAnsi"/>
          <w:sz w:val="24"/>
          <w:szCs w:val="24"/>
        </w:rPr>
        <w:t>) y, además, no hay sociedad en el sentido exacto de la palabra sin que en ella se manifieste el fenómeno jurídico (</w:t>
      </w:r>
      <w:r w:rsidRPr="000D3432">
        <w:rPr>
          <w:rFonts w:asciiTheme="minorHAnsi" w:hAnsiTheme="minorHAnsi"/>
          <w:i/>
          <w:sz w:val="24"/>
          <w:szCs w:val="24"/>
        </w:rPr>
        <w:t>ubisocietasibiius</w:t>
      </w:r>
      <w:r w:rsidRPr="000D3432">
        <w:rPr>
          <w:rFonts w:asciiTheme="minorHAnsi" w:hAnsiTheme="minorHAnsi"/>
          <w:sz w:val="24"/>
          <w:szCs w:val="24"/>
        </w:rPr>
        <w:t>)...</w:t>
      </w:r>
    </w:p>
    <w:p w14:paraId="71B6825A"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b/>
          <w:sz w:val="24"/>
          <w:szCs w:val="24"/>
        </w:rPr>
        <w:t>b)</w:t>
      </w:r>
      <w:r w:rsidRPr="000D3432">
        <w:rPr>
          <w:rFonts w:asciiTheme="minorHAnsi" w:hAnsiTheme="minorHAnsi"/>
          <w:sz w:val="24"/>
          <w:szCs w:val="24"/>
        </w:rPr>
        <w:t xml:space="preserve"> El concepto de derecho debe, en segundo lugar, contener </w:t>
      </w:r>
      <w:r w:rsidRPr="000D3432">
        <w:rPr>
          <w:rFonts w:asciiTheme="minorHAnsi" w:hAnsiTheme="minorHAnsi"/>
          <w:b/>
          <w:sz w:val="24"/>
          <w:szCs w:val="24"/>
        </w:rPr>
        <w:t>la idea de orden social</w:t>
      </w:r>
      <w:r w:rsidRPr="000D3432">
        <w:rPr>
          <w:rFonts w:asciiTheme="minorHAnsi" w:hAnsiTheme="minorHAnsi"/>
          <w:sz w:val="24"/>
          <w:szCs w:val="24"/>
        </w:rPr>
        <w:t>: lo que sirve para excluir todo elemento que implique el arbitrio puro y simple o la fuerza material, es decir, no ordenada...</w:t>
      </w:r>
    </w:p>
    <w:p w14:paraId="01B3B7E0"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Toda manifestación social, por el solo hecho de serlo, está ordenada por lo menos con relación a los asociados...</w:t>
      </w:r>
    </w:p>
    <w:p w14:paraId="66A1C58B"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b/>
          <w:sz w:val="24"/>
          <w:szCs w:val="24"/>
        </w:rPr>
        <w:t>c)</w:t>
      </w:r>
      <w:r w:rsidRPr="000D3432">
        <w:rPr>
          <w:rFonts w:asciiTheme="minorHAnsi" w:hAnsiTheme="minorHAnsi"/>
          <w:sz w:val="24"/>
          <w:szCs w:val="24"/>
        </w:rPr>
        <w:t xml:space="preserve"> El orden social que establece el derecho no es el dado por la existencia, originada en cualquier forma, de normas que regulan las </w:t>
      </w:r>
      <w:r w:rsidRPr="000D3432">
        <w:rPr>
          <w:rFonts w:asciiTheme="minorHAnsi" w:hAnsiTheme="minorHAnsi"/>
          <w:sz w:val="24"/>
          <w:szCs w:val="24"/>
        </w:rPr>
        <w:lastRenderedPageBreak/>
        <w:t xml:space="preserve">relaciones sociales. Antes bien, dicho orden no excluye tales normas, sino que las utiliza y las comprende en su órbita, pero al mismo tiempo las aventaja y supera. Esto quiere decir que, antes de ser norma, antes de referirse a una simple relación o a una serie de relaciones sociales </w:t>
      </w:r>
      <w:r w:rsidRPr="000D3432">
        <w:rPr>
          <w:rFonts w:asciiTheme="minorHAnsi" w:hAnsiTheme="minorHAnsi"/>
          <w:b/>
          <w:sz w:val="24"/>
          <w:szCs w:val="24"/>
        </w:rPr>
        <w:t>es organización, es estructura</w:t>
      </w:r>
      <w:r w:rsidRPr="000D3432">
        <w:rPr>
          <w:rFonts w:asciiTheme="minorHAnsi" w:hAnsiTheme="minorHAnsi"/>
          <w:sz w:val="24"/>
          <w:szCs w:val="24"/>
        </w:rPr>
        <w:t>, es situación de la misma sociedad en la que se manifiesta y a la que constituye como unidad, como ente autónomo.”</w:t>
      </w:r>
      <w:r w:rsidRPr="000D3432">
        <w:rPr>
          <w:rStyle w:val="Refdenotaalpie"/>
          <w:rFonts w:asciiTheme="minorHAnsi" w:hAnsiTheme="minorHAnsi"/>
          <w:sz w:val="24"/>
          <w:szCs w:val="24"/>
          <w:vertAlign w:val="superscript"/>
        </w:rPr>
        <w:footnoteReference w:id="48"/>
      </w:r>
    </w:p>
    <w:p w14:paraId="6724560A" w14:textId="77777777" w:rsidR="001925CE" w:rsidRPr="000D3432" w:rsidRDefault="001925CE" w:rsidP="00A95498">
      <w:pPr>
        <w:ind w:firstLine="426"/>
        <w:jc w:val="both"/>
        <w:rPr>
          <w:rFonts w:asciiTheme="minorHAnsi" w:hAnsiTheme="minorHAnsi"/>
          <w:szCs w:val="24"/>
        </w:rPr>
      </w:pPr>
    </w:p>
    <w:p w14:paraId="7805A7B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Son, concluyendo,  tres los elementos constitutivos del concepto de Derecho -explica Bobbio-: la sociedad, como base de hecho de donde deriva su existencia el derecho; el orden, como fin al cual tiende el derecho y la organización, la organización como medio para realizar el orden.</w:t>
      </w:r>
      <w:r w:rsidRPr="000D3432">
        <w:rPr>
          <w:rStyle w:val="Refdenotaalpie"/>
          <w:rFonts w:asciiTheme="minorHAnsi" w:hAnsiTheme="minorHAnsi"/>
          <w:sz w:val="24"/>
          <w:szCs w:val="24"/>
          <w:vertAlign w:val="superscript"/>
        </w:rPr>
        <w:footnoteReference w:id="49"/>
      </w:r>
    </w:p>
    <w:p w14:paraId="0C009292" w14:textId="77777777" w:rsidR="001925CE" w:rsidRPr="000D3432" w:rsidRDefault="001925CE" w:rsidP="00A95498">
      <w:pPr>
        <w:ind w:firstLine="426"/>
        <w:jc w:val="both"/>
        <w:rPr>
          <w:rFonts w:asciiTheme="minorHAnsi" w:hAnsiTheme="minorHAnsi"/>
          <w:szCs w:val="24"/>
        </w:rPr>
      </w:pPr>
    </w:p>
    <w:p w14:paraId="0D03923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apreciación del Derecho de Santi Romano, del que hace referencia Bobbio, tiene un mérito, haber ampliado los horizontes de la concepción del Derecho, rompiendo las cadenas de su acepción ligada ineludiblemente a la razón de Estado, a la existencia del Estado como generador del Derecho. Se ha introducido, como elemento coordinador, eje de la concepción del Derecho al fenómeno de la organización, este ha servido “como criterio fundamental para distinguir una sociedad jurídica de una sociedad no jurídica, la teoría del Derecho como Institución, que propugnaba Romano ha roto con el círculo cerrado de la teoría estatalista del Derecho, que considera derecho sólo al proveniente del Estado</w:t>
      </w:r>
      <w:r w:rsidRPr="000D3432">
        <w:rPr>
          <w:rStyle w:val="Refdenotaalpie"/>
          <w:rFonts w:asciiTheme="minorHAnsi" w:hAnsiTheme="minorHAnsi"/>
          <w:sz w:val="24"/>
          <w:szCs w:val="24"/>
          <w:vertAlign w:val="superscript"/>
        </w:rPr>
        <w:footnoteReference w:id="50"/>
      </w:r>
      <w:r w:rsidRPr="000D3432">
        <w:rPr>
          <w:rFonts w:asciiTheme="minorHAnsi" w:hAnsiTheme="minorHAnsi"/>
          <w:szCs w:val="24"/>
        </w:rPr>
        <w:t>.</w:t>
      </w:r>
    </w:p>
    <w:p w14:paraId="5D0D94D5"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6D13A07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nuestro esquema de investigación, usaremos una interconexión de ciertos elementos –como ya lo antelamos- que a nuestro parecer tienen y configuran al Derecho. Estos elementos son el propio Derecho, el Orden y el Poder. Tomaremos al Derecho como una institución que coordina, articula el poder, que surge para establecer determinado orden general, apoyado, y respaldado en cierta capacidad de coacción, previamente justificada y respaldada. O en otras palabras </w:t>
      </w:r>
      <w:r w:rsidRPr="000D3432">
        <w:rPr>
          <w:rFonts w:asciiTheme="minorHAnsi" w:hAnsiTheme="minorHAnsi"/>
          <w:b/>
          <w:szCs w:val="24"/>
        </w:rPr>
        <w:t>el Derecho vendría a ser una institución que coordina, articula las relaciones de fuerzas, de dominio, las capacidades de afectar o no afectar, es decir, las relaciones de poder.</w:t>
      </w:r>
      <w:r w:rsidRPr="000D3432">
        <w:rPr>
          <w:rFonts w:asciiTheme="minorHAnsi" w:hAnsiTheme="minorHAnsi"/>
          <w:szCs w:val="24"/>
        </w:rPr>
        <w:t xml:space="preserve"> Este es el primer esbozo, con el que comenzaremos. El Derecho así planteado no surge exclusivamente del Estado sino de cierto tipo de configuración social, de articulación o relación de fuerzas,  con determinados elementos constitutivos que integran la facultad del hombre de vivir organizadamente.</w:t>
      </w:r>
    </w:p>
    <w:p w14:paraId="24FF12ED" w14:textId="77777777" w:rsidR="001925CE" w:rsidRPr="000D3432" w:rsidRDefault="001925CE" w:rsidP="00A95498">
      <w:pPr>
        <w:ind w:firstLine="426"/>
        <w:jc w:val="both"/>
        <w:rPr>
          <w:rFonts w:asciiTheme="minorHAnsi" w:hAnsiTheme="minorHAnsi"/>
          <w:szCs w:val="24"/>
        </w:rPr>
      </w:pPr>
    </w:p>
    <w:p w14:paraId="6885DBF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Derecho, el sentido, con el cual vamos a trabajar en esta investigación, es más bien la que circula entre la que expone Luis Diez Picazo y Michel Foucault, o sea, entre el Derecho entendido como “conflicto de intereses” y como “relaciones de fuerza, de dominio”. </w:t>
      </w:r>
    </w:p>
    <w:p w14:paraId="7253C88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Entonces para Luis Diez Picazo el Derecho es:</w:t>
      </w:r>
    </w:p>
    <w:p w14:paraId="1341A9CF"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“El Derecho con mayúscula es un conjunto de conflictos de intereses, de </w:t>
      </w:r>
      <w:r w:rsidRPr="000D3432">
        <w:rPr>
          <w:rFonts w:asciiTheme="minorHAnsi" w:hAnsiTheme="minorHAnsi"/>
          <w:sz w:val="24"/>
          <w:szCs w:val="24"/>
        </w:rPr>
        <w:lastRenderedPageBreak/>
        <w:t>valoraciones de estos intereses y de equilibrio de los mismos.”</w:t>
      </w:r>
      <w:r w:rsidRPr="000D3432">
        <w:rPr>
          <w:rStyle w:val="Refdenotaalpie"/>
          <w:rFonts w:asciiTheme="minorHAnsi" w:hAnsiTheme="minorHAnsi"/>
          <w:sz w:val="24"/>
          <w:szCs w:val="24"/>
          <w:vertAlign w:val="superscript"/>
        </w:rPr>
        <w:footnoteReference w:id="51"/>
      </w:r>
    </w:p>
    <w:p w14:paraId="591C22EB"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 “...derecho no es otra cosa que un modo de tratar de resolver tales conflictos aunque no por supuesto el único modo (...)</w:t>
      </w:r>
    </w:p>
    <w:p w14:paraId="27747E78"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Derecho es fundamentalmente un conjunto de experiencias vividas, que en la mayor parte de los casos son experiencias existenciales de decisiones o de series de decisiones sobre concretos conflictos de intereses.</w:t>
      </w:r>
      <w:r w:rsidRPr="000D3432">
        <w:rPr>
          <w:rStyle w:val="Refdenotaalpie"/>
          <w:rFonts w:asciiTheme="minorHAnsi" w:hAnsiTheme="minorHAnsi"/>
          <w:sz w:val="24"/>
          <w:szCs w:val="24"/>
          <w:vertAlign w:val="superscript"/>
        </w:rPr>
        <w:footnoteReference w:id="52"/>
      </w:r>
    </w:p>
    <w:p w14:paraId="3B24870E" w14:textId="77777777" w:rsidR="001925CE" w:rsidRPr="000D3432" w:rsidRDefault="001925CE" w:rsidP="00A95498">
      <w:pPr>
        <w:ind w:firstLine="426"/>
        <w:jc w:val="both"/>
        <w:rPr>
          <w:rFonts w:asciiTheme="minorHAnsi" w:hAnsiTheme="minorHAnsi"/>
          <w:szCs w:val="24"/>
        </w:rPr>
      </w:pPr>
    </w:p>
    <w:p w14:paraId="035DE62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Y para Michel Foucault el Derecho sería:</w:t>
      </w:r>
    </w:p>
    <w:p w14:paraId="445407C4"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derecho (y cuando hablo de derecho no pienso simplemente en la ley, sino en el conjunto de aparatos, instituciones, reglamentos que se aplican al derecho) transmite, funcionaliza relaciones que no son exclusivamente relaciones de soberanía, sino de dominación. Y por dominación no entiendo el hecho macizo de una dominación global de uno sobre los otros, o de un grupo sobre otro, sino las múltiples formas de dominación que pueden ejercerse en el interior de la sociedad.  Y por lo tanto, no el rey en su posición central sino los sujetos en sus relaciones recíprocas; no la soberanía en su edificio específico, sino las múltiples obligaciones que tienen lugar y funcionan dentro del cuerpo social.”</w:t>
      </w:r>
    </w:p>
    <w:p w14:paraId="66BAC59D"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derecho visto no desde el lado de la legitimidad que se instaura, sino desde el de los procedimientos de sometimiento que pone en marcha.”</w:t>
      </w:r>
      <w:r w:rsidRPr="000D3432">
        <w:rPr>
          <w:rStyle w:val="Refdenotaalpie"/>
          <w:rFonts w:asciiTheme="minorHAnsi" w:hAnsiTheme="minorHAnsi"/>
          <w:sz w:val="24"/>
          <w:szCs w:val="24"/>
          <w:vertAlign w:val="superscript"/>
        </w:rPr>
        <w:footnoteReference w:id="53"/>
      </w:r>
    </w:p>
    <w:p w14:paraId="263C08F4" w14:textId="77777777" w:rsidR="001925CE" w:rsidRPr="000D3432" w:rsidRDefault="001925CE" w:rsidP="00A95498">
      <w:pPr>
        <w:ind w:firstLine="426"/>
        <w:jc w:val="both"/>
        <w:rPr>
          <w:rFonts w:asciiTheme="minorHAnsi" w:hAnsiTheme="minorHAnsi"/>
          <w:szCs w:val="24"/>
        </w:rPr>
      </w:pPr>
    </w:p>
    <w:p w14:paraId="6830483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Pero no basta dar una concepción del Derecho, para intentar abordar el problema planteado, es recurrente hacer cierta observación sobre cómo se desenvuelve y maneja la percepción del Derecho que tenemos no sólo los hombres de derecho, sino aquellos  que la ponen en práctica, que la usan, es decir “todos” (el Derecho es cosa de todos). </w:t>
      </w:r>
    </w:p>
    <w:p w14:paraId="1F4F3C13" w14:textId="77777777" w:rsidR="001925CE" w:rsidRPr="000D3432" w:rsidRDefault="001925CE" w:rsidP="00A95498">
      <w:pPr>
        <w:ind w:firstLine="426"/>
        <w:jc w:val="both"/>
        <w:rPr>
          <w:rFonts w:asciiTheme="minorHAnsi" w:hAnsiTheme="minorHAnsi"/>
          <w:szCs w:val="24"/>
        </w:rPr>
      </w:pPr>
    </w:p>
    <w:p w14:paraId="3DC0736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Dado un vistazo breve, pero general, se observará cómo no hay una concepción claramente entendida de lo que significa el Derecho, de lo que podemos hacer con él, y del rol o función que cumple en la sociedad. La visión general es más bien confusa, elusiva, extraña, etc.; resulta de este fenómeno  el hecho de que los hombres al toparse con la necesidad de usar el Derecho, en cualquiera de sus expresiones, se ven impelidos a tomar de todas las concepciones que haya en el mercado jurídico, según sus necesidades y conveniencias, en forma desordenada y confusa -al estilo kafkiano. Por lo que se terminará por usar el Derecho, manejarlo incluso, transitar por sus vías y procesos, pero sin comprenderlo con visión de conjunto. Es esta mala mezcla, mixtura de ideas, valores, concepciones del mundo real y jurídico, costumbres, axiomas, etc., percepciones de la función y uso del Derecho tomadas en trozos de por aquí y por allá, en forma desorganizada y desarticulada de sus contextos, lo que, no confrontadas con previo razonamiento crítico, perturbarán cualquier </w:t>
      </w:r>
      <w:r w:rsidRPr="000D3432">
        <w:rPr>
          <w:rFonts w:asciiTheme="minorHAnsi" w:hAnsiTheme="minorHAnsi"/>
          <w:szCs w:val="24"/>
        </w:rPr>
        <w:lastRenderedPageBreak/>
        <w:t>proceso de modernización, e  incluso lo anularán.</w:t>
      </w:r>
    </w:p>
    <w:p w14:paraId="1B19043A" w14:textId="77777777" w:rsidR="001925CE" w:rsidRPr="000D3432" w:rsidRDefault="001925CE" w:rsidP="00A95498">
      <w:pPr>
        <w:ind w:firstLine="426"/>
        <w:jc w:val="both"/>
        <w:rPr>
          <w:rFonts w:asciiTheme="minorHAnsi" w:hAnsiTheme="minorHAnsi"/>
          <w:szCs w:val="24"/>
        </w:rPr>
      </w:pPr>
    </w:p>
    <w:p w14:paraId="29C3E09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Bueno, hay por lo pronto una primera necesidad: aclarar nuestras ideas sobre el concepto del Derecho, en su contexto semántico. Por lo cual daremos un esbozo referencial:</w:t>
      </w:r>
    </w:p>
    <w:p w14:paraId="5A8AD6B1" w14:textId="77777777" w:rsidR="001925CE" w:rsidRPr="000D3432" w:rsidRDefault="001925CE" w:rsidP="00A95498">
      <w:pPr>
        <w:ind w:firstLine="426"/>
        <w:jc w:val="both"/>
        <w:rPr>
          <w:rFonts w:asciiTheme="minorHAnsi" w:hAnsiTheme="minorHAnsi"/>
          <w:szCs w:val="24"/>
        </w:rPr>
      </w:pPr>
    </w:p>
    <w:p w14:paraId="1B5B311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Miguel Villoro Toranzo plantea el estudio de las nociones filosóficas-jurídicas del Derecho clasificándolas de la siguiente manera:</w:t>
      </w:r>
    </w:p>
    <w:p w14:paraId="14775C09"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 xml:space="preserve">1.- </w:t>
      </w:r>
      <w:r w:rsidRPr="000D3432">
        <w:rPr>
          <w:rFonts w:asciiTheme="minorHAnsi" w:hAnsiTheme="minorHAnsi"/>
          <w:szCs w:val="24"/>
        </w:rPr>
        <w:tab/>
        <w:t>Aquellas nociones que insisten en el aspecto moral del Derecho en su contenido de Justicia.</w:t>
      </w:r>
    </w:p>
    <w:p w14:paraId="4212717A"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 xml:space="preserve">2.- </w:t>
      </w:r>
      <w:r w:rsidRPr="000D3432">
        <w:rPr>
          <w:rFonts w:asciiTheme="minorHAnsi" w:hAnsiTheme="minorHAnsi"/>
          <w:szCs w:val="24"/>
        </w:rPr>
        <w:tab/>
        <w:t>Nociones que se fijan en la razón, en el aspecto racional "en cuanto el Derecho se presenta como un orden estructurado racionalmente", (positivismo)</w:t>
      </w:r>
    </w:p>
    <w:p w14:paraId="5898359A"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 xml:space="preserve">3.- </w:t>
      </w:r>
      <w:r w:rsidRPr="000D3432">
        <w:rPr>
          <w:rFonts w:asciiTheme="minorHAnsi" w:hAnsiTheme="minorHAnsi"/>
          <w:szCs w:val="24"/>
        </w:rPr>
        <w:tab/>
        <w:t>Nociones que explican al Derecho como un producto de la realidad histórica, como un resultado de las fuerzas históricas, sociales o económicas,</w:t>
      </w:r>
    </w:p>
    <w:p w14:paraId="624D3E71"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4.-</w:t>
      </w:r>
      <w:r w:rsidRPr="000D3432">
        <w:rPr>
          <w:rFonts w:asciiTheme="minorHAnsi" w:hAnsiTheme="minorHAnsi"/>
          <w:szCs w:val="24"/>
        </w:rPr>
        <w:tab/>
        <w:t>El aspecto del Derecho como la decisión de la voluntad de la autoridad.</w:t>
      </w:r>
    </w:p>
    <w:p w14:paraId="48616BA9" w14:textId="77777777" w:rsidR="001925CE" w:rsidRPr="000D3432" w:rsidRDefault="001925CE" w:rsidP="00A95498">
      <w:pPr>
        <w:ind w:firstLine="426"/>
        <w:jc w:val="both"/>
        <w:rPr>
          <w:rFonts w:asciiTheme="minorHAnsi" w:hAnsiTheme="minorHAnsi"/>
          <w:szCs w:val="24"/>
        </w:rPr>
      </w:pPr>
    </w:p>
    <w:p w14:paraId="5C6C20D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Estas cuatro nociones filosóficas-jurídicas no son necesariamente excluyentes. Sucede simplemente que se conjugan todas ellas, formando un conglomerado, una especie de interconexión, un acto relacionante.</w:t>
      </w:r>
    </w:p>
    <w:p w14:paraId="3B34A7E8" w14:textId="77777777" w:rsidR="001925CE" w:rsidRPr="000D3432" w:rsidRDefault="001925CE" w:rsidP="00A95498">
      <w:pPr>
        <w:ind w:firstLine="426"/>
        <w:jc w:val="both"/>
        <w:rPr>
          <w:rFonts w:asciiTheme="minorHAnsi" w:hAnsiTheme="minorHAnsi"/>
          <w:szCs w:val="24"/>
        </w:rPr>
      </w:pPr>
    </w:p>
    <w:p w14:paraId="6E1A33E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Esto pareciera explicar las direcciones que puede tomar cualquier investigación jurídica. No obstante, nosotros no tomaremos estas como objetos independientes de estudio,  sino como relacionadas unas con otras. </w:t>
      </w:r>
    </w:p>
    <w:p w14:paraId="7E468088" w14:textId="77777777" w:rsidR="001925CE" w:rsidRPr="000D3432" w:rsidRDefault="001925CE" w:rsidP="00A95498">
      <w:pPr>
        <w:pStyle w:val="Ttulo2"/>
        <w:spacing w:line="240" w:lineRule="auto"/>
        <w:rPr>
          <w:rFonts w:asciiTheme="minorHAnsi" w:hAnsiTheme="minorHAnsi"/>
          <w:sz w:val="24"/>
          <w:szCs w:val="24"/>
        </w:rPr>
      </w:pPr>
    </w:p>
    <w:p w14:paraId="71BDCA3A" w14:textId="77777777" w:rsidR="001925CE" w:rsidRPr="000D3432" w:rsidRDefault="001925CE" w:rsidP="00A95498">
      <w:pPr>
        <w:pStyle w:val="Ttulo2"/>
        <w:spacing w:line="240" w:lineRule="auto"/>
        <w:rPr>
          <w:rFonts w:asciiTheme="minorHAnsi" w:hAnsiTheme="minorHAnsi"/>
          <w:sz w:val="24"/>
          <w:szCs w:val="24"/>
        </w:rPr>
      </w:pPr>
      <w:bookmarkStart w:id="36" w:name="_Toc318102854"/>
      <w:r w:rsidRPr="000D3432">
        <w:rPr>
          <w:rFonts w:asciiTheme="minorHAnsi" w:hAnsiTheme="minorHAnsi"/>
          <w:sz w:val="24"/>
          <w:szCs w:val="24"/>
        </w:rPr>
        <w:t>b.- Principales teorías filosóficas-jurídicas</w:t>
      </w:r>
      <w:bookmarkEnd w:id="36"/>
    </w:p>
    <w:p w14:paraId="190417C5" w14:textId="77777777" w:rsidR="001925CE" w:rsidRPr="000D3432" w:rsidRDefault="001925CE" w:rsidP="00A95498">
      <w:pPr>
        <w:ind w:firstLine="426"/>
        <w:jc w:val="both"/>
        <w:rPr>
          <w:rFonts w:asciiTheme="minorHAnsi" w:hAnsiTheme="minorHAnsi"/>
          <w:szCs w:val="24"/>
        </w:rPr>
      </w:pPr>
    </w:p>
    <w:p w14:paraId="4D10AE6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Hemos de exponer muy brevemente, para darnos un marco referencial, las principales teorías filosóficas-jurídicas.  Por eso, siguiendo el análisis que hacen Luis Martínez R. Y Jesús Fernández S., la determinación del objeto de estudio del Derecho se perfila como un elemento poco claro, en sus otras palabras, el “Derecho no tiene claro ni delimitado cuál es su objeto, no se sabe con precisión en qué consiste la realidad del Derecho. Y por otro lado, ofrece también dificultades a la hora de distinguir con precisión la realidad del derecho de los medios lógicos que el jurista utiliza para enunciar y describir esa realidad.”</w:t>
      </w:r>
      <w:r w:rsidRPr="000D3432">
        <w:rPr>
          <w:rStyle w:val="Refdenotaalpie"/>
          <w:rFonts w:asciiTheme="minorHAnsi" w:hAnsiTheme="minorHAnsi"/>
          <w:sz w:val="24"/>
          <w:szCs w:val="24"/>
          <w:vertAlign w:val="superscript"/>
        </w:rPr>
        <w:footnoteReference w:id="54"/>
      </w:r>
    </w:p>
    <w:p w14:paraId="14000E26" w14:textId="77777777" w:rsidR="001925CE" w:rsidRPr="000D3432" w:rsidRDefault="001925CE" w:rsidP="00A95498">
      <w:pPr>
        <w:ind w:firstLine="426"/>
        <w:jc w:val="both"/>
        <w:rPr>
          <w:rFonts w:asciiTheme="minorHAnsi" w:hAnsiTheme="minorHAnsi"/>
          <w:szCs w:val="24"/>
        </w:rPr>
      </w:pPr>
    </w:p>
    <w:p w14:paraId="612B820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un medio de alternar medios de solucionar este tipo de fenómenos se exponen a continuación teorías filosóficas-jurídicas que intentarán explicar la realidad y el objeto del Derecho desde enfoques distintos:</w:t>
      </w:r>
    </w:p>
    <w:p w14:paraId="5D27FF30" w14:textId="77777777" w:rsidR="001925CE" w:rsidRPr="000D3432" w:rsidRDefault="001925CE" w:rsidP="00A95498">
      <w:pPr>
        <w:jc w:val="both"/>
        <w:rPr>
          <w:rFonts w:asciiTheme="minorHAnsi" w:hAnsiTheme="minorHAnsi"/>
          <w:szCs w:val="24"/>
        </w:rPr>
      </w:pPr>
    </w:p>
    <w:p w14:paraId="6275BA90" w14:textId="77777777" w:rsidR="001925CE" w:rsidRPr="000D3432" w:rsidRDefault="001925CE" w:rsidP="00A95498">
      <w:pPr>
        <w:jc w:val="both"/>
        <w:rPr>
          <w:rFonts w:asciiTheme="minorHAnsi" w:hAnsiTheme="minorHAnsi"/>
          <w:szCs w:val="24"/>
        </w:rPr>
      </w:pPr>
    </w:p>
    <w:p w14:paraId="59831641" w14:textId="77777777" w:rsidR="001925CE" w:rsidRPr="000D3432" w:rsidRDefault="001925CE" w:rsidP="00A95498">
      <w:pPr>
        <w:jc w:val="both"/>
        <w:rPr>
          <w:rFonts w:asciiTheme="minorHAnsi" w:hAnsiTheme="minorHAnsi"/>
          <w:szCs w:val="24"/>
        </w:rPr>
      </w:pPr>
      <w:r w:rsidRPr="000D3432">
        <w:rPr>
          <w:rFonts w:asciiTheme="minorHAnsi" w:hAnsiTheme="minorHAnsi"/>
          <w:b/>
          <w:i/>
          <w:szCs w:val="24"/>
        </w:rPr>
        <w:t>1) Concepción Normativista:</w:t>
      </w:r>
    </w:p>
    <w:p w14:paraId="14F9A3B1" w14:textId="77777777" w:rsidR="001925CE" w:rsidRPr="000D3432" w:rsidRDefault="001925CE" w:rsidP="00A95498">
      <w:pPr>
        <w:ind w:firstLine="426"/>
        <w:jc w:val="both"/>
        <w:rPr>
          <w:rFonts w:asciiTheme="minorHAnsi" w:hAnsiTheme="minorHAnsi"/>
          <w:szCs w:val="24"/>
        </w:rPr>
      </w:pPr>
    </w:p>
    <w:p w14:paraId="48097C3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 xml:space="preserve">Según esta concepción de la realidad del Derecho, el foco central y fundamental de la esencia del Derecho son las normas. Las normas configurarían ese objeto de estudio, esa integración total del Derecho, etc. Esto es, a nuestro parecer, inexacto. Si bien las normas son partes constitutivas del Derecho, no lo constituyen todo, no son todo el Derecho. </w:t>
      </w:r>
    </w:p>
    <w:p w14:paraId="2EF0202E" w14:textId="77777777" w:rsidR="001925CE" w:rsidRPr="000D3432" w:rsidRDefault="001925CE" w:rsidP="00A95498">
      <w:pPr>
        <w:ind w:firstLine="426"/>
        <w:jc w:val="both"/>
        <w:rPr>
          <w:rFonts w:asciiTheme="minorHAnsi" w:hAnsiTheme="minorHAnsi"/>
          <w:szCs w:val="24"/>
        </w:rPr>
      </w:pPr>
    </w:p>
    <w:p w14:paraId="4D0F4D6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problema de tomar como objeto de estudio del Derecho a la norma, es decir tener una concepción normativista del Derecho, reside en que se excluye de este estudio todo aquello que no tenga que ver con la norma.  A mi parecer, lo que ha habido es una exagerada convicción de que el enfoque normativista era el medio más adecuado para entender al Derecho. </w:t>
      </w:r>
      <w:r w:rsidRPr="000D3432">
        <w:rPr>
          <w:rFonts w:asciiTheme="minorHAnsi" w:hAnsiTheme="minorHAnsi"/>
          <w:szCs w:val="24"/>
        </w:rPr>
        <w:tab/>
      </w:r>
    </w:p>
    <w:p w14:paraId="5F18D682" w14:textId="77777777" w:rsidR="001925CE" w:rsidRPr="000D3432" w:rsidRDefault="001925CE" w:rsidP="00A95498">
      <w:pPr>
        <w:ind w:firstLine="426"/>
        <w:jc w:val="both"/>
        <w:rPr>
          <w:rFonts w:asciiTheme="minorHAnsi" w:hAnsiTheme="minorHAnsi"/>
          <w:szCs w:val="24"/>
        </w:rPr>
      </w:pPr>
    </w:p>
    <w:p w14:paraId="56EA299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Bobbio, por ejemplo, el mejor medio para acercarse a la experiencia jurídica es a través de los sistemas normativos, considerar al Derecho como un sistema de normas; desde este enfoque la experiencia jurídica es una experiencia normativa,</w:t>
      </w:r>
      <w:r w:rsidRPr="000D3432">
        <w:rPr>
          <w:rStyle w:val="Refdenotaalpie"/>
          <w:rFonts w:asciiTheme="minorHAnsi" w:hAnsiTheme="minorHAnsi"/>
          <w:sz w:val="24"/>
          <w:szCs w:val="24"/>
          <w:vertAlign w:val="superscript"/>
        </w:rPr>
        <w:footnoteReference w:id="55"/>
      </w:r>
      <w:r w:rsidRPr="000D3432">
        <w:rPr>
          <w:rFonts w:asciiTheme="minorHAnsi" w:hAnsiTheme="minorHAnsi"/>
          <w:szCs w:val="24"/>
        </w:rPr>
        <w:t xml:space="preserve"> la vida misma es sólo una representación normativa, un conjunto de normas dentro de las cuales nos desenvolvemos o estamos encerrados; son estas normas las que dirigen nuestras acciones a lo largo de nuestra vida. Son estas normas las que a manera de carteles indicativos conducen nuestro comportamiento y manera de vivir.</w:t>
      </w:r>
    </w:p>
    <w:p w14:paraId="704B7DEB"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 “Toda nuestra vida está llena de carteles indicativos, algunos que ordenan tener cierto comportamiento, otros que lo prohíben. Muchos de estos carteles indicativos son reglas del derecho. Desde ahora podemos decir, así sea en términos todavía generales, que el derecho constituye una parte notable, tal vez la más sobresaliente de nuestra experiencia normativa.”</w:t>
      </w:r>
      <w:r w:rsidRPr="000D3432">
        <w:rPr>
          <w:rStyle w:val="Refdenotaalpie"/>
          <w:rFonts w:asciiTheme="minorHAnsi" w:hAnsiTheme="minorHAnsi"/>
          <w:sz w:val="24"/>
          <w:szCs w:val="24"/>
          <w:vertAlign w:val="superscript"/>
        </w:rPr>
        <w:footnoteReference w:id="56"/>
      </w:r>
    </w:p>
    <w:p w14:paraId="1B2A9350" w14:textId="77777777" w:rsidR="001925CE" w:rsidRPr="000D3432" w:rsidRDefault="001925CE" w:rsidP="00A95498">
      <w:pPr>
        <w:ind w:firstLine="426"/>
        <w:jc w:val="both"/>
        <w:rPr>
          <w:rFonts w:asciiTheme="minorHAnsi" w:hAnsiTheme="minorHAnsi"/>
          <w:szCs w:val="24"/>
        </w:rPr>
      </w:pPr>
    </w:p>
    <w:p w14:paraId="4B62301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Bobbio ha partido de esta concepción normativa, pero entiende que ese sólo es un medio del cual partir para estudiar al Derecho y acercarse a la experiencia jurídica. Su advertencia de que el “derecho constituye una parte notable... de nuestra experiencia normativa”, aclara que no considera al Derecho como puramente normativo, que no es sólo norma, sino que es “una parte notable”. La vida estárepleta de experiencias normativas, es en sí una gran experiencia normativa, pero el Derecho no constituye toda la experiencia normativa de la vida humana.</w:t>
      </w:r>
    </w:p>
    <w:p w14:paraId="10DCB064" w14:textId="77777777" w:rsidR="001925CE" w:rsidRPr="000D3432" w:rsidRDefault="001925CE" w:rsidP="00A95498">
      <w:pPr>
        <w:ind w:firstLine="426"/>
        <w:jc w:val="both"/>
        <w:rPr>
          <w:rFonts w:asciiTheme="minorHAnsi" w:hAnsiTheme="minorHAnsi"/>
          <w:szCs w:val="24"/>
        </w:rPr>
      </w:pPr>
    </w:p>
    <w:p w14:paraId="7D67965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problema consiste en que la concepción normativista se la asimila con carácter cerrado, con amarras literales, con imprecisiones conceptuales, etc. El Derecho así entendido sería sólo norma. Esto no es así, el Derecho es mucho más que norma, es experiencia, es conflicto de intereses</w:t>
      </w:r>
      <w:r w:rsidRPr="000D3432">
        <w:rPr>
          <w:rStyle w:val="Refdenotaalpie"/>
          <w:rFonts w:asciiTheme="minorHAnsi" w:hAnsiTheme="minorHAnsi"/>
          <w:sz w:val="24"/>
          <w:szCs w:val="24"/>
          <w:vertAlign w:val="superscript"/>
        </w:rPr>
        <w:footnoteReference w:id="57"/>
      </w:r>
      <w:r w:rsidRPr="000D3432">
        <w:rPr>
          <w:rFonts w:asciiTheme="minorHAnsi" w:hAnsiTheme="minorHAnsi"/>
          <w:szCs w:val="24"/>
        </w:rPr>
        <w:t>, es lucha para alcanzar un medio</w:t>
      </w:r>
      <w:r w:rsidRPr="000D3432">
        <w:rPr>
          <w:rStyle w:val="Refdenotaalpie"/>
          <w:rFonts w:asciiTheme="minorHAnsi" w:hAnsiTheme="minorHAnsi"/>
          <w:sz w:val="24"/>
          <w:szCs w:val="24"/>
          <w:vertAlign w:val="superscript"/>
        </w:rPr>
        <w:footnoteReference w:id="58"/>
      </w:r>
      <w:r w:rsidRPr="000D3432">
        <w:rPr>
          <w:rFonts w:asciiTheme="minorHAnsi" w:hAnsiTheme="minorHAnsi"/>
          <w:szCs w:val="24"/>
        </w:rPr>
        <w:t>, etc.</w:t>
      </w:r>
    </w:p>
    <w:p w14:paraId="0A0043CE" w14:textId="77777777" w:rsidR="001925CE" w:rsidRPr="000D3432" w:rsidRDefault="001925CE" w:rsidP="00A95498">
      <w:pPr>
        <w:ind w:firstLine="426"/>
        <w:jc w:val="both"/>
        <w:rPr>
          <w:rFonts w:asciiTheme="minorHAnsi" w:hAnsiTheme="minorHAnsi"/>
          <w:szCs w:val="24"/>
        </w:rPr>
      </w:pPr>
    </w:p>
    <w:p w14:paraId="4735FD6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No obstante se entiende que la concepción normativista del Derecho identifica al Derecho con la norma, es decir la realidad del Derecho es la norma. </w:t>
      </w:r>
    </w:p>
    <w:p w14:paraId="7D46D112"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lastRenderedPageBreak/>
        <w:t>“Esta teoría ... entiende al Derecho como una realidad normativa, es decir, identifica la realidad del Derecho con las normas o, mejor, con el ordenamiento jurídico.”</w:t>
      </w:r>
      <w:r w:rsidRPr="000D3432">
        <w:rPr>
          <w:rStyle w:val="Refdenotaalpie"/>
          <w:rFonts w:asciiTheme="minorHAnsi" w:hAnsiTheme="minorHAnsi"/>
          <w:sz w:val="24"/>
          <w:szCs w:val="24"/>
          <w:vertAlign w:val="superscript"/>
        </w:rPr>
        <w:footnoteReference w:id="59"/>
      </w:r>
    </w:p>
    <w:p w14:paraId="20CFA763" w14:textId="77777777" w:rsidR="001925CE" w:rsidRPr="000D3432" w:rsidRDefault="001925CE" w:rsidP="00A95498">
      <w:pPr>
        <w:ind w:firstLine="426"/>
        <w:jc w:val="both"/>
        <w:rPr>
          <w:rFonts w:asciiTheme="minorHAnsi" w:hAnsiTheme="minorHAnsi"/>
          <w:szCs w:val="24"/>
        </w:rPr>
      </w:pPr>
    </w:p>
    <w:p w14:paraId="5955409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Conductas y normas se encuentran condicionadas para ser jurídicas, sin esta unión no existe orden jurídico. Lo jurídico será aquello que esté regulado en las normas jurídicas. Las conductas sociales sólo serán jurídicas si están normadas. La legitimidad de un acto social sólo será dada a través de una norma previamente establecida.</w:t>
      </w:r>
    </w:p>
    <w:p w14:paraId="369B4FC6"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“Para esta teoría, las conductas sólo serán conductas jurídicas cuando estén reguladas por normas jurídicas. De la misma forma, las relaciones sociales sólo alcanzarán el rango de jurídicas cuando estén previstas y contempladas en normas jurídicas. Y la sociedad sólo dispondrá de una auténtica organización cuando ésta sea establecida por un conjunto de normas jurídicas.”</w:t>
      </w:r>
      <w:r w:rsidRPr="000D3432">
        <w:rPr>
          <w:rStyle w:val="Refdenotaalpie"/>
          <w:rFonts w:asciiTheme="minorHAnsi" w:hAnsiTheme="minorHAnsi"/>
          <w:sz w:val="24"/>
          <w:szCs w:val="24"/>
          <w:vertAlign w:val="superscript"/>
        </w:rPr>
        <w:footnoteReference w:id="60"/>
      </w:r>
    </w:p>
    <w:p w14:paraId="7F5028E1" w14:textId="77777777" w:rsidR="001925CE" w:rsidRPr="000D3432" w:rsidRDefault="001925CE" w:rsidP="00A95498">
      <w:pPr>
        <w:ind w:firstLine="426"/>
        <w:jc w:val="both"/>
        <w:rPr>
          <w:rFonts w:asciiTheme="minorHAnsi" w:hAnsiTheme="minorHAnsi"/>
          <w:szCs w:val="24"/>
        </w:rPr>
      </w:pPr>
    </w:p>
    <w:p w14:paraId="413D4AA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Esto pareciera significar una exacerbada acentuación en la forma, o el formalismo. La extensión de esta concepción afectaría a todo lo referente al Derecho, incluso las relaciones jurídicas</w:t>
      </w:r>
      <w:r w:rsidRPr="000D3432">
        <w:rPr>
          <w:rStyle w:val="Refdenotaalpie"/>
          <w:rFonts w:asciiTheme="minorHAnsi" w:hAnsiTheme="minorHAnsi"/>
          <w:sz w:val="24"/>
          <w:szCs w:val="24"/>
          <w:vertAlign w:val="superscript"/>
        </w:rPr>
        <w:footnoteReference w:id="61"/>
      </w:r>
      <w:r w:rsidRPr="000D3432">
        <w:rPr>
          <w:rFonts w:asciiTheme="minorHAnsi" w:hAnsiTheme="minorHAnsi"/>
          <w:szCs w:val="24"/>
        </w:rPr>
        <w:t>, serían manejadas desde este enfoque normativista, donde conducta y norma deben estar legitimadas por la existencia o constitución formal de las conductas sociales. Es decir que para la existencia del Derecho, las conductas sociales deben ser transformadas en conductas normadas, formalmente normadas, jurídicamente existentes. Los hechos sociales deberán ser transformados en hechos jurídicos a través de su formalización jurídica. De su existencia real en normas jurídicas, para ser válidas.</w:t>
      </w:r>
    </w:p>
    <w:p w14:paraId="6765DFE0" w14:textId="77777777" w:rsidR="001925CE" w:rsidRPr="000D3432" w:rsidRDefault="001925CE" w:rsidP="00A95498">
      <w:pPr>
        <w:ind w:firstLine="426"/>
        <w:jc w:val="both"/>
        <w:rPr>
          <w:rFonts w:asciiTheme="minorHAnsi" w:hAnsiTheme="minorHAnsi"/>
          <w:szCs w:val="24"/>
        </w:rPr>
      </w:pPr>
    </w:p>
    <w:p w14:paraId="4A4A943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concepción normativista, extendida aún hoy en nuestro medio, ha provocado cierta separación de las prácticas y experiencias sociales con las formulaciones jurídicas. La desconexión entre hecho y norma se ha acentuado por la distancia puesta por la forma. El Derecho se ha entendido como mera expresión de la forma jurídica, y no de los valores sociales. La conceptualización del normativismo como objeto de estudio del Derecho ha trascendido y escapado a niveles más jerárquicos y dogmáticos. Se ha acentuado la ley sobre el hecho social. Se ha confundido los medios de estudio, con la esencia del Derecho, se ha tomado al Derecho como mero “conjunto de normas”, formulación literal, y falseada por los intérpretes y/o usuarios del Derecho, que han concebido esta proposición como la materialización formal del Derecho. Por ello el Derecho sería la norma, la norma sería la ley, y la ley sería la palabra escrita, reduciendo al Derecho a este compacto parámetro, al texto y no al contexto.</w:t>
      </w:r>
    </w:p>
    <w:p w14:paraId="2A246416" w14:textId="77777777" w:rsidR="001925CE" w:rsidRPr="000D3432" w:rsidRDefault="001925CE" w:rsidP="00A95498">
      <w:pPr>
        <w:ind w:firstLine="426"/>
        <w:jc w:val="both"/>
        <w:rPr>
          <w:rFonts w:asciiTheme="minorHAnsi" w:hAnsiTheme="minorHAnsi"/>
          <w:szCs w:val="24"/>
        </w:rPr>
      </w:pPr>
    </w:p>
    <w:p w14:paraId="5120679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entendido de esta forma ha devenido en conjunto de normas. "De una manera más o menos consciente, se encuentra muy extendida entre nosotros una concepción normativista del derecho. Según esta concepción, el derecho es un conjunto de normas. Son normas que poseen una u otras características, pero son normas al fin y al cabo."</w:t>
      </w:r>
      <w:r w:rsidRPr="000D3432">
        <w:rPr>
          <w:rStyle w:val="Refdenotaalpie"/>
          <w:rFonts w:asciiTheme="minorHAnsi" w:hAnsiTheme="minorHAnsi"/>
          <w:sz w:val="24"/>
          <w:szCs w:val="24"/>
          <w:vertAlign w:val="superscript"/>
        </w:rPr>
        <w:footnoteReference w:id="62"/>
      </w:r>
      <w:r w:rsidRPr="000D3432">
        <w:rPr>
          <w:rFonts w:asciiTheme="minorHAnsi" w:hAnsiTheme="minorHAnsi"/>
          <w:szCs w:val="24"/>
        </w:rPr>
        <w:t>Los que así intuyen al orden jurídico, al Derecho como conjunto de normas, presuponen que el Derecho es algo ya dado previamente en las normas, formalmente empotradas en la normatividad, orden preestablecido por la sociedad; hay una dirección ya formulada, un orden deseable, al intentar adecuarse las normas, mediante toda una estructura organizativa. Incluso los que planteaban al Derecho como ciencia, la postulan como ciencia normativa, y basados en esta concepción hacen al Derecho dependiente de la norma:</w:t>
      </w:r>
    </w:p>
    <w:p w14:paraId="6334317A"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ciencia del derecho es sustancialmente una ciencia normativa. Una consecuencia de esta concepción es que el derecho es algo que se encuentra previamente dado. Lo encontramos formulado o cristalizado en las normas. El derecho se nos aparece como una previa formalización normativa, abstracta y general, que nos viene ya dada. De acuerdo con esta idea, el derecho es el orden previsto o preestablecido para una sociedad, comunidad o grupo humano. Para que este orden se realice, para que una comunidad viva ordenadamente es necesario ante todo un previo planeamiento o una previsión del orden que es considerado como deseable. Este orden se ofrece a través de toda una serie de reglas o de preceptos, que son estatuidos con una eficacia social de organización y mediante los cuales aquel orden se intenta o se ensaya."</w:t>
      </w:r>
      <w:r w:rsidRPr="000D3432">
        <w:rPr>
          <w:rStyle w:val="Refdenotaalpie"/>
          <w:rFonts w:asciiTheme="minorHAnsi" w:hAnsiTheme="minorHAnsi"/>
          <w:sz w:val="24"/>
          <w:szCs w:val="24"/>
          <w:vertAlign w:val="superscript"/>
        </w:rPr>
        <w:footnoteReference w:id="63"/>
      </w:r>
    </w:p>
    <w:p w14:paraId="645AF2AE" w14:textId="77777777" w:rsidR="001925CE" w:rsidRPr="000D3432" w:rsidRDefault="001925CE" w:rsidP="00A95498">
      <w:pPr>
        <w:ind w:firstLine="426"/>
        <w:jc w:val="both"/>
        <w:rPr>
          <w:rFonts w:asciiTheme="minorHAnsi" w:hAnsiTheme="minorHAnsi"/>
          <w:szCs w:val="24"/>
        </w:rPr>
      </w:pPr>
    </w:p>
    <w:p w14:paraId="101CE37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Las normas, en el esquema normativista del Derecho, constituyen lo primero, son portadoras del germen de lo deseable para la sociedad, y están revestidas con mantos de previsibilidad, como configurando de antemano las relaciones sociales y jurídicas. Hay en ellas también una doble función, la de prever el orden establecido y la de sancionar la contravención a este orden determinado por la norma.</w:t>
      </w:r>
    </w:p>
    <w:p w14:paraId="3F5009ED"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"Para una concepción normativista del derecho, no cabe duda que las normas constituyen lo primero. (...) Las normas prefiguran la realidad deseable y esta última debe ajustarse a ellas. Además, las normas prevén las consecuencias que han de producirse cuando la realidad discrepe del mandato en ellas contenido. Esta previsión es fundamentalmente una sanción. Así, las normas, al mismo tiempo que plantean el orden deseable, sancionan las contravenciones o desviaciones de este orden, para conseguir que en el futuro tales contravenciones o desviaciones no se produzcan."</w:t>
      </w:r>
      <w:r w:rsidRPr="000D3432">
        <w:rPr>
          <w:rStyle w:val="Refdenotaalpie"/>
          <w:rFonts w:asciiTheme="minorHAnsi" w:hAnsiTheme="minorHAnsi"/>
          <w:sz w:val="24"/>
          <w:szCs w:val="24"/>
          <w:vertAlign w:val="superscript"/>
        </w:rPr>
        <w:footnoteReference w:id="64"/>
      </w:r>
    </w:p>
    <w:p w14:paraId="7C99A8ED" w14:textId="77777777" w:rsidR="001925CE" w:rsidRPr="000D3432" w:rsidRDefault="001925CE" w:rsidP="00A95498">
      <w:pPr>
        <w:ind w:firstLine="426"/>
        <w:jc w:val="both"/>
        <w:rPr>
          <w:rFonts w:asciiTheme="minorHAnsi" w:hAnsiTheme="minorHAnsi"/>
          <w:szCs w:val="24"/>
        </w:rPr>
      </w:pPr>
    </w:p>
    <w:p w14:paraId="2DF2988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Una de las características esenciales de esta concepción normativista del </w:t>
      </w:r>
      <w:r w:rsidRPr="000D3432">
        <w:rPr>
          <w:rFonts w:asciiTheme="minorHAnsi" w:hAnsiTheme="minorHAnsi"/>
          <w:szCs w:val="24"/>
        </w:rPr>
        <w:lastRenderedPageBreak/>
        <w:t>Derecho es su fundamentación material, condición esencial para la existencia del Derecho. "El normativismo puro exige una absoluta fidelidad a la letra de la ley, que se considerará la norma prototípica. Sin ley no hay nada que hacer."</w:t>
      </w:r>
      <w:r w:rsidRPr="000D3432">
        <w:rPr>
          <w:rStyle w:val="Refdenotaalpie"/>
          <w:rFonts w:asciiTheme="minorHAnsi" w:hAnsiTheme="minorHAnsi"/>
          <w:sz w:val="24"/>
          <w:szCs w:val="24"/>
          <w:vertAlign w:val="superscript"/>
        </w:rPr>
        <w:footnoteReference w:id="65"/>
      </w:r>
      <w:r w:rsidRPr="000D3432">
        <w:rPr>
          <w:rFonts w:asciiTheme="minorHAnsi" w:hAnsiTheme="minorHAnsi"/>
          <w:szCs w:val="24"/>
        </w:rPr>
        <w:t xml:space="preserve"> Pero además, esta concepción normativista juega en un ambiente de normalización, es decir, sujetarse al Derecho es estar normalizado, haciendo de los que no se adecuan al Derecho unos rebeldes, delincuentes, etc., esta normalización esta determinada por la norma, que en su expresión formal se muestra como ley.</w:t>
      </w:r>
      <w:r w:rsidRPr="000D3432">
        <w:rPr>
          <w:rFonts w:asciiTheme="minorHAnsi" w:hAnsiTheme="minorHAnsi"/>
          <w:szCs w:val="24"/>
        </w:rPr>
        <w:tab/>
      </w:r>
    </w:p>
    <w:p w14:paraId="4ED1C2B7" w14:textId="77777777" w:rsidR="001925CE" w:rsidRPr="000D3432" w:rsidRDefault="001925CE" w:rsidP="00A95498">
      <w:pPr>
        <w:ind w:firstLine="426"/>
        <w:jc w:val="both"/>
        <w:rPr>
          <w:rFonts w:asciiTheme="minorHAnsi" w:hAnsiTheme="minorHAnsi"/>
          <w:szCs w:val="24"/>
        </w:rPr>
      </w:pPr>
    </w:p>
    <w:p w14:paraId="6027BA4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problema es que aún hoy, está muy difundida la noción normativista en nuestra sociedad. La letra de la ley cómo exclusiva posibilidad de hallar Derecho, así lo demuestra</w:t>
      </w:r>
      <w:r w:rsidRPr="000D3432">
        <w:rPr>
          <w:rStyle w:val="Refdenotaalpie"/>
          <w:rFonts w:asciiTheme="minorHAnsi" w:hAnsiTheme="minorHAnsi"/>
          <w:sz w:val="24"/>
          <w:szCs w:val="24"/>
          <w:vertAlign w:val="superscript"/>
        </w:rPr>
        <w:footnoteReference w:id="66"/>
      </w:r>
      <w:r w:rsidRPr="000D3432">
        <w:rPr>
          <w:rFonts w:asciiTheme="minorHAnsi" w:hAnsiTheme="minorHAnsi"/>
          <w:szCs w:val="24"/>
        </w:rPr>
        <w:t xml:space="preserve">. En este entendido el Derecho sería sólo lo que la norma formal prefigura, dejando de lado todo otro aspecto. La frase popular: “los papeles hablan”, tan extendida hoy, no es más que un producto de esta concepción normativista, que ha limitado la concepción del Derecho, su operatividad, y extraviado su condición de realidad social. </w:t>
      </w:r>
    </w:p>
    <w:p w14:paraId="6F2105EF"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"Todos sabemos que hoy está harto difundida, aun entre quienes no son positivistas, la convicción de que el derecho es un conjunto de normas. Y con eso se extravía totalmente la noción de que el derecho es una realidad social, algo que los hombres hacen en sus relaciones sociales. (...) el orden normativo es sólo un sector o una dimensión del mundo jurídico, que de ningún modo agota su totalidad. El orden de conductas, al contrario, aparece como el centro de gravedad de ese mundo jurídico, donde se sitúa la eficacia y la vigencia."</w:t>
      </w:r>
      <w:r w:rsidRPr="000D3432">
        <w:rPr>
          <w:rStyle w:val="Refdenotaalpie"/>
          <w:rFonts w:asciiTheme="minorHAnsi" w:hAnsiTheme="minorHAnsi"/>
          <w:sz w:val="24"/>
          <w:szCs w:val="24"/>
          <w:vertAlign w:val="superscript"/>
        </w:rPr>
        <w:footnoteReference w:id="67"/>
      </w:r>
    </w:p>
    <w:p w14:paraId="60ED961C" w14:textId="77777777" w:rsidR="001925CE" w:rsidRPr="000D3432" w:rsidRDefault="001925CE" w:rsidP="00A95498">
      <w:pPr>
        <w:ind w:firstLine="426"/>
        <w:jc w:val="both"/>
        <w:rPr>
          <w:rFonts w:asciiTheme="minorHAnsi" w:hAnsiTheme="minorHAnsi"/>
          <w:szCs w:val="24"/>
        </w:rPr>
      </w:pPr>
    </w:p>
    <w:p w14:paraId="15A4ACC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no puede ser sólo norma, porque también es acto social, es relación, es experiencia y práctica, es teoría y expresión, etc. El Derecho es un mecanismo que sirve para mantener y limpiar las arterias del orden de la sociedad, y permitir el flujo de las relaciones sociales y jurídicas.</w:t>
      </w:r>
    </w:p>
    <w:p w14:paraId="69852AC1" w14:textId="77777777" w:rsidR="001925CE" w:rsidRPr="000D3432" w:rsidRDefault="001925CE" w:rsidP="00A95498">
      <w:pPr>
        <w:jc w:val="both"/>
        <w:rPr>
          <w:rFonts w:asciiTheme="minorHAnsi" w:hAnsiTheme="minorHAnsi"/>
          <w:szCs w:val="24"/>
        </w:rPr>
      </w:pPr>
    </w:p>
    <w:p w14:paraId="34C60D7F" w14:textId="77777777" w:rsidR="001925CE" w:rsidRPr="000D3432" w:rsidRDefault="001925CE" w:rsidP="00A95498">
      <w:pPr>
        <w:jc w:val="both"/>
        <w:rPr>
          <w:rFonts w:asciiTheme="minorHAnsi" w:hAnsiTheme="minorHAnsi"/>
          <w:i/>
          <w:szCs w:val="24"/>
        </w:rPr>
      </w:pPr>
      <w:r w:rsidRPr="000D3432">
        <w:rPr>
          <w:rFonts w:asciiTheme="minorHAnsi" w:hAnsiTheme="minorHAnsi"/>
          <w:b/>
          <w:i/>
          <w:szCs w:val="24"/>
        </w:rPr>
        <w:t>2) Concepción Institucionalista:</w:t>
      </w:r>
    </w:p>
    <w:p w14:paraId="2D00A3BE" w14:textId="77777777" w:rsidR="001925CE" w:rsidRPr="000D3432" w:rsidRDefault="001925CE" w:rsidP="00A95498">
      <w:pPr>
        <w:ind w:firstLine="426"/>
        <w:jc w:val="both"/>
        <w:rPr>
          <w:rFonts w:asciiTheme="minorHAnsi" w:hAnsiTheme="minorHAnsi"/>
          <w:szCs w:val="24"/>
        </w:rPr>
      </w:pPr>
    </w:p>
    <w:p w14:paraId="0C968B5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Esto significa que el Derecho es institución, “El Derecho antes que norma es organización, es institución.</w:t>
      </w:r>
      <w:r w:rsidRPr="000D3432">
        <w:rPr>
          <w:rStyle w:val="Refdenotaalpie"/>
          <w:rFonts w:asciiTheme="minorHAnsi" w:hAnsiTheme="minorHAnsi"/>
          <w:sz w:val="24"/>
          <w:szCs w:val="24"/>
          <w:vertAlign w:val="superscript"/>
        </w:rPr>
        <w:footnoteReference w:id="68"/>
      </w:r>
      <w:r w:rsidRPr="000D3432">
        <w:rPr>
          <w:rFonts w:asciiTheme="minorHAnsi" w:hAnsiTheme="minorHAnsi"/>
          <w:szCs w:val="24"/>
        </w:rPr>
        <w:t xml:space="preserve"> Santi Romano contrapone a la concepción normativa del Derecho, la concepción del Derecho como institución. Hay en Romano tres elementos que constituyen la realidad del Derecho, estos son: La sociedad, el orden social y la organización. Hay primero una organización de la sociedad, para luego poder existir, a posteriori las normas.</w:t>
      </w:r>
    </w:p>
    <w:p w14:paraId="066D3260" w14:textId="77777777" w:rsidR="001925CE" w:rsidRPr="000D3432" w:rsidRDefault="001925CE" w:rsidP="00A95498">
      <w:pPr>
        <w:ind w:firstLine="426"/>
        <w:jc w:val="both"/>
        <w:rPr>
          <w:rFonts w:asciiTheme="minorHAnsi" w:hAnsiTheme="minorHAnsi"/>
          <w:szCs w:val="24"/>
        </w:rPr>
      </w:pPr>
    </w:p>
    <w:p w14:paraId="26323A3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Como lo dijimos anteriormente, el mérito de esta concepción institucionalista, consiste en que ha negado el criterio por el cual el Estado era el </w:t>
      </w:r>
      <w:r w:rsidRPr="000D3432">
        <w:rPr>
          <w:rFonts w:asciiTheme="minorHAnsi" w:hAnsiTheme="minorHAnsi"/>
          <w:szCs w:val="24"/>
        </w:rPr>
        <w:lastRenderedPageBreak/>
        <w:t>único creador del Derecho, es decir la contraposición a la teoría estatalista</w:t>
      </w:r>
      <w:r w:rsidRPr="000D3432">
        <w:rPr>
          <w:rStyle w:val="Refdenotaalpie"/>
          <w:rFonts w:asciiTheme="minorHAnsi" w:hAnsiTheme="minorHAnsi"/>
          <w:sz w:val="24"/>
          <w:szCs w:val="24"/>
          <w:vertAlign w:val="superscript"/>
        </w:rPr>
        <w:footnoteReference w:id="69"/>
      </w:r>
      <w:r w:rsidRPr="000D3432">
        <w:rPr>
          <w:rFonts w:asciiTheme="minorHAnsi" w:hAnsiTheme="minorHAnsi"/>
          <w:szCs w:val="24"/>
        </w:rPr>
        <w:t xml:space="preserve">. </w:t>
      </w:r>
    </w:p>
    <w:p w14:paraId="6FEFD8F8"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doctrina de la institución representa una reacción contra el estatalismo y es uno de los tantos medios con los cuales los teóricos del derecho y de la política han tratado de oponerse a la expansión del estatalismo.</w:t>
      </w:r>
      <w:r w:rsidRPr="000D3432">
        <w:rPr>
          <w:rStyle w:val="Refdenotaalpie"/>
          <w:rFonts w:asciiTheme="minorHAnsi" w:hAnsiTheme="minorHAnsi"/>
          <w:sz w:val="24"/>
          <w:szCs w:val="24"/>
          <w:vertAlign w:val="superscript"/>
        </w:rPr>
        <w:footnoteReference w:id="70"/>
      </w:r>
    </w:p>
    <w:p w14:paraId="5F639A80" w14:textId="77777777" w:rsidR="001925CE" w:rsidRPr="000D3432" w:rsidRDefault="001925CE" w:rsidP="00A95498">
      <w:pPr>
        <w:ind w:firstLine="426"/>
        <w:jc w:val="both"/>
        <w:rPr>
          <w:rFonts w:asciiTheme="minorHAnsi" w:hAnsiTheme="minorHAnsi"/>
          <w:szCs w:val="24"/>
        </w:rPr>
      </w:pPr>
    </w:p>
    <w:p w14:paraId="0B2B1CC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teoría normativista estipula que la experiencia jurídica se origina en la norma de conducta, por su lado la teoría estatalista adhiere otros elementos, como la existencia de la coacción para configurarse como Derecho.</w:t>
      </w:r>
    </w:p>
    <w:p w14:paraId="0FFCF1CA" w14:textId="77777777" w:rsidR="001925CE" w:rsidRPr="000D3432" w:rsidRDefault="001925CE" w:rsidP="00A95498">
      <w:pPr>
        <w:ind w:firstLine="426"/>
        <w:jc w:val="both"/>
        <w:rPr>
          <w:rFonts w:asciiTheme="minorHAnsi" w:hAnsiTheme="minorHAnsi"/>
          <w:szCs w:val="24"/>
        </w:rPr>
      </w:pPr>
    </w:p>
    <w:p w14:paraId="75D49BE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teoría de la institución considera que no hay derecho allí donde se cumplen tres elementos, sociedad, orden social y organización. “La sociedad, como base de hecho de donde deriva su existencia el derecho; el orden, como fin a la cual tiende el derecho y la organización, como medio para realizar el orden. Se puede decir, en síntesis, que según ROMANO existe derecho cuando hay una organización de una sociedad ordenada, o también, con palabras análogas, una sociedad ordenada por medio de una organización o un orden social organizado.”</w:t>
      </w:r>
      <w:r w:rsidRPr="000D3432">
        <w:rPr>
          <w:rStyle w:val="Refdenotaalpie"/>
          <w:rFonts w:asciiTheme="minorHAnsi" w:hAnsiTheme="minorHAnsi"/>
          <w:sz w:val="24"/>
          <w:szCs w:val="24"/>
          <w:vertAlign w:val="superscript"/>
        </w:rPr>
        <w:footnoteReference w:id="71"/>
      </w:r>
    </w:p>
    <w:p w14:paraId="786D3492" w14:textId="77777777" w:rsidR="001925CE" w:rsidRPr="000D3432" w:rsidRDefault="001925CE" w:rsidP="00A95498">
      <w:pPr>
        <w:ind w:firstLine="426"/>
        <w:jc w:val="both"/>
        <w:rPr>
          <w:rFonts w:asciiTheme="minorHAnsi" w:hAnsiTheme="minorHAnsi"/>
          <w:szCs w:val="24"/>
        </w:rPr>
      </w:pPr>
    </w:p>
    <w:p w14:paraId="1086AE7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 lo que se desprende que el elemento esencial es la organización. “Esto significa que el derecho nace en el momento en que un grupo social pasa de una fase inorgánica a una fase orgánica, de la fase de grupo inorgánico o inorganizado a la fase de grupo organizado.(...) El fenómeno del paso de la fase inorgánica a la fase orgánica se llama también institucionalización. Se dice que un grupo social se institucionaliza cuando crea su propia organización, y por medio de ella llega a ser, según ROMANO, un ordenamiento jurídico.”</w:t>
      </w:r>
      <w:r w:rsidRPr="000D3432">
        <w:rPr>
          <w:rStyle w:val="Refdenotaalpie"/>
          <w:rFonts w:asciiTheme="minorHAnsi" w:hAnsiTheme="minorHAnsi"/>
          <w:sz w:val="24"/>
          <w:szCs w:val="24"/>
          <w:vertAlign w:val="superscript"/>
        </w:rPr>
        <w:footnoteReference w:id="72"/>
      </w:r>
    </w:p>
    <w:p w14:paraId="19DFD497" w14:textId="77777777" w:rsidR="001925CE" w:rsidRPr="000D3432" w:rsidRDefault="001925CE" w:rsidP="00A95498">
      <w:pPr>
        <w:ind w:firstLine="426"/>
        <w:jc w:val="both"/>
        <w:rPr>
          <w:rFonts w:asciiTheme="minorHAnsi" w:hAnsiTheme="minorHAnsi"/>
          <w:szCs w:val="24"/>
        </w:rPr>
      </w:pPr>
    </w:p>
    <w:p w14:paraId="3AEB51A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No habría Derecho, pues, si no hay organización, y si no hay organización no hay grupo organizado, y si no hay esto último no hay institución. Para el paso de un grupo inorgánico a grupo organizado, a institución, es necesario -según explica Bobbio- tres cosas:</w:t>
      </w:r>
    </w:p>
    <w:p w14:paraId="70A8B20F"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“1.     Que se determinen los fines propios de la institución.</w:t>
      </w:r>
    </w:p>
    <w:p w14:paraId="12C3D859" w14:textId="77777777" w:rsidR="001925CE" w:rsidRPr="000D3432" w:rsidRDefault="001925CE" w:rsidP="00A95498">
      <w:pPr>
        <w:pStyle w:val="Rpido1"/>
        <w:numPr>
          <w:ilvl w:val="0"/>
          <w:numId w:val="1"/>
        </w:numPr>
        <w:tabs>
          <w:tab w:val="left" w:pos="-1440"/>
          <w:tab w:val="left" w:pos="1440"/>
        </w:tabs>
        <w:ind w:left="1276" w:hanging="567"/>
        <w:jc w:val="both"/>
        <w:rPr>
          <w:rFonts w:asciiTheme="minorHAnsi" w:hAnsiTheme="minorHAnsi"/>
          <w:szCs w:val="24"/>
        </w:rPr>
      </w:pPr>
      <w:r w:rsidRPr="000D3432">
        <w:rPr>
          <w:rFonts w:asciiTheme="minorHAnsi" w:hAnsiTheme="minorHAnsi"/>
          <w:szCs w:val="24"/>
        </w:rPr>
        <w:t>Que se establezca los “medios”, o por lo menos los medios principales, que se consideren necesarios para lograr aquellos fines.</w:t>
      </w:r>
    </w:p>
    <w:p w14:paraId="7E4F7B36" w14:textId="77777777" w:rsidR="001925CE" w:rsidRPr="000D3432" w:rsidRDefault="001925CE" w:rsidP="00A95498">
      <w:pPr>
        <w:pStyle w:val="Rpido1"/>
        <w:numPr>
          <w:ilvl w:val="0"/>
          <w:numId w:val="2"/>
        </w:numPr>
        <w:tabs>
          <w:tab w:val="left" w:pos="-1440"/>
          <w:tab w:val="left" w:pos="1440"/>
        </w:tabs>
        <w:ind w:left="1276" w:hanging="567"/>
        <w:jc w:val="both"/>
        <w:rPr>
          <w:rFonts w:asciiTheme="minorHAnsi" w:hAnsiTheme="minorHAnsi"/>
          <w:szCs w:val="24"/>
        </w:rPr>
      </w:pPr>
      <w:r w:rsidRPr="000D3432">
        <w:rPr>
          <w:rFonts w:asciiTheme="minorHAnsi" w:hAnsiTheme="minorHAnsi"/>
          <w:szCs w:val="24"/>
        </w:rPr>
        <w:lastRenderedPageBreak/>
        <w:t>Que se distribuya las funciones específicas de los individuos que componen el grupo para que cada uno colabore, a través de los medios previstos, para el logro del fin.”</w:t>
      </w:r>
      <w:r w:rsidRPr="000D3432">
        <w:rPr>
          <w:rStyle w:val="Refdenotaalpie"/>
          <w:rFonts w:asciiTheme="minorHAnsi" w:hAnsiTheme="minorHAnsi"/>
          <w:sz w:val="24"/>
          <w:szCs w:val="24"/>
          <w:vertAlign w:val="superscript"/>
        </w:rPr>
        <w:footnoteReference w:id="73"/>
      </w:r>
      <w:r w:rsidRPr="000D3432">
        <w:rPr>
          <w:rFonts w:asciiTheme="minorHAnsi" w:hAnsiTheme="minorHAnsi"/>
          <w:szCs w:val="24"/>
        </w:rPr>
        <w:tab/>
      </w:r>
    </w:p>
    <w:p w14:paraId="4A36BF40" w14:textId="77777777" w:rsidR="001925CE" w:rsidRPr="000D3432" w:rsidRDefault="001925CE" w:rsidP="00A95498">
      <w:pPr>
        <w:ind w:firstLine="426"/>
        <w:jc w:val="both"/>
        <w:rPr>
          <w:rFonts w:asciiTheme="minorHAnsi" w:hAnsiTheme="minorHAnsi"/>
          <w:szCs w:val="24"/>
        </w:rPr>
      </w:pPr>
    </w:p>
    <w:p w14:paraId="3153E52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la teoría institucionalista el Derecho escapa a las fronteras que imponía el Estado como creador del Derecho, pero esto también tiene cierto problema, la dificultad que existe de aceptar algún tipo de organización sin normatividad. Además, es el producto de la sociedad en su conjunto y no del individuo. Puesto que parte de la idea de que el Derecho es un fenómeno social. Para los intitucionalistas la constitución del Derecho se da a través de una serie, vasta y compleja red de relaciones sociales.</w:t>
      </w:r>
    </w:p>
    <w:p w14:paraId="7A8BAA8A" w14:textId="77777777" w:rsidR="001925CE" w:rsidRPr="000D3432" w:rsidRDefault="001925CE" w:rsidP="00A95498">
      <w:pPr>
        <w:ind w:firstLine="426"/>
        <w:jc w:val="both"/>
        <w:rPr>
          <w:rFonts w:asciiTheme="minorHAnsi" w:hAnsiTheme="minorHAnsi"/>
          <w:szCs w:val="24"/>
        </w:rPr>
      </w:pPr>
    </w:p>
    <w:p w14:paraId="5B1A5D0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teoría institucionalista, por otra parte, no excluye sino refuerza la teoría normativista, puesto que vincula al proceso de institucionalización con el proceso de producción de normas, “por tanto, dondequiera que hallemos un grupo organizado estamos seguros de encontrar también un sistema de normas de conducta que dan vida a la organización”</w:t>
      </w:r>
      <w:r w:rsidRPr="000D3432">
        <w:rPr>
          <w:rStyle w:val="Refdenotaalpie"/>
          <w:rFonts w:asciiTheme="minorHAnsi" w:hAnsiTheme="minorHAnsi"/>
          <w:sz w:val="24"/>
          <w:szCs w:val="24"/>
          <w:vertAlign w:val="superscript"/>
        </w:rPr>
        <w:footnoteReference w:id="74"/>
      </w:r>
      <w:r w:rsidRPr="000D3432">
        <w:rPr>
          <w:rFonts w:asciiTheme="minorHAnsi" w:hAnsiTheme="minorHAnsi"/>
          <w:szCs w:val="24"/>
        </w:rPr>
        <w:t xml:space="preserve">. </w:t>
      </w:r>
    </w:p>
    <w:p w14:paraId="1D6EC65C" w14:textId="77777777" w:rsidR="001925CE" w:rsidRPr="000D3432" w:rsidRDefault="001925CE" w:rsidP="00A95498">
      <w:pPr>
        <w:jc w:val="both"/>
        <w:rPr>
          <w:rFonts w:asciiTheme="minorHAnsi" w:hAnsiTheme="minorHAnsi"/>
          <w:szCs w:val="24"/>
        </w:rPr>
      </w:pPr>
    </w:p>
    <w:p w14:paraId="3DBC667A" w14:textId="77777777" w:rsidR="001925CE" w:rsidRPr="000D3432" w:rsidRDefault="001925CE" w:rsidP="00A95498">
      <w:pPr>
        <w:jc w:val="both"/>
        <w:rPr>
          <w:rFonts w:asciiTheme="minorHAnsi" w:hAnsiTheme="minorHAnsi"/>
          <w:szCs w:val="24"/>
        </w:rPr>
      </w:pPr>
      <w:r w:rsidRPr="000D3432">
        <w:rPr>
          <w:rFonts w:asciiTheme="minorHAnsi" w:hAnsiTheme="minorHAnsi"/>
          <w:b/>
          <w:i/>
          <w:szCs w:val="24"/>
        </w:rPr>
        <w:t>3) Concepción relacionista</w:t>
      </w:r>
    </w:p>
    <w:p w14:paraId="7FB432DA" w14:textId="77777777" w:rsidR="001925CE" w:rsidRPr="000D3432" w:rsidRDefault="001925CE" w:rsidP="00A95498">
      <w:pPr>
        <w:ind w:firstLine="426"/>
        <w:jc w:val="both"/>
        <w:rPr>
          <w:rFonts w:asciiTheme="minorHAnsi" w:hAnsiTheme="minorHAnsi"/>
          <w:szCs w:val="24"/>
        </w:rPr>
      </w:pPr>
    </w:p>
    <w:p w14:paraId="3F0FE1E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esta teoría el Derecho es una relación entre individuos. Esta concepción se inspira en el individualismo, según la cual el Derecho sería producto de la voluntad de los particulares. </w:t>
      </w:r>
    </w:p>
    <w:p w14:paraId="5F5A8647"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“Para los partidarios de la teoría relacionista la realidad jurídica, el Derecho, más que una realidad normativa o institucional, es una relación entre individuos, resaltando principalmente el aspecto de alteridad e intersubjetividad del Derecho. Así lo entiende Guasp, que define el Derecho como “el conjunto de relaciones entre hombres que una cierta sociedad establece como necesarias”.”</w:t>
      </w:r>
      <w:r w:rsidRPr="000D3432">
        <w:rPr>
          <w:rStyle w:val="Refdenotaalpie"/>
          <w:rFonts w:asciiTheme="minorHAnsi" w:hAnsiTheme="minorHAnsi"/>
          <w:sz w:val="24"/>
          <w:szCs w:val="24"/>
          <w:vertAlign w:val="superscript"/>
        </w:rPr>
        <w:footnoteReference w:id="75"/>
      </w:r>
    </w:p>
    <w:p w14:paraId="2EDE3B71" w14:textId="77777777" w:rsidR="001925CE" w:rsidRPr="000D3432" w:rsidRDefault="001925CE" w:rsidP="00A95498">
      <w:pPr>
        <w:ind w:firstLine="426"/>
        <w:jc w:val="both"/>
        <w:rPr>
          <w:rFonts w:asciiTheme="minorHAnsi" w:hAnsiTheme="minorHAnsi"/>
          <w:szCs w:val="24"/>
        </w:rPr>
      </w:pPr>
    </w:p>
    <w:p w14:paraId="1E9B3C3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Según Bobbio, esta concepción relacionista surgió también desde la observación de que el Derecho es un fenómeno eminentemente social que se origina en la sociedad.</w:t>
      </w:r>
    </w:p>
    <w:p w14:paraId="4462B000" w14:textId="77777777" w:rsidR="001925CE" w:rsidRPr="000D3432" w:rsidRDefault="001925CE" w:rsidP="00A95498">
      <w:pPr>
        <w:ind w:firstLine="426"/>
        <w:jc w:val="both"/>
        <w:rPr>
          <w:rFonts w:asciiTheme="minorHAnsi" w:hAnsiTheme="minorHAnsi"/>
          <w:szCs w:val="24"/>
        </w:rPr>
      </w:pPr>
    </w:p>
    <w:p w14:paraId="1906C08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teoría relacionista, al parecer, tiene un fundamento importante, una inspiración en el individualismo, y en iusnaturalismo de siglos pasados, en los cuales el Derecho se presentaba como la voluntad de los individuos, que ha colocado en la cúspide de su sistema social al contrato entre dos o más personas.  </w:t>
      </w:r>
    </w:p>
    <w:p w14:paraId="33159ED1"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“Se inspira [la teoría relacionista] en una concepción individualista del derecho, como también en las concepciones imperantes en el iusnaturalismo de los siglos XVII y XVIII, según las cuales el derecho era producto de la voluntad de los particulares, considerados cada uno, como una mónada separada de las demás mónadas, y que, en realidad </w:t>
      </w:r>
      <w:r w:rsidRPr="000D3432">
        <w:rPr>
          <w:rFonts w:asciiTheme="minorHAnsi" w:hAnsiTheme="minorHAnsi"/>
          <w:sz w:val="24"/>
          <w:szCs w:val="24"/>
        </w:rPr>
        <w:lastRenderedPageBreak/>
        <w:t>había elevado a categoría jurídica suprema el acuerdo de dos o más voluntades individuales, esto es, el contrato, hasta el punto de hacer surgir la sociedad por excelencia, o sea el Estado, mediante el acuerdo de las voluntades de cada uno de los individuos, que se ha llamado contrato social.”</w:t>
      </w:r>
      <w:r w:rsidRPr="000D3432">
        <w:rPr>
          <w:rStyle w:val="Refdenotaalpie"/>
          <w:rFonts w:asciiTheme="minorHAnsi" w:hAnsiTheme="minorHAnsi"/>
          <w:sz w:val="24"/>
          <w:szCs w:val="24"/>
          <w:vertAlign w:val="superscript"/>
        </w:rPr>
        <w:footnoteReference w:id="76"/>
      </w:r>
    </w:p>
    <w:p w14:paraId="5F7A773D" w14:textId="77777777" w:rsidR="001925CE" w:rsidRPr="000D3432" w:rsidRDefault="001925CE" w:rsidP="00A95498">
      <w:pPr>
        <w:ind w:firstLine="426"/>
        <w:jc w:val="both"/>
        <w:rPr>
          <w:rFonts w:asciiTheme="minorHAnsi" w:hAnsiTheme="minorHAnsi"/>
          <w:szCs w:val="24"/>
        </w:rPr>
      </w:pPr>
    </w:p>
    <w:p w14:paraId="783D4BA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Este individualismo abstracto, del que se basa la teoría relacionista, tiene sus raíces en los iluministas, entre ellos el iluminista juridico Kant. Parece que Kant advirtió la trascendencia del Derecho como relación. Su preocupación por clarificar la relación entre sujetos y no entre sujetos y objeto es evidente. Para él, la relación de un sujeto que tiene derecho y deberes con un sujeto que también tiene derechos y deberes” constituye la relación jurídica.  </w:t>
      </w:r>
      <w:r w:rsidRPr="000D3432">
        <w:rPr>
          <w:rFonts w:asciiTheme="minorHAnsi" w:hAnsiTheme="minorHAnsi"/>
          <w:b/>
          <w:szCs w:val="24"/>
        </w:rPr>
        <w:t>Kant está preocupado por definir el derecho como una relación entre dos sujetos</w:t>
      </w:r>
      <w:r w:rsidRPr="000D3432">
        <w:rPr>
          <w:rFonts w:asciiTheme="minorHAnsi" w:hAnsiTheme="minorHAnsi"/>
          <w:szCs w:val="24"/>
        </w:rPr>
        <w:t>.</w:t>
      </w:r>
      <w:r w:rsidRPr="000D3432">
        <w:rPr>
          <w:rStyle w:val="Refdenotaalpie"/>
          <w:rFonts w:asciiTheme="minorHAnsi" w:hAnsiTheme="minorHAnsi"/>
          <w:sz w:val="24"/>
          <w:szCs w:val="24"/>
          <w:vertAlign w:val="superscript"/>
        </w:rPr>
        <w:footnoteReference w:id="77"/>
      </w:r>
    </w:p>
    <w:p w14:paraId="628C4678" w14:textId="77777777" w:rsidR="001925CE" w:rsidRPr="000D3432" w:rsidRDefault="001925CE" w:rsidP="00A95498">
      <w:pPr>
        <w:pStyle w:val="Sangra2detindependiente1"/>
        <w:ind w:firstLine="426"/>
        <w:rPr>
          <w:rFonts w:asciiTheme="minorHAnsi" w:hAnsiTheme="minorHAnsi"/>
          <w:szCs w:val="24"/>
        </w:rPr>
      </w:pPr>
    </w:p>
    <w:p w14:paraId="3A784CB9" w14:textId="77777777" w:rsidR="001925CE" w:rsidRPr="000D3432" w:rsidRDefault="001925CE" w:rsidP="00A95498">
      <w:pPr>
        <w:pStyle w:val="Sangra2detindependiente1"/>
        <w:ind w:firstLine="426"/>
        <w:rPr>
          <w:rFonts w:asciiTheme="minorHAnsi" w:hAnsiTheme="minorHAnsi"/>
          <w:szCs w:val="24"/>
        </w:rPr>
      </w:pPr>
      <w:r w:rsidRPr="000D3432">
        <w:rPr>
          <w:rFonts w:asciiTheme="minorHAnsi" w:hAnsiTheme="minorHAnsi"/>
          <w:szCs w:val="24"/>
        </w:rPr>
        <w:t>La concepción relacionista, que considera que el Derecho sólo se configura como una relación intersubjetiva, es decir entre sujetos, entre personas, es a nuestro parecer, la teoría más próxima a nuestra época. No obstante estar aún en boga la teoría normativista, que según Bobbio, engloba todas las otras doctrinas o teorías, nosotros pensamos que, dada las nuevas circunstancias mundiales, con la exaltación del individualismo, y el derecho de los particulares como eje central del movimiento social jurídico, es el planteamiento más cercano a la realidad actual. El Derecho sería prefigurado, hoy, por conceptos que integren el fenómeno del individualismo como eje central del movimiento jurídico. Lo que significa que lo que interesa en un mundo postmoderno, no sería ya la norma -como fundamento central- sino el individuo, sus intereses personales, pero con limitación de los intereses de los otros.</w:t>
      </w:r>
      <w:r w:rsidRPr="000D3432">
        <w:rPr>
          <w:rFonts w:asciiTheme="minorHAnsi" w:hAnsiTheme="minorHAnsi"/>
          <w:szCs w:val="24"/>
        </w:rPr>
        <w:tab/>
      </w:r>
    </w:p>
    <w:p w14:paraId="34243AF6" w14:textId="77777777" w:rsidR="001925CE" w:rsidRPr="000D3432" w:rsidRDefault="001925CE" w:rsidP="00A95498">
      <w:pPr>
        <w:ind w:firstLine="426"/>
        <w:jc w:val="both"/>
        <w:rPr>
          <w:rFonts w:asciiTheme="minorHAnsi" w:hAnsiTheme="minorHAnsi"/>
          <w:szCs w:val="24"/>
        </w:rPr>
      </w:pPr>
    </w:p>
    <w:p w14:paraId="6CF6BC7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no obstante, una observación a la teoría relacionista. Según explica Bobbio, hay relación jurídica siempre y cuando existe forma que constituya esta relación, cuando exista -según Levi- una relación intersubjetiva, relación entre dos sujetos, uno de los cuales es titular de un deber y el otro de un derecho.</w:t>
      </w:r>
      <w:r w:rsidRPr="000D3432">
        <w:rPr>
          <w:rStyle w:val="Refdenotaalpie"/>
          <w:rFonts w:asciiTheme="minorHAnsi" w:hAnsiTheme="minorHAnsi"/>
          <w:sz w:val="24"/>
          <w:szCs w:val="24"/>
          <w:vertAlign w:val="superscript"/>
        </w:rPr>
        <w:footnoteReference w:id="78"/>
      </w:r>
      <w:r w:rsidRPr="000D3432">
        <w:rPr>
          <w:rFonts w:asciiTheme="minorHAnsi" w:hAnsiTheme="minorHAnsi"/>
          <w:szCs w:val="24"/>
        </w:rPr>
        <w:t xml:space="preserve"> Esto distingue a la relación jurídica de la relación moral o económica. Entonces la relación jurídica vendría a ser una relación derecho-deber. </w:t>
      </w:r>
    </w:p>
    <w:p w14:paraId="50A91DE9"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relación jurídica, como relación de derecho-deber remite siempre a dos reglas de conducta, de las cuales la primera atribuye un poder y la segunda un deber.”</w:t>
      </w:r>
      <w:r w:rsidRPr="000D3432">
        <w:rPr>
          <w:rStyle w:val="Refdenotaalpie"/>
          <w:rFonts w:asciiTheme="minorHAnsi" w:hAnsiTheme="minorHAnsi"/>
          <w:sz w:val="24"/>
          <w:szCs w:val="24"/>
          <w:vertAlign w:val="superscript"/>
        </w:rPr>
        <w:footnoteReference w:id="79"/>
      </w:r>
    </w:p>
    <w:p w14:paraId="02ED5714" w14:textId="77777777" w:rsidR="001925CE" w:rsidRPr="000D3432" w:rsidRDefault="001925CE" w:rsidP="00A95498">
      <w:pPr>
        <w:ind w:firstLine="426"/>
        <w:jc w:val="both"/>
        <w:rPr>
          <w:rFonts w:asciiTheme="minorHAnsi" w:hAnsiTheme="minorHAnsi"/>
          <w:szCs w:val="24"/>
        </w:rPr>
      </w:pPr>
    </w:p>
    <w:p w14:paraId="66324F2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Hasta ahí todo va bien, el problema, que a nuestro parecer se presenta, es la sujeción a la forma a la cual se ha condicionado la teoría relacionista. La relación constituiría, así, esa conexión derecho-deber pero sólo a través de la formalización o cristalización material de la relación jurídica. No hay por tanto relación jurídica si no está expresada en la norma, y si no hay norma y no hay relación jurídica no habría tampoco Derecho. Este es el inconveniente de la teoría relacionista, su limitación formal. El requisito de esta relación jurídica a la </w:t>
      </w:r>
      <w:r w:rsidRPr="000D3432">
        <w:rPr>
          <w:rFonts w:asciiTheme="minorHAnsi" w:hAnsiTheme="minorHAnsi"/>
          <w:szCs w:val="24"/>
        </w:rPr>
        <w:lastRenderedPageBreak/>
        <w:t xml:space="preserve">forma. Bobbio explica que </w:t>
      </w:r>
    </w:p>
    <w:p w14:paraId="3313E13E"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 “...lo que caracteriza la relación jurídica no es el contenido sino la forma, y esto significa que no se puede determinar si una relación es jurídica con base en los intereses que están en juego, sino por el hecho de estar regulada o no por una norma jurídica (...) una relación es jurídica porque es regulada por una norma jurídica.(...) Relación jurídica es aquella que, cualquiera que sea su contenido, es tomada en consideración por una norma jurídica integrada en un ordenamiento jurídico, y calificada por una o varias normas que pertenecen a un ordenamiento jurídico.</w:t>
      </w:r>
      <w:r w:rsidRPr="000D3432">
        <w:rPr>
          <w:rStyle w:val="Refdenotaalpie"/>
          <w:rFonts w:asciiTheme="minorHAnsi" w:hAnsiTheme="minorHAnsi"/>
          <w:sz w:val="24"/>
          <w:szCs w:val="24"/>
          <w:vertAlign w:val="superscript"/>
        </w:rPr>
        <w:footnoteReference w:id="80"/>
      </w:r>
    </w:p>
    <w:p w14:paraId="1CB4CFFB" w14:textId="77777777" w:rsidR="001925CE" w:rsidRPr="000D3432" w:rsidRDefault="001925CE" w:rsidP="00A95498">
      <w:pPr>
        <w:ind w:firstLine="426"/>
        <w:jc w:val="both"/>
        <w:rPr>
          <w:rFonts w:asciiTheme="minorHAnsi" w:hAnsiTheme="minorHAnsi"/>
          <w:szCs w:val="24"/>
        </w:rPr>
      </w:pPr>
    </w:p>
    <w:p w14:paraId="5F9B9C7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dijimos, para nosotros esta es una consideración exagerada  de lo que constituye Derecho. Es cierto que la relación jurídica configura parte del Derecho, pero no nos parece que el Derecho deba limitarse a ser relación normada. No nos parece que la relación jurídica se deba limitar a la forma, o la norma materializada.</w:t>
      </w:r>
      <w:r w:rsidRPr="000D3432">
        <w:rPr>
          <w:rFonts w:asciiTheme="minorHAnsi" w:hAnsiTheme="minorHAnsi"/>
          <w:szCs w:val="24"/>
        </w:rPr>
        <w:tab/>
      </w:r>
    </w:p>
    <w:p w14:paraId="6FCE314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último, Fernández Sessarego aclara que una relación jurídica, ya precisamente lo que Bobbio expresaba,  sino que la concepción de relación ha sido observada desde otra perspectiva más total, menos formal, pero igualmente válida, por su condición intrínseca; fenómeno que explicaremos más adelante. </w:t>
      </w:r>
    </w:p>
    <w:p w14:paraId="54449B60" w14:textId="77777777" w:rsidR="001925CE" w:rsidRPr="000D3432" w:rsidRDefault="001925CE" w:rsidP="00A95498">
      <w:pPr>
        <w:jc w:val="both"/>
        <w:rPr>
          <w:rFonts w:asciiTheme="minorHAnsi" w:hAnsiTheme="minorHAnsi"/>
          <w:b/>
          <w:szCs w:val="24"/>
        </w:rPr>
      </w:pPr>
    </w:p>
    <w:p w14:paraId="67098904" w14:textId="77777777" w:rsidR="001925CE" w:rsidRPr="000D3432" w:rsidRDefault="001925CE" w:rsidP="00A95498">
      <w:pPr>
        <w:jc w:val="both"/>
        <w:rPr>
          <w:rFonts w:asciiTheme="minorHAnsi" w:hAnsiTheme="minorHAnsi"/>
          <w:i/>
          <w:szCs w:val="24"/>
        </w:rPr>
      </w:pPr>
      <w:r w:rsidRPr="000D3432">
        <w:rPr>
          <w:rFonts w:asciiTheme="minorHAnsi" w:hAnsiTheme="minorHAnsi"/>
          <w:b/>
          <w:i/>
          <w:szCs w:val="24"/>
        </w:rPr>
        <w:t>4) Concepción Conductista del Derecho:</w:t>
      </w:r>
    </w:p>
    <w:p w14:paraId="73DA41CE" w14:textId="77777777" w:rsidR="001925CE" w:rsidRPr="000D3432" w:rsidRDefault="001925CE" w:rsidP="00A95498">
      <w:pPr>
        <w:ind w:firstLine="426"/>
        <w:jc w:val="both"/>
        <w:rPr>
          <w:rFonts w:asciiTheme="minorHAnsi" w:hAnsiTheme="minorHAnsi"/>
          <w:szCs w:val="24"/>
        </w:rPr>
      </w:pPr>
    </w:p>
    <w:p w14:paraId="171B767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palabra que resume esta teoría es: conductas. Esto significa que son las conductas en lo que consiste el Derecho. De esta forma no son las normas, sino las conductas y comportamientos lo que hacen el Derecho. Para Luis Martínez y Jesús Fernández, es Carlos Cossio quién puede exponer con mayor precisión esta teoría. Según Cossio, que expone su teoría Egológica (conductas) del Derecho.</w:t>
      </w:r>
    </w:p>
    <w:p w14:paraId="139DA6F4"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realidad del Derecho no consiste en normas, ni en relaciones, ni en organización, sino que consiste en conductas, pero no en cuanto conducta hecha o ya realizada que se puede captar mediante una institución sensible en un marco espacio-temporal -este tipo de conducta sería objeto de la sociología-, sino la conducta en cuanto posibilidad, es decir, en cuanto libertad.”</w:t>
      </w:r>
      <w:r w:rsidRPr="000D3432">
        <w:rPr>
          <w:rStyle w:val="Refdenotaalpie"/>
          <w:rFonts w:asciiTheme="minorHAnsi" w:hAnsiTheme="minorHAnsi"/>
          <w:sz w:val="24"/>
          <w:szCs w:val="24"/>
          <w:vertAlign w:val="superscript"/>
        </w:rPr>
        <w:footnoteReference w:id="81"/>
      </w:r>
    </w:p>
    <w:p w14:paraId="221A96B0" w14:textId="77777777" w:rsidR="001925CE" w:rsidRPr="000D3432" w:rsidRDefault="001925CE" w:rsidP="00A95498">
      <w:pPr>
        <w:ind w:firstLine="426"/>
        <w:jc w:val="both"/>
        <w:rPr>
          <w:rFonts w:asciiTheme="minorHAnsi" w:hAnsiTheme="minorHAnsi"/>
          <w:szCs w:val="24"/>
        </w:rPr>
      </w:pPr>
    </w:p>
    <w:p w14:paraId="7113B2A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norma cumple una función de conocimiento, descriptiva, y expresión de la realidad. Las normas no podrían ser así imperativas, de mandato, sino simplemente descriptivas, lo que las propone como verdaderas o falsas. El Derecho serían las conductas y las normas los medio de conocimiento.</w:t>
      </w:r>
    </w:p>
    <w:p w14:paraId="1BBAA7C3" w14:textId="77777777" w:rsidR="001925CE" w:rsidRPr="000D3432" w:rsidRDefault="001925CE" w:rsidP="00A95498">
      <w:pPr>
        <w:ind w:firstLine="426"/>
        <w:jc w:val="both"/>
        <w:rPr>
          <w:rFonts w:asciiTheme="minorHAnsi" w:hAnsiTheme="minorHAnsi"/>
          <w:szCs w:val="24"/>
        </w:rPr>
      </w:pPr>
    </w:p>
    <w:p w14:paraId="62C2A2B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veremos, las conductas son las variables con las que trabajaremos, pero no como Derecho, sino como expresión de una determinada concepción del Derecho.</w:t>
      </w:r>
    </w:p>
    <w:p w14:paraId="5FE8BC70"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lastRenderedPageBreak/>
        <w:t>*  *</w:t>
      </w:r>
    </w:p>
    <w:p w14:paraId="7E9207D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anteriormente dijimos, todas estas teorías nos parecen complementarias, no excluyentes, ni anuladoras las unas de otras.</w:t>
      </w:r>
    </w:p>
    <w:p w14:paraId="43441701"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 “Las ...teorías no se excluyen mutuamente, y por lo tanto es estéril toda batalla doctrinal por hacer triunfar una u otra. Diré más bien que estas ... teorías se integran útilmente entre sí. Cada una de ellas pone de relieve un aspecto de la multiforme experiencia jurídica”</w:t>
      </w:r>
      <w:r w:rsidRPr="000D3432">
        <w:rPr>
          <w:rStyle w:val="Refdenotaalpie"/>
          <w:rFonts w:asciiTheme="minorHAnsi" w:hAnsiTheme="minorHAnsi"/>
          <w:sz w:val="24"/>
          <w:szCs w:val="24"/>
          <w:vertAlign w:val="superscript"/>
        </w:rPr>
        <w:footnoteReference w:id="82"/>
      </w:r>
    </w:p>
    <w:p w14:paraId="26334EEA" w14:textId="77777777" w:rsidR="001925CE" w:rsidRPr="000D3432" w:rsidRDefault="001925CE" w:rsidP="00A95498">
      <w:pPr>
        <w:ind w:firstLine="426"/>
        <w:jc w:val="both"/>
        <w:rPr>
          <w:rFonts w:asciiTheme="minorHAnsi" w:hAnsiTheme="minorHAnsi"/>
          <w:szCs w:val="24"/>
        </w:rPr>
      </w:pPr>
    </w:p>
    <w:p w14:paraId="196740C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eso vamos a tener en cuenta sus expresiones, y coger eclécticamente lo mejor de cada cual, según sea el contexto dentro del que estemos haciendo referencia como discurso jurídico. </w:t>
      </w:r>
    </w:p>
    <w:p w14:paraId="292CB6A3" w14:textId="77777777" w:rsidR="001925CE" w:rsidRPr="000D3432" w:rsidRDefault="001925CE" w:rsidP="00A95498">
      <w:pPr>
        <w:ind w:firstLine="426"/>
        <w:jc w:val="both"/>
        <w:rPr>
          <w:rFonts w:asciiTheme="minorHAnsi" w:hAnsiTheme="minorHAnsi"/>
          <w:szCs w:val="24"/>
        </w:rPr>
      </w:pPr>
    </w:p>
    <w:p w14:paraId="3367425D" w14:textId="77777777" w:rsidR="001925CE" w:rsidRPr="000D3432" w:rsidRDefault="001925CE" w:rsidP="00A95498">
      <w:pPr>
        <w:pStyle w:val="Ttulo1"/>
        <w:widowControl/>
        <w:spacing w:line="240" w:lineRule="auto"/>
        <w:rPr>
          <w:rFonts w:asciiTheme="minorHAnsi" w:hAnsiTheme="minorHAnsi"/>
          <w:i w:val="0"/>
          <w:sz w:val="24"/>
          <w:szCs w:val="24"/>
        </w:rPr>
      </w:pPr>
      <w:bookmarkStart w:id="37" w:name="_Toc318102855"/>
      <w:r w:rsidRPr="000D3432">
        <w:rPr>
          <w:rFonts w:asciiTheme="minorHAnsi" w:hAnsiTheme="minorHAnsi"/>
          <w:i w:val="0"/>
          <w:sz w:val="24"/>
          <w:szCs w:val="24"/>
        </w:rPr>
        <w:t>c.- Corrientes del Pensamiento Jurídico</w:t>
      </w:r>
      <w:bookmarkEnd w:id="37"/>
    </w:p>
    <w:p w14:paraId="1B69B7A3" w14:textId="77777777" w:rsidR="001925CE" w:rsidRPr="000D3432" w:rsidRDefault="001925CE" w:rsidP="00A95498">
      <w:pPr>
        <w:widowControl/>
        <w:jc w:val="both"/>
        <w:rPr>
          <w:rFonts w:asciiTheme="minorHAnsi" w:hAnsiTheme="minorHAnsi"/>
          <w:szCs w:val="24"/>
        </w:rPr>
      </w:pPr>
    </w:p>
    <w:p w14:paraId="41B6B77D" w14:textId="77777777" w:rsidR="001925CE" w:rsidRPr="000D3432" w:rsidRDefault="001925CE" w:rsidP="00A95498">
      <w:pPr>
        <w:widowControl/>
        <w:jc w:val="both"/>
        <w:rPr>
          <w:rFonts w:asciiTheme="minorHAnsi" w:hAnsiTheme="minorHAnsi"/>
          <w:szCs w:val="24"/>
        </w:rPr>
      </w:pPr>
      <w:r w:rsidRPr="000D3432">
        <w:rPr>
          <w:rFonts w:asciiTheme="minorHAnsi" w:hAnsiTheme="minorHAnsi"/>
          <w:szCs w:val="24"/>
        </w:rPr>
        <w:tab/>
        <w:t>Existe en la biografía teórica del Derecho ciertas visiones, generalizantes (concepciones) de cómo se entiende el Derecho; a éstas se les ha denominado de diversas maneras; unos usan la conjunción lingüística “doctrinas jurídicas</w:t>
      </w:r>
      <w:r w:rsidRPr="000D3432">
        <w:rPr>
          <w:rFonts w:asciiTheme="minorHAnsi" w:hAnsiTheme="minorHAnsi"/>
          <w:b/>
          <w:szCs w:val="24"/>
        </w:rPr>
        <w:t>”,</w:t>
      </w:r>
      <w:r w:rsidRPr="000D3432">
        <w:rPr>
          <w:rFonts w:asciiTheme="minorHAnsi" w:hAnsiTheme="minorHAnsi"/>
          <w:szCs w:val="24"/>
        </w:rPr>
        <w:t xml:space="preserve"> otros las denominan  “teorías”, algunos utilizan sólo el significante “pensamiento”, y aquellos otros “corrientes filosóficas jurídicas”. Todas estas denominaciones tienen como objeto de estudio al Derecho desde visiones panorámicas centradas en ciertos factores, a modo de ejes centrales, que permitirían legitimar, o poner en evidencia, a prueba, la validez de la aplicación o no del Derecho, la dirección que se debe o no tomar al usar el Derecho, y las múltiples manifestaciones que se derivan de estos “ejes centrales”.</w:t>
      </w:r>
    </w:p>
    <w:p w14:paraId="19AA16FF" w14:textId="77777777" w:rsidR="001925CE" w:rsidRPr="000D3432" w:rsidRDefault="001925CE" w:rsidP="00A95498">
      <w:pPr>
        <w:widowControl/>
        <w:jc w:val="both"/>
        <w:rPr>
          <w:rFonts w:asciiTheme="minorHAnsi" w:hAnsiTheme="minorHAnsi"/>
          <w:szCs w:val="24"/>
        </w:rPr>
      </w:pPr>
    </w:p>
    <w:p w14:paraId="2D40ED49" w14:textId="77777777" w:rsidR="001925CE" w:rsidRPr="000D3432" w:rsidRDefault="001925CE" w:rsidP="00A95498">
      <w:pPr>
        <w:widowControl/>
        <w:jc w:val="both"/>
        <w:rPr>
          <w:rFonts w:asciiTheme="minorHAnsi" w:hAnsiTheme="minorHAnsi"/>
          <w:szCs w:val="24"/>
        </w:rPr>
      </w:pPr>
      <w:r w:rsidRPr="000D3432">
        <w:rPr>
          <w:rFonts w:asciiTheme="minorHAnsi" w:hAnsiTheme="minorHAnsi"/>
          <w:szCs w:val="24"/>
        </w:rPr>
        <w:tab/>
        <w:t>Nosotros hemos optado por el título de “corrientes del pensamiento jurídico”, por que esta conjunción de palabras demarcan de manera más directa a qué se está uno refiriendo, es decir, al fluir de las estructuras mentales en el ámbito de la juridicidad; a aquel terreno mental, cosmovisión psíquica con que se ha abordado el problema del Derecho, su existencia y aplicación.</w:t>
      </w:r>
    </w:p>
    <w:p w14:paraId="2EDBC949" w14:textId="77777777" w:rsidR="001925CE" w:rsidRPr="000D3432" w:rsidRDefault="001925CE" w:rsidP="00A95498">
      <w:pPr>
        <w:widowControl/>
        <w:jc w:val="both"/>
        <w:rPr>
          <w:rFonts w:asciiTheme="minorHAnsi" w:hAnsiTheme="minorHAnsi"/>
          <w:szCs w:val="24"/>
        </w:rPr>
      </w:pPr>
    </w:p>
    <w:p w14:paraId="40C5BF19" w14:textId="77777777" w:rsidR="001925CE" w:rsidRPr="000D3432" w:rsidRDefault="001925CE" w:rsidP="00A95498">
      <w:pPr>
        <w:widowControl/>
        <w:jc w:val="both"/>
        <w:rPr>
          <w:rFonts w:asciiTheme="minorHAnsi" w:hAnsiTheme="minorHAnsi"/>
          <w:szCs w:val="24"/>
        </w:rPr>
      </w:pPr>
      <w:r w:rsidRPr="000D3432">
        <w:rPr>
          <w:rFonts w:asciiTheme="minorHAnsi" w:hAnsiTheme="minorHAnsi"/>
          <w:szCs w:val="24"/>
        </w:rPr>
        <w:tab/>
        <w:t xml:space="preserve">Debido al radio de acción de nuestra investigación, al marco delineador de nuestro trabajo, hemos visto por conveniente, trabajar sólo en dos factores, o percepciones jurídicas de estas “corrientes de pensamiento jurídico”, que son el </w:t>
      </w:r>
      <w:r w:rsidRPr="000D3432">
        <w:rPr>
          <w:rFonts w:asciiTheme="minorHAnsi" w:hAnsiTheme="minorHAnsi"/>
          <w:i/>
          <w:szCs w:val="24"/>
        </w:rPr>
        <w:t>iusnaturalismo</w:t>
      </w:r>
      <w:r w:rsidRPr="000D3432">
        <w:rPr>
          <w:rFonts w:asciiTheme="minorHAnsi" w:hAnsiTheme="minorHAnsi"/>
          <w:szCs w:val="24"/>
        </w:rPr>
        <w:t xml:space="preserve"> y el positivismo, por ser, a nuestro parecer, las que, determinadas históricamente, aún persisten, difusas, opacas, o poco claras, pero efectivas y practicadas en la actualidad, como visiones con las cuales se trabaja, la mayor parte de las veces inconsciente y  mezcladamente, en el mundo jurídico.</w:t>
      </w:r>
    </w:p>
    <w:p w14:paraId="7D410A27" w14:textId="77777777" w:rsidR="001925CE" w:rsidRPr="000D3432" w:rsidRDefault="001925CE" w:rsidP="00A95498">
      <w:pPr>
        <w:widowControl/>
        <w:jc w:val="both"/>
        <w:rPr>
          <w:rFonts w:asciiTheme="minorHAnsi" w:hAnsiTheme="minorHAnsi"/>
          <w:szCs w:val="24"/>
        </w:rPr>
      </w:pPr>
    </w:p>
    <w:p w14:paraId="432F85D6" w14:textId="77777777" w:rsidR="001925CE" w:rsidRPr="000D3432" w:rsidRDefault="001925CE" w:rsidP="00A95498">
      <w:pPr>
        <w:widowControl/>
        <w:jc w:val="both"/>
        <w:rPr>
          <w:rFonts w:asciiTheme="minorHAnsi" w:hAnsiTheme="minorHAnsi"/>
          <w:szCs w:val="24"/>
        </w:rPr>
      </w:pPr>
      <w:r w:rsidRPr="000D3432">
        <w:rPr>
          <w:rFonts w:asciiTheme="minorHAnsi" w:hAnsiTheme="minorHAnsi"/>
          <w:szCs w:val="24"/>
        </w:rPr>
        <w:tab/>
        <w:t>Es necesario anotar, por último, que no vamos a tocar estas direcciones mentales (</w:t>
      </w:r>
      <w:r w:rsidRPr="000D3432">
        <w:rPr>
          <w:rFonts w:asciiTheme="minorHAnsi" w:hAnsiTheme="minorHAnsi"/>
          <w:i/>
          <w:szCs w:val="24"/>
        </w:rPr>
        <w:t>iusnaturalismo</w:t>
      </w:r>
      <w:r w:rsidRPr="000D3432">
        <w:rPr>
          <w:rFonts w:asciiTheme="minorHAnsi" w:hAnsiTheme="minorHAnsi"/>
          <w:szCs w:val="24"/>
        </w:rPr>
        <w:t xml:space="preserve">, positivismo) en referencia exclusiva al dato histórico (eso está bastante definido, pero no siempre en forma clara, por innumerables autores, así que decir lo que ellos decían no sería nada productivo o creativo), sino que vamos a usar más bien ciertos elementos característicos, factores </w:t>
      </w:r>
      <w:r w:rsidRPr="000D3432">
        <w:rPr>
          <w:rFonts w:asciiTheme="minorHAnsi" w:hAnsiTheme="minorHAnsi"/>
          <w:szCs w:val="24"/>
        </w:rPr>
        <w:lastRenderedPageBreak/>
        <w:t>comunes, que centralicen el significado de estas concepciones o guías del pensamiento jurídico.</w:t>
      </w:r>
    </w:p>
    <w:p w14:paraId="112E2C66" w14:textId="77777777" w:rsidR="001925CE" w:rsidRPr="000D3432" w:rsidRDefault="001925CE" w:rsidP="00A95498">
      <w:pPr>
        <w:widowControl/>
        <w:jc w:val="both"/>
        <w:rPr>
          <w:rFonts w:asciiTheme="minorHAnsi" w:hAnsiTheme="minorHAnsi"/>
          <w:szCs w:val="24"/>
        </w:rPr>
      </w:pPr>
    </w:p>
    <w:p w14:paraId="336A0DBC" w14:textId="77777777" w:rsidR="001925CE" w:rsidRPr="000D3432" w:rsidRDefault="001925CE" w:rsidP="00A95498">
      <w:pPr>
        <w:widowControl/>
        <w:ind w:left="850"/>
        <w:jc w:val="both"/>
        <w:rPr>
          <w:rFonts w:asciiTheme="minorHAnsi" w:hAnsiTheme="minorHAnsi"/>
          <w:szCs w:val="24"/>
        </w:rPr>
      </w:pPr>
      <w:r w:rsidRPr="000D3432">
        <w:rPr>
          <w:rFonts w:asciiTheme="minorHAnsi" w:hAnsiTheme="minorHAnsi"/>
          <w:szCs w:val="24"/>
        </w:rPr>
        <w:t xml:space="preserve">“El iusnaturalismo sitúa al Derecho en una dimensión </w:t>
      </w:r>
      <w:r w:rsidRPr="000D3432">
        <w:rPr>
          <w:rFonts w:asciiTheme="minorHAnsi" w:hAnsiTheme="minorHAnsi"/>
          <w:i/>
          <w:szCs w:val="24"/>
        </w:rPr>
        <w:t>valorativa o moral</w:t>
      </w:r>
      <w:r w:rsidRPr="000D3432">
        <w:rPr>
          <w:rFonts w:asciiTheme="minorHAnsi" w:hAnsiTheme="minorHAnsi"/>
          <w:szCs w:val="24"/>
        </w:rPr>
        <w:t xml:space="preserve">; el iuspositivismo lo sitúa más bien en un ámbito </w:t>
      </w:r>
      <w:r w:rsidRPr="000D3432">
        <w:rPr>
          <w:rFonts w:asciiTheme="minorHAnsi" w:hAnsiTheme="minorHAnsi"/>
          <w:i/>
          <w:szCs w:val="24"/>
        </w:rPr>
        <w:t>científico-normativo</w:t>
      </w:r>
      <w:r w:rsidRPr="000D3432">
        <w:rPr>
          <w:rFonts w:asciiTheme="minorHAnsi" w:hAnsiTheme="minorHAnsi"/>
          <w:szCs w:val="24"/>
        </w:rPr>
        <w:t>,...”</w:t>
      </w:r>
      <w:r w:rsidRPr="000D3432">
        <w:rPr>
          <w:rStyle w:val="Refdenotaalpie"/>
          <w:rFonts w:asciiTheme="minorHAnsi" w:hAnsiTheme="minorHAnsi"/>
          <w:sz w:val="24"/>
          <w:szCs w:val="24"/>
          <w:vertAlign w:val="superscript"/>
        </w:rPr>
        <w:footnoteReference w:id="83"/>
      </w:r>
    </w:p>
    <w:p w14:paraId="069DC67C" w14:textId="77777777" w:rsidR="001925CE" w:rsidRPr="000D3432" w:rsidRDefault="001925CE" w:rsidP="00A95498">
      <w:pPr>
        <w:widowControl/>
        <w:jc w:val="both"/>
        <w:rPr>
          <w:rFonts w:asciiTheme="minorHAnsi" w:hAnsiTheme="minorHAnsi"/>
          <w:szCs w:val="24"/>
        </w:rPr>
      </w:pPr>
    </w:p>
    <w:p w14:paraId="6DD426B6" w14:textId="77777777" w:rsidR="001925CE" w:rsidRPr="000D3432" w:rsidRDefault="001925CE" w:rsidP="00A95498">
      <w:pPr>
        <w:pStyle w:val="Ttulo1"/>
        <w:widowControl/>
        <w:spacing w:line="240" w:lineRule="auto"/>
        <w:rPr>
          <w:rFonts w:asciiTheme="minorHAnsi" w:hAnsiTheme="minorHAnsi"/>
          <w:sz w:val="24"/>
          <w:szCs w:val="24"/>
        </w:rPr>
      </w:pPr>
      <w:bookmarkStart w:id="38" w:name="_Toc318102856"/>
      <w:r w:rsidRPr="000D3432">
        <w:rPr>
          <w:rFonts w:asciiTheme="minorHAnsi" w:hAnsiTheme="minorHAnsi"/>
          <w:sz w:val="24"/>
          <w:szCs w:val="24"/>
        </w:rPr>
        <w:t>1) Jusnaturalismo</w:t>
      </w:r>
      <w:bookmarkEnd w:id="38"/>
    </w:p>
    <w:p w14:paraId="7EDDFFA3" w14:textId="77777777" w:rsidR="001925CE" w:rsidRPr="000D3432" w:rsidRDefault="001925CE" w:rsidP="00A95498">
      <w:pPr>
        <w:widowControl/>
        <w:ind w:left="850"/>
        <w:jc w:val="both"/>
        <w:rPr>
          <w:rFonts w:asciiTheme="minorHAnsi" w:hAnsiTheme="minorHAnsi"/>
          <w:szCs w:val="24"/>
        </w:rPr>
      </w:pPr>
    </w:p>
    <w:p w14:paraId="25A5033B" w14:textId="77777777" w:rsidR="001925CE" w:rsidRPr="000D3432" w:rsidRDefault="001925CE" w:rsidP="00A95498">
      <w:pPr>
        <w:ind w:left="851"/>
        <w:jc w:val="both"/>
        <w:rPr>
          <w:rFonts w:asciiTheme="minorHAnsi" w:hAnsiTheme="minorHAnsi"/>
          <w:szCs w:val="24"/>
        </w:rPr>
      </w:pPr>
      <w:r w:rsidRPr="000D3432">
        <w:rPr>
          <w:rFonts w:asciiTheme="minorHAnsi" w:hAnsiTheme="minorHAnsi"/>
          <w:szCs w:val="24"/>
        </w:rPr>
        <w:t xml:space="preserve">“El principal denominador común de todas las doctrinas iusnaturalistas consiste en que todas ellas afirman que </w:t>
      </w:r>
      <w:r w:rsidRPr="000D3432">
        <w:rPr>
          <w:rFonts w:asciiTheme="minorHAnsi" w:hAnsiTheme="minorHAnsi"/>
          <w:b/>
          <w:szCs w:val="24"/>
        </w:rPr>
        <w:t xml:space="preserve">la elaboración del Derecho Positivo, debe obedecer a ciertas normas ideales, cuya validez en sentido ideal, es previa, independiente y superior a la vigencia eventual, histórica, de las reglas positivas del Derecho </w:t>
      </w:r>
      <w:r w:rsidRPr="000D3432">
        <w:rPr>
          <w:rFonts w:asciiTheme="minorHAnsi" w:hAnsiTheme="minorHAnsi"/>
          <w:szCs w:val="24"/>
        </w:rPr>
        <w:t>producido por los hombres en cada situación histórica. Este Derecho no es de hoy ni de ayer, vive eternamente y nadie sabe cuando apareció”</w:t>
      </w:r>
      <w:r w:rsidRPr="000D3432">
        <w:rPr>
          <w:rStyle w:val="Refdenotaalpie"/>
          <w:rFonts w:asciiTheme="minorHAnsi" w:hAnsiTheme="minorHAnsi"/>
          <w:sz w:val="24"/>
          <w:szCs w:val="24"/>
          <w:vertAlign w:val="superscript"/>
        </w:rPr>
        <w:footnoteReference w:id="84"/>
      </w:r>
      <w:r w:rsidRPr="000D3432">
        <w:rPr>
          <w:rFonts w:asciiTheme="minorHAnsi" w:hAnsiTheme="minorHAnsi"/>
          <w:szCs w:val="24"/>
          <w:vertAlign w:val="superscript"/>
        </w:rPr>
        <w:t>.</w:t>
      </w:r>
    </w:p>
    <w:p w14:paraId="4679C161" w14:textId="77777777" w:rsidR="001925CE" w:rsidRPr="000D3432" w:rsidRDefault="001925CE" w:rsidP="00A95498">
      <w:pPr>
        <w:widowControl/>
        <w:jc w:val="both"/>
        <w:rPr>
          <w:rFonts w:asciiTheme="minorHAnsi" w:hAnsiTheme="minorHAnsi"/>
          <w:szCs w:val="24"/>
        </w:rPr>
      </w:pPr>
    </w:p>
    <w:p w14:paraId="47FC8300" w14:textId="77777777" w:rsidR="001925CE" w:rsidRPr="000D3432" w:rsidRDefault="001925CE" w:rsidP="00A95498">
      <w:pPr>
        <w:widowControl/>
        <w:jc w:val="both"/>
        <w:rPr>
          <w:rFonts w:asciiTheme="minorHAnsi" w:hAnsiTheme="minorHAnsi"/>
          <w:szCs w:val="24"/>
        </w:rPr>
      </w:pPr>
      <w:r w:rsidRPr="000D3432">
        <w:rPr>
          <w:rFonts w:asciiTheme="minorHAnsi" w:hAnsiTheme="minorHAnsi"/>
          <w:szCs w:val="24"/>
        </w:rPr>
        <w:tab/>
        <w:t xml:space="preserve">Este hecho (la hegemonía de las normas ideales sobre las normas positivas) nos significa la supremacía de lo ético valorativo sobre el texto o Derecho Positivo. La superposición de lo axiológico sobre lo objetivo, la categorización vertical del Derecho subjetivo sobre el objetivo. Esta relación, o superposición es la que nos interesa, por un hecho claro, e importante: su trascendencia en la resolución de los problemas jurídicos y del uso del Derecho, es decir, aquello que determina la “validez” de los actos, decisiones, resoluciones, etc., jurídicas. </w:t>
      </w:r>
    </w:p>
    <w:p w14:paraId="3D3A6BE5" w14:textId="77777777" w:rsidR="001925CE" w:rsidRPr="000D3432" w:rsidRDefault="001925CE" w:rsidP="00A95498">
      <w:pPr>
        <w:ind w:left="709"/>
        <w:jc w:val="both"/>
        <w:rPr>
          <w:rFonts w:asciiTheme="minorHAnsi" w:hAnsiTheme="minorHAnsi"/>
          <w:szCs w:val="24"/>
        </w:rPr>
      </w:pPr>
    </w:p>
    <w:p w14:paraId="054A0251" w14:textId="77777777" w:rsidR="001925CE" w:rsidRPr="000D3432" w:rsidRDefault="001925CE" w:rsidP="00A95498">
      <w:pPr>
        <w:ind w:left="709"/>
        <w:jc w:val="both"/>
        <w:rPr>
          <w:rFonts w:asciiTheme="minorHAnsi" w:hAnsiTheme="minorHAnsi"/>
          <w:szCs w:val="24"/>
        </w:rPr>
      </w:pPr>
      <w:r w:rsidRPr="000D3432">
        <w:rPr>
          <w:rFonts w:asciiTheme="minorHAnsi" w:hAnsiTheme="minorHAnsi"/>
          <w:szCs w:val="24"/>
        </w:rPr>
        <w:t>“El problema del Derecho natural, si se especifica, es mucho más preciso. Consiste en preguntarse si, en una organización social dada, es posible admitir que el Derecho positivo, o sea el Derecho tal como es definido por las autoridades, puede llegar a ser anulado por hallarse en oposición al Derecho natural, independientemente de cualquier regla del Derecho positivo. Me parece bien clara la dificultad del problema técnico. Se trata de saber, por ejemplo, si una ley que viola los derechos del hombre es una ley aplicable.”</w:t>
      </w:r>
      <w:r w:rsidRPr="000D3432">
        <w:rPr>
          <w:rStyle w:val="Refdenotaalpie"/>
          <w:rFonts w:asciiTheme="minorHAnsi" w:hAnsiTheme="minorHAnsi"/>
          <w:sz w:val="24"/>
          <w:szCs w:val="24"/>
          <w:vertAlign w:val="superscript"/>
        </w:rPr>
        <w:footnoteReference w:id="85"/>
      </w:r>
    </w:p>
    <w:p w14:paraId="034793E7" w14:textId="77777777" w:rsidR="001925CE" w:rsidRPr="000D3432" w:rsidRDefault="001925CE" w:rsidP="00A95498">
      <w:pPr>
        <w:ind w:firstLine="426"/>
        <w:jc w:val="both"/>
        <w:rPr>
          <w:rFonts w:asciiTheme="minorHAnsi" w:hAnsiTheme="minorHAnsi"/>
          <w:szCs w:val="24"/>
        </w:rPr>
      </w:pPr>
    </w:p>
    <w:p w14:paraId="6C01BA6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w:t>
      </w:r>
      <w:r w:rsidRPr="000D3432">
        <w:rPr>
          <w:rFonts w:asciiTheme="minorHAnsi" w:hAnsiTheme="minorHAnsi"/>
          <w:i/>
          <w:szCs w:val="24"/>
        </w:rPr>
        <w:t>iusnaturalismo</w:t>
      </w:r>
      <w:r w:rsidRPr="000D3432">
        <w:rPr>
          <w:rFonts w:asciiTheme="minorHAnsi" w:hAnsiTheme="minorHAnsi"/>
          <w:szCs w:val="24"/>
        </w:rPr>
        <w:t xml:space="preserve"> es una concepción del pensamiento jurídico que toma como principio rector del orden jurídico  al encuadramiento en la ley universal (del que es adherida). Es decir postula la idea de la existencia de una ley universal que tiene, por su carácter metafísico, hegemonía sobre cualquier norma o regla humana. "Parte del concepto de que sobre el derecho vigente, es decir, las reglas dictadas por los hombres, existe un derecho superior"</w:t>
      </w:r>
    </w:p>
    <w:p w14:paraId="195968E0" w14:textId="77777777" w:rsidR="001925CE" w:rsidRPr="000D3432" w:rsidRDefault="001925CE" w:rsidP="00A95498">
      <w:pPr>
        <w:ind w:firstLine="426"/>
        <w:jc w:val="both"/>
        <w:rPr>
          <w:rFonts w:asciiTheme="minorHAnsi" w:hAnsiTheme="minorHAnsi"/>
          <w:szCs w:val="24"/>
        </w:rPr>
      </w:pPr>
    </w:p>
    <w:p w14:paraId="1619273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jusnaturalismo presupone que existen leyes en la esencia misma de las cosas. Estas leyes o principios universales es lo que se debe descubrir y asimilar </w:t>
      </w:r>
      <w:r w:rsidRPr="000D3432">
        <w:rPr>
          <w:rFonts w:asciiTheme="minorHAnsi" w:hAnsiTheme="minorHAnsi"/>
          <w:szCs w:val="24"/>
        </w:rPr>
        <w:lastRenderedPageBreak/>
        <w:t>al Derecho, para lograr una armonía en la convivencia social.</w:t>
      </w:r>
    </w:p>
    <w:p w14:paraId="5E02AB58" w14:textId="77777777" w:rsidR="001925CE" w:rsidRPr="000D3432" w:rsidRDefault="001925CE" w:rsidP="00A95498">
      <w:pPr>
        <w:ind w:firstLine="426"/>
        <w:jc w:val="both"/>
        <w:rPr>
          <w:rFonts w:asciiTheme="minorHAnsi" w:hAnsiTheme="minorHAnsi"/>
          <w:szCs w:val="24"/>
        </w:rPr>
      </w:pPr>
    </w:p>
    <w:p w14:paraId="27742F8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Se impone, por cuestión estructural, de orden, una breve síntesis retrospectiva del Derecho natural. Nuestra posición geográfica y cultural nos traslada al espacio temporal del mundo occidental, a sus orígenes: Grecia, que representa el inicio de la filosofía, respaldado en “que no tiene a su espalda ninguna tradición filosófica”.</w:t>
      </w:r>
    </w:p>
    <w:p w14:paraId="2F51133C" w14:textId="77777777" w:rsidR="001925CE" w:rsidRPr="000D3432" w:rsidRDefault="001925CE" w:rsidP="00A95498">
      <w:pPr>
        <w:ind w:firstLine="426"/>
        <w:jc w:val="both"/>
        <w:rPr>
          <w:rFonts w:asciiTheme="minorHAnsi" w:hAnsiTheme="minorHAnsi"/>
          <w:szCs w:val="24"/>
        </w:rPr>
      </w:pPr>
    </w:p>
    <w:p w14:paraId="545BA48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el pensamiento griego “el mundo aparece como algo ordenado y sometido a ley; esta es la noción del cosmos” (escribe Julían Marías). Este orden cósmico fue trasladado a las leyes de la conducta humana.</w:t>
      </w:r>
    </w:p>
    <w:p w14:paraId="5AC4F1E4" w14:textId="77777777" w:rsidR="001925CE" w:rsidRPr="000D3432" w:rsidRDefault="001925CE" w:rsidP="00A95498">
      <w:pPr>
        <w:ind w:firstLine="426"/>
        <w:jc w:val="both"/>
        <w:rPr>
          <w:rFonts w:asciiTheme="minorHAnsi" w:hAnsiTheme="minorHAnsi"/>
          <w:szCs w:val="24"/>
        </w:rPr>
      </w:pPr>
    </w:p>
    <w:p w14:paraId="50809FE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Existe, en este entendido, la necesidad de encontrar las leyes naturales generales que concilien su existencia con la esencia humana. Principios universales con particularidad inmutable. Entonces, la naturaleza se presenta como el elemento generador de las cosas, de donde todo parte. El principio universal es la sustancia natural, que hay que hallar, descubrir, en el sentido típico de la suposición de preexistencia de ese algo. El orden ya está dado, y sus principios también. Sólo se requiere descubrirlos y apegarse a los lineamientos de la esencia de la naturaleza. </w:t>
      </w:r>
    </w:p>
    <w:p w14:paraId="71834638" w14:textId="77777777" w:rsidR="001925CE" w:rsidRPr="000D3432" w:rsidRDefault="001925CE" w:rsidP="00A95498">
      <w:pPr>
        <w:ind w:firstLine="426"/>
        <w:jc w:val="both"/>
        <w:rPr>
          <w:rFonts w:asciiTheme="minorHAnsi" w:hAnsiTheme="minorHAnsi"/>
          <w:szCs w:val="24"/>
        </w:rPr>
      </w:pPr>
    </w:p>
    <w:p w14:paraId="5429C25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Los principios originales -para los griegos- estaban basados en la cosmología o leyes generales que rigen el universo. En este pensamiento Pitágoras cree que el universo es un todo ordenado y coherente y que es regido por la justicia cósmica y sus principios. La armonía universal con un tono matemático.</w:t>
      </w:r>
      <w:r w:rsidRPr="000D3432">
        <w:rPr>
          <w:rStyle w:val="Refdenotaalpie"/>
          <w:rFonts w:asciiTheme="minorHAnsi" w:hAnsiTheme="minorHAnsi"/>
          <w:sz w:val="24"/>
          <w:szCs w:val="24"/>
          <w:vertAlign w:val="superscript"/>
        </w:rPr>
        <w:footnoteReference w:id="86"/>
      </w:r>
    </w:p>
    <w:p w14:paraId="6112328A" w14:textId="77777777" w:rsidR="001925CE" w:rsidRPr="000D3432" w:rsidRDefault="001925CE" w:rsidP="00A95498">
      <w:pPr>
        <w:ind w:firstLine="426"/>
        <w:jc w:val="both"/>
        <w:rPr>
          <w:rFonts w:asciiTheme="minorHAnsi" w:hAnsiTheme="minorHAnsi"/>
          <w:szCs w:val="24"/>
        </w:rPr>
      </w:pPr>
    </w:p>
    <w:p w14:paraId="1229C04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Más tarde aparecieron otros exponentes, como por ejemplo la Antropológica planteada por los sofistas que creen en la oposición existente entre lo justo por la naturaleza y lo justo según la ley. Entre ellos Calicés</w:t>
      </w:r>
      <w:r w:rsidRPr="000D3432">
        <w:rPr>
          <w:rStyle w:val="Refdenotaalpie"/>
          <w:rFonts w:asciiTheme="minorHAnsi" w:hAnsiTheme="minorHAnsi"/>
          <w:sz w:val="24"/>
          <w:szCs w:val="24"/>
          <w:vertAlign w:val="superscript"/>
        </w:rPr>
        <w:footnoteReference w:id="87"/>
      </w:r>
      <w:r w:rsidRPr="000D3432">
        <w:rPr>
          <w:rFonts w:asciiTheme="minorHAnsi" w:hAnsiTheme="minorHAnsi"/>
          <w:szCs w:val="24"/>
        </w:rPr>
        <w:t xml:space="preserve"> y Trasimaco "asignan  como derecho natural la prescripción del fuerte sobre el débil”.</w:t>
      </w:r>
    </w:p>
    <w:p w14:paraId="66C2766D" w14:textId="77777777" w:rsidR="001925CE" w:rsidRPr="000D3432" w:rsidRDefault="001925CE" w:rsidP="00A95498">
      <w:pPr>
        <w:ind w:firstLine="426"/>
        <w:jc w:val="both"/>
        <w:rPr>
          <w:rFonts w:asciiTheme="minorHAnsi" w:hAnsiTheme="minorHAnsi"/>
          <w:szCs w:val="24"/>
        </w:rPr>
      </w:pPr>
    </w:p>
    <w:p w14:paraId="4D461F7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Entre tanto Sócrates cree en la existencia de normas de carácter absoluto. Platón cree que las normas  verdaderas están en el terreno de las ideas y que las positivas son sólo sobras de las primeras. Aristóteles (padre del Derecho Natural) cree que hay principios generales absolutos, invariables, pero también cree en la mutabilidad de algunas cosas naturales, y en la mayor mutabilidad de las leyes humanas. Los estoicos creen en la naturaleza como ley universal y proponen "vivir conforme a la naturaleza. (Séneca, Marco Aurelio).</w:t>
      </w:r>
    </w:p>
    <w:p w14:paraId="16331432" w14:textId="77777777" w:rsidR="001925CE" w:rsidRPr="000D3432" w:rsidRDefault="001925CE" w:rsidP="00A95498">
      <w:pPr>
        <w:ind w:firstLine="426"/>
        <w:jc w:val="both"/>
        <w:rPr>
          <w:rFonts w:asciiTheme="minorHAnsi" w:hAnsiTheme="minorHAnsi"/>
          <w:szCs w:val="24"/>
        </w:rPr>
      </w:pPr>
    </w:p>
    <w:p w14:paraId="409A797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Con Roma el jusnaturalismo se ve involucrado con las ideas griegas, y los </w:t>
      </w:r>
      <w:r w:rsidRPr="000D3432">
        <w:rPr>
          <w:rFonts w:asciiTheme="minorHAnsi" w:hAnsiTheme="minorHAnsi"/>
          <w:szCs w:val="24"/>
        </w:rPr>
        <w:lastRenderedPageBreak/>
        <w:t>estoicos. Aparece Cicerón que cree en la ley natural como la razón de ser del Derecho. Luego viene Ulpiano con la Prima Naturalia.</w:t>
      </w:r>
    </w:p>
    <w:p w14:paraId="01327FA9" w14:textId="77777777" w:rsidR="001925CE" w:rsidRPr="000D3432" w:rsidRDefault="001925CE" w:rsidP="00A95498">
      <w:pPr>
        <w:ind w:firstLine="426"/>
        <w:jc w:val="both"/>
        <w:rPr>
          <w:rFonts w:asciiTheme="minorHAnsi" w:hAnsiTheme="minorHAnsi"/>
          <w:szCs w:val="24"/>
        </w:rPr>
      </w:pPr>
    </w:p>
    <w:p w14:paraId="0958171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 el Cristianismo, aparece la noción de un sólo Dios, legislador, absoluto y justo. Se hace presente la Iglesia como la encargada de velar por los hombres y como poder paralelo al Estado. Surge la noción de persona con objetivos supraterrenales.</w:t>
      </w:r>
    </w:p>
    <w:p w14:paraId="1379A226" w14:textId="77777777" w:rsidR="001925CE" w:rsidRPr="000D3432" w:rsidRDefault="001925CE" w:rsidP="00A95498">
      <w:pPr>
        <w:ind w:firstLine="426"/>
        <w:jc w:val="both"/>
        <w:rPr>
          <w:rFonts w:asciiTheme="minorHAnsi" w:hAnsiTheme="minorHAnsi"/>
          <w:szCs w:val="24"/>
        </w:rPr>
      </w:pPr>
    </w:p>
    <w:p w14:paraId="3C4E48E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Santo Tomás de Aquino -uno de los máximos exponentes del cristianismo- estudia al Derecho como una virtud final y especial: la Justicia. Y nos habla de que el Derecho natural proviene o nace de la misma naturaleza de las cosas.</w:t>
      </w:r>
    </w:p>
    <w:p w14:paraId="224FDE36" w14:textId="77777777" w:rsidR="001925CE" w:rsidRPr="000D3432" w:rsidRDefault="001925CE" w:rsidP="00A95498">
      <w:pPr>
        <w:ind w:firstLine="426"/>
        <w:jc w:val="both"/>
        <w:rPr>
          <w:rFonts w:asciiTheme="minorHAnsi" w:hAnsiTheme="minorHAnsi"/>
          <w:szCs w:val="24"/>
        </w:rPr>
      </w:pPr>
    </w:p>
    <w:p w14:paraId="6D0C8B6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base de la concepción Tomista es el orden, "El orden del universo es consecuencia de la causalidad que Dios ejerce; es expresión de su inteligencia y su voluntad."</w:t>
      </w:r>
      <w:r w:rsidRPr="000D3432">
        <w:rPr>
          <w:rStyle w:val="Refdenotaalpie"/>
          <w:rFonts w:asciiTheme="minorHAnsi" w:hAnsiTheme="minorHAnsi"/>
          <w:sz w:val="24"/>
          <w:szCs w:val="24"/>
          <w:vertAlign w:val="superscript"/>
        </w:rPr>
        <w:footnoteReference w:id="88"/>
      </w:r>
      <w:r w:rsidRPr="000D3432">
        <w:rPr>
          <w:rFonts w:asciiTheme="minorHAnsi" w:hAnsiTheme="minorHAnsi"/>
          <w:szCs w:val="24"/>
        </w:rPr>
        <w:t>, el Derecho por lo tanto es sólo real si cumple con el orden divino, dado por Dios.</w:t>
      </w:r>
    </w:p>
    <w:p w14:paraId="154C6A00" w14:textId="77777777" w:rsidR="001925CE" w:rsidRPr="000D3432" w:rsidRDefault="001925CE" w:rsidP="00A95498">
      <w:pPr>
        <w:ind w:firstLine="426"/>
        <w:jc w:val="both"/>
        <w:rPr>
          <w:rFonts w:asciiTheme="minorHAnsi" w:hAnsiTheme="minorHAnsi"/>
          <w:szCs w:val="24"/>
        </w:rPr>
      </w:pPr>
    </w:p>
    <w:p w14:paraId="2F8B406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Tomás de Aquino cree en la existencia de una LEY ETERNA, venida de Dios, de esta se desprende la LEY NATURAL, que es "norma inscrita en la conciencia del hombre para prescribirle que debe obrar de acuerdo con su naturaleza.Santo Tomás cree en la existencia de elementos inalterables del Derecho.</w:t>
      </w:r>
    </w:p>
    <w:p w14:paraId="0C33081D" w14:textId="77777777" w:rsidR="001925CE" w:rsidRPr="000D3432" w:rsidRDefault="001925CE" w:rsidP="00A95498">
      <w:pPr>
        <w:ind w:firstLine="426"/>
        <w:jc w:val="both"/>
        <w:rPr>
          <w:rFonts w:asciiTheme="minorHAnsi" w:hAnsiTheme="minorHAnsi"/>
          <w:szCs w:val="24"/>
        </w:rPr>
      </w:pPr>
    </w:p>
    <w:p w14:paraId="1CCAFFB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Un punto importante de esta posición iusnaturalista es: la supremacía o superioridad de la Ley natural sobre la ley humana.</w:t>
      </w:r>
    </w:p>
    <w:p w14:paraId="32C05497"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"De la LEY ETERNA, se desprende la LEY NATURAL, que es norma inscrita en la conciencia del hombre para prescribirle que debe obrar de acuerdo con su naturaleza"</w:t>
      </w:r>
      <w:r w:rsidRPr="000D3432">
        <w:rPr>
          <w:rStyle w:val="Refdenotaalpie"/>
          <w:rFonts w:asciiTheme="minorHAnsi" w:hAnsiTheme="minorHAnsi"/>
          <w:sz w:val="24"/>
          <w:szCs w:val="24"/>
          <w:vertAlign w:val="superscript"/>
        </w:rPr>
        <w:footnoteReference w:id="89"/>
      </w:r>
      <w:r w:rsidRPr="000D3432">
        <w:rPr>
          <w:rFonts w:asciiTheme="minorHAnsi" w:hAnsiTheme="minorHAnsi"/>
          <w:sz w:val="24"/>
          <w:szCs w:val="24"/>
        </w:rPr>
        <w:t>.</w:t>
      </w:r>
    </w:p>
    <w:p w14:paraId="1779E12D" w14:textId="77777777" w:rsidR="001925CE" w:rsidRPr="000D3432" w:rsidRDefault="001925CE" w:rsidP="00A95498">
      <w:pPr>
        <w:ind w:firstLine="426"/>
        <w:jc w:val="both"/>
        <w:rPr>
          <w:rFonts w:asciiTheme="minorHAnsi" w:hAnsiTheme="minorHAnsi"/>
          <w:szCs w:val="24"/>
        </w:rPr>
      </w:pPr>
    </w:p>
    <w:p w14:paraId="39C0374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Además, "en síntesis, el pensamiento de Santo Tomás afirmó en conjunto; que la naturaleza es un producto de la voluntad racional; pudiendo la razón humana afirmar la facultad de interpretarla."</w:t>
      </w:r>
      <w:r w:rsidRPr="000D3432">
        <w:rPr>
          <w:rStyle w:val="Refdenotaalpie"/>
          <w:rFonts w:asciiTheme="minorHAnsi" w:hAnsiTheme="minorHAnsi"/>
          <w:sz w:val="24"/>
          <w:szCs w:val="24"/>
          <w:vertAlign w:val="superscript"/>
        </w:rPr>
        <w:footnoteReference w:id="90"/>
      </w:r>
      <w:r w:rsidRPr="000D3432">
        <w:rPr>
          <w:rFonts w:asciiTheme="minorHAnsi" w:hAnsiTheme="minorHAnsi"/>
          <w:szCs w:val="24"/>
        </w:rPr>
        <w:t>.</w:t>
      </w:r>
    </w:p>
    <w:p w14:paraId="1E15F7B6" w14:textId="77777777" w:rsidR="001925CE" w:rsidRPr="000D3432" w:rsidRDefault="001925CE" w:rsidP="00A95498">
      <w:pPr>
        <w:ind w:firstLine="426"/>
        <w:jc w:val="both"/>
        <w:rPr>
          <w:rFonts w:asciiTheme="minorHAnsi" w:hAnsiTheme="minorHAnsi"/>
          <w:szCs w:val="24"/>
        </w:rPr>
      </w:pPr>
    </w:p>
    <w:p w14:paraId="4BCCD53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esa concepción la Iglesia afirmaba que la Ley Natural se  encontraba por encima del Emperador y de la comunidad. Todo lo demás no era Derecho.</w:t>
      </w:r>
    </w:p>
    <w:p w14:paraId="0C1B64A3" w14:textId="77777777" w:rsidR="001925CE" w:rsidRPr="000D3432" w:rsidRDefault="001925CE" w:rsidP="00A95498">
      <w:pPr>
        <w:ind w:firstLine="426"/>
        <w:jc w:val="both"/>
        <w:rPr>
          <w:rFonts w:asciiTheme="minorHAnsi" w:hAnsiTheme="minorHAnsi"/>
          <w:szCs w:val="24"/>
        </w:rPr>
      </w:pPr>
    </w:p>
    <w:p w14:paraId="11F07EA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Grocio, exponente del Jusnaturalismo Moderno, "...señala que el instinto de sociabilidad era la base del derecho natural -dictada por la razón- y cuyas normas resultaban del consentimiento de los Estados, por lo que conservaron su valor aunque Dios no existiese."</w:t>
      </w:r>
      <w:r w:rsidRPr="000D3432">
        <w:rPr>
          <w:rStyle w:val="Refdenotaalpie"/>
          <w:rFonts w:asciiTheme="minorHAnsi" w:hAnsiTheme="minorHAnsi"/>
          <w:sz w:val="24"/>
          <w:szCs w:val="24"/>
          <w:vertAlign w:val="superscript"/>
        </w:rPr>
        <w:footnoteReference w:id="91"/>
      </w:r>
    </w:p>
    <w:p w14:paraId="5237CAC6" w14:textId="77777777" w:rsidR="001925CE" w:rsidRPr="000D3432" w:rsidRDefault="001925CE" w:rsidP="00A95498">
      <w:pPr>
        <w:ind w:firstLine="426"/>
        <w:jc w:val="both"/>
        <w:rPr>
          <w:rFonts w:asciiTheme="minorHAnsi" w:hAnsiTheme="minorHAnsi"/>
          <w:szCs w:val="24"/>
        </w:rPr>
      </w:pPr>
    </w:p>
    <w:p w14:paraId="416ADC4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Más allá se expresa que "la naturaleza del hombre es la fuente directa del Derecho. Samuel Pufendorf (1632) cree que el ser humano es un animal sociable y no social, y que el derecho natural se encuentra en el ejercicio y el </w:t>
      </w:r>
      <w:r w:rsidRPr="000D3432">
        <w:rPr>
          <w:rFonts w:asciiTheme="minorHAnsi" w:hAnsiTheme="minorHAnsi"/>
          <w:szCs w:val="24"/>
        </w:rPr>
        <w:lastRenderedPageBreak/>
        <w:t>mantenimiento de la sociabilidad del hombre. Así el Derecho nace de la naturaleza humana, y el Estado es creado por un pacto entre los hombres.</w:t>
      </w:r>
    </w:p>
    <w:p w14:paraId="3B927607" w14:textId="77777777" w:rsidR="001925CE" w:rsidRPr="000D3432" w:rsidRDefault="001925CE" w:rsidP="00A95498">
      <w:pPr>
        <w:ind w:firstLine="426"/>
        <w:jc w:val="both"/>
        <w:rPr>
          <w:rFonts w:asciiTheme="minorHAnsi" w:hAnsiTheme="minorHAnsi"/>
          <w:szCs w:val="24"/>
        </w:rPr>
      </w:pPr>
    </w:p>
    <w:p w14:paraId="7CC6AE4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el siglo XVII y XIX, circulan las ideas del Contrato Social, derechos naturales y humanos, y Estado de naturaleza, ideas políticas y jurídicas. </w:t>
      </w:r>
    </w:p>
    <w:p w14:paraId="6D18BB6C" w14:textId="77777777" w:rsidR="001925CE" w:rsidRPr="000D3432" w:rsidRDefault="001925CE" w:rsidP="00A95498">
      <w:pPr>
        <w:ind w:firstLine="426"/>
        <w:jc w:val="both"/>
        <w:rPr>
          <w:rFonts w:asciiTheme="minorHAnsi" w:hAnsiTheme="minorHAnsi"/>
          <w:szCs w:val="24"/>
        </w:rPr>
      </w:pPr>
    </w:p>
    <w:p w14:paraId="68DB122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Rousseau habla del Estado de Naturaleza como el paraíso.</w:t>
      </w:r>
    </w:p>
    <w:p w14:paraId="375415A5" w14:textId="77777777" w:rsidR="001925CE" w:rsidRPr="000D3432" w:rsidRDefault="001925CE" w:rsidP="00A95498">
      <w:pPr>
        <w:ind w:firstLine="426"/>
        <w:jc w:val="both"/>
        <w:rPr>
          <w:rFonts w:asciiTheme="minorHAnsi" w:hAnsiTheme="minorHAnsi"/>
          <w:szCs w:val="24"/>
        </w:rPr>
      </w:pPr>
    </w:p>
    <w:p w14:paraId="2FCF2C9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 Kant, RodolfStanmler afirma: "No existe, ningún precepto jurídico que por razón de su contenido pueda establecerse de manera absoluta", por consiguiente sólo queda "establecer con método formal universalmente válido capaz a determinar cuando la substancia necesariamente mudable del derecho, históricamente condicionado recibe la propiedad de ser objetivamente justa". Se trata de "un derecho inmutable en la forma pero mudable en su contenido"</w:t>
      </w:r>
    </w:p>
    <w:p w14:paraId="39EF5C6D" w14:textId="77777777" w:rsidR="001925CE" w:rsidRPr="000D3432" w:rsidRDefault="001925CE" w:rsidP="00A95498">
      <w:pPr>
        <w:ind w:firstLine="426"/>
        <w:jc w:val="both"/>
        <w:rPr>
          <w:rFonts w:asciiTheme="minorHAnsi" w:hAnsiTheme="minorHAnsi"/>
          <w:szCs w:val="24"/>
        </w:rPr>
      </w:pPr>
    </w:p>
    <w:p w14:paraId="2EB98FD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Hobbes el hombre es un egoísta y malvado, pero por conveniencia debe asociarse a los demás mediante un contrato "impuesto por la ley de conservación que es el Derecho natural. De ese pacto nació el Estado"</w:t>
      </w:r>
      <w:r w:rsidRPr="000D3432">
        <w:rPr>
          <w:rStyle w:val="Refdenotaalpie"/>
          <w:rFonts w:asciiTheme="minorHAnsi" w:hAnsiTheme="minorHAnsi"/>
          <w:sz w:val="24"/>
          <w:szCs w:val="24"/>
          <w:vertAlign w:val="superscript"/>
        </w:rPr>
        <w:footnoteReference w:id="92"/>
      </w:r>
    </w:p>
    <w:p w14:paraId="1FCF5D68"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713F2AC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Explicando este tema desde otro ángulo, cabe mencionar que el Derecho Natural “ha sido considerado algunas veces como la expresión de la voluntad divina y otras veces fue deducida analíticamente de la pura razón humana, o como expresión de las leyes físicas de la vida.”</w:t>
      </w:r>
      <w:r w:rsidRPr="000D3432">
        <w:rPr>
          <w:rStyle w:val="Refdenotaalpie"/>
          <w:rFonts w:asciiTheme="minorHAnsi" w:hAnsiTheme="minorHAnsi"/>
          <w:sz w:val="24"/>
          <w:szCs w:val="24"/>
          <w:vertAlign w:val="superscript"/>
        </w:rPr>
        <w:footnoteReference w:id="93"/>
      </w:r>
    </w:p>
    <w:p w14:paraId="1F58355C" w14:textId="77777777" w:rsidR="001925CE" w:rsidRPr="000D3432" w:rsidRDefault="001925CE" w:rsidP="00A95498">
      <w:pPr>
        <w:ind w:firstLine="426"/>
        <w:jc w:val="both"/>
        <w:rPr>
          <w:rFonts w:asciiTheme="minorHAnsi" w:hAnsiTheme="minorHAnsi"/>
          <w:szCs w:val="24"/>
        </w:rPr>
      </w:pPr>
    </w:p>
    <w:p w14:paraId="1603DF0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otro lado hay una interrogante a analizar: ¿Está renaciendo el gusto por el Derecho Natural, el jusnaturalimo? ¿está siendo superado el positivismo jurídico. Massini afirmaba que este proceso sucede. </w:t>
      </w:r>
    </w:p>
    <w:p w14:paraId="2D8F7911"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“Esta superación del positivismo jurídico va acompañada de un nuevo reconocimiento de la cuasi-perenne doctrinal del derecho natural. Este hecho, reconocido por un autor tan poco sospechoso de iusnaturalismo como Hans Kelsen.”</w:t>
      </w:r>
      <w:r w:rsidRPr="000D3432">
        <w:rPr>
          <w:rStyle w:val="Refdenotaalpie"/>
          <w:rFonts w:asciiTheme="minorHAnsi" w:hAnsiTheme="minorHAnsi"/>
          <w:sz w:val="24"/>
          <w:szCs w:val="24"/>
          <w:vertAlign w:val="superscript"/>
        </w:rPr>
        <w:footnoteReference w:id="94"/>
      </w:r>
    </w:p>
    <w:p w14:paraId="74244821" w14:textId="77777777" w:rsidR="001925CE" w:rsidRPr="000D3432" w:rsidRDefault="001925CE" w:rsidP="00A95498">
      <w:pPr>
        <w:ind w:firstLine="426"/>
        <w:jc w:val="both"/>
        <w:rPr>
          <w:rFonts w:asciiTheme="minorHAnsi" w:hAnsiTheme="minorHAnsi"/>
          <w:szCs w:val="24"/>
        </w:rPr>
      </w:pPr>
    </w:p>
    <w:p w14:paraId="2EF01AB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operación se va realizando entre quienes piensan el Derecho, en vista de que, ante la exigencia de nuevas teorías que justifiquen un justo equilibrio entre la realidad y la normas de Derecho, el positivismo jurídico ha fracasado como único elemento del actuar jurídico y de la solución de los conflictos de intereses. El Derecho Natural parece haber vuelto a tomar aliento, y se muestra -pero no exclusiva ni excluyentemente- entremezclado, en el cerebro de los pensadores y usuarios del Derecho.</w:t>
      </w:r>
    </w:p>
    <w:p w14:paraId="4C3DBAB7" w14:textId="77777777" w:rsidR="001925CE" w:rsidRPr="000D3432" w:rsidRDefault="001925CE" w:rsidP="00A95498">
      <w:pPr>
        <w:ind w:firstLine="426"/>
        <w:jc w:val="both"/>
        <w:rPr>
          <w:rFonts w:asciiTheme="minorHAnsi" w:hAnsiTheme="minorHAnsi"/>
          <w:szCs w:val="24"/>
        </w:rPr>
      </w:pPr>
    </w:p>
    <w:p w14:paraId="7730EF5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Y es que las relaciones jurídicas son demasiado complejas para caber todas ellas encerradas en los cuadros del positivismo; o para estar contenidas en una construcción puramente lógica, pero tampoco pueden caber solamente en una concepción iusnaturalista.</w:t>
      </w:r>
    </w:p>
    <w:p w14:paraId="2B5A0BC2" w14:textId="77777777" w:rsidR="001925CE" w:rsidRPr="000D3432" w:rsidRDefault="001925CE" w:rsidP="00A95498">
      <w:pPr>
        <w:ind w:firstLine="426"/>
        <w:jc w:val="both"/>
        <w:rPr>
          <w:rFonts w:asciiTheme="minorHAnsi" w:hAnsiTheme="minorHAnsi"/>
          <w:szCs w:val="24"/>
        </w:rPr>
      </w:pPr>
    </w:p>
    <w:p w14:paraId="3881EBC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La filosofía positivista heredada está siendo contradicha, atacada por nuevos aires postmodernos que instigan a la vuelta, -no absoluta sino complementaria o vinculatoria- del iusnaturalismo. Las cosas, los hechos jurídicos no serían ya meras experiencias probables lógica y científicamente, (como lo sugiere e impone el positivismo) válidas por estas características, sino que alternarían -en la solución de conflictos- con las concepciones positivistas, naturalistas, que hacen -de alguna manera- más humano a la aplicación del Derecho.</w:t>
      </w:r>
    </w:p>
    <w:p w14:paraId="6B3E9352" w14:textId="77777777" w:rsidR="001925CE" w:rsidRPr="000D3432" w:rsidRDefault="001925CE" w:rsidP="00A95498">
      <w:pPr>
        <w:ind w:firstLine="426"/>
        <w:jc w:val="both"/>
        <w:rPr>
          <w:rFonts w:asciiTheme="minorHAnsi" w:hAnsiTheme="minorHAnsi"/>
          <w:szCs w:val="24"/>
        </w:rPr>
      </w:pPr>
    </w:p>
    <w:p w14:paraId="5AA697D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otra parte, la caída del naturalismo, derecho natural, iusnaturalismo, tiene su explicación en la falta de corporeidad, transmitido en el tiempo, y por la cual el iusnaturalismo no era completo sino informe, aislándose cada vez de su genealogía primaria. Quedando de ella tan sólo la etiqueta tradicional, “doctrinas que no han conservado del Derecho Natural nada más que la etiqueta tradicional, pero perdiendo su sustancia; doctrinas realizadas en forma incompleta y que se prestan fácilmente a la crítica del positivismo jurídico (...) Las críticas que Kelsen cree dirigir contra la idea del Derecho Natural, demuestran que no conoce en lo más mínimo su forma principal. La forma primera y auténtica del derecho natural, debe ser estudiada directamente en sus creadores: Aristóteles, padre de la doctrina y Santo Tomás, que la corona con una teología...”</w:t>
      </w:r>
      <w:r w:rsidRPr="000D3432">
        <w:rPr>
          <w:rStyle w:val="Refdenotaalpie"/>
          <w:rFonts w:asciiTheme="minorHAnsi" w:hAnsiTheme="minorHAnsi"/>
          <w:sz w:val="24"/>
          <w:szCs w:val="24"/>
          <w:vertAlign w:val="superscript"/>
        </w:rPr>
        <w:footnoteReference w:id="95"/>
      </w:r>
    </w:p>
    <w:p w14:paraId="441AFD79" w14:textId="77777777" w:rsidR="001925CE" w:rsidRPr="000D3432" w:rsidRDefault="001925CE" w:rsidP="00A95498">
      <w:pPr>
        <w:ind w:firstLine="426"/>
        <w:jc w:val="both"/>
        <w:rPr>
          <w:rFonts w:asciiTheme="minorHAnsi" w:hAnsiTheme="minorHAnsi"/>
          <w:szCs w:val="24"/>
        </w:rPr>
      </w:pPr>
    </w:p>
    <w:p w14:paraId="5A7AEEE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naturalismo se propondría frente al positivismo estéril, como elemento para salir del error en que el matiz positivista ha encuadrado al Derecho. El iusnaturalismo no sería “cosa muerta”, sino viva, regeneradora, útil, apta a estos tiempos de efervescencia social y jurídica. El iusnaturalismo puede, y en efecto lo hace, aportar criterios más valiosos para la solución de los intereses, de conflictos (relaciones jurídicas) por lo que es necesario repensarla a la luz de las nuevas circunstancias e incorporarle lo que pueda haber de valioso en las otras doctrinas.</w:t>
      </w:r>
    </w:p>
    <w:p w14:paraId="392C4653" w14:textId="77777777" w:rsidR="001925CE" w:rsidRPr="000D3432" w:rsidRDefault="001925CE" w:rsidP="00A95498">
      <w:pPr>
        <w:ind w:firstLine="426"/>
        <w:jc w:val="both"/>
        <w:rPr>
          <w:rFonts w:asciiTheme="minorHAnsi" w:hAnsiTheme="minorHAnsi"/>
          <w:szCs w:val="24"/>
        </w:rPr>
      </w:pPr>
    </w:p>
    <w:p w14:paraId="7292A44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Ahora bien, ¿qué supone el Derecho Natural? “El presupuesto sobre el que se levanta  la concepción clásica del Derecho Natural, es el de la capacidad del intelecto humano para aprehender -aunque sea en forma incompleta- la esencia de las cosas.”</w:t>
      </w:r>
      <w:r w:rsidRPr="000D3432">
        <w:rPr>
          <w:rStyle w:val="Refdenotaalpie"/>
          <w:rFonts w:asciiTheme="minorHAnsi" w:hAnsiTheme="minorHAnsi"/>
          <w:sz w:val="24"/>
          <w:szCs w:val="24"/>
          <w:vertAlign w:val="superscript"/>
        </w:rPr>
        <w:footnoteReference w:id="96"/>
      </w:r>
      <w:r w:rsidRPr="000D3432">
        <w:rPr>
          <w:rFonts w:asciiTheme="minorHAnsi" w:hAnsiTheme="minorHAnsi"/>
          <w:szCs w:val="24"/>
        </w:rPr>
        <w:t xml:space="preserve"> Esto significa la presuposición de comprender como funcionan las cosas por su propia naturaleza, por su propia y natural forma de ser.</w:t>
      </w:r>
    </w:p>
    <w:p w14:paraId="7EB55EF4" w14:textId="77777777" w:rsidR="001925CE" w:rsidRPr="000D3432" w:rsidRDefault="001925CE" w:rsidP="00A95498">
      <w:pPr>
        <w:ind w:firstLine="426"/>
        <w:jc w:val="both"/>
        <w:rPr>
          <w:rFonts w:asciiTheme="minorHAnsi" w:hAnsiTheme="minorHAnsi"/>
          <w:szCs w:val="24"/>
        </w:rPr>
      </w:pPr>
    </w:p>
    <w:p w14:paraId="0F08C02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¿Qué es el Derecho Natural si no ese “ser” de las cosas?</w:t>
      </w:r>
    </w:p>
    <w:p w14:paraId="5DBFBE2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problema del Derecho Natural surge cuando se trata de comprenderlo en referencia a los conceptos empiristas o idealistas. El empirismo, apegado a los hechos, a las cosas palpables, a la experiencia, y el idealismo que supone que el intelecto diagrama, pone la forma propia de las cosas. Ambas facciones niegan la capacidad de aprehensión del intelecto para captar la esencia de las cosas, lo que anularía la posibilidad de la aceptación de un orden jurídico emergente de la naturaleza de las cosas: “Tanto si negamos lisa y llanamente esta capacidad, </w:t>
      </w:r>
      <w:r w:rsidRPr="000D3432">
        <w:rPr>
          <w:rFonts w:asciiTheme="minorHAnsi" w:hAnsiTheme="minorHAnsi"/>
          <w:szCs w:val="24"/>
        </w:rPr>
        <w:lastRenderedPageBreak/>
        <w:t>tal como lo hacen las corrientes empiristas, como si suponemos que la forma propia de las cosas es puesto por el intelecto, como sostiene el idealismo, el camino del Derecho Natural queda cortado.”</w:t>
      </w:r>
      <w:r w:rsidRPr="000D3432">
        <w:rPr>
          <w:rStyle w:val="Refdenotaalpie"/>
          <w:rFonts w:asciiTheme="minorHAnsi" w:hAnsiTheme="minorHAnsi"/>
          <w:sz w:val="24"/>
          <w:szCs w:val="24"/>
          <w:vertAlign w:val="superscript"/>
        </w:rPr>
        <w:footnoteReference w:id="97"/>
      </w:r>
    </w:p>
    <w:p w14:paraId="1FEFBEC8" w14:textId="77777777" w:rsidR="001925CE" w:rsidRPr="000D3432" w:rsidRDefault="001925CE" w:rsidP="00A95498">
      <w:pPr>
        <w:ind w:firstLine="426"/>
        <w:jc w:val="both"/>
        <w:rPr>
          <w:rFonts w:asciiTheme="minorHAnsi" w:hAnsiTheme="minorHAnsi"/>
          <w:szCs w:val="24"/>
        </w:rPr>
      </w:pPr>
    </w:p>
    <w:p w14:paraId="4B76D0D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Natural tiene su fundamento en la esencia misma de las cosas, a partir de esta esencia es que surgen las demás. Al respecto Massini parafraseando a Michel Villey trascribe: “No existe ningún conocimiento concreto en nuestra mente que no preexista en las cosas y que no provenga de ellas”. Es decir que todo está en las cosas y nuestro intelecto tiene la actividad de comprenderlas, o aprehenderlas.</w:t>
      </w:r>
    </w:p>
    <w:p w14:paraId="28371F00" w14:textId="77777777" w:rsidR="001925CE" w:rsidRPr="000D3432" w:rsidRDefault="001925CE" w:rsidP="00A95498">
      <w:pPr>
        <w:ind w:firstLine="426"/>
        <w:jc w:val="both"/>
        <w:rPr>
          <w:rFonts w:asciiTheme="minorHAnsi" w:hAnsiTheme="minorHAnsi"/>
          <w:szCs w:val="24"/>
        </w:rPr>
      </w:pPr>
    </w:p>
    <w:p w14:paraId="65AD1AB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concepción de la naturaleza clásica concibe la idea de que en ella se engloba todos los aspectos o elementos del mundo; lo material y lo espiritual; no se exime en las cosas materiales y relaciones de causalidad, sino que trasciende más allá de ello, lo que viene a revelar -en conjunto- un determinado orden del mundo, Massini, otra vez parafraseando a MicheyVilley transcribe lo que significa el Derecho Natural Clásico: “La naturaleza de los clásicos, engloba sin excepción todo lo que existe en nuestro mundo; es decir, no solamente los objetos físicos, materiales (como en la naturaleza post-cartesiana), sino la integridad del hombre, cuerpo y espíritu, las instituciones humanas y las instituciones sociales: la polis, los grupos sociales, los grupos profesionales. Para Aristóteles todas estas cosas estaban en la naturaleza (...). Pero sobre todo, la naturaleza clásica es un objeto mucho más vasto y rico que la naturaleza de los filósofos modernos, porque incluye mucho más que las cosas puramente materiales y las relaciones de causalidad eficiente entre las mismas. Hay en ella un sentido espiritual, una belleza; aquello que nosotros llamamos hoy en día valores. (...), Aristóteles vio en la naturaleza (más allá de esas realidades primeras que son los seres individuales), formas, esencias generales (como las de viviente, de ser humano), por los cuales se revelaba el orden del mundo, que no solamente es un conglomerado amorfo de individuos, sino un cosmos ordenado.”</w:t>
      </w:r>
      <w:r w:rsidRPr="000D3432">
        <w:rPr>
          <w:rStyle w:val="Refdenotaalpie"/>
          <w:rFonts w:asciiTheme="minorHAnsi" w:hAnsiTheme="minorHAnsi"/>
          <w:sz w:val="24"/>
          <w:szCs w:val="24"/>
          <w:vertAlign w:val="superscript"/>
        </w:rPr>
        <w:footnoteReference w:id="98"/>
      </w:r>
      <w:r w:rsidRPr="000D3432">
        <w:rPr>
          <w:rFonts w:asciiTheme="minorHAnsi" w:hAnsiTheme="minorHAnsi"/>
          <w:szCs w:val="24"/>
        </w:rPr>
        <w:t xml:space="preserve"> Aristóteles vio en las cosas finalidades, causas finales. Santo Tomas por su lado creía que la ley fundamental del universo era la aspiración a un fin o finalidad, y no la ley de causalidad (causa y efecto). El factor que impulsa el movimiento de las relaciones sociales es el fin. Este determinará la dirección, pero no el proceso. </w:t>
      </w:r>
    </w:p>
    <w:p w14:paraId="3CE7B966" w14:textId="77777777" w:rsidR="001925CE" w:rsidRPr="000D3432" w:rsidRDefault="001925CE" w:rsidP="00A95498">
      <w:pPr>
        <w:ind w:firstLine="426"/>
        <w:jc w:val="both"/>
        <w:rPr>
          <w:rFonts w:asciiTheme="minorHAnsi" w:hAnsiTheme="minorHAnsi"/>
          <w:szCs w:val="24"/>
        </w:rPr>
      </w:pPr>
    </w:p>
    <w:p w14:paraId="20C057B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Aristóteles y Santo Tomas de Aquino creen y postulan la necesidad de conocer el fin de las cosas, sin embargo, desde otra óptica Augusto Salazar Bondy y Friedrich Nietzsche no creen en la finalidad de las cosas (y si no me equivoco también Sartre dice que “la existencia precede a la esencia”, no cree en la naturaleza de las cosas). O como en otras palabras, podría decirse que “Ahora sabe que nada está preestablecido en el cosmos, que no hay fines consistentes y plenos, capaces de guiar nuestra acción y el proceso del mundo. Con Zaratustra bien puede decirse: “He liberado a las cosas de la tiranía del fin.”</w:t>
      </w:r>
      <w:r w:rsidRPr="000D3432">
        <w:rPr>
          <w:rStyle w:val="Refdenotaalpie"/>
          <w:rFonts w:asciiTheme="minorHAnsi" w:hAnsiTheme="minorHAnsi"/>
          <w:sz w:val="24"/>
          <w:szCs w:val="24"/>
          <w:vertAlign w:val="superscript"/>
        </w:rPr>
        <w:footnoteReference w:id="99"/>
      </w:r>
    </w:p>
    <w:p w14:paraId="0DF2FE20" w14:textId="77777777" w:rsidR="001925CE" w:rsidRPr="000D3432" w:rsidRDefault="001925CE" w:rsidP="00A95498">
      <w:pPr>
        <w:ind w:firstLine="426"/>
        <w:jc w:val="both"/>
        <w:rPr>
          <w:rFonts w:asciiTheme="minorHAnsi" w:hAnsiTheme="minorHAnsi"/>
          <w:szCs w:val="24"/>
        </w:rPr>
      </w:pPr>
    </w:p>
    <w:p w14:paraId="3E0BCCE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a pesar de lo trascrito, es necesario conocer el fin a que se dirigen las cosas, ya sea un fin natural o inventado (creado, para comprender cual es la función a que se debe tal o cual cosa o institución, o etc., “para comprender cualquiera de las instituciones que el ser humano edifica, ya sea libremente o siguiendo una inclinación natural, es imprescindible conocer la finalidad a la que se ordena. De lo contrario, nos sería imposible distinguir un estado de una banda de ladrones o a una empresa comercial de un club deportivo.”</w:t>
      </w:r>
      <w:r w:rsidRPr="000D3432">
        <w:rPr>
          <w:rStyle w:val="Refdenotaalpie"/>
          <w:rFonts w:asciiTheme="minorHAnsi" w:hAnsiTheme="minorHAnsi"/>
          <w:sz w:val="24"/>
          <w:szCs w:val="24"/>
          <w:vertAlign w:val="superscript"/>
        </w:rPr>
        <w:footnoteReference w:id="100"/>
      </w:r>
    </w:p>
    <w:p w14:paraId="65C03AAA" w14:textId="77777777" w:rsidR="001925CE" w:rsidRPr="000D3432" w:rsidRDefault="001925CE" w:rsidP="00A95498">
      <w:pPr>
        <w:ind w:firstLine="426"/>
        <w:jc w:val="both"/>
        <w:rPr>
          <w:rFonts w:asciiTheme="minorHAnsi" w:hAnsiTheme="minorHAnsi"/>
          <w:szCs w:val="24"/>
        </w:rPr>
      </w:pPr>
    </w:p>
    <w:p w14:paraId="1A9784E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los clásicos del Derecho Natural, el hombre era, no un producto del azar o las circunstancias sociales, exteriores, sino era la confirmación de su esencia, aquello para lo que por naturaleza estaba inclinado a ser. Esa era su finalidad innata, propia, es decir: “la finalidad que persigue cada ser en su movimiento no es arbitraria, sino que viene prefigurada en su esencia, en su forma particular, en la estructuración profunda que lo hace ser eso que es y no otra cosa”.</w:t>
      </w:r>
      <w:r w:rsidRPr="000D3432">
        <w:rPr>
          <w:rStyle w:val="Refdenotaalpie"/>
          <w:rFonts w:asciiTheme="minorHAnsi" w:hAnsiTheme="minorHAnsi"/>
          <w:sz w:val="24"/>
          <w:szCs w:val="24"/>
          <w:vertAlign w:val="superscript"/>
        </w:rPr>
        <w:footnoteReference w:id="101"/>
      </w:r>
    </w:p>
    <w:p w14:paraId="41D2FA32" w14:textId="77777777" w:rsidR="001925CE" w:rsidRPr="000D3432" w:rsidRDefault="001925CE" w:rsidP="00A95498">
      <w:pPr>
        <w:ind w:firstLine="426"/>
        <w:jc w:val="both"/>
        <w:rPr>
          <w:rFonts w:asciiTheme="minorHAnsi" w:hAnsiTheme="minorHAnsi"/>
          <w:szCs w:val="24"/>
        </w:rPr>
      </w:pPr>
    </w:p>
    <w:p w14:paraId="55D52D4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espíritu de la naturaleza, o mejor dicho, la inclinación a ser lo que se es en esencia tiene, en las personas, un obstáculo: la libertad. Por la libertad el hombre, que según su naturaleza debería dirigirse hacia un fin preestablecido, puede desviarse, y “decidir” su finalidad última, desvincularse de su esencia natural, para formar la propia suya, independiente del orden natural de las cosas, “el hombre tiene el privilegio de ser libre, es decir, tiene la posibilidad de desviarse del plan de la naturaleza.”</w:t>
      </w:r>
      <w:r w:rsidRPr="000D3432">
        <w:rPr>
          <w:rStyle w:val="Refdenotaalpie"/>
          <w:rFonts w:asciiTheme="minorHAnsi" w:hAnsiTheme="minorHAnsi"/>
          <w:sz w:val="24"/>
          <w:szCs w:val="24"/>
          <w:vertAlign w:val="superscript"/>
        </w:rPr>
        <w:footnoteReference w:id="102"/>
      </w:r>
      <w:r w:rsidRPr="000D3432">
        <w:rPr>
          <w:rFonts w:asciiTheme="minorHAnsi" w:hAnsiTheme="minorHAnsi"/>
          <w:szCs w:val="24"/>
        </w:rPr>
        <w:t xml:space="preserve"> Esto produce un desenfoque del orden a seguir, y de conocer en forma absoluta las finalidades naturales de los hombres.</w:t>
      </w:r>
    </w:p>
    <w:p w14:paraId="6E37B458" w14:textId="77777777" w:rsidR="001925CE" w:rsidRPr="000D3432" w:rsidRDefault="001925CE" w:rsidP="00A95498">
      <w:pPr>
        <w:ind w:firstLine="426"/>
        <w:jc w:val="both"/>
        <w:rPr>
          <w:rFonts w:asciiTheme="minorHAnsi" w:hAnsiTheme="minorHAnsi"/>
          <w:szCs w:val="24"/>
        </w:rPr>
      </w:pPr>
    </w:p>
    <w:p w14:paraId="6A0E77D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Haciendo esta observación, MicheyVilley nos propone un análisis de las actividades humanas, discerniendo de ellas las que más se apeguen al orden natural de la esencia del hombre, para luego desprender de ellas el derecho a moldear. Villey expone que haya organizaciones sociales que se aproximen más que otras a la esencia natural de las cosas, a ser  lo que por naturaleza estamos destinados a ser. Esto servirá de modelos con los cuales podremos forjar el Derecho, más acorde a la esencia misma de nuestra naturaleza.</w:t>
      </w:r>
    </w:p>
    <w:p w14:paraId="48189E9E"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7389E49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Según el concepto del iusnaturalismo, el Derecho tiende a posibilitar la realización de las virtualidades contenidas en la naturaleza humana. Y para conocer el Derecho Natural es “la observación” el instrumento de conocimiento.</w:t>
      </w:r>
    </w:p>
    <w:p w14:paraId="0C147DB5" w14:textId="77777777" w:rsidR="001925CE" w:rsidRPr="000D3432" w:rsidRDefault="001925CE" w:rsidP="00A95498">
      <w:pPr>
        <w:ind w:firstLine="426"/>
        <w:jc w:val="both"/>
        <w:rPr>
          <w:rFonts w:asciiTheme="minorHAnsi" w:hAnsiTheme="minorHAnsi"/>
          <w:szCs w:val="24"/>
        </w:rPr>
      </w:pPr>
    </w:p>
    <w:p w14:paraId="0927496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Un último dato aclaratorio: “De lo expuesto surge con toda claridad que es imposible pretender un conocimiento acabado e indubitable de los preceptos del Derecho Natural; que el Derecho Natural no es un ordenamiento, perfecto racionalmente, de normas expresamente formuladas y que se superpone al ordenamiento jurídico-positivo. Por esto escribe Villey que “es seguro que la naturaleza no encontraremos nunca una legislación formulada. Si entendemos </w:t>
      </w:r>
      <w:r w:rsidRPr="000D3432">
        <w:rPr>
          <w:rFonts w:asciiTheme="minorHAnsi" w:hAnsiTheme="minorHAnsi"/>
          <w:szCs w:val="24"/>
        </w:rPr>
        <w:lastRenderedPageBreak/>
        <w:t>el término ley en el sentido de regla expresamente formulada, no existen leyes naturales.” En el Derecho Natural no podemos encontrar nada más que direcciones generales, tendencias, orientaciones, pero nunca reglas estrictamente definidas</w:t>
      </w:r>
      <w:r w:rsidRPr="000D3432">
        <w:rPr>
          <w:rStyle w:val="Refdenotaalpie"/>
          <w:rFonts w:asciiTheme="minorHAnsi" w:hAnsiTheme="minorHAnsi"/>
          <w:sz w:val="24"/>
          <w:szCs w:val="24"/>
          <w:vertAlign w:val="superscript"/>
        </w:rPr>
        <w:footnoteReference w:id="103"/>
      </w:r>
    </w:p>
    <w:p w14:paraId="43385E58" w14:textId="77777777" w:rsidR="001925CE" w:rsidRPr="000D3432" w:rsidRDefault="001925CE" w:rsidP="00A95498">
      <w:pPr>
        <w:ind w:firstLine="426"/>
        <w:jc w:val="both"/>
        <w:rPr>
          <w:rFonts w:asciiTheme="minorHAnsi" w:hAnsiTheme="minorHAnsi"/>
          <w:szCs w:val="24"/>
        </w:rPr>
      </w:pPr>
    </w:p>
    <w:p w14:paraId="648832F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iusnaturalismo ha tenido a lo largo de la historia varias etapas y clases: Iusnaturalismo Cristiano, Patrística (padres de la iglesia),  Escolástica, neo del Renacimiento, - neo  y Neotomista, Iusnaturalismo Racionalista (Descartes: “La razón reemplaza a Dios como origen de la ley y del Derecho”), Derecho Natural Estoico, Derecho Natural Aristotélico, Derecho Natural Clásico, Derecho Natural Moderno.</w:t>
      </w:r>
    </w:p>
    <w:p w14:paraId="5817A470" w14:textId="77777777" w:rsidR="001925CE" w:rsidRPr="000D3432" w:rsidRDefault="001925CE" w:rsidP="00A95498">
      <w:pPr>
        <w:ind w:firstLine="426"/>
        <w:jc w:val="both"/>
        <w:rPr>
          <w:rFonts w:asciiTheme="minorHAnsi" w:hAnsiTheme="minorHAnsi"/>
          <w:szCs w:val="24"/>
        </w:rPr>
      </w:pPr>
    </w:p>
    <w:p w14:paraId="1E0C48D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último podemos decir que el "El Jusnaturalismo de la época precedente fue el instrumento de una determinada sociedad: permitió una modernización controlada, bajo la dirección de una clase dominante que no ocupaba directamente el poder político"</w:t>
      </w:r>
      <w:r w:rsidRPr="000D3432">
        <w:rPr>
          <w:rStyle w:val="Refdenotaalpie"/>
          <w:rFonts w:asciiTheme="minorHAnsi" w:hAnsiTheme="minorHAnsi"/>
          <w:sz w:val="24"/>
          <w:szCs w:val="24"/>
          <w:vertAlign w:val="superscript"/>
        </w:rPr>
        <w:footnoteReference w:id="104"/>
      </w:r>
    </w:p>
    <w:p w14:paraId="58520B28" w14:textId="77777777" w:rsidR="001925CE" w:rsidRPr="000D3432" w:rsidRDefault="001925CE" w:rsidP="00A95498">
      <w:pPr>
        <w:ind w:firstLine="426"/>
        <w:jc w:val="both"/>
        <w:rPr>
          <w:rFonts w:asciiTheme="minorHAnsi" w:hAnsiTheme="minorHAnsi"/>
          <w:szCs w:val="24"/>
        </w:rPr>
      </w:pPr>
    </w:p>
    <w:p w14:paraId="5E82F531" w14:textId="77777777" w:rsidR="001925CE" w:rsidRPr="000D3432" w:rsidRDefault="001925CE" w:rsidP="00A95498">
      <w:pPr>
        <w:jc w:val="both"/>
        <w:rPr>
          <w:rFonts w:asciiTheme="minorHAnsi" w:hAnsiTheme="minorHAnsi"/>
          <w:szCs w:val="24"/>
        </w:rPr>
      </w:pPr>
      <w:r w:rsidRPr="000D3432">
        <w:rPr>
          <w:rFonts w:asciiTheme="minorHAnsi" w:hAnsiTheme="minorHAnsi"/>
          <w:b/>
          <w:i/>
          <w:szCs w:val="24"/>
        </w:rPr>
        <w:t>2) Positivismo</w:t>
      </w:r>
    </w:p>
    <w:p w14:paraId="610535B6" w14:textId="77777777" w:rsidR="001925CE" w:rsidRPr="000D3432" w:rsidRDefault="001925CE" w:rsidP="00A95498">
      <w:pPr>
        <w:ind w:firstLine="426"/>
        <w:jc w:val="both"/>
        <w:rPr>
          <w:rFonts w:asciiTheme="minorHAnsi" w:hAnsiTheme="minorHAnsi"/>
          <w:szCs w:val="24"/>
        </w:rPr>
      </w:pPr>
    </w:p>
    <w:p w14:paraId="1FEA69F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dato histórico ubica su genealogía en la medianía del siglo XIX, y se la reconoce como fundador a Augusto Comte</w:t>
      </w:r>
      <w:r w:rsidRPr="000D3432">
        <w:rPr>
          <w:rStyle w:val="Refdenotaalpie"/>
          <w:rFonts w:asciiTheme="minorHAnsi" w:hAnsiTheme="minorHAnsi"/>
          <w:sz w:val="24"/>
          <w:szCs w:val="24"/>
          <w:vertAlign w:val="superscript"/>
        </w:rPr>
        <w:footnoteReference w:id="105"/>
      </w:r>
      <w:r w:rsidRPr="000D3432">
        <w:rPr>
          <w:rFonts w:asciiTheme="minorHAnsi" w:hAnsiTheme="minorHAnsi"/>
          <w:szCs w:val="24"/>
        </w:rPr>
        <w:t xml:space="preserve"> (1798-1857)</w:t>
      </w:r>
    </w:p>
    <w:p w14:paraId="7EEF5927" w14:textId="77777777" w:rsidR="001925CE" w:rsidRPr="000D3432" w:rsidRDefault="001925CE" w:rsidP="00A95498">
      <w:pPr>
        <w:ind w:firstLine="426"/>
        <w:jc w:val="both"/>
        <w:rPr>
          <w:rFonts w:asciiTheme="minorHAnsi" w:hAnsiTheme="minorHAnsi"/>
          <w:szCs w:val="24"/>
        </w:rPr>
      </w:pPr>
    </w:p>
    <w:p w14:paraId="3F3C311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Se trata de una corriente pegada al cientismo; su esencia está en las leyes que rigen a los fenómenos.</w:t>
      </w:r>
    </w:p>
    <w:p w14:paraId="033520CC" w14:textId="77777777" w:rsidR="001925CE" w:rsidRPr="000D3432" w:rsidRDefault="001925CE" w:rsidP="00A95498">
      <w:pPr>
        <w:ind w:firstLine="426"/>
        <w:jc w:val="both"/>
        <w:rPr>
          <w:rFonts w:asciiTheme="minorHAnsi" w:hAnsiTheme="minorHAnsi"/>
          <w:szCs w:val="24"/>
        </w:rPr>
      </w:pPr>
    </w:p>
    <w:p w14:paraId="2837DDD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Comte estudia al conocimiento y concluye que este pasa por tres estados teóricos: teológico, metafísico y positivo.</w:t>
      </w:r>
    </w:p>
    <w:p w14:paraId="02476A7E" w14:textId="77777777" w:rsidR="001925CE" w:rsidRPr="000D3432" w:rsidRDefault="001925CE" w:rsidP="00A95498">
      <w:pPr>
        <w:ind w:firstLine="426"/>
        <w:jc w:val="both"/>
        <w:rPr>
          <w:rFonts w:asciiTheme="minorHAnsi" w:hAnsiTheme="minorHAnsi"/>
          <w:szCs w:val="24"/>
        </w:rPr>
      </w:pPr>
    </w:p>
    <w:p w14:paraId="08CD09E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primero se enfrasca en una concepción de religión. El segundo busca explicar la naturaleza de los seres, su esencia, sus causas primeras. El tercero es el definitivo, el real.</w:t>
      </w:r>
    </w:p>
    <w:p w14:paraId="3D021AF2" w14:textId="77777777" w:rsidR="001925CE" w:rsidRPr="000D3432" w:rsidRDefault="001925CE" w:rsidP="00A95498">
      <w:pPr>
        <w:ind w:firstLine="426"/>
        <w:jc w:val="both"/>
        <w:rPr>
          <w:rFonts w:asciiTheme="minorHAnsi" w:hAnsiTheme="minorHAnsi"/>
          <w:szCs w:val="24"/>
        </w:rPr>
      </w:pPr>
    </w:p>
    <w:p w14:paraId="14D0849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el estado positivo o real el hombre se desliga de las ideas y centra su conocimiento en la observación, crea su cosmovisión a partir del dato, de lo que está puesto en la realidad, “En el la imaginación queda subordinada a la observación. La mente humana se atiene a las cosas. El positivismo busca sólo </w:t>
      </w:r>
      <w:r w:rsidRPr="000D3432">
        <w:rPr>
          <w:rFonts w:asciiTheme="minorHAnsi" w:hAnsiTheme="minorHAnsi"/>
          <w:szCs w:val="24"/>
        </w:rPr>
        <w:lastRenderedPageBreak/>
        <w:t>hechos y sus leyes. No causas ni principios de las esencias o sustancias. Todo esto es inaccesible. El positivismo se atiene a lo positivo, a lo que está puesto o dado: es la filosofía del dato. La mente en un largo retroceso, se detiene al fin ante las cosas. Renuncia a lo que es vano intentar conocer, y busca sólo las leyes de los fenómenos.”</w:t>
      </w:r>
      <w:r w:rsidRPr="000D3432">
        <w:rPr>
          <w:rStyle w:val="Refdenotaalpie"/>
          <w:rFonts w:asciiTheme="minorHAnsi" w:hAnsiTheme="minorHAnsi"/>
          <w:sz w:val="24"/>
          <w:szCs w:val="24"/>
          <w:vertAlign w:val="superscript"/>
        </w:rPr>
        <w:footnoteReference w:id="106"/>
      </w:r>
    </w:p>
    <w:p w14:paraId="1E7B080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método del positivismo es el de causa-efecto. Su carácter se apega al cientismo, a la ciencia, es excluyente; cerca al conocimiento en la observación y en la ley de causa efecto.</w:t>
      </w:r>
    </w:p>
    <w:p w14:paraId="70F06582" w14:textId="77777777" w:rsidR="001925CE" w:rsidRPr="000D3432" w:rsidRDefault="001925CE" w:rsidP="00A95498">
      <w:pPr>
        <w:ind w:firstLine="426"/>
        <w:jc w:val="both"/>
        <w:rPr>
          <w:rFonts w:asciiTheme="minorHAnsi" w:hAnsiTheme="minorHAnsi"/>
          <w:szCs w:val="24"/>
        </w:rPr>
      </w:pPr>
    </w:p>
    <w:p w14:paraId="5173326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positivismo resulta de una reacción contra la initidez del Derecho Natural, que se había convertido en inmanejables concepciones abstractas y vagas sobre el orden jurídico y de la necesidad de tener certeza en los actos jurídicos.</w:t>
      </w:r>
    </w:p>
    <w:p w14:paraId="4B623F5C" w14:textId="77777777" w:rsidR="001925CE" w:rsidRPr="000D3432" w:rsidRDefault="001925CE" w:rsidP="00A95498">
      <w:pPr>
        <w:ind w:firstLine="426"/>
        <w:jc w:val="both"/>
        <w:rPr>
          <w:rFonts w:asciiTheme="minorHAnsi" w:hAnsiTheme="minorHAnsi"/>
          <w:szCs w:val="24"/>
        </w:rPr>
      </w:pPr>
    </w:p>
    <w:p w14:paraId="13259C5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Víctor García Toma dice que las características del Positivismo son:</w:t>
      </w:r>
    </w:p>
    <w:p w14:paraId="24EC83DD"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1.-</w:t>
      </w:r>
      <w:r w:rsidRPr="000D3432">
        <w:rPr>
          <w:rFonts w:asciiTheme="minorHAnsi" w:hAnsiTheme="minorHAnsi"/>
          <w:szCs w:val="24"/>
        </w:rPr>
        <w:tab/>
        <w:t>Separación entre el Derecho y la Moral; osea entre lo que "es" y lo que "debe ser";</w:t>
      </w:r>
    </w:p>
    <w:p w14:paraId="208B743A"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2.-</w:t>
      </w:r>
      <w:r w:rsidRPr="000D3432">
        <w:rPr>
          <w:rFonts w:asciiTheme="minorHAnsi" w:hAnsiTheme="minorHAnsi"/>
          <w:szCs w:val="24"/>
        </w:rPr>
        <w:tab/>
        <w:t>Existencia de una imperatividad normativa, que faculta al Estado a ejercitar la fuerza.</w:t>
      </w:r>
    </w:p>
    <w:p w14:paraId="20F69EBA" w14:textId="77777777" w:rsidR="001925CE" w:rsidRPr="000D3432" w:rsidRDefault="001925CE" w:rsidP="00A95498">
      <w:pPr>
        <w:ind w:firstLine="426"/>
        <w:jc w:val="both"/>
        <w:rPr>
          <w:rFonts w:asciiTheme="minorHAnsi" w:hAnsiTheme="minorHAnsi"/>
          <w:szCs w:val="24"/>
        </w:rPr>
      </w:pPr>
    </w:p>
    <w:p w14:paraId="30340E4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el Positivismo, según Alzamora Valdez "no existe nada más allá de lo percibido; que sus elementos integrantes se influyen recíprocamente en virtud de la ley de la causalidad, cuyo señorío exclusivo es para el positivismo "la piedra" angular de su idea del mundo" y que  el método es el de las ciencias físico naturales."</w:t>
      </w:r>
      <w:r w:rsidRPr="000D3432">
        <w:rPr>
          <w:rStyle w:val="Refdenotaalpie"/>
          <w:rFonts w:asciiTheme="minorHAnsi" w:hAnsiTheme="minorHAnsi"/>
          <w:sz w:val="24"/>
          <w:szCs w:val="24"/>
          <w:vertAlign w:val="superscript"/>
        </w:rPr>
        <w:footnoteReference w:id="107"/>
      </w:r>
    </w:p>
    <w:p w14:paraId="58138E6E" w14:textId="77777777" w:rsidR="001925CE" w:rsidRPr="000D3432" w:rsidRDefault="001925CE" w:rsidP="00A95498">
      <w:pPr>
        <w:ind w:firstLine="426"/>
        <w:jc w:val="both"/>
        <w:rPr>
          <w:rFonts w:asciiTheme="minorHAnsi" w:hAnsiTheme="minorHAnsi"/>
          <w:szCs w:val="24"/>
        </w:rPr>
      </w:pPr>
    </w:p>
    <w:p w14:paraId="014C025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Desde una perspectiva histórica. "En el campo de las disciplinas jurídicas, el positivismo surgió como lógica reacción contra las abstracciones y vaguedades del jusnaturalismo decadente, contra las incoherencias de la filosofía postkantiana y, como fruto de una necesidad de certeza de los juristas que buscaron apoyo en el método de las ciencias naturales como el único capaz de garantizar un auténtico saber."</w:t>
      </w:r>
      <w:r w:rsidRPr="000D3432">
        <w:rPr>
          <w:rStyle w:val="Refdenotaalpie"/>
          <w:rFonts w:asciiTheme="minorHAnsi" w:hAnsiTheme="minorHAnsi"/>
          <w:sz w:val="24"/>
          <w:szCs w:val="24"/>
          <w:vertAlign w:val="superscript"/>
        </w:rPr>
        <w:footnoteReference w:id="108"/>
      </w:r>
    </w:p>
    <w:p w14:paraId="5C032237" w14:textId="77777777" w:rsidR="001925CE" w:rsidRPr="000D3432" w:rsidRDefault="001925CE" w:rsidP="00A95498">
      <w:pPr>
        <w:ind w:firstLine="426"/>
        <w:jc w:val="both"/>
        <w:rPr>
          <w:rFonts w:asciiTheme="minorHAnsi" w:hAnsiTheme="minorHAnsi"/>
          <w:szCs w:val="24"/>
        </w:rPr>
      </w:pPr>
    </w:p>
    <w:p w14:paraId="7F448AE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realidad debía ser explicada en sus efectos, no en sus causas metafísicas. El positivismo así, se presentaba como un organizador de datos, clasificándolos y manejándolos de acuerdo al método científico que probaba su validez o invalidez. De esto se sucede que la organización jurídica se aferra a la letra de la ley:  " La ley es la ley”. La colección, recolección de datos es el esquema de organización jurídica, es el método, “La ciencia jurídica positivista, infecunda en sus dos manifestaciones, no buscó otra cosa "que coleccionar, registrar y clasificar datos" o la explicación "sociológica" de la producción del derecho."</w:t>
      </w:r>
      <w:r w:rsidRPr="000D3432">
        <w:rPr>
          <w:rStyle w:val="Refdenotaalpie"/>
          <w:rFonts w:asciiTheme="minorHAnsi" w:hAnsiTheme="minorHAnsi"/>
          <w:sz w:val="24"/>
          <w:szCs w:val="24"/>
          <w:vertAlign w:val="superscript"/>
        </w:rPr>
        <w:footnoteReference w:id="109"/>
      </w:r>
    </w:p>
    <w:p w14:paraId="0392571B"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2024527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¿Cómo se independiza el Derecho del iusnaturalismo y se independiza del positivismo? El ambiente confuso, lleno de abstracciones que tienden a lograr </w:t>
      </w:r>
      <w:r w:rsidRPr="000D3432">
        <w:rPr>
          <w:rFonts w:asciiTheme="minorHAnsi" w:hAnsiTheme="minorHAnsi"/>
          <w:szCs w:val="24"/>
        </w:rPr>
        <w:lastRenderedPageBreak/>
        <w:t>aprehender verdades universales, cosa que parece imposible y demasiado limitativo para la necesidad de ser práctico, realista; de dejar la idea, y las especulaciones meramente filosóficas, el hombre requiere de realidades concretas, puestos a la vista sin duda alguna, sin atormentados métodos de conocimiento metafísico, poco observables y percibibles. "Dentro de ese clima cargado de frases huecas, de conceptos sin espesor porque han sido adelgazados hasta perder todo significado con el objeto de darles aspecto de verdades universales, dentro de tal ambiente jusfilosófico el Positivismo va a presentarse como una filosofía seria, que pretende atenerse al rigor científico, que elimina toda falsa metafísica, que se limita a una interpretación de lo real sin pretender vender un catecismo jurídico cualquiera.</w:t>
      </w:r>
      <w:r w:rsidRPr="000D3432">
        <w:rPr>
          <w:rStyle w:val="Refdenotaalpie"/>
          <w:rFonts w:asciiTheme="minorHAnsi" w:hAnsiTheme="minorHAnsi"/>
          <w:sz w:val="24"/>
          <w:szCs w:val="24"/>
          <w:vertAlign w:val="superscript"/>
        </w:rPr>
        <w:footnoteReference w:id="110"/>
      </w:r>
      <w:r w:rsidRPr="000D3432">
        <w:rPr>
          <w:rFonts w:asciiTheme="minorHAnsi" w:hAnsiTheme="minorHAnsi"/>
          <w:szCs w:val="24"/>
        </w:rPr>
        <w:t xml:space="preserve"> Es esta necesidad de independencia de todo lo oscuro y abstracto por lo que "...el orden jurídico positivo inicia su independización del Derecho Natural, orientación que alcanzará su apogeo a mediados del S. XX con la recepción del Kelsenismo."</w:t>
      </w:r>
      <w:r w:rsidRPr="000D3432">
        <w:rPr>
          <w:rStyle w:val="Refdenotaalpie"/>
          <w:rFonts w:asciiTheme="minorHAnsi" w:hAnsiTheme="minorHAnsi"/>
          <w:sz w:val="24"/>
          <w:szCs w:val="24"/>
          <w:vertAlign w:val="superscript"/>
        </w:rPr>
        <w:footnoteReference w:id="111"/>
      </w:r>
      <w:r w:rsidRPr="000D3432">
        <w:rPr>
          <w:rFonts w:asciiTheme="minorHAnsi" w:hAnsiTheme="minorHAnsi"/>
          <w:szCs w:val="24"/>
        </w:rPr>
        <w:t>.</w:t>
      </w:r>
    </w:p>
    <w:p w14:paraId="2C7D81A5" w14:textId="77777777" w:rsidR="001925CE" w:rsidRPr="000D3432" w:rsidRDefault="001925CE" w:rsidP="00A95498">
      <w:pPr>
        <w:ind w:firstLine="426"/>
        <w:jc w:val="both"/>
        <w:rPr>
          <w:rFonts w:asciiTheme="minorHAnsi" w:hAnsiTheme="minorHAnsi"/>
          <w:szCs w:val="24"/>
        </w:rPr>
      </w:pPr>
    </w:p>
    <w:p w14:paraId="65E3508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aceptación del positivismo tiene un matiz revolucionario. Las ideas y las praxis entrechocan. El positivismo se acomoda, se inserta como la posibilidad del cambio, como un factor liberador del maniqueo oscurantismo del iusnaturalismo; tiene repercusión semejante al romanticismo frente al clasicismo, es decir, propone una ruptura, un giro en las nuevas concepciones del orden. Se muestra como el orden ideal a las exigencias prácticas de la sociedad. Se sabe que los estudiantes de Derecho, por ejemplo, lo aceptaron -en sus inicios- como teoría contra la tradición, como la novedad que niega el carácter metafísico que no les incumbe y no les resuelve, de inmediato, sus problemas de relaciones jurídicas. El positivismo es mostrado así como el camino para la celeridad y practicidad, para el conocimiento real y necesario.</w:t>
      </w:r>
    </w:p>
    <w:p w14:paraId="5C9671F0"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atractivo del positivismo va a ser grande entre estudiantes de Derecho (que lo ven como la nueva filosofía revolucionaria que denuncia la tradición) y entre los profesionales (que reciben una versión muy simplificada del positivismo, pero para quienes esta corriente significa una revalorización de ese Derecho positivo con el que trabajan diariamente).”</w:t>
      </w:r>
      <w:r w:rsidRPr="000D3432">
        <w:rPr>
          <w:rStyle w:val="Refdenotaalpie"/>
          <w:rFonts w:asciiTheme="minorHAnsi" w:hAnsiTheme="minorHAnsi"/>
          <w:sz w:val="24"/>
          <w:szCs w:val="24"/>
          <w:vertAlign w:val="superscript"/>
        </w:rPr>
        <w:footnoteReference w:id="112"/>
      </w:r>
    </w:p>
    <w:p w14:paraId="129DE4EC" w14:textId="77777777" w:rsidR="001925CE" w:rsidRPr="000D3432" w:rsidRDefault="001925CE" w:rsidP="00A95498">
      <w:pPr>
        <w:ind w:firstLine="426"/>
        <w:jc w:val="both"/>
        <w:rPr>
          <w:rFonts w:asciiTheme="minorHAnsi" w:hAnsiTheme="minorHAnsi"/>
          <w:szCs w:val="24"/>
        </w:rPr>
      </w:pPr>
    </w:p>
    <w:p w14:paraId="4E63F85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figura se presentaba ideal o más conforme con las necesidades sociales vigentes. El iusnaturalismo y sus implacables verdades universales ya no serían el centro de organización social, pero sí un elemento importante. "El positivismo resulta así una atmósfera que corroe las verdades universales del jusnaturalismo pero que, en la mayoría de los casos, tiende también a un cierto compromiso con ellas."</w:t>
      </w:r>
      <w:r w:rsidRPr="000D3432">
        <w:rPr>
          <w:rStyle w:val="Refdenotaalpie"/>
          <w:rFonts w:asciiTheme="minorHAnsi" w:hAnsiTheme="minorHAnsi"/>
          <w:sz w:val="24"/>
          <w:szCs w:val="24"/>
          <w:vertAlign w:val="superscript"/>
        </w:rPr>
        <w:footnoteReference w:id="113"/>
      </w:r>
      <w:r w:rsidRPr="000D3432">
        <w:rPr>
          <w:rFonts w:asciiTheme="minorHAnsi" w:hAnsiTheme="minorHAnsi"/>
          <w:szCs w:val="24"/>
        </w:rPr>
        <w:t xml:space="preserve"> El Derecho Natural no desaparece totalmente, sino que se cerca, se limita, "el campo del Derecho Natural es aquel que existe hasta la dación de una ley; a partir de entonces, reina el método positivo."</w:t>
      </w:r>
      <w:r w:rsidRPr="000D3432">
        <w:rPr>
          <w:rStyle w:val="Refdenotaalpie"/>
          <w:rFonts w:asciiTheme="minorHAnsi" w:hAnsiTheme="minorHAnsi"/>
          <w:sz w:val="24"/>
          <w:szCs w:val="24"/>
          <w:vertAlign w:val="superscript"/>
        </w:rPr>
        <w:footnoteReference w:id="114"/>
      </w:r>
      <w:r w:rsidRPr="000D3432">
        <w:rPr>
          <w:rFonts w:asciiTheme="minorHAnsi" w:hAnsiTheme="minorHAnsi"/>
          <w:szCs w:val="24"/>
        </w:rPr>
        <w:t xml:space="preserve"> En todo caso, lo que sucede es una división de funciones. El legislador deberá </w:t>
      </w:r>
      <w:r w:rsidRPr="000D3432">
        <w:rPr>
          <w:rFonts w:asciiTheme="minorHAnsi" w:hAnsiTheme="minorHAnsi"/>
          <w:szCs w:val="24"/>
        </w:rPr>
        <w:lastRenderedPageBreak/>
        <w:t>preocuparse por las verdades universales, y su fundamento; el abogado -mediante el método positivo- interpretará las leyes. "En otras palabras, el legislador debe preocuparse por los fundamentos universales de las leyes que se propone dar; en cambio, el abogado, el jurista, debe limitarse a interpretar estrictamente esas leyes ateniéndose al método positivo. En esta forma, el Derecho queda sometido tanto a la influencia del jusnaturalismo como del positivismo, a pesar de la contradicción aparente que esta doble influencia implica."</w:t>
      </w:r>
      <w:r w:rsidRPr="000D3432">
        <w:rPr>
          <w:rStyle w:val="Refdenotaalpie"/>
          <w:rFonts w:asciiTheme="minorHAnsi" w:hAnsiTheme="minorHAnsi"/>
          <w:sz w:val="24"/>
          <w:szCs w:val="24"/>
          <w:vertAlign w:val="superscript"/>
        </w:rPr>
        <w:footnoteReference w:id="115"/>
      </w:r>
    </w:p>
    <w:p w14:paraId="6C3A194F"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0BE9DC65" w14:textId="77777777" w:rsidR="001925CE" w:rsidRPr="000D3432" w:rsidRDefault="001925CE" w:rsidP="00A95498">
      <w:pPr>
        <w:ind w:firstLine="426"/>
        <w:jc w:val="both"/>
        <w:rPr>
          <w:rFonts w:asciiTheme="minorHAnsi" w:hAnsiTheme="minorHAnsi"/>
          <w:szCs w:val="24"/>
        </w:rPr>
      </w:pPr>
    </w:p>
    <w:p w14:paraId="25B8C95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dijéramos anteriormente, para el positivismo lo que importa preponderantemente es el dato, la ley, el carácter científico de los fenómenos sociales, "el dato positivo es la ley a la que se le debe el respeto más absoluto. En otras palabras, la ciencia del Derecho no es sino la ciencia de la ley."</w:t>
      </w:r>
      <w:r w:rsidRPr="000D3432">
        <w:rPr>
          <w:rStyle w:val="Refdenotaalpie"/>
          <w:rFonts w:asciiTheme="minorHAnsi" w:hAnsiTheme="minorHAnsi"/>
          <w:sz w:val="24"/>
          <w:szCs w:val="24"/>
          <w:vertAlign w:val="superscript"/>
        </w:rPr>
        <w:footnoteReference w:id="116"/>
      </w:r>
    </w:p>
    <w:p w14:paraId="3D11B0E1" w14:textId="77777777" w:rsidR="001925CE" w:rsidRPr="000D3432" w:rsidRDefault="001925CE" w:rsidP="00A95498">
      <w:pPr>
        <w:ind w:firstLine="426"/>
        <w:jc w:val="both"/>
        <w:rPr>
          <w:rFonts w:asciiTheme="minorHAnsi" w:hAnsiTheme="minorHAnsi"/>
          <w:szCs w:val="24"/>
        </w:rPr>
      </w:pPr>
    </w:p>
    <w:p w14:paraId="6ABB752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Sin embargo, el carácter especial del positivismo es su relatividad; el espíritu positivo es relativo. No existe un estudio absoluto de los fenómenos, sino en referencia dependiente al tipo de organización, a nuestros sentidos, o a las condiciones de nuestra existencia; el saber no es absoluto, perfecto, pero “el saber tiene que aproximarse incesantemente al límite ideal fijado por nuestras necesidades. Y el fin del saber es la previsión racional.”</w:t>
      </w:r>
      <w:r w:rsidRPr="000D3432">
        <w:rPr>
          <w:rStyle w:val="Refdenotaalpie"/>
          <w:rFonts w:asciiTheme="minorHAnsi" w:hAnsiTheme="minorHAnsi"/>
          <w:sz w:val="24"/>
          <w:szCs w:val="24"/>
          <w:vertAlign w:val="superscript"/>
        </w:rPr>
        <w:footnoteReference w:id="117"/>
      </w:r>
      <w:r w:rsidRPr="000D3432">
        <w:rPr>
          <w:rFonts w:asciiTheme="minorHAnsi" w:hAnsiTheme="minorHAnsi"/>
          <w:szCs w:val="24"/>
        </w:rPr>
        <w:t xml:space="preserve"> El sentido positivista, mediante el uso de la razón, pretende preservarnos del futuro, o al menos ordenarlo en la máxima aproximación. El positivismo duda de las verdades universales; pero la relatividad en las formas se perderá, al tomar “las formas” un carácter de verdades universales, "el positivismo desconfía de todo lo universal, considera que toda verdad es relativa y quiere comprender las verdades de su tiempo en relación con las circunstancias históricas de su tiempo (...) Esta lucidez del primer positivismo se perderá en algunos de los positivismos del S. XX, cuando las estructuras formales asuman también el carácter de verdades universales: la relatividad sólo será valida entonces con relación al contenido, pero no con relación a la forma de la ley."</w:t>
      </w:r>
      <w:r w:rsidRPr="000D3432">
        <w:rPr>
          <w:rStyle w:val="Refdenotaalpie"/>
          <w:rFonts w:asciiTheme="minorHAnsi" w:hAnsiTheme="minorHAnsi"/>
          <w:sz w:val="24"/>
          <w:szCs w:val="24"/>
          <w:vertAlign w:val="superscript"/>
        </w:rPr>
        <w:footnoteReference w:id="118"/>
      </w:r>
    </w:p>
    <w:p w14:paraId="3489B1E8" w14:textId="77777777" w:rsidR="001925CE" w:rsidRPr="000D3432" w:rsidRDefault="001925CE" w:rsidP="00A95498">
      <w:pPr>
        <w:ind w:firstLine="426"/>
        <w:jc w:val="both"/>
        <w:rPr>
          <w:rFonts w:asciiTheme="minorHAnsi" w:hAnsiTheme="minorHAnsi"/>
          <w:szCs w:val="24"/>
        </w:rPr>
      </w:pPr>
    </w:p>
    <w:p w14:paraId="217AE43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sabemos la relatividad tiene que ver mucho con los fundamentos de las concepciones postmodernas del Derecho, que más luego analizaremos.</w:t>
      </w:r>
    </w:p>
    <w:p w14:paraId="029261D6"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44BFFD4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positivismo en el Perú, apareció precedido de grandes promesas de cambio. Un elemento para coordinar la realidad, la práxis y el orden. La ubicación temporal nos la explica David Sobrerilla: “El positivismo fue introducido en el Perú hacia 1860, según Augusto Salazar Bondy (...) No obstante, sólo alcanzó a prender con la generación surgida luego de la guerra con Chile. Se trata del periodo que Basadre ha llamado del Segundo Militarismo: el nacido del fracaso del ejército.”</w:t>
      </w:r>
      <w:r w:rsidRPr="000D3432">
        <w:rPr>
          <w:rStyle w:val="Refdenotaalpie"/>
          <w:rFonts w:asciiTheme="minorHAnsi" w:hAnsiTheme="minorHAnsi"/>
          <w:sz w:val="24"/>
          <w:szCs w:val="24"/>
          <w:vertAlign w:val="superscript"/>
        </w:rPr>
        <w:footnoteReference w:id="119"/>
      </w:r>
    </w:p>
    <w:p w14:paraId="1464388E" w14:textId="77777777" w:rsidR="001925CE" w:rsidRPr="000D3432" w:rsidRDefault="001925CE" w:rsidP="00A95498">
      <w:pPr>
        <w:ind w:firstLine="426"/>
        <w:jc w:val="both"/>
        <w:rPr>
          <w:rFonts w:asciiTheme="minorHAnsi" w:hAnsiTheme="minorHAnsi"/>
          <w:szCs w:val="24"/>
        </w:rPr>
      </w:pPr>
    </w:p>
    <w:p w14:paraId="63DA6D0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Luego de la guerra con Chile el Perú estaba conmocionado por la derrota.</w:t>
      </w:r>
    </w:p>
    <w:p w14:paraId="4D96D19C" w14:textId="77777777" w:rsidR="001925CE" w:rsidRPr="000D3432" w:rsidRDefault="001925CE" w:rsidP="00A95498">
      <w:pPr>
        <w:ind w:firstLine="426"/>
        <w:jc w:val="both"/>
        <w:rPr>
          <w:rFonts w:asciiTheme="minorHAnsi" w:hAnsiTheme="minorHAnsi"/>
          <w:szCs w:val="24"/>
        </w:rPr>
      </w:pPr>
    </w:p>
    <w:p w14:paraId="2DF41C7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pero dentro del mismo tema, la filosofía -para Sobrevilla- no tenía el carácter de tal: “Nosotros hemos escrito antes que la filosofía llegó a América Latina como una actividad importada heterogénea a las culturas aborígenes, que en los periodos precedentes a la guerra con Chile no hubo en rigor una filosofía peruana y que ésta comienza en verdad entre nosotros con el positivismo.”</w:t>
      </w:r>
      <w:r w:rsidRPr="000D3432">
        <w:rPr>
          <w:rStyle w:val="Refdenotaalpie"/>
          <w:rFonts w:asciiTheme="minorHAnsi" w:hAnsiTheme="minorHAnsi"/>
          <w:sz w:val="24"/>
          <w:szCs w:val="24"/>
          <w:vertAlign w:val="superscript"/>
        </w:rPr>
        <w:footnoteReference w:id="120"/>
      </w:r>
    </w:p>
    <w:p w14:paraId="08F61147" w14:textId="77777777" w:rsidR="001925CE" w:rsidRPr="000D3432" w:rsidRDefault="001925CE" w:rsidP="00A95498">
      <w:pPr>
        <w:ind w:firstLine="426"/>
        <w:jc w:val="both"/>
        <w:rPr>
          <w:rFonts w:asciiTheme="minorHAnsi" w:hAnsiTheme="minorHAnsi"/>
          <w:szCs w:val="24"/>
        </w:rPr>
      </w:pPr>
    </w:p>
    <w:p w14:paraId="63017BC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Frente a la derrota peruana ante Chile surge Manuel González Prada que se adhiere al Positivismo como ataque a la escolástica reinante, causa de la derrota: </w:t>
      </w:r>
    </w:p>
    <w:p w14:paraId="4AF74B5A"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“Las primeras referencias al positivismo se encuentran en el Perú a mediados del siglo XIX, pero es sólo hacia 1870 cuando este movimiento se afirma entre nosotros en el ambiente de la Facultad de Medicina. Luego de la Guerra con Chile, es un intelectual no perteneciente al medio universitario, Don Manuel González Prada, quien iba a marcar a fuego la adhesión a la escolástica como la causante de la derrota e iba a señalar que es el positivismo el que indica el camino del progreso y de la superación de la crisis nacional.”</w:t>
      </w:r>
      <w:r w:rsidRPr="000D3432">
        <w:rPr>
          <w:rStyle w:val="Refdenotaalpie"/>
          <w:rFonts w:asciiTheme="minorHAnsi" w:hAnsiTheme="minorHAnsi"/>
          <w:sz w:val="24"/>
          <w:szCs w:val="24"/>
          <w:vertAlign w:val="superscript"/>
        </w:rPr>
        <w:footnoteReference w:id="121"/>
      </w:r>
    </w:p>
    <w:p w14:paraId="0C129A68" w14:textId="77777777" w:rsidR="001925CE" w:rsidRPr="000D3432" w:rsidRDefault="001925CE" w:rsidP="00A95498">
      <w:pPr>
        <w:ind w:firstLine="426"/>
        <w:jc w:val="both"/>
        <w:rPr>
          <w:rFonts w:asciiTheme="minorHAnsi" w:hAnsiTheme="minorHAnsi"/>
          <w:szCs w:val="24"/>
        </w:rPr>
      </w:pPr>
    </w:p>
    <w:p w14:paraId="40BA520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González Prada no se resigna a las teorías conservadoras y propicia “no admitir más verdades que las sometidas a la observación y el experimento.”</w:t>
      </w:r>
      <w:r w:rsidRPr="000D3432">
        <w:rPr>
          <w:rStyle w:val="Refdenotaalpie"/>
          <w:rFonts w:asciiTheme="minorHAnsi" w:hAnsiTheme="minorHAnsi"/>
          <w:sz w:val="24"/>
          <w:szCs w:val="24"/>
          <w:vertAlign w:val="superscript"/>
        </w:rPr>
        <w:footnoteReference w:id="122"/>
      </w:r>
      <w:r w:rsidRPr="000D3432">
        <w:rPr>
          <w:rFonts w:asciiTheme="minorHAnsi" w:hAnsiTheme="minorHAnsi"/>
          <w:szCs w:val="24"/>
        </w:rPr>
        <w:t xml:space="preserve"> González Prada es la gran figura intelectual de su época “que adhiere al positivismo porque ve en él la doctrina que permitirá superar la crisis de la época. En su discurso del Teatro Politeama del 28 de julio de 1888 y en el del Teatro Olimpo del 30 de octubre del mismo año, González Prada invitó a los jóvenes a acudir a la ciencia positiva, suavizadora de la tiranía de la naturaleza y gran benefactora de la humanidad, y a recusar la teología y la metafísica, elucubraciones de la mentira”</w:t>
      </w:r>
      <w:r w:rsidRPr="000D3432">
        <w:rPr>
          <w:rStyle w:val="Refdenotaalpie"/>
          <w:rFonts w:asciiTheme="minorHAnsi" w:hAnsiTheme="minorHAnsi"/>
          <w:sz w:val="24"/>
          <w:szCs w:val="24"/>
          <w:vertAlign w:val="superscript"/>
        </w:rPr>
        <w:footnoteReference w:id="123"/>
      </w:r>
      <w:r w:rsidRPr="000D3432">
        <w:rPr>
          <w:rFonts w:asciiTheme="minorHAnsi" w:hAnsiTheme="minorHAnsi"/>
          <w:szCs w:val="24"/>
        </w:rPr>
        <w:t xml:space="preserve"> Sin embargo hay que anotar que González Prada, no cree en la certeza absoluta de la ciencia, para él las matemáticas es la única ciencia exacta. Dice Gonzales Prada: “Nosotros no tenemos sino verdades provisorias, puntos de mira individuales, sujetos a perenne rectificación; y no podemos exigir que los demás cerebros acepten lo mismo que nosotros aceptamos”</w:t>
      </w:r>
      <w:r w:rsidRPr="000D3432">
        <w:rPr>
          <w:rFonts w:asciiTheme="minorHAnsi" w:hAnsiTheme="minorHAnsi"/>
          <w:szCs w:val="24"/>
        </w:rPr>
        <w:tab/>
      </w:r>
    </w:p>
    <w:p w14:paraId="46E9FD55"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19A88C7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positivismo se presentaba como instrumento contemporáneo con los hombres y sus exigencias. Su fundamento está en los efectos, no busca causas sino realidades, no busca ser visionaria, mística, pero sí lograr atrapar las experiencias y manejarlas de acuerdo a métodos de observación y relación científica: “Esta ciencia positiva es una disciplina de modestia; y esto es su virtud. El saber positivo se atiene humildemente a las cosas; se queda ante ellas, </w:t>
      </w:r>
      <w:r w:rsidRPr="000D3432">
        <w:rPr>
          <w:rFonts w:asciiTheme="minorHAnsi" w:hAnsiTheme="minorHAnsi"/>
          <w:szCs w:val="24"/>
        </w:rPr>
        <w:lastRenderedPageBreak/>
        <w:t>sin intervenir, sin saltar por encima para lanzarse falaces juegos de ideas; ya no pide causas, sino sólo leyes. Y gracias a esta austeridad logra esas leyes; y las posee con precisión y certeza. Pero el caso es que esta situación no es primaria, sino al contrario: es el resultado de los esfuerzos milenarios por retener a la mente, que se escapaba a todas las lejanías, y forzarla a ceñirse dócilmente a las cosas.”</w:t>
      </w:r>
      <w:r w:rsidRPr="000D3432">
        <w:rPr>
          <w:rStyle w:val="Refdenotaalpie"/>
          <w:rFonts w:asciiTheme="minorHAnsi" w:hAnsiTheme="minorHAnsi"/>
          <w:sz w:val="24"/>
          <w:szCs w:val="24"/>
          <w:vertAlign w:val="superscript"/>
        </w:rPr>
        <w:footnoteReference w:id="124"/>
      </w:r>
      <w:r w:rsidRPr="000D3432">
        <w:rPr>
          <w:rFonts w:asciiTheme="minorHAnsi" w:hAnsiTheme="minorHAnsi"/>
          <w:szCs w:val="24"/>
        </w:rPr>
        <w:t xml:space="preserve"> El positivismo no es sino un resultado.</w:t>
      </w:r>
    </w:p>
    <w:p w14:paraId="72213187" w14:textId="77777777" w:rsidR="001925CE" w:rsidRPr="000D3432" w:rsidRDefault="001925CE" w:rsidP="00A95498">
      <w:pPr>
        <w:ind w:firstLine="426"/>
        <w:jc w:val="both"/>
        <w:rPr>
          <w:rFonts w:asciiTheme="minorHAnsi" w:hAnsiTheme="minorHAnsi"/>
          <w:szCs w:val="24"/>
        </w:rPr>
      </w:pPr>
    </w:p>
    <w:p w14:paraId="7E75FDC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el Perú "para muchos el positivismo se limitó a una desconfianza frente al Derecho Natural, una atracción casi escolar por la ciencia y una justificación para los estudios de Derecho positivo sin el sentimiento de culpa por sentirse al margen de "lo universal" del Derecho. En esta forma, era posible proclamar al positivismo y, al mismo tiempo justificar la República Aristocrática."</w:t>
      </w:r>
      <w:r w:rsidRPr="000D3432">
        <w:rPr>
          <w:rStyle w:val="Refdenotaalpie"/>
          <w:rFonts w:asciiTheme="minorHAnsi" w:hAnsiTheme="minorHAnsi"/>
          <w:sz w:val="24"/>
          <w:szCs w:val="24"/>
          <w:vertAlign w:val="superscript"/>
        </w:rPr>
        <w:footnoteReference w:id="125"/>
      </w:r>
    </w:p>
    <w:p w14:paraId="0F94BCBE" w14:textId="77777777" w:rsidR="001925CE" w:rsidRPr="000D3432" w:rsidRDefault="001925CE" w:rsidP="00A95498">
      <w:pPr>
        <w:ind w:firstLine="426"/>
        <w:jc w:val="both"/>
        <w:rPr>
          <w:rFonts w:asciiTheme="minorHAnsi" w:hAnsiTheme="minorHAnsi"/>
          <w:szCs w:val="24"/>
        </w:rPr>
      </w:pPr>
    </w:p>
    <w:p w14:paraId="5819809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positivismo en sus orígenes se mostraba como la conexión entre realidad y texto, el Derecho, según esto, era las experiencias y prácticas jurídicas. El Derecho tendría que deducirse de la realidad. “Ahora bien, la realidad da la preponderancia al derecho tal como es aplicado; poco le interesa la letra muerta como tampoco el rigor lógico. Cuando una regla dictada por la autoridad estatal queda sin efecto, es una rama en que no circula la savia; se seca. El derecho positivo es el derecho viviente....”</w:t>
      </w:r>
      <w:r w:rsidRPr="000D3432">
        <w:rPr>
          <w:rStyle w:val="Refdenotaalpie"/>
          <w:rFonts w:asciiTheme="minorHAnsi" w:hAnsiTheme="minorHAnsi"/>
          <w:sz w:val="24"/>
          <w:szCs w:val="24"/>
          <w:vertAlign w:val="superscript"/>
        </w:rPr>
        <w:footnoteReference w:id="126"/>
      </w:r>
      <w:r w:rsidRPr="000D3432">
        <w:rPr>
          <w:rFonts w:asciiTheme="minorHAnsi" w:hAnsiTheme="minorHAnsi"/>
          <w:szCs w:val="24"/>
        </w:rPr>
        <w:t>, esto significaba una reconección del mundo textual con el mundo real.</w:t>
      </w:r>
    </w:p>
    <w:p w14:paraId="65670A34" w14:textId="77777777" w:rsidR="001925CE" w:rsidRPr="000D3432" w:rsidRDefault="001925CE" w:rsidP="00A95498">
      <w:pPr>
        <w:ind w:firstLine="426"/>
        <w:jc w:val="both"/>
        <w:rPr>
          <w:rFonts w:asciiTheme="minorHAnsi" w:hAnsiTheme="minorHAnsi"/>
          <w:szCs w:val="24"/>
        </w:rPr>
      </w:pPr>
    </w:p>
    <w:p w14:paraId="3CFF559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Sin embargo, en la actualidad parece, que el positivismo hace al jurista un “técnico sin principios, intérprete pasivo de los textos legales.”</w:t>
      </w:r>
      <w:r w:rsidRPr="000D3432">
        <w:rPr>
          <w:rStyle w:val="Refdenotaalpie"/>
          <w:rFonts w:asciiTheme="minorHAnsi" w:hAnsiTheme="minorHAnsi"/>
          <w:sz w:val="24"/>
          <w:szCs w:val="24"/>
          <w:vertAlign w:val="superscript"/>
        </w:rPr>
        <w:footnoteReference w:id="127"/>
      </w:r>
    </w:p>
    <w:p w14:paraId="2A826C00"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68760B0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último recalcaremos que para el </w:t>
      </w:r>
      <w:r w:rsidRPr="000D3432">
        <w:rPr>
          <w:rFonts w:asciiTheme="minorHAnsi" w:hAnsiTheme="minorHAnsi"/>
          <w:b/>
          <w:szCs w:val="24"/>
        </w:rPr>
        <w:t xml:space="preserve">positivismo </w:t>
      </w:r>
      <w:r w:rsidRPr="000D3432">
        <w:rPr>
          <w:rFonts w:asciiTheme="minorHAnsi" w:hAnsiTheme="minorHAnsi"/>
          <w:szCs w:val="24"/>
        </w:rPr>
        <w:t xml:space="preserve">la norma jurídica es su máxima expresión, es decir; encerrar en unas  cuantas líneas las conductas humanas y las respuestas a estas conductas. Algo lógico, matemático, como el positivismo dejo de lado la subjetividad del hombre, su carácter eminentemente evolutivo, y su naturaleza dinámica, generaliza no individualiza. Se ubica en la razón. Paradójicamente la razón es un fundamento de la modernidad que proviene de la exaltación del hombre, y de la desacralización de la iglesia. </w:t>
      </w:r>
    </w:p>
    <w:p w14:paraId="1392BD67" w14:textId="77777777" w:rsidR="001925CE" w:rsidRPr="000D3432" w:rsidRDefault="001925CE" w:rsidP="00A95498">
      <w:pPr>
        <w:ind w:firstLine="426"/>
        <w:jc w:val="both"/>
        <w:rPr>
          <w:rFonts w:asciiTheme="minorHAnsi" w:hAnsiTheme="minorHAnsi"/>
          <w:szCs w:val="24"/>
        </w:rPr>
      </w:pPr>
    </w:p>
    <w:p w14:paraId="7F78DD6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el positivismo todo está o debiera estar establecido por la norma, sin embargo, cabe aclarar que:</w:t>
      </w:r>
    </w:p>
    <w:p w14:paraId="5AD3839A"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derecho no es un dato o algo que nos venga ya dado, sino algo que hay que ir buscando incesantemente y las normas no son formulaciones de validez general, sino las pautas o las guías que ha de seguir esta investigación y esta búsqueda.”</w:t>
      </w:r>
      <w:r w:rsidRPr="000D3432">
        <w:rPr>
          <w:rStyle w:val="Refdenotaalpie"/>
          <w:rFonts w:asciiTheme="minorHAnsi" w:hAnsiTheme="minorHAnsi"/>
          <w:sz w:val="24"/>
          <w:szCs w:val="24"/>
          <w:vertAlign w:val="superscript"/>
        </w:rPr>
        <w:footnoteReference w:id="128"/>
      </w:r>
    </w:p>
    <w:p w14:paraId="7F6C7F16" w14:textId="77777777" w:rsidR="001925CE" w:rsidRPr="000D3432" w:rsidRDefault="001925CE" w:rsidP="00A95498">
      <w:pPr>
        <w:jc w:val="both"/>
        <w:rPr>
          <w:rFonts w:asciiTheme="minorHAnsi" w:hAnsiTheme="minorHAnsi"/>
          <w:szCs w:val="24"/>
        </w:rPr>
      </w:pPr>
    </w:p>
    <w:p w14:paraId="00546E86" w14:textId="77777777" w:rsidR="001925CE" w:rsidRPr="000D3432" w:rsidRDefault="001925CE" w:rsidP="00A95498">
      <w:pPr>
        <w:jc w:val="both"/>
        <w:rPr>
          <w:rFonts w:asciiTheme="minorHAnsi" w:hAnsiTheme="minorHAnsi"/>
          <w:szCs w:val="24"/>
        </w:rPr>
      </w:pPr>
    </w:p>
    <w:p w14:paraId="4220C426" w14:textId="77777777" w:rsidR="001925CE" w:rsidRPr="000D3432" w:rsidRDefault="001925CE" w:rsidP="00A95498">
      <w:pPr>
        <w:jc w:val="both"/>
        <w:rPr>
          <w:rFonts w:asciiTheme="minorHAnsi" w:hAnsiTheme="minorHAnsi"/>
          <w:b/>
          <w:szCs w:val="24"/>
        </w:rPr>
      </w:pPr>
      <w:r w:rsidRPr="000D3432">
        <w:rPr>
          <w:rFonts w:asciiTheme="minorHAnsi" w:hAnsiTheme="minorHAnsi"/>
          <w:b/>
          <w:i/>
          <w:smallCaps/>
          <w:szCs w:val="24"/>
        </w:rPr>
        <w:t>2.- Orden:</w:t>
      </w:r>
    </w:p>
    <w:p w14:paraId="7E11CBDB" w14:textId="77777777" w:rsidR="001925CE" w:rsidRPr="000D3432" w:rsidRDefault="001925CE" w:rsidP="00A95498">
      <w:pPr>
        <w:ind w:firstLine="426"/>
        <w:jc w:val="both"/>
        <w:rPr>
          <w:rFonts w:asciiTheme="minorHAnsi" w:hAnsiTheme="minorHAnsi"/>
          <w:szCs w:val="24"/>
        </w:rPr>
      </w:pPr>
    </w:p>
    <w:p w14:paraId="0BC687E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Desde otra perspectiva vinculante el Derecho puede estudiarse como orden, como ordenamiento jurídico, que sería según expresa Luis Diez Picazo:</w:t>
      </w:r>
    </w:p>
    <w:p w14:paraId="5A5929D9" w14:textId="77777777" w:rsidR="001925CE" w:rsidRPr="000D3432" w:rsidRDefault="001925CE" w:rsidP="00A95498">
      <w:pPr>
        <w:pStyle w:val="Prraffo"/>
        <w:spacing w:line="240" w:lineRule="auto"/>
        <w:rPr>
          <w:rFonts w:asciiTheme="minorHAnsi" w:hAnsiTheme="minorHAnsi"/>
          <w:b/>
          <w:sz w:val="24"/>
          <w:szCs w:val="24"/>
        </w:rPr>
      </w:pPr>
      <w:r w:rsidRPr="000D3432">
        <w:rPr>
          <w:rFonts w:asciiTheme="minorHAnsi" w:hAnsiTheme="minorHAnsi"/>
          <w:sz w:val="24"/>
          <w:szCs w:val="24"/>
        </w:rPr>
        <w:t>“El conjunto total de las reglas o directivas a través de las cuales se prefigura la organización de un grupo social o partiendo de las cuales se realiza dentro de un grupo social una función de pacificación de conflictos y de satisfacción de pretensiones, recibe usualmente el nombre de “ordenamiento jurídico”.”</w:t>
      </w:r>
      <w:r w:rsidRPr="000D3432">
        <w:rPr>
          <w:rStyle w:val="Refdenotaalpie"/>
          <w:rFonts w:asciiTheme="minorHAnsi" w:hAnsiTheme="minorHAnsi"/>
          <w:sz w:val="24"/>
          <w:szCs w:val="24"/>
          <w:vertAlign w:val="superscript"/>
        </w:rPr>
        <w:footnoteReference w:id="129"/>
      </w:r>
    </w:p>
    <w:p w14:paraId="29A73DC1" w14:textId="77777777" w:rsidR="001925CE" w:rsidRPr="000D3432" w:rsidRDefault="001925CE" w:rsidP="00A95498">
      <w:pPr>
        <w:ind w:firstLine="426"/>
        <w:jc w:val="both"/>
        <w:rPr>
          <w:rFonts w:asciiTheme="minorHAnsi" w:hAnsiTheme="minorHAnsi"/>
          <w:szCs w:val="24"/>
        </w:rPr>
      </w:pPr>
    </w:p>
    <w:p w14:paraId="0FF8D96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Este es otro concepto con el que trabajaremos, puesto que el Derecho es también orden. Un orden determinadamente estructurado, pero en constante reconstrucción, un orden que existe sobre ciertas bases valorativas. Los valores son los cimientos del orden, de allí parte toda forma organizativa de la sociedad. Son en sí la base que se utiliza para intentar la solución a los conflictos de intereses (jurídicos o no) en relación a los valores que tienen (no que dicen tener sino que tienen), aún usando como pretexto valores que no tienen. </w:t>
      </w:r>
    </w:p>
    <w:p w14:paraId="58B7FD8F" w14:textId="77777777" w:rsidR="001925CE" w:rsidRPr="000D3432" w:rsidRDefault="001925CE" w:rsidP="00A95498">
      <w:pPr>
        <w:ind w:firstLine="426"/>
        <w:jc w:val="both"/>
        <w:rPr>
          <w:rFonts w:asciiTheme="minorHAnsi" w:hAnsiTheme="minorHAnsi"/>
          <w:szCs w:val="24"/>
        </w:rPr>
      </w:pPr>
    </w:p>
    <w:p w14:paraId="25872DF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orden, la organización social, el ordenamiento jurídico, tienen que verse confrontados con los valores imperantes, existentes. Así, si se quiere tener una visión más real sobre el problema del ordenamiento jurídico se podría  afirmar que "lo que debe cambiar en las instituciones no son las personas, sino los valores, la ética humana." La pregunta sería ¿Se puede cambiar los valores humanos, o mejor dicho, la prioridad de los valores en los humanos? De ser así ¿qué valores deben estar arriba, en la cima de lo apologético y divino, y que valores debajo? ¿Cuál sería la pirámide de valores a construir?, y de hallarse la nueva pirámide de valores ¿Se podrá construir e imponer esta jerarquización de los valores en los hombres de 20 a 50 años? Todo esto parece utópico. Para nosotros y para el Derecho lo más cercano a lo posible, a lo recomendable, es estudiar mejor los valores de los humanos, la jerarquía que ellos tienen y luego trabajar desde esa base, en la construcción de un nuevo orden social y jurídico. No podemos cometer actos de ingenuidad, o de habilidad maliciosa, negación de valores y hechos como por ejemplo la de los gobiernos anteriores, como el de Velasco, que entregó a los campesinos tierras para las cuales no estaban preparados a dirigir, producir y administrar, ¿cómo es que se exige a alguien dar lo que no tiene? ¿cómo pedirles a los preparados para una cosa algo diferente para lo cual están aptos? Ejemplificando más, podemos decir que las Reformas de Velasco y la moralización de Fujimori, nos han mostrado el equívoco  en que caen las reformas o intentos de modernización,  cuando  plantean la solución de los problemas sociales en el simple y llano cambio de los actores del escenario institucional. El problema no son las personas, sino “las personas y sus valores”. Claro que esto ha llegado -supuestamente- a entenderse y, se nos dice por todos lados: "el problema son los valores". Pero aún así no se entiende el problema. Luego la solución más inmediata que se intenta es ese tipo de "moralización chicha” que llevan sólo a encubrir los medios de corrupción. Las coimas y sobornos antes descarados se tornan en más discretas, pero no desaparecen, más bien se afinan.</w:t>
      </w:r>
    </w:p>
    <w:p w14:paraId="4DFA4BF8" w14:textId="77777777" w:rsidR="001925CE" w:rsidRPr="000D3432" w:rsidRDefault="001925CE" w:rsidP="00A95498">
      <w:pPr>
        <w:ind w:firstLine="426"/>
        <w:jc w:val="both"/>
        <w:rPr>
          <w:rFonts w:asciiTheme="minorHAnsi" w:hAnsiTheme="minorHAnsi"/>
          <w:szCs w:val="24"/>
        </w:rPr>
      </w:pPr>
    </w:p>
    <w:p w14:paraId="164145A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reforma se tornaba así en una especie de "superstición" que resolvería los problemas sociales. La sociedad más por indiferencia que por convicción intentaba creer en todo ello. En realidad lo único que pasó es que  sólo se enriqueció ese "tráfico, ese comercio de adulaciones, mentiras e hipocresías" con que juegan los políticos prometiendo el desarrollo y el progreso de nuestra sociedad.</w:t>
      </w:r>
    </w:p>
    <w:p w14:paraId="611917D7" w14:textId="77777777" w:rsidR="001925CE" w:rsidRPr="000D3432" w:rsidRDefault="001925CE" w:rsidP="00A95498">
      <w:pPr>
        <w:ind w:firstLine="426"/>
        <w:jc w:val="both"/>
        <w:rPr>
          <w:rFonts w:asciiTheme="minorHAnsi" w:hAnsiTheme="minorHAnsi"/>
          <w:szCs w:val="24"/>
        </w:rPr>
      </w:pPr>
    </w:p>
    <w:p w14:paraId="1AB4719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Antes de intentar cualquier proceso de reforma, es importante conocer primero los valores vigentes sobre los que se va a trabajar, para luego organizar a la sociedad en base a ellos, "Hay pues, primero, la necesidad de conocer para vivir.." nos advierte Miguel de Unamuno. El conocimiento de "lo que hay" en los hombres nos dará la base para nuestra organización. Es cierto que el orden se impone, pero esta imposición puede ser mediante vías sutiles de persuasión que resultarían más eficaces que los de confrontación frontal, brutal, despistada, que hacen que las soluciones se tornen inapropiadas, crueles, despóticas, creando y ejecutando medios de represión similares a los que se quiere evitar. El orden debe imponerse de acuerdo al contenido axiológico de la sociedad.</w:t>
      </w:r>
    </w:p>
    <w:p w14:paraId="17768992" w14:textId="77777777" w:rsidR="001925CE" w:rsidRPr="000D3432" w:rsidRDefault="001925CE" w:rsidP="00A95498">
      <w:pPr>
        <w:jc w:val="both"/>
        <w:rPr>
          <w:rFonts w:asciiTheme="minorHAnsi" w:hAnsiTheme="minorHAnsi"/>
          <w:b/>
          <w:szCs w:val="24"/>
        </w:rPr>
      </w:pPr>
    </w:p>
    <w:p w14:paraId="3988661A"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a.- Los Sistemas Jurídicos</w:t>
      </w:r>
    </w:p>
    <w:p w14:paraId="40C1D8E6" w14:textId="77777777" w:rsidR="001925CE" w:rsidRPr="000D3432" w:rsidRDefault="001925CE" w:rsidP="00A95498">
      <w:pPr>
        <w:ind w:firstLine="426"/>
        <w:jc w:val="both"/>
        <w:rPr>
          <w:rFonts w:asciiTheme="minorHAnsi" w:hAnsiTheme="minorHAnsi"/>
          <w:szCs w:val="24"/>
        </w:rPr>
      </w:pPr>
    </w:p>
    <w:p w14:paraId="67AAC72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Mediante un proceso de clasificación jurídica de la sociedad se ha podido establecer que la sociedad ha adoptado para conducirse diversos Sistemas Jurídicos, es decir, formas normativas de organización que rigen o dirigen sus conductas, sus complejas relaciones sociales, etc. Así a través del Derecho Comparado podemos  distinguir tres Sistemas Jurídicos</w:t>
      </w:r>
      <w:r w:rsidRPr="000D3432">
        <w:rPr>
          <w:rStyle w:val="Refdenotaalpie"/>
          <w:rFonts w:asciiTheme="minorHAnsi" w:hAnsiTheme="minorHAnsi"/>
          <w:sz w:val="24"/>
          <w:szCs w:val="24"/>
          <w:vertAlign w:val="superscript"/>
        </w:rPr>
        <w:footnoteReference w:id="130"/>
      </w:r>
      <w:r w:rsidRPr="000D3432">
        <w:rPr>
          <w:rFonts w:asciiTheme="minorHAnsi" w:hAnsiTheme="minorHAnsi"/>
          <w:szCs w:val="24"/>
        </w:rPr>
        <w:t>, tres familias: La Familia del Derecho Anglo</w:t>
      </w:r>
      <w:r w:rsidRPr="000D3432">
        <w:rPr>
          <w:rFonts w:asciiTheme="minorHAnsi" w:hAnsiTheme="minorHAnsi"/>
          <w:szCs w:val="24"/>
        </w:rPr>
        <w:noBreakHyphen/>
        <w:t>Sajon; El Conjunto de Derechos Fundamentales en creencias religiosas de los que resulta el Derecho Islámico; y la Familia del Derecho Romano</w:t>
      </w:r>
      <w:r w:rsidRPr="000D3432">
        <w:rPr>
          <w:rFonts w:asciiTheme="minorHAnsi" w:hAnsiTheme="minorHAnsi"/>
          <w:szCs w:val="24"/>
        </w:rPr>
        <w:noBreakHyphen/>
        <w:t>Germánico.</w:t>
      </w:r>
    </w:p>
    <w:p w14:paraId="1DA6BD3F" w14:textId="77777777" w:rsidR="001925CE" w:rsidRPr="000D3432" w:rsidRDefault="001925CE" w:rsidP="00A95498">
      <w:pPr>
        <w:ind w:firstLine="426"/>
        <w:jc w:val="both"/>
        <w:rPr>
          <w:rFonts w:asciiTheme="minorHAnsi" w:hAnsiTheme="minorHAnsi"/>
          <w:szCs w:val="24"/>
        </w:rPr>
      </w:pPr>
    </w:p>
    <w:p w14:paraId="20B6D57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Veremos muy referencialmente cada una de ellas.</w:t>
      </w:r>
    </w:p>
    <w:p w14:paraId="2127AC7E" w14:textId="77777777" w:rsidR="001925CE" w:rsidRPr="000D3432" w:rsidRDefault="001925CE" w:rsidP="00A95498">
      <w:pPr>
        <w:jc w:val="both"/>
        <w:rPr>
          <w:rFonts w:asciiTheme="minorHAnsi" w:hAnsiTheme="minorHAnsi"/>
          <w:szCs w:val="24"/>
        </w:rPr>
      </w:pPr>
    </w:p>
    <w:p w14:paraId="0A112017" w14:textId="77777777" w:rsidR="001925CE" w:rsidRPr="000D3432" w:rsidRDefault="001925CE" w:rsidP="00A95498">
      <w:pPr>
        <w:jc w:val="both"/>
        <w:rPr>
          <w:rFonts w:asciiTheme="minorHAnsi" w:hAnsiTheme="minorHAnsi"/>
          <w:b/>
          <w:i/>
          <w:szCs w:val="24"/>
        </w:rPr>
      </w:pPr>
      <w:r w:rsidRPr="000D3432">
        <w:rPr>
          <w:rFonts w:asciiTheme="minorHAnsi" w:hAnsiTheme="minorHAnsi"/>
          <w:b/>
          <w:i/>
          <w:szCs w:val="24"/>
        </w:rPr>
        <w:t>1) La Familia Anglo</w:t>
      </w:r>
      <w:r w:rsidRPr="000D3432">
        <w:rPr>
          <w:rFonts w:asciiTheme="minorHAnsi" w:hAnsiTheme="minorHAnsi"/>
          <w:b/>
          <w:i/>
          <w:szCs w:val="24"/>
        </w:rPr>
        <w:noBreakHyphen/>
        <w:t>Sajona</w:t>
      </w:r>
    </w:p>
    <w:p w14:paraId="4E08BC51" w14:textId="77777777" w:rsidR="001925CE" w:rsidRPr="000D3432" w:rsidRDefault="001925CE" w:rsidP="00A95498">
      <w:pPr>
        <w:ind w:firstLine="426"/>
        <w:jc w:val="both"/>
        <w:rPr>
          <w:rFonts w:asciiTheme="minorHAnsi" w:hAnsiTheme="minorHAnsi"/>
          <w:szCs w:val="24"/>
        </w:rPr>
      </w:pPr>
    </w:p>
    <w:p w14:paraId="402D3E7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Tiene a la jurisprudencia como ente organizador, regulador, administrador, por lo cual se desenvuelven los individuos de una sociedad. La jurisprudencia es así el marco por el cual se guían y conducen las vidas en los aspectos políticos, económicos y jurídicos. </w:t>
      </w:r>
    </w:p>
    <w:p w14:paraId="22C29A00" w14:textId="77777777" w:rsidR="001925CE" w:rsidRPr="000D3432" w:rsidRDefault="001925CE" w:rsidP="00A95498">
      <w:pPr>
        <w:ind w:firstLine="426"/>
        <w:jc w:val="both"/>
        <w:rPr>
          <w:rFonts w:asciiTheme="minorHAnsi" w:hAnsiTheme="minorHAnsi"/>
          <w:szCs w:val="24"/>
        </w:rPr>
      </w:pPr>
    </w:p>
    <w:p w14:paraId="1E9AB70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Inglaterra, Estados Unidos, los Estados de la Comunidad Británica y otros, adoptan este Sistema Jurídico. </w:t>
      </w:r>
    </w:p>
    <w:p w14:paraId="306BACBB" w14:textId="77777777" w:rsidR="001925CE" w:rsidRPr="000D3432" w:rsidRDefault="001925CE" w:rsidP="00A95498">
      <w:pPr>
        <w:jc w:val="both"/>
        <w:rPr>
          <w:rFonts w:asciiTheme="minorHAnsi" w:hAnsiTheme="minorHAnsi"/>
          <w:szCs w:val="24"/>
        </w:rPr>
      </w:pPr>
    </w:p>
    <w:p w14:paraId="2DCE5614" w14:textId="77777777" w:rsidR="001925CE" w:rsidRPr="000D3432" w:rsidRDefault="001925CE" w:rsidP="00A95498">
      <w:pPr>
        <w:jc w:val="both"/>
        <w:rPr>
          <w:rFonts w:asciiTheme="minorHAnsi" w:hAnsiTheme="minorHAnsi"/>
          <w:b/>
          <w:i/>
          <w:szCs w:val="24"/>
        </w:rPr>
      </w:pPr>
      <w:r w:rsidRPr="000D3432">
        <w:rPr>
          <w:rFonts w:asciiTheme="minorHAnsi" w:hAnsiTheme="minorHAnsi"/>
          <w:b/>
          <w:i/>
          <w:szCs w:val="24"/>
        </w:rPr>
        <w:t>2) La Familia de los Derechos Fundamentales en Creencias religiosas</w:t>
      </w:r>
    </w:p>
    <w:p w14:paraId="5FC9166E" w14:textId="77777777" w:rsidR="001925CE" w:rsidRPr="000D3432" w:rsidRDefault="001925CE" w:rsidP="00A95498">
      <w:pPr>
        <w:ind w:firstLine="426"/>
        <w:jc w:val="both"/>
        <w:rPr>
          <w:rFonts w:asciiTheme="minorHAnsi" w:hAnsiTheme="minorHAnsi"/>
          <w:szCs w:val="24"/>
        </w:rPr>
      </w:pPr>
    </w:p>
    <w:p w14:paraId="406E59A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Se rigen por textos que tienen carácter de palabra divina; y entre ellos encontramos  al Derecho Islámicos, bajo la direción de el Corán, que prohibe las </w:t>
      </w:r>
      <w:r w:rsidRPr="000D3432">
        <w:rPr>
          <w:rFonts w:asciiTheme="minorHAnsi" w:hAnsiTheme="minorHAnsi"/>
          <w:szCs w:val="24"/>
        </w:rPr>
        <w:lastRenderedPageBreak/>
        <w:t>bebidas alcohólicas. El Corán (texto sagrado) se cree emanado de la divinidad. Este derecho proviene de Mahoma.</w:t>
      </w:r>
    </w:p>
    <w:p w14:paraId="6471E70E" w14:textId="77777777" w:rsidR="001925CE" w:rsidRPr="000D3432" w:rsidRDefault="001925CE" w:rsidP="00A95498">
      <w:pPr>
        <w:jc w:val="both"/>
        <w:rPr>
          <w:rFonts w:asciiTheme="minorHAnsi" w:hAnsiTheme="minorHAnsi"/>
          <w:b/>
          <w:i/>
          <w:szCs w:val="24"/>
        </w:rPr>
      </w:pPr>
    </w:p>
    <w:p w14:paraId="00B9F54F" w14:textId="77777777" w:rsidR="001925CE" w:rsidRPr="000D3432" w:rsidRDefault="001925CE" w:rsidP="00A95498">
      <w:pPr>
        <w:jc w:val="both"/>
        <w:rPr>
          <w:rFonts w:asciiTheme="minorHAnsi" w:hAnsiTheme="minorHAnsi"/>
          <w:szCs w:val="24"/>
        </w:rPr>
      </w:pPr>
      <w:r w:rsidRPr="000D3432">
        <w:rPr>
          <w:rFonts w:asciiTheme="minorHAnsi" w:hAnsiTheme="minorHAnsi"/>
          <w:b/>
          <w:i/>
          <w:szCs w:val="24"/>
        </w:rPr>
        <w:t>3) La Familia Romano-Germánica</w:t>
      </w:r>
    </w:p>
    <w:p w14:paraId="7904766B" w14:textId="77777777" w:rsidR="001925CE" w:rsidRPr="000D3432" w:rsidRDefault="001925CE" w:rsidP="00A95498">
      <w:pPr>
        <w:ind w:firstLine="426"/>
        <w:jc w:val="both"/>
        <w:rPr>
          <w:rFonts w:asciiTheme="minorHAnsi" w:hAnsiTheme="minorHAnsi"/>
          <w:szCs w:val="24"/>
        </w:rPr>
      </w:pPr>
    </w:p>
    <w:p w14:paraId="3B3FD2D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Es de nuestro interés por ser el Sistema Jurídico adoptado por nuestra sociedad. Está basada  en la estructuración del Derecho constituido por normas jurídicas creadas y aprobadas por un Poder Legislativo. </w:t>
      </w:r>
    </w:p>
    <w:p w14:paraId="1A88841C" w14:textId="77777777" w:rsidR="001925CE" w:rsidRPr="000D3432" w:rsidRDefault="001925CE" w:rsidP="00A95498">
      <w:pPr>
        <w:ind w:firstLine="426"/>
        <w:jc w:val="both"/>
        <w:rPr>
          <w:rFonts w:asciiTheme="minorHAnsi" w:hAnsiTheme="minorHAnsi"/>
          <w:szCs w:val="24"/>
        </w:rPr>
      </w:pPr>
    </w:p>
    <w:p w14:paraId="0240DF4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Tiene tres características: </w:t>
      </w:r>
    </w:p>
    <w:p w14:paraId="0DC21D48" w14:textId="77777777" w:rsidR="001925CE" w:rsidRPr="000D3432" w:rsidRDefault="001925CE" w:rsidP="00A95498">
      <w:pPr>
        <w:tabs>
          <w:tab w:val="left" w:pos="-1440"/>
        </w:tabs>
        <w:ind w:left="1134" w:hanging="283"/>
        <w:jc w:val="both"/>
        <w:rPr>
          <w:rFonts w:asciiTheme="minorHAnsi" w:hAnsiTheme="minorHAnsi"/>
          <w:szCs w:val="24"/>
        </w:rPr>
      </w:pPr>
      <w:r w:rsidRPr="000D3432">
        <w:rPr>
          <w:rFonts w:asciiTheme="minorHAnsi" w:hAnsiTheme="minorHAnsi"/>
          <w:szCs w:val="24"/>
        </w:rPr>
        <w:t>1.</w:t>
      </w:r>
      <w:r w:rsidRPr="000D3432">
        <w:rPr>
          <w:rFonts w:asciiTheme="minorHAnsi" w:hAnsiTheme="minorHAnsi"/>
          <w:szCs w:val="24"/>
        </w:rPr>
        <w:noBreakHyphen/>
      </w:r>
      <w:r w:rsidRPr="000D3432">
        <w:rPr>
          <w:rFonts w:asciiTheme="minorHAnsi" w:hAnsiTheme="minorHAnsi"/>
          <w:szCs w:val="24"/>
        </w:rPr>
        <w:tab/>
        <w:t>Preponderancia de la legislación, como principal fuente del Derecho,</w:t>
      </w:r>
    </w:p>
    <w:p w14:paraId="6AEA0402" w14:textId="77777777" w:rsidR="001925CE" w:rsidRPr="000D3432" w:rsidRDefault="001925CE" w:rsidP="00A95498">
      <w:pPr>
        <w:tabs>
          <w:tab w:val="left" w:pos="-1440"/>
        </w:tabs>
        <w:ind w:left="1134" w:hanging="283"/>
        <w:jc w:val="both"/>
        <w:rPr>
          <w:rFonts w:asciiTheme="minorHAnsi" w:hAnsiTheme="minorHAnsi"/>
          <w:szCs w:val="24"/>
        </w:rPr>
      </w:pPr>
      <w:r w:rsidRPr="000D3432">
        <w:rPr>
          <w:rFonts w:asciiTheme="minorHAnsi" w:hAnsiTheme="minorHAnsi"/>
          <w:szCs w:val="24"/>
        </w:rPr>
        <w:t>2.</w:t>
      </w:r>
      <w:r w:rsidRPr="000D3432">
        <w:rPr>
          <w:rFonts w:asciiTheme="minorHAnsi" w:hAnsiTheme="minorHAnsi"/>
          <w:szCs w:val="24"/>
        </w:rPr>
        <w:noBreakHyphen/>
      </w:r>
      <w:r w:rsidRPr="000D3432">
        <w:rPr>
          <w:rFonts w:asciiTheme="minorHAnsi" w:hAnsiTheme="minorHAnsi"/>
          <w:szCs w:val="24"/>
        </w:rPr>
        <w:tab/>
        <w:t>Todas las otras fuentes del Derecho están subordinadas a la Legislación.</w:t>
      </w:r>
    </w:p>
    <w:p w14:paraId="2EA8C20E" w14:textId="77777777" w:rsidR="001925CE" w:rsidRPr="000D3432" w:rsidRDefault="001925CE" w:rsidP="00A95498">
      <w:pPr>
        <w:tabs>
          <w:tab w:val="left" w:pos="-1440"/>
        </w:tabs>
        <w:ind w:left="1134" w:hanging="283"/>
        <w:jc w:val="both"/>
        <w:rPr>
          <w:rFonts w:asciiTheme="minorHAnsi" w:hAnsiTheme="minorHAnsi"/>
          <w:szCs w:val="24"/>
        </w:rPr>
      </w:pPr>
      <w:r w:rsidRPr="000D3432">
        <w:rPr>
          <w:rFonts w:asciiTheme="minorHAnsi" w:hAnsiTheme="minorHAnsi"/>
          <w:szCs w:val="24"/>
        </w:rPr>
        <w:t>3.</w:t>
      </w:r>
      <w:r w:rsidRPr="000D3432">
        <w:rPr>
          <w:rFonts w:asciiTheme="minorHAnsi" w:hAnsiTheme="minorHAnsi"/>
          <w:szCs w:val="24"/>
        </w:rPr>
        <w:noBreakHyphen/>
      </w:r>
      <w:r w:rsidRPr="000D3432">
        <w:rPr>
          <w:rFonts w:asciiTheme="minorHAnsi" w:hAnsiTheme="minorHAnsi"/>
          <w:szCs w:val="24"/>
        </w:rPr>
        <w:tab/>
        <w:t>Importancia de la Doctrina para fines de aclaración normativa.</w:t>
      </w:r>
    </w:p>
    <w:p w14:paraId="1B295A58" w14:textId="77777777" w:rsidR="001925CE" w:rsidRPr="000D3432" w:rsidRDefault="001925CE" w:rsidP="00A95498">
      <w:pPr>
        <w:ind w:firstLine="426"/>
        <w:jc w:val="both"/>
        <w:rPr>
          <w:rFonts w:asciiTheme="minorHAnsi" w:hAnsiTheme="minorHAnsi"/>
          <w:szCs w:val="24"/>
        </w:rPr>
      </w:pPr>
    </w:p>
    <w:p w14:paraId="1C7BB1D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los Sistemas Jurídicos son compuestos a su vez por tres elementos a ser:</w:t>
      </w:r>
    </w:p>
    <w:p w14:paraId="50627712" w14:textId="77777777" w:rsidR="001925CE" w:rsidRPr="000D3432" w:rsidRDefault="001925CE" w:rsidP="00A95498">
      <w:pPr>
        <w:tabs>
          <w:tab w:val="left" w:pos="-1440"/>
        </w:tabs>
        <w:ind w:left="1276" w:hanging="425"/>
        <w:jc w:val="both"/>
        <w:rPr>
          <w:rFonts w:asciiTheme="minorHAnsi" w:hAnsiTheme="minorHAnsi"/>
          <w:szCs w:val="24"/>
        </w:rPr>
      </w:pPr>
      <w:r w:rsidRPr="000D3432">
        <w:rPr>
          <w:rFonts w:asciiTheme="minorHAnsi" w:hAnsiTheme="minorHAnsi"/>
          <w:szCs w:val="24"/>
        </w:rPr>
        <w:t>1.</w:t>
      </w:r>
      <w:r w:rsidRPr="000D3432">
        <w:rPr>
          <w:rFonts w:asciiTheme="minorHAnsi" w:hAnsiTheme="minorHAnsi"/>
          <w:szCs w:val="24"/>
        </w:rPr>
        <w:noBreakHyphen/>
      </w:r>
      <w:r w:rsidRPr="000D3432">
        <w:rPr>
          <w:rFonts w:asciiTheme="minorHAnsi" w:hAnsiTheme="minorHAnsi"/>
          <w:szCs w:val="24"/>
        </w:rPr>
        <w:tab/>
        <w:t xml:space="preserve">El Estructural: Configurado en las mismas instituciones adoptadas por las sociedades (cortes, presencia de Constitución, federalismo, etc.).  </w:t>
      </w:r>
    </w:p>
    <w:p w14:paraId="6C7ED1F1" w14:textId="77777777" w:rsidR="001925CE" w:rsidRPr="000D3432" w:rsidRDefault="001925CE" w:rsidP="00A95498">
      <w:pPr>
        <w:tabs>
          <w:tab w:val="left" w:pos="-1440"/>
        </w:tabs>
        <w:ind w:left="1276" w:hanging="425"/>
        <w:jc w:val="both"/>
        <w:rPr>
          <w:rFonts w:asciiTheme="minorHAnsi" w:hAnsiTheme="minorHAnsi"/>
          <w:szCs w:val="24"/>
        </w:rPr>
      </w:pPr>
      <w:r w:rsidRPr="000D3432">
        <w:rPr>
          <w:rFonts w:asciiTheme="minorHAnsi" w:hAnsiTheme="minorHAnsi"/>
          <w:szCs w:val="24"/>
        </w:rPr>
        <w:t>2.</w:t>
      </w:r>
      <w:r w:rsidRPr="000D3432">
        <w:rPr>
          <w:rFonts w:asciiTheme="minorHAnsi" w:hAnsiTheme="minorHAnsi"/>
          <w:szCs w:val="24"/>
        </w:rPr>
        <w:noBreakHyphen/>
      </w:r>
      <w:r w:rsidRPr="000D3432">
        <w:rPr>
          <w:rFonts w:asciiTheme="minorHAnsi" w:hAnsiTheme="minorHAnsi"/>
          <w:szCs w:val="24"/>
        </w:rPr>
        <w:tab/>
        <w:t xml:space="preserve">El Cultural: Compuesto por los valores de cada sociedad y la forma como adoptan esos valores,  </w:t>
      </w:r>
    </w:p>
    <w:p w14:paraId="5848F3AD" w14:textId="77777777" w:rsidR="001925CE" w:rsidRPr="000D3432" w:rsidRDefault="001925CE" w:rsidP="00A95498">
      <w:pPr>
        <w:tabs>
          <w:tab w:val="left" w:pos="-1440"/>
        </w:tabs>
        <w:ind w:left="1276" w:hanging="425"/>
        <w:jc w:val="both"/>
        <w:rPr>
          <w:rFonts w:asciiTheme="minorHAnsi" w:hAnsiTheme="minorHAnsi"/>
          <w:szCs w:val="24"/>
        </w:rPr>
      </w:pPr>
      <w:r w:rsidRPr="000D3432">
        <w:rPr>
          <w:rFonts w:asciiTheme="minorHAnsi" w:hAnsiTheme="minorHAnsi"/>
          <w:szCs w:val="24"/>
        </w:rPr>
        <w:t>3.</w:t>
      </w:r>
      <w:r w:rsidRPr="000D3432">
        <w:rPr>
          <w:rFonts w:asciiTheme="minorHAnsi" w:hAnsiTheme="minorHAnsi"/>
          <w:szCs w:val="24"/>
        </w:rPr>
        <w:noBreakHyphen/>
      </w:r>
      <w:r w:rsidRPr="000D3432">
        <w:rPr>
          <w:rFonts w:asciiTheme="minorHAnsi" w:hAnsiTheme="minorHAnsi"/>
          <w:szCs w:val="24"/>
        </w:rPr>
        <w:tab/>
        <w:t xml:space="preserve">El Sustantivo: Estas son las normas, doctrinas, reglamentos que son efectivamente usados por el gobierno y los gobernados. </w:t>
      </w:r>
    </w:p>
    <w:p w14:paraId="01B907B2" w14:textId="77777777" w:rsidR="001925CE" w:rsidRPr="000D3432" w:rsidRDefault="001925CE" w:rsidP="00A95498">
      <w:pPr>
        <w:ind w:firstLine="426"/>
        <w:jc w:val="both"/>
        <w:rPr>
          <w:rFonts w:asciiTheme="minorHAnsi" w:hAnsiTheme="minorHAnsi"/>
          <w:szCs w:val="24"/>
        </w:rPr>
      </w:pPr>
    </w:p>
    <w:p w14:paraId="3268F4F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adecuación a uno de estos sistemas determinarían referencialmente lo que </w:t>
      </w:r>
      <w:r w:rsidRPr="000D3432">
        <w:rPr>
          <w:rFonts w:asciiTheme="minorHAnsi" w:hAnsiTheme="minorHAnsi"/>
          <w:szCs w:val="24"/>
        </w:rPr>
        <w:noBreakHyphen/>
        <w:t>al parecer de Lawrence M. Friedman</w:t>
      </w:r>
      <w:r w:rsidRPr="000D3432">
        <w:rPr>
          <w:rFonts w:asciiTheme="minorHAnsi" w:hAnsiTheme="minorHAnsi"/>
          <w:szCs w:val="24"/>
        </w:rPr>
        <w:noBreakHyphen/>
        <w:t xml:space="preserve"> sería nuestra "Cultura Jurídica".</w:t>
      </w:r>
    </w:p>
    <w:p w14:paraId="7F8A24CF" w14:textId="77777777" w:rsidR="001925CE" w:rsidRPr="000D3432" w:rsidRDefault="001925CE" w:rsidP="00A95498">
      <w:pPr>
        <w:ind w:firstLine="426"/>
        <w:jc w:val="both"/>
        <w:rPr>
          <w:rFonts w:asciiTheme="minorHAnsi" w:hAnsiTheme="minorHAnsi"/>
          <w:szCs w:val="24"/>
        </w:rPr>
      </w:pPr>
    </w:p>
    <w:p w14:paraId="71B306D1" w14:textId="77777777" w:rsidR="001925CE" w:rsidRPr="000D3432" w:rsidRDefault="001925CE" w:rsidP="00A95498">
      <w:pPr>
        <w:ind w:firstLine="426"/>
        <w:jc w:val="both"/>
        <w:rPr>
          <w:rFonts w:asciiTheme="minorHAnsi" w:hAnsiTheme="minorHAnsi"/>
          <w:szCs w:val="24"/>
        </w:rPr>
      </w:pPr>
    </w:p>
    <w:p w14:paraId="7C19763C" w14:textId="77777777" w:rsidR="001925CE" w:rsidRPr="000D3432" w:rsidRDefault="001925CE" w:rsidP="00A95498">
      <w:pPr>
        <w:jc w:val="both"/>
        <w:rPr>
          <w:rFonts w:asciiTheme="minorHAnsi" w:hAnsiTheme="minorHAnsi"/>
          <w:szCs w:val="24"/>
        </w:rPr>
      </w:pPr>
      <w:r w:rsidRPr="000D3432">
        <w:rPr>
          <w:rFonts w:asciiTheme="minorHAnsi" w:hAnsiTheme="minorHAnsi"/>
          <w:b/>
          <w:smallCaps/>
          <w:szCs w:val="24"/>
        </w:rPr>
        <w:t>3.- Poder</w:t>
      </w:r>
    </w:p>
    <w:p w14:paraId="77D9D4CE" w14:textId="77777777" w:rsidR="001925CE" w:rsidRPr="000D3432" w:rsidRDefault="001925CE" w:rsidP="00A95498">
      <w:pPr>
        <w:pStyle w:val="Prraffo"/>
        <w:spacing w:line="240" w:lineRule="auto"/>
        <w:rPr>
          <w:rFonts w:asciiTheme="minorHAnsi" w:hAnsiTheme="minorHAnsi"/>
          <w:sz w:val="24"/>
          <w:szCs w:val="24"/>
        </w:rPr>
      </w:pPr>
    </w:p>
    <w:p w14:paraId="7AC5CA29"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prueba de lo que es el hombre la tenemos en su relación con su poder; sólo sabemos lo que realmente es un hombre cuando le vemos actuar políticamente, como legislador”.</w:t>
      </w:r>
    </w:p>
    <w:p w14:paraId="10E97352" w14:textId="77777777" w:rsidR="001925CE" w:rsidRPr="000D3432" w:rsidRDefault="001925CE" w:rsidP="00A95498">
      <w:pPr>
        <w:pStyle w:val="Sangradetdecuerpo"/>
        <w:ind w:left="1134" w:firstLine="426"/>
        <w:rPr>
          <w:rFonts w:asciiTheme="minorHAnsi" w:hAnsiTheme="minorHAnsi"/>
          <w:sz w:val="24"/>
          <w:szCs w:val="24"/>
        </w:rPr>
      </w:pPr>
    </w:p>
    <w:p w14:paraId="66F9BDF8"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doctrina jurídica se ha mantenido fiel a la adscripción dela idea de derecho a la esfera del poder. El derecho es una forma de poder o de poder jurídico. Es, dice De Castro, ‘una situación de poder concreto’.</w:t>
      </w:r>
      <w:r w:rsidRPr="000D3432">
        <w:rPr>
          <w:rStyle w:val="Refdenotaalpie"/>
          <w:rFonts w:asciiTheme="minorHAnsi" w:hAnsiTheme="minorHAnsi"/>
          <w:sz w:val="24"/>
          <w:szCs w:val="24"/>
          <w:vertAlign w:val="superscript"/>
        </w:rPr>
        <w:footnoteReference w:id="131"/>
      </w:r>
    </w:p>
    <w:p w14:paraId="15F9C13E" w14:textId="77777777" w:rsidR="001925CE" w:rsidRPr="000D3432" w:rsidRDefault="001925CE" w:rsidP="00A95498">
      <w:pPr>
        <w:ind w:firstLine="426"/>
        <w:jc w:val="both"/>
        <w:rPr>
          <w:rFonts w:asciiTheme="minorHAnsi" w:hAnsiTheme="minorHAnsi"/>
          <w:szCs w:val="24"/>
        </w:rPr>
      </w:pPr>
    </w:p>
    <w:p w14:paraId="29771B7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Podría formularse al poder como la “capacidad de afectar y ser afectado”, según propone Michel Foucault.</w:t>
      </w:r>
    </w:p>
    <w:p w14:paraId="5964DFE5" w14:textId="77777777" w:rsidR="001925CE" w:rsidRPr="000D3432" w:rsidRDefault="001925CE" w:rsidP="00A95498">
      <w:pPr>
        <w:ind w:firstLine="426"/>
        <w:jc w:val="both"/>
        <w:rPr>
          <w:rFonts w:asciiTheme="minorHAnsi" w:hAnsiTheme="minorHAnsi"/>
          <w:szCs w:val="24"/>
        </w:rPr>
      </w:pPr>
    </w:p>
    <w:p w14:paraId="0DEE3B3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Cabanellas, mas bien, conceptualiza al Poder como la “facultad para hacer o abstenerse o para mandar algo.”</w:t>
      </w:r>
      <w:r w:rsidRPr="000D3432">
        <w:rPr>
          <w:rStyle w:val="Refdenotaalpie"/>
          <w:rFonts w:asciiTheme="minorHAnsi" w:hAnsiTheme="minorHAnsi"/>
          <w:sz w:val="24"/>
          <w:szCs w:val="24"/>
          <w:vertAlign w:val="superscript"/>
        </w:rPr>
        <w:footnoteReference w:id="132"/>
      </w:r>
      <w:r w:rsidRPr="000D3432">
        <w:rPr>
          <w:rFonts w:asciiTheme="minorHAnsi" w:hAnsiTheme="minorHAnsi"/>
          <w:szCs w:val="24"/>
        </w:rPr>
        <w:t xml:space="preserve"> Este concepto es útil, pero demasiado pobre para nuestras pretensiones investigatorias, por lo que tomaremos el concepto </w:t>
      </w:r>
      <w:r w:rsidRPr="000D3432">
        <w:rPr>
          <w:rFonts w:asciiTheme="minorHAnsi" w:hAnsiTheme="minorHAnsi"/>
          <w:szCs w:val="24"/>
        </w:rPr>
        <w:lastRenderedPageBreak/>
        <w:t>de Michel Foucault que propone al Poder como la “capacidad de afectar o ser afectado. Relación de fuerzas.”</w:t>
      </w:r>
    </w:p>
    <w:p w14:paraId="0762A3D2" w14:textId="77777777" w:rsidR="001925CE" w:rsidRPr="000D3432" w:rsidRDefault="001925CE" w:rsidP="00A95498">
      <w:pPr>
        <w:ind w:firstLine="426"/>
        <w:jc w:val="both"/>
        <w:rPr>
          <w:rFonts w:asciiTheme="minorHAnsi" w:hAnsiTheme="minorHAnsi"/>
          <w:szCs w:val="24"/>
        </w:rPr>
      </w:pPr>
    </w:p>
    <w:p w14:paraId="6E3365E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Al respecto, Giles Deleuze explicando la Teoría de Foucault sobre el poder, escribe:</w:t>
      </w:r>
    </w:p>
    <w:p w14:paraId="44D98571"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“¿Qué es poder? La definición de Foucault parece muy simple, </w:t>
      </w:r>
      <w:r w:rsidRPr="000D3432">
        <w:rPr>
          <w:rFonts w:asciiTheme="minorHAnsi" w:hAnsiTheme="minorHAnsi"/>
          <w:b/>
          <w:sz w:val="24"/>
          <w:szCs w:val="24"/>
        </w:rPr>
        <w:t>el poder es una relación de fuerzas</w:t>
      </w:r>
      <w:r w:rsidRPr="000D3432">
        <w:rPr>
          <w:rFonts w:asciiTheme="minorHAnsi" w:hAnsiTheme="minorHAnsi"/>
          <w:sz w:val="24"/>
          <w:szCs w:val="24"/>
        </w:rPr>
        <w:t xml:space="preserve">, o más bien toda relación de fuerzas es una </w:t>
      </w:r>
      <w:r w:rsidRPr="000D3432">
        <w:rPr>
          <w:rFonts w:asciiTheme="minorHAnsi" w:hAnsiTheme="minorHAnsi"/>
          <w:b/>
          <w:sz w:val="24"/>
          <w:szCs w:val="24"/>
        </w:rPr>
        <w:t>“relación de poder”</w:t>
      </w:r>
      <w:r w:rsidRPr="000D3432">
        <w:rPr>
          <w:rFonts w:asciiTheme="minorHAnsi" w:hAnsiTheme="minorHAnsi"/>
          <w:sz w:val="24"/>
          <w:szCs w:val="24"/>
        </w:rPr>
        <w:t>. Eso quiere decir, en primer lugar, que el poder no es una forma, por ejemplo la forma-Estado; y que la relación de poder no se produce entre dos formas, como el saber. En segundo lugar, eso quiere decir que la fuerza nunca está en singular, que su característica fundamental es estar en relación con otras fuerzas, de suerte que toda fuerza ya es relación, es decir poder: la fuerza no tiene otro objeto ni sujeto que la fuerza. Ahora bien, esto no significa un retorno al derecho natural, puesto que el derecho ya es de por sí una forma de expresión, la Naturaleza una forma de visibilidad, y la violencia algo concomitante o consecuente a la fuerza, no algo constituyente.”</w:t>
      </w:r>
      <w:r w:rsidRPr="000D3432">
        <w:rPr>
          <w:rStyle w:val="Refdenotaalpie"/>
          <w:rFonts w:asciiTheme="minorHAnsi" w:hAnsiTheme="minorHAnsi"/>
          <w:sz w:val="24"/>
          <w:szCs w:val="24"/>
          <w:vertAlign w:val="superscript"/>
        </w:rPr>
        <w:footnoteReference w:id="133"/>
      </w:r>
    </w:p>
    <w:p w14:paraId="67E12C2C" w14:textId="77777777" w:rsidR="001925CE" w:rsidRPr="000D3432" w:rsidRDefault="001925CE" w:rsidP="00A95498">
      <w:pPr>
        <w:ind w:firstLine="426"/>
        <w:jc w:val="both"/>
        <w:rPr>
          <w:rFonts w:asciiTheme="minorHAnsi" w:hAnsiTheme="minorHAnsi"/>
          <w:szCs w:val="24"/>
        </w:rPr>
      </w:pPr>
    </w:p>
    <w:p w14:paraId="446871F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poder como “relación de fuerzas”, fuerza como capacidad de afectar y ser afectado; capacidad de acción sobre la acción. El poder no está focalizado, no se tiene, sino que se ejerce. El  poder no es una forma (figura, apariencia exterior de las personas y cosas</w:t>
      </w:r>
      <w:r w:rsidRPr="000D3432">
        <w:rPr>
          <w:rStyle w:val="Refdenotaalpie"/>
          <w:rFonts w:asciiTheme="minorHAnsi" w:hAnsiTheme="minorHAnsi"/>
          <w:sz w:val="24"/>
          <w:szCs w:val="24"/>
          <w:vertAlign w:val="superscript"/>
        </w:rPr>
        <w:footnoteReference w:id="134"/>
      </w:r>
      <w:r w:rsidRPr="000D3432">
        <w:rPr>
          <w:rFonts w:asciiTheme="minorHAnsi" w:hAnsiTheme="minorHAnsi"/>
          <w:szCs w:val="24"/>
        </w:rPr>
        <w:t>) concreta y determinada; no es la persona sino la capacidad de afectar o ser afectado (relación de fuerzas). El poder no es tampoco una institución (el Estado, iglesia, etc), no es el saber, sino el efecto de ese saber.</w:t>
      </w:r>
    </w:p>
    <w:p w14:paraId="75E82235" w14:textId="77777777" w:rsidR="001925CE" w:rsidRPr="000D3432" w:rsidRDefault="001925CE" w:rsidP="00A95498">
      <w:pPr>
        <w:ind w:firstLine="426"/>
        <w:jc w:val="both"/>
        <w:rPr>
          <w:rFonts w:asciiTheme="minorHAnsi" w:hAnsiTheme="minorHAnsi"/>
          <w:szCs w:val="24"/>
        </w:rPr>
      </w:pPr>
    </w:p>
    <w:p w14:paraId="65754E8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No existe poder si no hay sobre quien, qué, ejercerlo. El poder para ser necesita de otra fuerza que lo haga ser, es decir relación de fuerzas. </w:t>
      </w:r>
    </w:p>
    <w:p w14:paraId="605273DF" w14:textId="77777777" w:rsidR="001925CE" w:rsidRPr="000D3432" w:rsidRDefault="001925CE" w:rsidP="00A95498">
      <w:pPr>
        <w:ind w:firstLine="426"/>
        <w:jc w:val="both"/>
        <w:rPr>
          <w:rFonts w:asciiTheme="minorHAnsi" w:hAnsiTheme="minorHAnsi"/>
          <w:szCs w:val="24"/>
        </w:rPr>
      </w:pPr>
    </w:p>
    <w:p w14:paraId="5634224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poder, resumiendo, es la capacidad de afectar y ser afectado (relación de fuerzas) que pueden provocar acciones sobre acciones, como incitar, inducir, desviar, facilitar, etc,</w:t>
      </w:r>
    </w:p>
    <w:p w14:paraId="2912F533"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 “Se puede, pues, concebir una lista, necesariamente abierta, de variables que expresan una relación de fuerzas o de poder y que constituyen acciones sobre acciones; incitar, inducir, desviar, facilitar o dificultar, ampliar o limitar, hacer más o menos probable...Esas son las categorías de poder.</w:t>
      </w:r>
      <w:r w:rsidRPr="000D3432">
        <w:rPr>
          <w:rStyle w:val="Refdenotaalpie"/>
          <w:rFonts w:asciiTheme="minorHAnsi" w:hAnsiTheme="minorHAnsi"/>
          <w:sz w:val="24"/>
          <w:szCs w:val="24"/>
          <w:vertAlign w:val="superscript"/>
        </w:rPr>
        <w:footnoteReference w:id="135"/>
      </w:r>
      <w:r w:rsidRPr="000D3432">
        <w:rPr>
          <w:rFonts w:asciiTheme="minorHAnsi" w:hAnsiTheme="minorHAnsi"/>
          <w:sz w:val="24"/>
          <w:szCs w:val="24"/>
        </w:rPr>
        <w:tab/>
      </w:r>
    </w:p>
    <w:p w14:paraId="57557A58" w14:textId="77777777" w:rsidR="001925CE" w:rsidRPr="000D3432" w:rsidRDefault="001925CE" w:rsidP="00A95498">
      <w:pPr>
        <w:ind w:firstLine="426"/>
        <w:jc w:val="both"/>
        <w:rPr>
          <w:rFonts w:asciiTheme="minorHAnsi" w:hAnsiTheme="minorHAnsi"/>
          <w:szCs w:val="24"/>
        </w:rPr>
      </w:pPr>
    </w:p>
    <w:p w14:paraId="0543737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Deleuze hace una aclaración sobre el poder entendido por Foucautl</w:t>
      </w:r>
    </w:p>
    <w:p w14:paraId="07B23D02"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“el poder no es esencialmente represivo (puesto que “incita, suscita, produce”); se ejerce más que se posee (puesto que sólo se posee bajo una forma determinable, clase, y determinada, Estado); pasa por los dominados tanto como por los dominantes (puesto que pasa por todas las fuerzas en relación). Un profundo nietzscheísmo.”</w:t>
      </w:r>
      <w:r w:rsidRPr="000D3432">
        <w:rPr>
          <w:rStyle w:val="Refdenotaalpie"/>
          <w:rFonts w:asciiTheme="minorHAnsi" w:hAnsiTheme="minorHAnsi"/>
          <w:sz w:val="24"/>
          <w:szCs w:val="24"/>
          <w:vertAlign w:val="superscript"/>
        </w:rPr>
        <w:footnoteReference w:id="136"/>
      </w:r>
    </w:p>
    <w:p w14:paraId="5BDB2AD9" w14:textId="77777777" w:rsidR="001925CE" w:rsidRPr="000D3432" w:rsidRDefault="001925CE" w:rsidP="00A95498">
      <w:pPr>
        <w:ind w:firstLine="426"/>
        <w:jc w:val="both"/>
        <w:rPr>
          <w:rFonts w:asciiTheme="minorHAnsi" w:hAnsiTheme="minorHAnsi"/>
          <w:szCs w:val="24"/>
        </w:rPr>
      </w:pPr>
    </w:p>
    <w:p w14:paraId="0207BEB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poder no está definitiva y eternamente en las cosas, fluye; el poder se ejerce más que se posee “Un ejercicio de poder aparece como afecto, puesto que la propia fuerza se define por su poder de afectar a otras”</w:t>
      </w:r>
      <w:r w:rsidRPr="000D3432">
        <w:rPr>
          <w:rStyle w:val="Refdenotaalpie"/>
          <w:rFonts w:asciiTheme="minorHAnsi" w:hAnsiTheme="minorHAnsi"/>
          <w:sz w:val="24"/>
          <w:szCs w:val="24"/>
          <w:vertAlign w:val="superscript"/>
        </w:rPr>
        <w:footnoteReference w:id="137"/>
      </w:r>
    </w:p>
    <w:p w14:paraId="7E2C644B"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“A la vez locales, inestables y difusas, las relaciones de poder no emanan de un punto central o de un núcleo único de soberanía, sino que constantemente van “de un punto a otro” en un campo de fuerzas, señalando inflexiones, retrocesos, inversiones, giros, cambios de dirección, resistencias. Por eso no son “localizables” en tal y tal instancia”.</w:t>
      </w:r>
      <w:r w:rsidRPr="000D3432">
        <w:rPr>
          <w:rStyle w:val="Refdenotaalpie"/>
          <w:rFonts w:asciiTheme="minorHAnsi" w:hAnsiTheme="minorHAnsi"/>
          <w:sz w:val="24"/>
          <w:szCs w:val="24"/>
          <w:vertAlign w:val="superscript"/>
        </w:rPr>
        <w:footnoteReference w:id="138"/>
      </w:r>
    </w:p>
    <w:p w14:paraId="08108E1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b/>
      </w:r>
    </w:p>
    <w:p w14:paraId="7E27775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b/>
        <w:t>Por último podríamos agregar la siguiente cita:</w:t>
      </w:r>
    </w:p>
    <w:p w14:paraId="4B1A6241"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“Las relaciones de poder son relaciones diferenciales que determinan singularidades (afectos). La actualización que las estabiliza, que las estratifica, es una integración: operación que consiste en trazar “una línea de fuerza general”, conectar las singularidades, alinearlas, homogenizarlas, serializarlas, hacer que converjan. Pero la integración total no se produce inmediatamente. Más bien se produce una multiplicidad de integraciones locales, parciales, cada una en afinidad con tales relaciones, tales puntos singulares. Los factores integrantes, agentes de estratificación, constituyen instituciones: El Estado, pero también la familia, la Religión, la Producción, el Mercado, incluso el Arte, la Moral... Las instituciones no son fuentes o esencias, no son ni esencia ni interioridad. Son prácticas, mecanismos operatorios que no explican el poder, puesto que presuponen las relaciones y se contentan con “fijarlas”; su función es reproductora, no productora.”</w:t>
      </w:r>
      <w:r w:rsidRPr="000D3432">
        <w:rPr>
          <w:rStyle w:val="Refdenotaalpie"/>
          <w:rFonts w:asciiTheme="minorHAnsi" w:hAnsiTheme="minorHAnsi"/>
          <w:sz w:val="24"/>
          <w:szCs w:val="24"/>
          <w:vertAlign w:val="superscript"/>
        </w:rPr>
        <w:footnoteReference w:id="139"/>
      </w:r>
    </w:p>
    <w:p w14:paraId="4E38380C" w14:textId="77777777" w:rsidR="001925CE" w:rsidRPr="000D3432" w:rsidRDefault="001925CE" w:rsidP="00A95498">
      <w:pPr>
        <w:jc w:val="both"/>
        <w:rPr>
          <w:rFonts w:asciiTheme="minorHAnsi" w:hAnsiTheme="minorHAnsi"/>
          <w:b/>
          <w:szCs w:val="24"/>
        </w:rPr>
      </w:pPr>
    </w:p>
    <w:p w14:paraId="5DCAF56E"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 Subdivisión del poder</w:t>
      </w:r>
    </w:p>
    <w:p w14:paraId="4E366B54" w14:textId="77777777" w:rsidR="001925CE" w:rsidRPr="000D3432" w:rsidRDefault="001925CE" w:rsidP="00A95498">
      <w:pPr>
        <w:ind w:firstLine="426"/>
        <w:jc w:val="both"/>
        <w:rPr>
          <w:rFonts w:asciiTheme="minorHAnsi" w:hAnsiTheme="minorHAnsi"/>
          <w:szCs w:val="24"/>
        </w:rPr>
      </w:pPr>
    </w:p>
    <w:p w14:paraId="18C064B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b/>
        <w:t>Estructuración en concordancia con el carácter de legitimación adoptado.</w:t>
      </w:r>
    </w:p>
    <w:p w14:paraId="27E462E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Hemos, subdividido el poder por su origen en dos: poder divino y poder humano. Esto con motivo de hacer una distinción entre el tipo de poder sustentado antiguamente y el tipo de poder sustentado o legitimado en la actualidad. La referencia es para hacer evidente la condición premoderna y moderna del poder, y para darnos una idea referencial sobre las condiciones del Derecho.</w:t>
      </w:r>
    </w:p>
    <w:p w14:paraId="7FB1ED29" w14:textId="77777777" w:rsidR="001925CE" w:rsidRPr="000D3432" w:rsidRDefault="001925CE" w:rsidP="00A95498">
      <w:pPr>
        <w:tabs>
          <w:tab w:val="left" w:pos="-1440"/>
        </w:tabs>
        <w:jc w:val="both"/>
        <w:rPr>
          <w:rFonts w:asciiTheme="minorHAnsi" w:hAnsiTheme="minorHAnsi"/>
          <w:szCs w:val="24"/>
        </w:rPr>
      </w:pPr>
    </w:p>
    <w:p w14:paraId="67E42A2A" w14:textId="77777777" w:rsidR="001925CE" w:rsidRPr="000D3432" w:rsidRDefault="001925CE" w:rsidP="00A95498">
      <w:pPr>
        <w:tabs>
          <w:tab w:val="left" w:pos="-1440"/>
        </w:tabs>
        <w:jc w:val="both"/>
        <w:rPr>
          <w:rFonts w:asciiTheme="minorHAnsi" w:hAnsiTheme="minorHAnsi"/>
          <w:szCs w:val="24"/>
        </w:rPr>
      </w:pPr>
      <w:r w:rsidRPr="000D3432">
        <w:rPr>
          <w:rFonts w:asciiTheme="minorHAnsi" w:hAnsiTheme="minorHAnsi"/>
          <w:b/>
          <w:szCs w:val="24"/>
        </w:rPr>
        <w:t xml:space="preserve">a.- El poder divino: </w:t>
      </w:r>
    </w:p>
    <w:p w14:paraId="3732793B" w14:textId="77777777" w:rsidR="001925CE" w:rsidRPr="000D3432" w:rsidRDefault="001925CE" w:rsidP="00A95498">
      <w:pPr>
        <w:ind w:firstLine="426"/>
        <w:jc w:val="both"/>
        <w:rPr>
          <w:rFonts w:asciiTheme="minorHAnsi" w:hAnsiTheme="minorHAnsi"/>
          <w:szCs w:val="24"/>
        </w:rPr>
      </w:pPr>
    </w:p>
    <w:p w14:paraId="26619C7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mística, la magia, la divinidad han sido las ¿salvedades? con que se ha taponado los vacíos de lo incomprensible a la razón humana; las formas cómo los hombres ávidos de respuestas, explicaciones han acallado sus miedos al desconcierto, a lo inseguro, al caos que supondría no saber qué está pasando y porqué esta pasando esto o aquello que afecta sus vidas.</w:t>
      </w:r>
    </w:p>
    <w:p w14:paraId="09BC0E0C" w14:textId="77777777" w:rsidR="001925CE" w:rsidRPr="000D3432" w:rsidRDefault="001925CE" w:rsidP="00A95498">
      <w:pPr>
        <w:ind w:firstLine="426"/>
        <w:jc w:val="both"/>
        <w:rPr>
          <w:rFonts w:asciiTheme="minorHAnsi" w:hAnsiTheme="minorHAnsi"/>
          <w:szCs w:val="24"/>
        </w:rPr>
      </w:pPr>
    </w:p>
    <w:p w14:paraId="0E73982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necesidad de conocimiento, de certeza, seguridad y previsibilidad ha provocado en el hombre otra necesidad: la de aceptar la certeza de lo profético, místico, divino; así ha calmado sus dudas y tormentos al caos, desorden, inseguridad, declarándose sumiso ante la explicación de la ley divina, que le resuelve el problema de su incomprensión e incertidumbre. Elevando las explicaciones de lo incomprensible a algo también incomprensible: Dios, la naturaleza, el cosmos.</w:t>
      </w:r>
    </w:p>
    <w:p w14:paraId="03A12069" w14:textId="77777777" w:rsidR="001925CE" w:rsidRPr="000D3432" w:rsidRDefault="001925CE" w:rsidP="00A95498">
      <w:pPr>
        <w:ind w:firstLine="426"/>
        <w:jc w:val="both"/>
        <w:rPr>
          <w:rFonts w:asciiTheme="minorHAnsi" w:hAnsiTheme="minorHAnsi"/>
          <w:szCs w:val="24"/>
        </w:rPr>
      </w:pPr>
    </w:p>
    <w:p w14:paraId="5765028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Mediante este razonamiento, Dios es el explicador por excelencia de todo aquello que el hombre no entiende. Nacen, así, los inventores de la explicación mística, los intermediarios entre la divinidad y el hombre: monjes, reyes,  chamanes, etc. </w:t>
      </w:r>
    </w:p>
    <w:p w14:paraId="591E0F10" w14:textId="77777777" w:rsidR="001925CE" w:rsidRPr="000D3432" w:rsidRDefault="001925CE" w:rsidP="00A95498">
      <w:pPr>
        <w:ind w:firstLine="426"/>
        <w:jc w:val="both"/>
        <w:rPr>
          <w:rFonts w:asciiTheme="minorHAnsi" w:hAnsiTheme="minorHAnsi"/>
          <w:szCs w:val="24"/>
        </w:rPr>
      </w:pPr>
    </w:p>
    <w:p w14:paraId="7134D0D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conocimiento y la continuidad del conocimiento, la certeza de que el conocimiento es cierto, la garantía de esta certeza la daría, según esta teoría, Dios. Entonces el poder emana de la divinidad. </w:t>
      </w:r>
    </w:p>
    <w:p w14:paraId="123CEE3A"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"En efecto, ¿qué aseguraba en la filosofía occidental que las cosas a conocer y el propio conocimiento estaban en relación de continuidad? ¿Qué era lo que aseguraba al conocimiento el poder de conocer bien las cosas del mundo y de no ser indefinidamente error, ilusión, arbitrariedad? ¿Quién sino Dios garantizaba esto en la filosofía occidental? Ciertamente, desde Descartes, para no ir más allá, y aun en Kant, Dios es ese principio que aseguraba la existencia de una armonía entre el conocimiento y las cosas a conocer. Para demostrar que el conocimiento era un conocimiento fundado verdaderamente en las cosas del mundo, Descartes se vio obligado a afirmar la existencia de Dios."</w:t>
      </w:r>
      <w:r w:rsidRPr="000D3432">
        <w:rPr>
          <w:rStyle w:val="Refdenotaalpie"/>
          <w:rFonts w:asciiTheme="minorHAnsi" w:hAnsiTheme="minorHAnsi"/>
          <w:sz w:val="24"/>
          <w:szCs w:val="24"/>
          <w:vertAlign w:val="superscript"/>
        </w:rPr>
        <w:footnoteReference w:id="140"/>
      </w:r>
    </w:p>
    <w:p w14:paraId="468BCF02" w14:textId="77777777" w:rsidR="001925CE" w:rsidRPr="000D3432" w:rsidRDefault="001925CE" w:rsidP="00A95498">
      <w:pPr>
        <w:ind w:firstLine="426"/>
        <w:jc w:val="both"/>
        <w:rPr>
          <w:rFonts w:asciiTheme="minorHAnsi" w:hAnsiTheme="minorHAnsi"/>
          <w:szCs w:val="24"/>
        </w:rPr>
      </w:pPr>
    </w:p>
    <w:p w14:paraId="7C91527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divino se aseguraba su predominio y hegemonía en Dios. Éste había concedido por obra y gracia, la potestad para que sus hijos o representantes gobernaran en su nombre. Este Derecho divino ha sido usado, y sostenido por ciertos personajes, históricamente registrados, como son los Papas y los reyes, que ha continuación vamos a tocar.</w:t>
      </w:r>
    </w:p>
    <w:p w14:paraId="6E14CDA2" w14:textId="77777777" w:rsidR="001925CE" w:rsidRPr="000D3432" w:rsidRDefault="001925CE" w:rsidP="00A95498">
      <w:pPr>
        <w:jc w:val="both"/>
        <w:rPr>
          <w:rFonts w:asciiTheme="minorHAnsi" w:hAnsiTheme="minorHAnsi"/>
          <w:szCs w:val="24"/>
        </w:rPr>
      </w:pPr>
    </w:p>
    <w:p w14:paraId="2F21A12F" w14:textId="77777777" w:rsidR="001925CE" w:rsidRPr="000D3432" w:rsidRDefault="001925CE" w:rsidP="00A95498">
      <w:pPr>
        <w:jc w:val="both"/>
        <w:rPr>
          <w:rFonts w:asciiTheme="minorHAnsi" w:hAnsiTheme="minorHAnsi"/>
          <w:b/>
          <w:i/>
          <w:szCs w:val="24"/>
        </w:rPr>
      </w:pPr>
    </w:p>
    <w:p w14:paraId="3831601E" w14:textId="77777777" w:rsidR="001925CE" w:rsidRPr="000D3432" w:rsidRDefault="001925CE" w:rsidP="00A95498">
      <w:pPr>
        <w:jc w:val="both"/>
        <w:rPr>
          <w:rFonts w:asciiTheme="minorHAnsi" w:hAnsiTheme="minorHAnsi"/>
          <w:b/>
          <w:i/>
          <w:szCs w:val="24"/>
        </w:rPr>
      </w:pPr>
      <w:r w:rsidRPr="000D3432">
        <w:rPr>
          <w:rFonts w:asciiTheme="minorHAnsi" w:hAnsiTheme="minorHAnsi"/>
          <w:b/>
          <w:i/>
          <w:szCs w:val="24"/>
        </w:rPr>
        <w:t>1) El Derecho divino de los Papas</w:t>
      </w:r>
    </w:p>
    <w:p w14:paraId="594122C8" w14:textId="77777777" w:rsidR="001925CE" w:rsidRPr="000D3432" w:rsidRDefault="001925CE" w:rsidP="00A95498">
      <w:pPr>
        <w:ind w:firstLine="426"/>
        <w:jc w:val="both"/>
        <w:rPr>
          <w:rFonts w:asciiTheme="minorHAnsi" w:hAnsiTheme="minorHAnsi"/>
          <w:szCs w:val="24"/>
        </w:rPr>
      </w:pPr>
    </w:p>
    <w:p w14:paraId="32E0423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Una etapa en la historia del poder divino como máxima autoridad, permitió la existencia y vigencia de los "papados". Se había conjugado varios elementos espirituales que llevaron a los Papas a tener el máximo poder. Dios era el eterno Juez, amo y señor del mundo y de los hombres, por lo tanto sus representantes aquí en la tierra -los papas- eran los que por justicia divina debían y tenían el poder. Dios les otorgaba el poder a tal punto que ellos eran los que homologaban, coronaban a los reyes, transfiriéndoles el poder que Dios les había dado. Si no daban esta especie de venia, rito, transferencia del poder </w:t>
      </w:r>
      <w:r w:rsidRPr="000D3432">
        <w:rPr>
          <w:rFonts w:asciiTheme="minorHAnsi" w:hAnsiTheme="minorHAnsi"/>
          <w:szCs w:val="24"/>
        </w:rPr>
        <w:lastRenderedPageBreak/>
        <w:t>divino, los reyes no podían tener el poder y por lo tanto no podían gobernar y menos tener justo título.</w:t>
      </w:r>
    </w:p>
    <w:p w14:paraId="6059704D" w14:textId="77777777" w:rsidR="001925CE" w:rsidRPr="000D3432" w:rsidRDefault="001925CE" w:rsidP="00A95498">
      <w:pPr>
        <w:ind w:firstLine="426"/>
        <w:jc w:val="both"/>
        <w:rPr>
          <w:rFonts w:asciiTheme="minorHAnsi" w:hAnsiTheme="minorHAnsi"/>
          <w:szCs w:val="24"/>
        </w:rPr>
      </w:pPr>
    </w:p>
    <w:p w14:paraId="623633E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 necesario decir que en el año 476 el Imperio Romano se iba desintegrando por las constantes luchas y guerras y estaba en peligro de desaparecer. La Iglesia habíase ido infiltrando como único poder consistente a los ojos de los bárbaros y Roma pasó a ser de la ciudad de los Emperadores a la ciudad de los Papas. Roma legó a la Iglesia sus cuadros administrativos y mantuvo la civilización clásica.</w:t>
      </w:r>
    </w:p>
    <w:p w14:paraId="54712CE2" w14:textId="77777777" w:rsidR="001925CE" w:rsidRPr="000D3432" w:rsidRDefault="001925CE" w:rsidP="00A95498">
      <w:pPr>
        <w:ind w:firstLine="426"/>
        <w:jc w:val="both"/>
        <w:rPr>
          <w:rFonts w:asciiTheme="minorHAnsi" w:hAnsiTheme="minorHAnsi"/>
          <w:szCs w:val="24"/>
        </w:rPr>
      </w:pPr>
    </w:p>
    <w:p w14:paraId="14D3B46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iglesia, con el papado, había tomado fuerza, y su poder -derivado de la divinidad- era la justificante jurídica que legímitaba su accionar. El poder que la Iglesia ejerció, la podemos observar por el lente de la historia que nos relata cómo antaño el saber dominante era la Teología, luego en un nivel subyacente venía la Filosofía y más abajo aún, venía el Derecho; por lo tanto el concepto de Derecho derivaba exclusivamente de cómo se  tomaba a la Teología y cuales eran sus lineamientos valorativos, de manera que las leyes humanas eran determinaciones de la ley natural. </w:t>
      </w:r>
    </w:p>
    <w:p w14:paraId="18BC3573" w14:textId="77777777" w:rsidR="001925CE" w:rsidRPr="000D3432" w:rsidRDefault="001925CE" w:rsidP="00A95498">
      <w:pPr>
        <w:ind w:firstLine="426"/>
        <w:jc w:val="both"/>
        <w:rPr>
          <w:rFonts w:asciiTheme="minorHAnsi" w:hAnsiTheme="minorHAnsi"/>
          <w:szCs w:val="24"/>
        </w:rPr>
      </w:pPr>
    </w:p>
    <w:p w14:paraId="075B3D7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Los Papas habíanse apropiado del poder, monopolizándolo espiritual y materialmente, con lo que comercializaron el perdón de los pecados y la salvación divina. Fundamentaban su poder en el "hecho divino"  de ser -decían- los elegidos de Dios como sus representantes en la tierra, y a través de los cuales la tierra iba a recibir su justicia, por eso tenían el derecho de ejercer el poder(19). Esta idea era la primera doctrina del origen divino del poder, por lo que el poder iba directamente de Dios al Papa. El ritual de transferencia del poder consistía en que los Papas </w:t>
      </w:r>
      <w:r w:rsidRPr="000D3432">
        <w:rPr>
          <w:rFonts w:asciiTheme="minorHAnsi" w:hAnsiTheme="minorHAnsi"/>
          <w:szCs w:val="24"/>
        </w:rPr>
        <w:noBreakHyphen/>
        <w:t>como en los cuentos y películas de caballería</w:t>
      </w:r>
      <w:r w:rsidRPr="000D3432">
        <w:rPr>
          <w:rFonts w:asciiTheme="minorHAnsi" w:hAnsiTheme="minorHAnsi"/>
          <w:szCs w:val="24"/>
        </w:rPr>
        <w:noBreakHyphen/>
        <w:t xml:space="preserve"> homologaban el poder de un emperador por medio de una espada que colocaban sobre sus hombros; la espada representaba al poder espiritual que Dios les había dado a los Papas, y estos transferían este poder a los emperadores. Recién allí los reyes eran reconocidos en su poder. Recién allí, podrían ejercer su potestad sobre los hombres. Un reconocimiento oficial, una legitimación jurídica.</w:t>
      </w:r>
    </w:p>
    <w:p w14:paraId="5250E886" w14:textId="77777777" w:rsidR="001925CE" w:rsidRPr="000D3432" w:rsidRDefault="001925CE" w:rsidP="00A95498">
      <w:pPr>
        <w:ind w:firstLine="426"/>
        <w:jc w:val="both"/>
        <w:rPr>
          <w:rFonts w:asciiTheme="minorHAnsi" w:hAnsiTheme="minorHAnsi"/>
          <w:szCs w:val="24"/>
        </w:rPr>
      </w:pPr>
    </w:p>
    <w:p w14:paraId="04F539A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¿Que hacía que los hombres creyeran en esta transmisión del poder de Dios a los papas? Una de las razones puede ser la enorme habilidad para convencer de estos individuos; otra, la necesidad de los hombres de creer en algo, de aferrarse a algo, de vivir de acuerdo a cierta certeza que permita el orden; otra, la esperanza de la recompensa -resurrección, vida eterna, paraíso- , osea de una vida mejor en el futuro. </w:t>
      </w:r>
    </w:p>
    <w:p w14:paraId="4EB2188E" w14:textId="77777777" w:rsidR="001925CE" w:rsidRPr="000D3432" w:rsidRDefault="001925CE" w:rsidP="00A95498">
      <w:pPr>
        <w:ind w:firstLine="426"/>
        <w:jc w:val="both"/>
        <w:rPr>
          <w:rFonts w:asciiTheme="minorHAnsi" w:hAnsiTheme="minorHAnsi"/>
          <w:szCs w:val="24"/>
        </w:rPr>
      </w:pPr>
    </w:p>
    <w:p w14:paraId="2164EBB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vida enormemente difícil y trabajosa, creó en el hombre un recoveco, hueco, nido, un deseo de felicidad, y ya que se sabía muy lejana e improbable en la vida terrenal, los religiosos crearon otra vida, la de Dios, el paraíso. Esta era la esperanza que los curas les vendieron a la gente. El paraíso a cambio de su conversión y de su dinero, además de su sumisión al único e indiscutible Dios del mundo y del universo, con exclusividad absoluta.</w:t>
      </w:r>
    </w:p>
    <w:p w14:paraId="37B35CB7" w14:textId="77777777" w:rsidR="001925CE" w:rsidRPr="000D3432" w:rsidRDefault="001925CE" w:rsidP="00A95498">
      <w:pPr>
        <w:ind w:firstLine="426"/>
        <w:jc w:val="both"/>
        <w:rPr>
          <w:rFonts w:asciiTheme="minorHAnsi" w:hAnsiTheme="minorHAnsi"/>
          <w:szCs w:val="24"/>
        </w:rPr>
      </w:pPr>
    </w:p>
    <w:p w14:paraId="76F8A9C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La propuesta religiosa cristiana tenía, tiene, una alucinante forma de encerrar a los hombres en sus fundamentos, y decirles, irónicamente: "elijan". Endulzaban y acaramelaban la "nueva vida", llenándolas de ideas como “felicidad”, “vida eterna”, “salvación”, “amor”, “igualdad”, etc, todos alicientes perfectos para atrapar a la presa: el fiel creyente, que luego convertían en una relación de dominio legitimado y jurídico.</w:t>
      </w:r>
    </w:p>
    <w:p w14:paraId="3C961434" w14:textId="77777777" w:rsidR="001925CE" w:rsidRPr="000D3432" w:rsidRDefault="001925CE" w:rsidP="00A95498">
      <w:pPr>
        <w:ind w:firstLine="426"/>
        <w:jc w:val="both"/>
        <w:rPr>
          <w:rFonts w:asciiTheme="minorHAnsi" w:hAnsiTheme="minorHAnsi"/>
          <w:szCs w:val="24"/>
        </w:rPr>
      </w:pPr>
    </w:p>
    <w:p w14:paraId="6491F1B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astucia de la iglesia fue asombrosa; su  influencia emanaba de una propuesta concreta, como ventanas de fuga del martirio y dolor presentes. La Iglesia enviaba la imposición de la creencia en Dios y la justificaba en la salvación, en la vida eterna. Mandaba como mandamiento universal  dos condiciones de vida: Dios, o la muerte; la resurrección en Dios o la muerte en el pecado. Era una propuesta con “trampita”, como poniendo al hombre entre la espada y la pared.</w:t>
      </w:r>
    </w:p>
    <w:p w14:paraId="4DF31016" w14:textId="77777777" w:rsidR="001925CE" w:rsidRPr="000D3432" w:rsidRDefault="001925CE" w:rsidP="00A95498">
      <w:pPr>
        <w:ind w:firstLine="426"/>
        <w:jc w:val="both"/>
        <w:rPr>
          <w:rFonts w:asciiTheme="minorHAnsi" w:hAnsiTheme="minorHAnsi"/>
          <w:szCs w:val="24"/>
        </w:rPr>
      </w:pPr>
    </w:p>
    <w:p w14:paraId="00BCF99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entrampamiento de la libertad de elección era aplastante. La iglesia deslizó la idea de que el hombre podía elegir, pero sólo una era la elección correcta: Dios. Todo acto contrario equivalía al infierno. No había escapatoria. Así para asumir una de las opciones -la salvación en Dios, o la condena en el infierno- era necesario condenarse o a la vida eterna y las restricciones que ello significaba, o al eterno castigo.</w:t>
      </w:r>
    </w:p>
    <w:p w14:paraId="6CBF7795" w14:textId="77777777" w:rsidR="001925CE" w:rsidRPr="000D3432" w:rsidRDefault="001925CE" w:rsidP="00A95498">
      <w:pPr>
        <w:ind w:firstLine="426"/>
        <w:jc w:val="both"/>
        <w:rPr>
          <w:rFonts w:asciiTheme="minorHAnsi" w:hAnsiTheme="minorHAnsi"/>
          <w:szCs w:val="24"/>
        </w:rPr>
      </w:pPr>
    </w:p>
    <w:p w14:paraId="085B80A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iglesia construía la evidente y clara fórmula para llegar a ser lo que no somos, y nos imponía la idea y la acción de ser lo que "Dios", -el poder- quiere que seamos, no importaba lo que seamos, sino lo que deseaban que fuéramos. Errar, equivocarse era equivalente a no seguir a Dios, y se infiltró el prejuicio de que el error -no seguir la línea de Dios- era lo más vil e inhumano, y por consecuencia digno de castigo.</w:t>
      </w:r>
    </w:p>
    <w:p w14:paraId="39632683" w14:textId="77777777" w:rsidR="001925CE" w:rsidRPr="000D3432" w:rsidRDefault="001925CE" w:rsidP="00A95498">
      <w:pPr>
        <w:ind w:firstLine="426"/>
        <w:jc w:val="both"/>
        <w:rPr>
          <w:rFonts w:asciiTheme="minorHAnsi" w:hAnsiTheme="minorHAnsi"/>
          <w:szCs w:val="24"/>
        </w:rPr>
      </w:pPr>
    </w:p>
    <w:p w14:paraId="2BC9510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Falta una observación, Por ejemplo, si te dijeran: "te ofrezco la vida eterna en el paraíso, o el castigo eterno en el infierno, sólo una de esas dos opciones, no otra tercera, ninguna más" ¿cuál elegirías? La respuesta es obvia. Es precisamente esa la forma que aplicaron en el reino del papado para imponer a Dios. Aceptar la primera opción significa someterse, caminar por los caminos que ya te han hecho, coger tu vista y taparla con un trapo, caminar a ciegas, por fe, esperanza, resignación, o qué sé yo.  Y si eliges la segunda opción significa someterte a las consecuencias, esto indica que tendrás que hacer tu propio camino, que tendrás que aventurarte, que tendrás que elegir tú mismo lo que puedes o no puedes hacer, mejor dicho que tendrás que formarte tu propio criterio, tu propio mundo, tu propia visión, y por consiguiente ser tú mismo tu propio creador, que por supuesto la Iglesia no permitía.</w:t>
      </w:r>
    </w:p>
    <w:p w14:paraId="65352592" w14:textId="77777777" w:rsidR="001925CE" w:rsidRPr="000D3432" w:rsidRDefault="001925CE" w:rsidP="00A95498">
      <w:pPr>
        <w:ind w:firstLine="426"/>
        <w:jc w:val="both"/>
        <w:rPr>
          <w:rFonts w:asciiTheme="minorHAnsi" w:hAnsiTheme="minorHAnsi"/>
          <w:szCs w:val="24"/>
        </w:rPr>
      </w:pPr>
    </w:p>
    <w:p w14:paraId="42EF313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los hombres hemos tenido el instinto natural, pero generalmente reprimido por algún concepto impuesto por el poder, de seguir nuestros deseos, que han sido bloqueados y atrofiados siempre.</w:t>
      </w:r>
    </w:p>
    <w:p w14:paraId="6D3F3F3A" w14:textId="77777777" w:rsidR="001925CE" w:rsidRPr="000D3432" w:rsidRDefault="001925CE" w:rsidP="00A95498">
      <w:pPr>
        <w:ind w:firstLine="426"/>
        <w:jc w:val="both"/>
        <w:rPr>
          <w:rFonts w:asciiTheme="minorHAnsi" w:hAnsiTheme="minorHAnsi"/>
          <w:szCs w:val="24"/>
        </w:rPr>
      </w:pPr>
    </w:p>
    <w:p w14:paraId="2E697BC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Papado se presentaba como poder proveniente de una entidad superior, omnipresente, omnisciente, que todo lo ve, que todo lo puede; que justificaba de </w:t>
      </w:r>
      <w:r w:rsidRPr="000D3432">
        <w:rPr>
          <w:rFonts w:asciiTheme="minorHAnsi" w:hAnsiTheme="minorHAnsi"/>
          <w:szCs w:val="24"/>
        </w:rPr>
        <w:lastRenderedPageBreak/>
        <w:t>por qué el poder no lo tiene el hombre por su propio esfuerzo, sino por la gracia divina; teoría muy hábilmente usada por los Papas para tener acceso y perpetuarse en el poder.</w:t>
      </w:r>
    </w:p>
    <w:p w14:paraId="1FBE1D65" w14:textId="77777777" w:rsidR="001925CE" w:rsidRPr="000D3432" w:rsidRDefault="001925CE" w:rsidP="00A95498">
      <w:pPr>
        <w:ind w:firstLine="426"/>
        <w:jc w:val="both"/>
        <w:rPr>
          <w:rFonts w:asciiTheme="minorHAnsi" w:hAnsiTheme="minorHAnsi"/>
          <w:szCs w:val="24"/>
        </w:rPr>
      </w:pPr>
    </w:p>
    <w:p w14:paraId="5B7A639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reinado del Papado proponía que Dios era la fuente del Poder, el resto -argumentaban- era simple delegación, homologación, interpretación, vínculos entre la divinidad y la concesión del poder en la tierra. Luego el Derecho se conformaba de acuerdo a esta teoría.</w:t>
      </w:r>
    </w:p>
    <w:p w14:paraId="014B5EAB" w14:textId="77777777" w:rsidR="001925CE" w:rsidRPr="000D3432" w:rsidRDefault="001925CE" w:rsidP="00A95498">
      <w:pPr>
        <w:jc w:val="both"/>
        <w:rPr>
          <w:rFonts w:asciiTheme="minorHAnsi" w:hAnsiTheme="minorHAnsi"/>
          <w:szCs w:val="24"/>
        </w:rPr>
      </w:pPr>
    </w:p>
    <w:p w14:paraId="437B6C2F" w14:textId="77777777" w:rsidR="001925CE" w:rsidRPr="000D3432" w:rsidRDefault="001925CE" w:rsidP="00A95498">
      <w:pPr>
        <w:keepNext/>
        <w:jc w:val="both"/>
        <w:rPr>
          <w:rFonts w:asciiTheme="minorHAnsi" w:hAnsiTheme="minorHAnsi"/>
          <w:b/>
          <w:i/>
          <w:szCs w:val="24"/>
        </w:rPr>
      </w:pPr>
      <w:r w:rsidRPr="000D3432">
        <w:rPr>
          <w:rFonts w:asciiTheme="minorHAnsi" w:hAnsiTheme="minorHAnsi"/>
          <w:b/>
          <w:i/>
          <w:szCs w:val="24"/>
        </w:rPr>
        <w:t>2) Derecho divino de los Reyes</w:t>
      </w:r>
    </w:p>
    <w:p w14:paraId="70F22B67" w14:textId="77777777" w:rsidR="001925CE" w:rsidRPr="000D3432" w:rsidRDefault="001925CE" w:rsidP="00A95498">
      <w:pPr>
        <w:ind w:firstLine="425"/>
        <w:jc w:val="both"/>
        <w:rPr>
          <w:rFonts w:asciiTheme="minorHAnsi" w:hAnsiTheme="minorHAnsi"/>
          <w:szCs w:val="24"/>
        </w:rPr>
      </w:pPr>
    </w:p>
    <w:p w14:paraId="1577FC0A"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La teoría del derecho divino de los reyes fue una hábil estrategia utilizada por los reyes -captando la tonalidad de su tiempo- también para justificar, proteger y expandir su poder.</w:t>
      </w:r>
    </w:p>
    <w:p w14:paraId="370CDB95" w14:textId="77777777" w:rsidR="001925CE" w:rsidRPr="000D3432" w:rsidRDefault="001925CE" w:rsidP="00A95498">
      <w:pPr>
        <w:ind w:firstLine="426"/>
        <w:jc w:val="both"/>
        <w:rPr>
          <w:rFonts w:asciiTheme="minorHAnsi" w:hAnsiTheme="minorHAnsi"/>
          <w:szCs w:val="24"/>
        </w:rPr>
      </w:pPr>
    </w:p>
    <w:p w14:paraId="0350B5B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mundo occidental había aceptado la jerarquía del poder en cuya cima se hallaba, como principio máximo, Dios, o la teología. Era necesario ir con la corriente ideológica de los tiempos, aprovechar los ríos sociológicos del poder; si la gente creía en el poder como una exclusiva facultad de Dios, era menester que él, Dios, y sólo él pudiera delegarla (el poder). Esta idea de delegación e intermediación la sembraron los religiosos, que pretendieron ser puentes entre el pueblo y Dios. </w:t>
      </w:r>
    </w:p>
    <w:p w14:paraId="4A57744F" w14:textId="77777777" w:rsidR="001925CE" w:rsidRPr="000D3432" w:rsidRDefault="001925CE" w:rsidP="00A95498">
      <w:pPr>
        <w:ind w:firstLine="426"/>
        <w:jc w:val="both"/>
        <w:rPr>
          <w:rFonts w:asciiTheme="minorHAnsi" w:hAnsiTheme="minorHAnsi"/>
          <w:szCs w:val="24"/>
        </w:rPr>
      </w:pPr>
    </w:p>
    <w:p w14:paraId="1815E43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Así que los reyes, para ejercer su poder necesitaban, como elemento constitutivo, del reconocimiento, homologación de la iglesia -para ser aceptados por toda esa sociedad imbuida de religiosidad-, lo que les restaba autonomía, independencia absoluta de cualquier otro poder. Era necesario desligarse del hilo homologador que restaba poder a los reyes, eliminar los obstáculos del reconocimiento del poder y de su legitimidad que permitiera su vigencia, desencadenarse de las cadenas que hacían a los reyes necesitar de otro poder, además de asegurar el poder mediante la herencia y no la homologación de la iglesia.</w:t>
      </w:r>
    </w:p>
    <w:p w14:paraId="1AE05FC8" w14:textId="77777777" w:rsidR="001925CE" w:rsidRPr="000D3432" w:rsidRDefault="001925CE" w:rsidP="00A95498">
      <w:pPr>
        <w:ind w:firstLine="426"/>
        <w:jc w:val="both"/>
        <w:rPr>
          <w:rFonts w:asciiTheme="minorHAnsi" w:hAnsiTheme="minorHAnsi"/>
          <w:szCs w:val="24"/>
        </w:rPr>
      </w:pPr>
    </w:p>
    <w:p w14:paraId="2CC73AA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todo lo anterior, los reyes mediante una nueva teoría se emanciparían del poder y exigencia de homologación de los Papas. Era la teoría absoluta de los Estuardo, los reyes absolutos de Inglaterra, por la cual Dios derivaba su poder a la dinastía. Así los reyes se liberarán de la necesidad de ser homologados o coronados por los papas y aseguraban el reinado de sus hijos por medio de la herencia. El poder divino de ahora en adelante iría directamente de Dios a los Reyes y a su dinastía. Con esto el Papa no podía desconocer, homologar, ni coronar los nacimientos. Surge algo así como la dictadura del nacimiento, y el afianzamiento del poder en una sola estirpe. </w:t>
      </w:r>
    </w:p>
    <w:p w14:paraId="7222A91B" w14:textId="77777777" w:rsidR="001925CE" w:rsidRPr="000D3432" w:rsidRDefault="001925CE" w:rsidP="00A95498">
      <w:pPr>
        <w:ind w:firstLine="426"/>
        <w:jc w:val="both"/>
        <w:rPr>
          <w:rFonts w:asciiTheme="minorHAnsi" w:hAnsiTheme="minorHAnsi"/>
          <w:szCs w:val="24"/>
        </w:rPr>
      </w:pPr>
    </w:p>
    <w:p w14:paraId="36BE5BB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Desde ese momento el azar -ser hijo de reyes- era suficiente justificación divina para la continuidad en el poder, ya no ser homologado por Papas, sino ser hijo de reyes. De esta forma los reyes creían -o les convenía creer y hacer creer- que Dios los había elegido como gobernantes.</w:t>
      </w:r>
    </w:p>
    <w:p w14:paraId="3FD1F691" w14:textId="77777777" w:rsidR="001925CE" w:rsidRPr="000D3432" w:rsidRDefault="001925CE" w:rsidP="00A95498">
      <w:pPr>
        <w:ind w:firstLine="426"/>
        <w:jc w:val="both"/>
        <w:rPr>
          <w:rFonts w:asciiTheme="minorHAnsi" w:hAnsiTheme="minorHAnsi"/>
          <w:szCs w:val="24"/>
        </w:rPr>
      </w:pPr>
    </w:p>
    <w:p w14:paraId="74ECE62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Esta fue la manera cómo el Rey iba despojándose de las ataduras que le impedían gobernar y permanecer en el poder. Antes de esto:</w:t>
      </w:r>
    </w:p>
    <w:p w14:paraId="3F4638F7"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"La autoridad del rey era una autoridad vacilante, es  decir, no era absoluta ni central; esa autoridad se hallaba contrapesada por otras muchas instituciones que podían levantar la cabeza frente al rey; entre estas instituciones estaban las Ordenes de la Caballería, la Iglesia, los obispados, las ciudades libres y las tierras de señorío. Había grandes señores, y como en esa época no había ejércitos permanentes, cada señor tenía su ejército, y el rey necesitaba de ellos para poder hacer la guerra, de modo que en ciertas circunstancias, si los señores se ponían de acuerdo, la autoridad del rey se convertía casi en un mito, en una cosa nominal."</w:t>
      </w:r>
      <w:r w:rsidRPr="000D3432">
        <w:rPr>
          <w:rStyle w:val="Refdenotaalpie"/>
          <w:rFonts w:asciiTheme="minorHAnsi" w:hAnsiTheme="minorHAnsi"/>
          <w:sz w:val="24"/>
          <w:szCs w:val="24"/>
          <w:vertAlign w:val="superscript"/>
        </w:rPr>
        <w:footnoteReference w:id="141"/>
      </w:r>
    </w:p>
    <w:p w14:paraId="04042AA2" w14:textId="77777777" w:rsidR="001925CE" w:rsidRPr="000D3432" w:rsidRDefault="001925CE" w:rsidP="00A95498">
      <w:pPr>
        <w:ind w:firstLine="426"/>
        <w:jc w:val="both"/>
        <w:rPr>
          <w:rFonts w:asciiTheme="minorHAnsi" w:hAnsiTheme="minorHAnsi"/>
          <w:szCs w:val="24"/>
        </w:rPr>
      </w:pPr>
    </w:p>
    <w:p w14:paraId="2EE4469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Una nueva era había empezado, producto de la ruptura entre el papado y los reyes. Entre la iglesia y la corona.</w:t>
      </w:r>
    </w:p>
    <w:p w14:paraId="06750279" w14:textId="77777777" w:rsidR="001925CE" w:rsidRPr="000D3432" w:rsidRDefault="001925CE" w:rsidP="00A95498">
      <w:pPr>
        <w:tabs>
          <w:tab w:val="left" w:pos="-1440"/>
        </w:tabs>
        <w:jc w:val="both"/>
        <w:rPr>
          <w:rFonts w:asciiTheme="minorHAnsi" w:hAnsiTheme="minorHAnsi"/>
          <w:b/>
          <w:szCs w:val="24"/>
        </w:rPr>
      </w:pPr>
    </w:p>
    <w:p w14:paraId="51EC99D9" w14:textId="77777777" w:rsidR="001925CE" w:rsidRPr="000D3432" w:rsidRDefault="001925CE" w:rsidP="00A95498">
      <w:pPr>
        <w:tabs>
          <w:tab w:val="left" w:pos="-1440"/>
        </w:tabs>
        <w:jc w:val="both"/>
        <w:rPr>
          <w:rFonts w:asciiTheme="minorHAnsi" w:hAnsiTheme="minorHAnsi"/>
          <w:szCs w:val="24"/>
        </w:rPr>
      </w:pPr>
      <w:r w:rsidRPr="000D3432">
        <w:rPr>
          <w:rFonts w:asciiTheme="minorHAnsi" w:hAnsiTheme="minorHAnsi"/>
          <w:b/>
          <w:szCs w:val="24"/>
        </w:rPr>
        <w:t>b.- Poder humano</w:t>
      </w:r>
    </w:p>
    <w:p w14:paraId="7CD6F504" w14:textId="77777777" w:rsidR="001925CE" w:rsidRPr="000D3432" w:rsidRDefault="001925CE" w:rsidP="00A95498">
      <w:pPr>
        <w:ind w:firstLine="426"/>
        <w:jc w:val="both"/>
        <w:rPr>
          <w:rFonts w:asciiTheme="minorHAnsi" w:hAnsiTheme="minorHAnsi"/>
          <w:szCs w:val="24"/>
        </w:rPr>
      </w:pPr>
    </w:p>
    <w:p w14:paraId="5D829CD4" w14:textId="77777777" w:rsidR="001925CE" w:rsidRPr="000D3432" w:rsidRDefault="001925CE" w:rsidP="00A95498">
      <w:pPr>
        <w:ind w:firstLine="426"/>
        <w:jc w:val="both"/>
        <w:rPr>
          <w:rFonts w:asciiTheme="minorHAnsi" w:hAnsiTheme="minorHAnsi"/>
          <w:b/>
          <w:szCs w:val="24"/>
        </w:rPr>
      </w:pPr>
      <w:r w:rsidRPr="000D3432">
        <w:rPr>
          <w:rFonts w:asciiTheme="minorHAnsi" w:hAnsiTheme="minorHAnsi"/>
          <w:szCs w:val="24"/>
        </w:rPr>
        <w:t>Este fenómeno supone el rompimiento del poder Divino como eje supremo para acceder al Poder y al Derecho, y es el nacimiento de la modernidad, del principio moderno, que tiene como centro al hombre. Según esta concepción el Poder y el Derecho vienen del hombre.</w:t>
      </w:r>
    </w:p>
    <w:p w14:paraId="76C74CF3" w14:textId="77777777" w:rsidR="001925CE" w:rsidRPr="000D3432" w:rsidRDefault="001925CE" w:rsidP="00A95498">
      <w:pPr>
        <w:jc w:val="both"/>
        <w:rPr>
          <w:rFonts w:asciiTheme="minorHAnsi" w:hAnsiTheme="minorHAnsi"/>
          <w:b/>
          <w:szCs w:val="24"/>
        </w:rPr>
      </w:pPr>
    </w:p>
    <w:p w14:paraId="56E0019C" w14:textId="77777777" w:rsidR="001925CE" w:rsidRPr="000D3432" w:rsidRDefault="001925CE" w:rsidP="00A95498">
      <w:pPr>
        <w:jc w:val="both"/>
        <w:rPr>
          <w:rFonts w:asciiTheme="minorHAnsi" w:hAnsiTheme="minorHAnsi"/>
          <w:b/>
          <w:i/>
          <w:szCs w:val="24"/>
        </w:rPr>
      </w:pPr>
      <w:r w:rsidRPr="000D3432">
        <w:rPr>
          <w:rFonts w:asciiTheme="minorHAnsi" w:hAnsiTheme="minorHAnsi"/>
          <w:b/>
          <w:i/>
          <w:szCs w:val="24"/>
        </w:rPr>
        <w:t xml:space="preserve">1) La Teoría del Contrato </w:t>
      </w:r>
    </w:p>
    <w:p w14:paraId="6AAA96E9" w14:textId="77777777" w:rsidR="001925CE" w:rsidRPr="000D3432" w:rsidRDefault="001925CE" w:rsidP="00A95498">
      <w:pPr>
        <w:ind w:firstLine="426"/>
        <w:jc w:val="both"/>
        <w:rPr>
          <w:rFonts w:asciiTheme="minorHAnsi" w:hAnsiTheme="minorHAnsi"/>
          <w:szCs w:val="24"/>
        </w:rPr>
      </w:pPr>
    </w:p>
    <w:p w14:paraId="2D6C4F4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contrato de los hombres como fuente del poder y del Derecho, es asumido por el temor a la guerra y al caos. Según Hobbes -parafraseado por Grondona- sostiene que: </w:t>
      </w:r>
    </w:p>
    <w:p w14:paraId="2F2AEA9B"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el poder proviene de un contrato entre los hombres que aterrados ante la guerra civil, deciden que alguien mande sin limitación legal. Es que los hombres consideran mejor la dictadura de uno solo que la dictadura de todos. El orden es el valor más elemental de una sociedad, es como respirar. Cuando hay orden, uno se olvida que lo hay. Cuando no hay orden, hacemos cualquier cosa por restituirlo."(...) "Hay algo peor que el despotismo: la anarquía."</w:t>
      </w:r>
      <w:r w:rsidRPr="000D3432">
        <w:rPr>
          <w:rStyle w:val="Refdenotaalpie"/>
          <w:rFonts w:asciiTheme="minorHAnsi" w:hAnsiTheme="minorHAnsi"/>
          <w:sz w:val="24"/>
          <w:szCs w:val="24"/>
          <w:vertAlign w:val="superscript"/>
        </w:rPr>
        <w:footnoteReference w:id="142"/>
      </w:r>
    </w:p>
    <w:p w14:paraId="1C77078A" w14:textId="77777777" w:rsidR="001925CE" w:rsidRPr="000D3432" w:rsidRDefault="001925CE" w:rsidP="00A95498">
      <w:pPr>
        <w:ind w:firstLine="426"/>
        <w:jc w:val="both"/>
        <w:rPr>
          <w:rFonts w:asciiTheme="minorHAnsi" w:hAnsiTheme="minorHAnsi"/>
          <w:szCs w:val="24"/>
        </w:rPr>
      </w:pPr>
    </w:p>
    <w:p w14:paraId="1D68FAB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miedo al caos total, a la imposición de la ley de la selva urbana hace que los hombres cedan parte de su libertad para, por intermedio de un contrato, gozar de orden, seguridad y certidumbre. El miedo a la anarquía es mayor al de la dictadura.</w:t>
      </w:r>
    </w:p>
    <w:p w14:paraId="5F665607" w14:textId="77777777" w:rsidR="001925CE" w:rsidRPr="000D3432" w:rsidRDefault="001925CE" w:rsidP="00A95498">
      <w:pPr>
        <w:ind w:firstLine="426"/>
        <w:jc w:val="both"/>
        <w:rPr>
          <w:rFonts w:asciiTheme="minorHAnsi" w:hAnsiTheme="minorHAnsi"/>
          <w:szCs w:val="24"/>
        </w:rPr>
      </w:pPr>
    </w:p>
    <w:p w14:paraId="73FF42C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anarquía significaba, para estos hombres, una sociedad en desorden total, en la cual nadie podría tener la mínima seguridad de que se respetaran sus derechos e intereses. Una concepción muy distinta a la que nos sugiere Manuel González Prada, que formulaba a la anarquía como la independencia del hombre </w:t>
      </w:r>
      <w:r w:rsidRPr="000D3432">
        <w:rPr>
          <w:rFonts w:asciiTheme="minorHAnsi" w:hAnsiTheme="minorHAnsi"/>
          <w:szCs w:val="24"/>
        </w:rPr>
        <w:lastRenderedPageBreak/>
        <w:t>de órdenes sociales, limitativos y frustrantes de la inventiva humana. González Prada pensaba por anarquía, a la capacidad del hombre de autogobernarse, de ser responsable de sus actos.</w:t>
      </w:r>
    </w:p>
    <w:p w14:paraId="22B2A0C5" w14:textId="77777777" w:rsidR="001925CE" w:rsidRPr="000D3432" w:rsidRDefault="001925CE" w:rsidP="00A95498">
      <w:pPr>
        <w:ind w:firstLine="426"/>
        <w:jc w:val="both"/>
        <w:rPr>
          <w:rFonts w:asciiTheme="minorHAnsi" w:hAnsiTheme="minorHAnsi"/>
          <w:szCs w:val="24"/>
        </w:rPr>
      </w:pPr>
    </w:p>
    <w:p w14:paraId="39CE676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anarquía, para otros, era como la placenta del caos; no era conveniente a los intereses permanentes de propiedad y poder. Distanciada del sentido que Prada proponía, exaltando la reivindicación de un autogobierno, de fuerza individual y propia de los hombres capaces, inteligentes e independientes.</w:t>
      </w:r>
    </w:p>
    <w:p w14:paraId="3E62B3D6" w14:textId="77777777" w:rsidR="001925CE" w:rsidRPr="000D3432" w:rsidRDefault="001925CE" w:rsidP="00A95498">
      <w:pPr>
        <w:ind w:firstLine="426"/>
        <w:jc w:val="both"/>
        <w:rPr>
          <w:rFonts w:asciiTheme="minorHAnsi" w:hAnsiTheme="minorHAnsi"/>
          <w:szCs w:val="24"/>
        </w:rPr>
      </w:pPr>
    </w:p>
    <w:p w14:paraId="6B9A008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 el contrato hay toda una regeneración, convulsión, replanteamiento total del origen del poder. La inmanente necesidad del orden, las luchas de poder pervierten el orden anterior y dan luz a un nuevo engendro: el contrato social. Es la partida de nacimiento de la nueva sociedad en donde los monarcas son mostrados, trayendo el pensamiento de Hobbes, como déspotas y crueles que venían a poner orden con cuchillo, por lo que Hobbes propone el Contrato.</w:t>
      </w:r>
    </w:p>
    <w:p w14:paraId="0E12B7C0" w14:textId="77777777" w:rsidR="001925CE" w:rsidRPr="000D3432" w:rsidRDefault="001925CE" w:rsidP="00A95498">
      <w:pPr>
        <w:ind w:firstLine="426"/>
        <w:jc w:val="both"/>
        <w:rPr>
          <w:rFonts w:asciiTheme="minorHAnsi" w:hAnsiTheme="minorHAnsi"/>
          <w:szCs w:val="24"/>
        </w:rPr>
      </w:pPr>
    </w:p>
    <w:p w14:paraId="7F1FF48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Hay desde allí un giro en la concepción del orden jurídico, una nueva concepción de cómo debe y debería ser la estructura social, política y jurídica. </w:t>
      </w:r>
    </w:p>
    <w:p w14:paraId="07F4A63B" w14:textId="77777777" w:rsidR="001925CE" w:rsidRPr="000D3432" w:rsidRDefault="001925CE" w:rsidP="00A95498">
      <w:pPr>
        <w:ind w:firstLine="426"/>
        <w:jc w:val="both"/>
        <w:rPr>
          <w:rFonts w:asciiTheme="minorHAnsi" w:hAnsiTheme="minorHAnsi"/>
          <w:szCs w:val="24"/>
        </w:rPr>
      </w:pPr>
    </w:p>
    <w:p w14:paraId="4F99C82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nuevo replanteamiento del orden jurídico hace que el poder -como facultad proveniente de la divinidad, (Dios), de la naturaleza- sea negado, y nace la idea del contrato como el nuevo y mejor orden para el gobierno de las sociedades. El poder, desde ese momento sólo se podría obtener a través del Contrato,</w:t>
      </w:r>
    </w:p>
    <w:p w14:paraId="599F5149"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"Este giro de Dios al contrato será fundamental para el liberalismo. El origen del poder ya no es místico. No proviene de la naturaleza </w:t>
      </w:r>
      <w:r w:rsidRPr="000D3432">
        <w:rPr>
          <w:rFonts w:asciiTheme="minorHAnsi" w:hAnsiTheme="minorHAnsi"/>
          <w:sz w:val="24"/>
          <w:szCs w:val="24"/>
        </w:rPr>
        <w:noBreakHyphen/>
        <w:t>como decía Aristóteles</w:t>
      </w:r>
      <w:r w:rsidRPr="000D3432">
        <w:rPr>
          <w:rFonts w:asciiTheme="minorHAnsi" w:hAnsiTheme="minorHAnsi"/>
          <w:sz w:val="24"/>
          <w:szCs w:val="24"/>
        </w:rPr>
        <w:noBreakHyphen/>
        <w:t xml:space="preserve"> ni de Dios a través de la Iglesia o a través del Rey. En Locke, el contrato lo hacen hombres libres y racionales para fundar un poder limitado; el origen del poder somos nosotros mismos. "Tú tienes tanto poder cuanto yo te he dado." Lo que hay en el origen de la sociedad es el poder que yo tengo sobre mi mismo. Cada uno de nosotros tiene un poder soberano, y entre todos decidimos fundar un poder que nunca tendrá más prerrogativas que aquellas que le hayamos dado. En Locke se humaniza la idea del poder, se hace secular y "moderna". Ya no hay elementos religiosos ni despóticos en el poder. Lo que hay es el derecho de cada hombre, que cede libremente cierto poder a un gobierno para que garantice la vida en sociedad."</w:t>
      </w:r>
      <w:r w:rsidRPr="000D3432">
        <w:rPr>
          <w:rStyle w:val="Refdenotaalpie"/>
          <w:rFonts w:asciiTheme="minorHAnsi" w:hAnsiTheme="minorHAnsi"/>
          <w:sz w:val="24"/>
          <w:szCs w:val="24"/>
          <w:vertAlign w:val="superscript"/>
        </w:rPr>
        <w:footnoteReference w:id="143"/>
      </w:r>
    </w:p>
    <w:p w14:paraId="4FFE394E" w14:textId="77777777" w:rsidR="001925CE" w:rsidRPr="000D3432" w:rsidRDefault="001925CE" w:rsidP="00A95498">
      <w:pPr>
        <w:ind w:firstLine="426"/>
        <w:jc w:val="both"/>
        <w:rPr>
          <w:rFonts w:asciiTheme="minorHAnsi" w:hAnsiTheme="minorHAnsi"/>
          <w:szCs w:val="24"/>
        </w:rPr>
      </w:pPr>
    </w:p>
    <w:p w14:paraId="66E952B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Locke pretende demostrar, con un viso alentador e idealista, que lo mejor era entregar el poder en manos de todos, imponiendo un nuevo y suculento orden en donde todos, por voluntad propia -según la teoría- podrían elegir el tipo de gobernante y la clase de gobierno que quisieran se imponga en la sociedad en la cual viven, sometiéndose a la voluntad de la mayoría y a sus límites. La alternativa parece subyugante y razonable, los planteamientos teóricos bien argumentados, la estrategia de delegación aritmética, el cálculo de la mayoría aparentemente más equilibrado ¿qué podría fallar? La falla la </w:t>
      </w:r>
      <w:r w:rsidRPr="000D3432">
        <w:rPr>
          <w:rFonts w:asciiTheme="minorHAnsi" w:hAnsiTheme="minorHAnsi"/>
          <w:szCs w:val="24"/>
        </w:rPr>
        <w:lastRenderedPageBreak/>
        <w:t>hallaríamos en el propio hombre -si se concibiera al hombre como una máquina, rígida e incapaz de cambiar-, que tiene un movible instinto de negación y autonegación, de reformulación constante y permanente de su estilo de vida. El hombre que no es matemáticamente programable, sino que es circunstancial y complejo. En esta medida el Derecho tiene que ser también movible, en constante dinamismo.</w:t>
      </w:r>
    </w:p>
    <w:p w14:paraId="2017B145" w14:textId="77777777" w:rsidR="001925CE" w:rsidRPr="000D3432" w:rsidRDefault="001925CE" w:rsidP="00A95498">
      <w:pPr>
        <w:ind w:firstLine="426"/>
        <w:jc w:val="both"/>
        <w:rPr>
          <w:rFonts w:asciiTheme="minorHAnsi" w:hAnsiTheme="minorHAnsi"/>
          <w:szCs w:val="24"/>
        </w:rPr>
      </w:pPr>
    </w:p>
    <w:p w14:paraId="47F855A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Triunfa, sin embargo, el contrato, y el hombre se desengarza de las cuerdas, cadenas religiosas, naturales, y se engarza en una nueva cuerda, “el contrato” que viene a cumplir la misma función que las anteriores posiciones, la de ser la nueva justificación del poder, o del porqué alguien tiene poder. Con el nacimiento del contrato surge una nueva estructura gubernamental que se consolida en el Estado.</w:t>
      </w:r>
    </w:p>
    <w:p w14:paraId="1CFB6467" w14:textId="77777777" w:rsidR="001925CE" w:rsidRPr="000D3432" w:rsidRDefault="001925CE" w:rsidP="00A95498">
      <w:pPr>
        <w:ind w:firstLine="426"/>
        <w:jc w:val="both"/>
        <w:rPr>
          <w:rFonts w:asciiTheme="minorHAnsi" w:hAnsiTheme="minorHAnsi"/>
          <w:szCs w:val="24"/>
        </w:rPr>
      </w:pPr>
    </w:p>
    <w:p w14:paraId="734790B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Al aceptar la sociedad el planteamiento del nuevo orden social a través del contrato, decide por el mismo -la sociedad- delegar poder a lo que luego se denominaría Estado, que surge como ente  de este nuevo régimen de poder. Su función es la de gobernar, organizar la sociedad. </w:t>
      </w:r>
    </w:p>
    <w:p w14:paraId="1B88B440" w14:textId="77777777" w:rsidR="001925CE" w:rsidRPr="000D3432" w:rsidRDefault="001925CE" w:rsidP="00A95498">
      <w:pPr>
        <w:ind w:firstLine="426"/>
        <w:jc w:val="both"/>
        <w:rPr>
          <w:rFonts w:asciiTheme="minorHAnsi" w:hAnsiTheme="minorHAnsi"/>
          <w:szCs w:val="24"/>
        </w:rPr>
      </w:pPr>
    </w:p>
    <w:p w14:paraId="6677AC0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nuevo orden se efectivizará con el nacimiento y el acta de partida, y luego todos los otros actos jurídicos que registran a qué Estado pertenece uno, por ejemplo firmar un contrato de nacionalización es adecuarse a las normas de ese Estado al cual nos estamos nacionalizando, sujetarnos por voluntad propia a sus normas y reglas, y tener derecho por este mismo acto a participar de la dirección de la sociedad a la que empezamos a pertenecer.</w:t>
      </w:r>
    </w:p>
    <w:p w14:paraId="180F6BE7" w14:textId="77777777" w:rsidR="001925CE" w:rsidRPr="000D3432" w:rsidRDefault="001925CE" w:rsidP="00A95498">
      <w:pPr>
        <w:ind w:firstLine="426"/>
        <w:jc w:val="both"/>
        <w:rPr>
          <w:rFonts w:asciiTheme="minorHAnsi" w:hAnsiTheme="minorHAnsi"/>
          <w:szCs w:val="24"/>
        </w:rPr>
      </w:pPr>
    </w:p>
    <w:p w14:paraId="22AB2AD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Así nace la sociedad política que es lo que nosotros denominamos: Estado, que denota otra concepción del mundo y sus normas, otro sentido de ver el mundo, de entenderlo, de conducirlo; se da un paso de las leyes naturales a las leyes contractuales, políticas.</w:t>
      </w:r>
    </w:p>
    <w:p w14:paraId="1B97ADF0" w14:textId="77777777" w:rsidR="001925CE" w:rsidRPr="000D3432" w:rsidRDefault="001925CE" w:rsidP="00A95498">
      <w:pPr>
        <w:pStyle w:val="Prraffo"/>
        <w:spacing w:line="240" w:lineRule="auto"/>
        <w:rPr>
          <w:rFonts w:asciiTheme="minorHAnsi" w:hAnsiTheme="minorHAnsi"/>
          <w:sz w:val="24"/>
          <w:szCs w:val="24"/>
        </w:rPr>
      </w:pPr>
      <w:r w:rsidRPr="000D3432">
        <w:rPr>
          <w:rFonts w:asciiTheme="minorHAnsi" w:hAnsiTheme="minorHAnsi"/>
          <w:sz w:val="24"/>
          <w:szCs w:val="24"/>
        </w:rPr>
        <w:t xml:space="preserve">“Lo que funda el paso de la sociedad natural a la sociedad política es que nadie puede tener poder sobre mí si yo no se lo he dado previamente". La base del poder es el consentimiento de los futuros gobernados de delegar su poder. Por este nuevo sistema social los hombres han acordado formar una sociedad política, sociedad en la que habrá un gobierno y en la cual "la mayoría será capaz de gobernar sobre la minoría", que es el principio de la democracia, y en el cual el argumento de Locke sobre la mayoría es el siguiente: como los individuos son distintos </w:t>
      </w:r>
      <w:r w:rsidRPr="000D3432">
        <w:rPr>
          <w:rFonts w:asciiTheme="minorHAnsi" w:hAnsiTheme="minorHAnsi"/>
          <w:sz w:val="24"/>
          <w:szCs w:val="24"/>
        </w:rPr>
        <w:noBreakHyphen/>
        <w:t>y ellos son la realidad final de la sociedad</w:t>
      </w:r>
      <w:r w:rsidRPr="000D3432">
        <w:rPr>
          <w:rFonts w:asciiTheme="minorHAnsi" w:hAnsiTheme="minorHAnsi"/>
          <w:sz w:val="24"/>
          <w:szCs w:val="24"/>
        </w:rPr>
        <w:noBreakHyphen/>
        <w:t xml:space="preserve"> va a haber naturalmente diferencias de opiniones; por lo tanto, si consintieron en vivir juntos han aceptado necesariamente el principio de la mayoría porque si no existiera este principio  no podrían vivir juntos."</w:t>
      </w:r>
      <w:r w:rsidRPr="000D3432">
        <w:rPr>
          <w:rStyle w:val="Refdenotaalpie"/>
          <w:rFonts w:asciiTheme="minorHAnsi" w:hAnsiTheme="minorHAnsi"/>
          <w:sz w:val="24"/>
          <w:szCs w:val="24"/>
          <w:vertAlign w:val="superscript"/>
        </w:rPr>
        <w:footnoteReference w:id="144"/>
      </w:r>
    </w:p>
    <w:p w14:paraId="24F88144" w14:textId="77777777" w:rsidR="001925CE" w:rsidRPr="000D3432" w:rsidRDefault="001925CE" w:rsidP="00A95498">
      <w:pPr>
        <w:ind w:firstLine="426"/>
        <w:jc w:val="both"/>
        <w:rPr>
          <w:rFonts w:asciiTheme="minorHAnsi" w:hAnsiTheme="minorHAnsi"/>
          <w:szCs w:val="24"/>
        </w:rPr>
      </w:pPr>
    </w:p>
    <w:p w14:paraId="6C83E69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sociedad política, o lo que podríamos denominar el “Estado” según la descripción que nos hace Grondona sobre el Liberalismo, se forma debido a que </w:t>
      </w:r>
      <w:r w:rsidRPr="000D3432">
        <w:rPr>
          <w:rFonts w:asciiTheme="minorHAnsi" w:hAnsiTheme="minorHAnsi"/>
          <w:szCs w:val="24"/>
        </w:rPr>
        <w:lastRenderedPageBreak/>
        <w:t>los hombres frente a una sociedad gobernada por leyes naturales (osea donde cada cual tiene el derecho a su propiedad, pero además tiene que él mismo protegerla, sin intermediación alguna) y en donde las personas viven en estado confuso, incierto, "donde nadie conoce exactamente sus derechos y deberes", el hombre prefiere agruparse en lo que se llama “sociedad política”, por que según Locke: "han querido abandonar una condición en la cual, si bien eran libres, estaban llenos de miedos y peligros".</w:t>
      </w:r>
    </w:p>
    <w:p w14:paraId="1B3132DA" w14:textId="77777777" w:rsidR="001925CE" w:rsidRPr="000D3432" w:rsidRDefault="001925CE" w:rsidP="00A95498">
      <w:pPr>
        <w:pStyle w:val="Sangra2detindependiente1"/>
        <w:tabs>
          <w:tab w:val="clear" w:pos="-1440"/>
        </w:tabs>
        <w:ind w:firstLine="426"/>
        <w:rPr>
          <w:rFonts w:asciiTheme="minorHAnsi" w:hAnsiTheme="minorHAnsi"/>
          <w:szCs w:val="24"/>
        </w:rPr>
      </w:pPr>
    </w:p>
    <w:p w14:paraId="49789782" w14:textId="77777777" w:rsidR="001925CE" w:rsidRPr="000D3432" w:rsidRDefault="001925CE" w:rsidP="00A95498">
      <w:pPr>
        <w:pStyle w:val="Sangra2detindependiente1"/>
        <w:tabs>
          <w:tab w:val="clear" w:pos="-1440"/>
        </w:tabs>
        <w:ind w:firstLine="426"/>
        <w:rPr>
          <w:rFonts w:asciiTheme="minorHAnsi" w:hAnsiTheme="minorHAnsi"/>
          <w:szCs w:val="24"/>
        </w:rPr>
      </w:pPr>
      <w:r w:rsidRPr="000D3432">
        <w:rPr>
          <w:rFonts w:asciiTheme="minorHAnsi" w:hAnsiTheme="minorHAnsi"/>
          <w:szCs w:val="24"/>
        </w:rPr>
        <w:t>Frente a la creación de la moneda, y a la consecuente acumulación de riqueza, era necesario preservar estos, y ¿qué mejor seguro que la propia sociedad -que puede atacarlo, que puede robarle- firme un contrato para decir que se respetarán los intereses individuales, o de lo contrario tendrá que ser responsable de ello y castigado? Así se forma el Estado que Grondona hablando de Locke nos explica, recordando que "alguién dijo que Locke imagina al Estado como una sociedad de seguros: nos hemos reunido para lograr que nuestros derechos estuvieran más y no menos protegidos". El consentimiento general era necesario para el contrato social.</w:t>
      </w:r>
    </w:p>
    <w:p w14:paraId="3259268D" w14:textId="77777777" w:rsidR="001925CE" w:rsidRPr="000D3432" w:rsidRDefault="001925CE" w:rsidP="00A95498">
      <w:pPr>
        <w:ind w:firstLine="426"/>
        <w:jc w:val="both"/>
        <w:rPr>
          <w:rFonts w:asciiTheme="minorHAnsi" w:hAnsiTheme="minorHAnsi"/>
          <w:szCs w:val="24"/>
        </w:rPr>
      </w:pPr>
    </w:p>
    <w:p w14:paraId="2128BE4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 tal vez necesario anotar que hubo otras formas de poder no establecidas jurídicamente, pero sí legítimamente reconocidas por la sociedad. Por ejemplo, en el renacimiento hubo una clara exposición del nacimiento de nuevos formas de poder, fuera de los reconocidos (reyes, iglesias, etc.). Por ejemplo el poder no institucionalizado, pero tácito y vigente de una familia, la de los Médicis, que en Italia ejercían su autoridad por su gran prestigio y poder de acción. Una clara muestra de expresión de poder. Fuera de instituciones u órdenes legales se estableció el poder por consenso.</w:t>
      </w:r>
    </w:p>
    <w:p w14:paraId="33184F1C" w14:textId="77777777" w:rsidR="001925CE" w:rsidRPr="000D3432" w:rsidRDefault="001925CE" w:rsidP="00A95498">
      <w:pPr>
        <w:pStyle w:val="Prraffo"/>
        <w:tabs>
          <w:tab w:val="left" w:pos="1134"/>
        </w:tabs>
        <w:spacing w:line="240" w:lineRule="auto"/>
        <w:rPr>
          <w:rFonts w:asciiTheme="minorHAnsi" w:hAnsiTheme="minorHAnsi"/>
          <w:sz w:val="24"/>
          <w:szCs w:val="24"/>
        </w:rPr>
      </w:pPr>
      <w:r w:rsidRPr="000D3432">
        <w:rPr>
          <w:rFonts w:asciiTheme="minorHAnsi" w:hAnsiTheme="minorHAnsi"/>
          <w:sz w:val="24"/>
          <w:szCs w:val="24"/>
        </w:rPr>
        <w:t>"Los Médicis, sin llegar a desempeñar durante mucho tiempo ninguna función específica de gobierno, fueron convirtiéndose, paulatinamente, en los árbitros de la vida florentina. Eran, pues, gentes muy poderosas social y económicamente, muy cultas, muy influyentes, y prácticamente no se tomaba ninguna decisión sin tener la opinión de los Médicis. De este modo, paulatinamente, el jefe de la familia vino a transformarse, sin título, sin cargo, sin función, en el jefe de hecho del Estado florentino. Eran quienes gobernaban, dominaban, dirigían, sin desempeñar ninguna función pública, y esta preeminencia fue heredándose de padres a hijos, desde Cosme "el Viejo", que fue en realidad el que llevó a su apogeo el prestigio y el poder de la familia, hasta sus descendientes, que iban sucediéndose, con interrupciones, de padres a hijos como jefes de la familia y del negocio bancario y como directores del gobierno y de la política florentina."</w:t>
      </w:r>
      <w:r w:rsidRPr="000D3432">
        <w:rPr>
          <w:rStyle w:val="Refdenotaalpie"/>
          <w:rFonts w:asciiTheme="minorHAnsi" w:hAnsiTheme="minorHAnsi"/>
          <w:sz w:val="24"/>
          <w:szCs w:val="24"/>
          <w:vertAlign w:val="superscript"/>
        </w:rPr>
        <w:footnoteReference w:id="145"/>
      </w:r>
    </w:p>
    <w:p w14:paraId="469FAA2E" w14:textId="77777777" w:rsidR="001925CE" w:rsidRPr="000D3432" w:rsidRDefault="001925CE" w:rsidP="00A95498">
      <w:pPr>
        <w:tabs>
          <w:tab w:val="left" w:pos="-1440"/>
        </w:tabs>
        <w:ind w:firstLine="426"/>
        <w:jc w:val="both"/>
        <w:rPr>
          <w:rFonts w:asciiTheme="minorHAnsi" w:hAnsiTheme="minorHAnsi"/>
          <w:szCs w:val="24"/>
        </w:rPr>
      </w:pPr>
    </w:p>
    <w:p w14:paraId="76508BB6"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Volviendo al contrato, éste fue para el Derecho el lineamiento moderno a seguir. El hombre había ganado independencia, y liberándose de la hegemonía de la divinidad como condición de organización social, usaba de su libertad para decidir cómo y quién iba a gobernarlo. El Derecho ya no sería más un principio </w:t>
      </w:r>
      <w:r w:rsidRPr="000D3432">
        <w:rPr>
          <w:rFonts w:asciiTheme="minorHAnsi" w:hAnsiTheme="minorHAnsi"/>
          <w:szCs w:val="24"/>
        </w:rPr>
        <w:lastRenderedPageBreak/>
        <w:t>metafísico, que surgía de las oscuras elucubraciones místicas o divinas, era ahora la razón, y la voluntad de los hombres, que a través de un contrato hacían su destino y creaban ellos mismo el Derecho.</w:t>
      </w:r>
    </w:p>
    <w:p w14:paraId="0B0CBFA1" w14:textId="77777777" w:rsidR="001925CE" w:rsidRPr="000D3432" w:rsidRDefault="001925CE" w:rsidP="00A95498">
      <w:pPr>
        <w:rPr>
          <w:rFonts w:asciiTheme="minorHAnsi" w:hAnsiTheme="minorHAnsi"/>
          <w:szCs w:val="24"/>
        </w:rPr>
      </w:pPr>
    </w:p>
    <w:p w14:paraId="0320365E" w14:textId="77777777" w:rsidR="001925CE" w:rsidRPr="000D3432" w:rsidRDefault="001925CE" w:rsidP="00A95498">
      <w:pPr>
        <w:jc w:val="center"/>
        <w:rPr>
          <w:rFonts w:asciiTheme="minorHAnsi" w:hAnsiTheme="minorHAnsi"/>
          <w:b/>
          <w:szCs w:val="24"/>
        </w:rPr>
      </w:pPr>
    </w:p>
    <w:p w14:paraId="05D27471"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75C9C0AE" w14:textId="77777777" w:rsidR="001925CE" w:rsidRPr="000D3432" w:rsidRDefault="001925CE" w:rsidP="00A95498">
      <w:pPr>
        <w:jc w:val="center"/>
        <w:rPr>
          <w:rFonts w:asciiTheme="minorHAnsi" w:hAnsiTheme="minorHAnsi"/>
          <w:b/>
          <w:szCs w:val="24"/>
        </w:rPr>
      </w:pPr>
    </w:p>
    <w:p w14:paraId="57F1DBCB" w14:textId="77777777" w:rsidR="001925CE" w:rsidRPr="000D3432" w:rsidRDefault="001925CE" w:rsidP="00A95498">
      <w:pPr>
        <w:jc w:val="center"/>
        <w:rPr>
          <w:rFonts w:asciiTheme="minorHAnsi" w:hAnsiTheme="minorHAnsi"/>
          <w:b/>
          <w:szCs w:val="24"/>
        </w:rPr>
      </w:pPr>
    </w:p>
    <w:p w14:paraId="7489F0C1" w14:textId="77777777" w:rsidR="001925CE" w:rsidRPr="000D3432" w:rsidRDefault="001925CE" w:rsidP="00A95498">
      <w:pPr>
        <w:jc w:val="center"/>
        <w:rPr>
          <w:rFonts w:asciiTheme="minorHAnsi" w:hAnsiTheme="minorHAnsi"/>
          <w:b/>
          <w:szCs w:val="24"/>
        </w:rPr>
      </w:pPr>
    </w:p>
    <w:p w14:paraId="6AE61F89" w14:textId="77777777" w:rsidR="001925CE" w:rsidRPr="000D3432" w:rsidRDefault="001925CE" w:rsidP="00A95498">
      <w:pPr>
        <w:jc w:val="center"/>
        <w:rPr>
          <w:rFonts w:asciiTheme="minorHAnsi" w:hAnsiTheme="minorHAnsi"/>
          <w:b/>
          <w:szCs w:val="24"/>
        </w:rPr>
      </w:pPr>
    </w:p>
    <w:p w14:paraId="1954BBB0" w14:textId="77777777" w:rsidR="001925CE" w:rsidRPr="000D3432" w:rsidRDefault="001925CE" w:rsidP="00A95498">
      <w:pPr>
        <w:jc w:val="center"/>
        <w:rPr>
          <w:rFonts w:asciiTheme="minorHAnsi" w:hAnsiTheme="minorHAnsi"/>
          <w:b/>
          <w:szCs w:val="24"/>
        </w:rPr>
      </w:pPr>
    </w:p>
    <w:p w14:paraId="62B11E96" w14:textId="77777777" w:rsidR="001925CE" w:rsidRPr="000D3432" w:rsidRDefault="001925CE" w:rsidP="00A95498">
      <w:pPr>
        <w:jc w:val="center"/>
        <w:rPr>
          <w:rFonts w:asciiTheme="minorHAnsi" w:hAnsiTheme="minorHAnsi"/>
          <w:b/>
          <w:szCs w:val="24"/>
        </w:rPr>
      </w:pPr>
    </w:p>
    <w:p w14:paraId="3FEF3D8E" w14:textId="77777777" w:rsidR="001925CE" w:rsidRPr="000D3432" w:rsidRDefault="001925CE" w:rsidP="00A95498">
      <w:pPr>
        <w:jc w:val="center"/>
        <w:rPr>
          <w:rFonts w:asciiTheme="minorHAnsi" w:hAnsiTheme="minorHAnsi"/>
          <w:b/>
          <w:szCs w:val="24"/>
        </w:rPr>
      </w:pPr>
    </w:p>
    <w:p w14:paraId="58193AFD" w14:textId="77777777" w:rsidR="001925CE" w:rsidRPr="000D3432" w:rsidRDefault="001925CE" w:rsidP="00A95498">
      <w:pPr>
        <w:jc w:val="center"/>
        <w:rPr>
          <w:rFonts w:asciiTheme="minorHAnsi" w:hAnsiTheme="minorHAnsi"/>
          <w:b/>
          <w:szCs w:val="24"/>
        </w:rPr>
      </w:pPr>
    </w:p>
    <w:p w14:paraId="5AF8E3E9"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TERCER BLOQUE</w:t>
      </w:r>
    </w:p>
    <w:p w14:paraId="194C3FFB"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EL DERECHO EN LA MENTE DE LOS FILÓSOFOS</w:t>
      </w:r>
    </w:p>
    <w:p w14:paraId="1D3F4DF6" w14:textId="77777777" w:rsidR="001925CE" w:rsidRPr="000D3432" w:rsidRDefault="001925CE" w:rsidP="00A95498">
      <w:pPr>
        <w:jc w:val="center"/>
        <w:rPr>
          <w:rFonts w:asciiTheme="minorHAnsi" w:hAnsiTheme="minorHAnsi" w:cs="Arial"/>
          <w:b/>
          <w:szCs w:val="24"/>
        </w:rPr>
      </w:pPr>
    </w:p>
    <w:p w14:paraId="209E9EAD" w14:textId="77777777" w:rsidR="001925CE" w:rsidRPr="000D3432" w:rsidRDefault="001925CE" w:rsidP="00A95498">
      <w:pPr>
        <w:jc w:val="center"/>
        <w:rPr>
          <w:rFonts w:asciiTheme="minorHAnsi" w:hAnsiTheme="minorHAnsi" w:cs="Arial"/>
          <w:b/>
          <w:szCs w:val="24"/>
        </w:rPr>
      </w:pPr>
    </w:p>
    <w:p w14:paraId="4AF63881" w14:textId="3728BEB5" w:rsidR="001925CE" w:rsidRPr="000D3432" w:rsidRDefault="001925CE" w:rsidP="00A95498">
      <w:pPr>
        <w:jc w:val="center"/>
        <w:rPr>
          <w:rFonts w:asciiTheme="minorHAnsi" w:hAnsiTheme="minorHAnsi"/>
          <w:b/>
          <w:szCs w:val="24"/>
        </w:rPr>
      </w:pPr>
      <w:r w:rsidRPr="000D3432">
        <w:rPr>
          <w:rFonts w:asciiTheme="minorHAnsi" w:hAnsiTheme="minorHAnsi" w:cs="Arial"/>
          <w:b/>
          <w:szCs w:val="24"/>
        </w:rPr>
        <w:br w:type="page"/>
      </w:r>
    </w:p>
    <w:p w14:paraId="62E287C0" w14:textId="77777777" w:rsidR="001925CE" w:rsidRPr="000D3432" w:rsidRDefault="001925CE" w:rsidP="00A95498">
      <w:pPr>
        <w:jc w:val="center"/>
        <w:rPr>
          <w:rFonts w:asciiTheme="minorHAnsi" w:hAnsiTheme="minorHAnsi"/>
          <w:b/>
          <w:szCs w:val="24"/>
        </w:rPr>
      </w:pPr>
    </w:p>
    <w:p w14:paraId="277EB741" w14:textId="77777777" w:rsidR="001925CE" w:rsidRPr="000D3432" w:rsidRDefault="001925CE" w:rsidP="00A95498">
      <w:pPr>
        <w:rPr>
          <w:rFonts w:asciiTheme="minorHAnsi" w:hAnsiTheme="minorHAnsi"/>
          <w:szCs w:val="24"/>
        </w:rPr>
      </w:pPr>
    </w:p>
    <w:p w14:paraId="4348FEAC" w14:textId="77777777" w:rsidR="001925CE" w:rsidRPr="000D3432" w:rsidRDefault="001925CE" w:rsidP="00A95498">
      <w:pPr>
        <w:rPr>
          <w:rFonts w:asciiTheme="minorHAnsi" w:hAnsiTheme="minorHAnsi"/>
          <w:szCs w:val="24"/>
        </w:rPr>
      </w:pPr>
    </w:p>
    <w:p w14:paraId="625EDFF4" w14:textId="77777777" w:rsidR="001925CE" w:rsidRPr="000D3432" w:rsidRDefault="001925CE" w:rsidP="00A95498">
      <w:pPr>
        <w:jc w:val="center"/>
        <w:rPr>
          <w:rFonts w:asciiTheme="minorHAnsi" w:hAnsiTheme="minorHAnsi"/>
          <w:b/>
          <w:szCs w:val="24"/>
          <w:u w:val="single"/>
        </w:rPr>
      </w:pPr>
    </w:p>
    <w:p w14:paraId="6CC27AD1" w14:textId="77777777" w:rsidR="001925CE" w:rsidRPr="000D3432" w:rsidRDefault="001925CE" w:rsidP="00A95498">
      <w:pPr>
        <w:jc w:val="center"/>
        <w:rPr>
          <w:rFonts w:asciiTheme="minorHAnsi" w:hAnsiTheme="minorHAnsi"/>
          <w:b/>
          <w:szCs w:val="24"/>
          <w:u w:val="single"/>
        </w:rPr>
      </w:pPr>
    </w:p>
    <w:p w14:paraId="7BEE8255" w14:textId="77777777" w:rsidR="001925CE" w:rsidRPr="000D3432" w:rsidRDefault="001925CE" w:rsidP="00A95498">
      <w:pPr>
        <w:jc w:val="center"/>
        <w:rPr>
          <w:rFonts w:asciiTheme="minorHAnsi" w:hAnsiTheme="minorHAnsi"/>
          <w:b/>
          <w:szCs w:val="24"/>
          <w:u w:val="single"/>
        </w:rPr>
      </w:pPr>
    </w:p>
    <w:p w14:paraId="080AF1FD" w14:textId="77777777" w:rsidR="001925CE" w:rsidRPr="000D3432" w:rsidRDefault="001925CE" w:rsidP="00A95498">
      <w:pPr>
        <w:jc w:val="center"/>
        <w:rPr>
          <w:rFonts w:asciiTheme="minorHAnsi" w:hAnsiTheme="minorHAnsi"/>
          <w:b/>
          <w:szCs w:val="24"/>
          <w:u w:val="single"/>
        </w:rPr>
      </w:pPr>
    </w:p>
    <w:p w14:paraId="26F23B2C" w14:textId="77777777" w:rsidR="001925CE" w:rsidRPr="000D3432" w:rsidRDefault="001925CE" w:rsidP="00A95498">
      <w:pPr>
        <w:jc w:val="center"/>
        <w:rPr>
          <w:rFonts w:asciiTheme="minorHAnsi" w:hAnsiTheme="minorHAnsi"/>
          <w:b/>
          <w:szCs w:val="24"/>
          <w:u w:val="single"/>
        </w:rPr>
      </w:pPr>
    </w:p>
    <w:p w14:paraId="35D4CCAB" w14:textId="77777777" w:rsidR="001925CE" w:rsidRPr="000D3432" w:rsidRDefault="001925CE" w:rsidP="00A95498">
      <w:pPr>
        <w:jc w:val="center"/>
        <w:rPr>
          <w:rFonts w:asciiTheme="minorHAnsi" w:hAnsiTheme="minorHAnsi"/>
          <w:b/>
          <w:szCs w:val="24"/>
          <w:u w:val="single"/>
        </w:rPr>
      </w:pPr>
      <w:r w:rsidRPr="000D3432">
        <w:rPr>
          <w:rFonts w:asciiTheme="minorHAnsi" w:hAnsiTheme="minorHAnsi"/>
          <w:b/>
          <w:szCs w:val="24"/>
          <w:u w:val="single"/>
        </w:rPr>
        <w:t>TERCER BLOQUE</w:t>
      </w:r>
    </w:p>
    <w:p w14:paraId="3FBC931D"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EL DERECHO EN LA MENTE DE LOS FILÓSOFOS</w:t>
      </w:r>
    </w:p>
    <w:p w14:paraId="406494F4" w14:textId="77777777" w:rsidR="001925CE" w:rsidRPr="000D3432" w:rsidRDefault="001925CE" w:rsidP="00A95498">
      <w:pPr>
        <w:rPr>
          <w:rFonts w:asciiTheme="minorHAnsi" w:hAnsiTheme="minorHAnsi"/>
          <w:szCs w:val="24"/>
        </w:rPr>
      </w:pPr>
    </w:p>
    <w:p w14:paraId="6DB3312D" w14:textId="77777777" w:rsidR="001925CE" w:rsidRPr="000D3432" w:rsidRDefault="001925CE" w:rsidP="00A95498">
      <w:pPr>
        <w:rPr>
          <w:rFonts w:asciiTheme="minorHAnsi" w:hAnsiTheme="minorHAnsi"/>
          <w:szCs w:val="24"/>
        </w:rPr>
      </w:pPr>
    </w:p>
    <w:p w14:paraId="0E7271B4" w14:textId="77777777" w:rsidR="001925CE" w:rsidRPr="000D3432" w:rsidRDefault="001925CE" w:rsidP="00A95498">
      <w:pPr>
        <w:rPr>
          <w:rFonts w:asciiTheme="minorHAnsi" w:hAnsiTheme="minorHAnsi"/>
          <w:szCs w:val="24"/>
        </w:rPr>
      </w:pPr>
    </w:p>
    <w:p w14:paraId="5780BEA9" w14:textId="77777777" w:rsidR="001925CE" w:rsidRPr="000D3432" w:rsidRDefault="001925CE" w:rsidP="00A95498">
      <w:pPr>
        <w:rPr>
          <w:rFonts w:asciiTheme="minorHAnsi" w:hAnsiTheme="minorHAnsi"/>
          <w:szCs w:val="24"/>
        </w:rPr>
      </w:pPr>
    </w:p>
    <w:p w14:paraId="011F430C"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 Generalidades:</w:t>
      </w:r>
    </w:p>
    <w:p w14:paraId="275BDB2F" w14:textId="77777777" w:rsidR="001925CE" w:rsidRPr="000D3432" w:rsidRDefault="001925CE" w:rsidP="00A95498">
      <w:pPr>
        <w:ind w:firstLine="426"/>
        <w:jc w:val="both"/>
        <w:rPr>
          <w:rFonts w:asciiTheme="minorHAnsi" w:hAnsiTheme="minorHAnsi"/>
          <w:szCs w:val="24"/>
        </w:rPr>
      </w:pPr>
    </w:p>
    <w:p w14:paraId="09F459E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cierta inmanencia en el hombre de tener la condición de buscar explicaciones sobre la vida, el mundo, las relaciones sociales, etc. Este ha sido una actitud que bordea el pensamiento crítico, puesto que hacerse preguntas contiene los rasgos iniciales del pensamiento crítico, es el inicio.  En este ánimo por conocer, el hombre ha formulado discursos teóricos para explicarse las cosas. Es esta búsqueda de explicaciones lo que puede constituir un primer esbozo de filosofía, una manera de saber. Luego la cosmovisión del hombre sobre el mundo ha ido desarrollándose con más especificidad e incisión, creando discursos interrogativos a lo que se le ha dado en denominar especulaciones filosóficas. Es de aquí que partimos, de la idea de que el hombre ha buscado explicaciones y las ha hallado, creando discursos teóricos que lo han aprovisionado de certezas, con las cuales se han conducido; es decir que estas ideas de certeza sobre la vida y su movimiento, ha determinado cierto modo de pensar, cierto tipo de conductas, cierto perímetro de acción, cierto orden, cierto Derecho.</w:t>
      </w:r>
    </w:p>
    <w:p w14:paraId="7E2A420E" w14:textId="77777777" w:rsidR="001925CE" w:rsidRPr="000D3432" w:rsidRDefault="001925CE" w:rsidP="00A95498">
      <w:pPr>
        <w:ind w:firstLine="426"/>
        <w:jc w:val="both"/>
        <w:rPr>
          <w:rFonts w:asciiTheme="minorHAnsi" w:hAnsiTheme="minorHAnsi"/>
          <w:szCs w:val="24"/>
        </w:rPr>
      </w:pPr>
    </w:p>
    <w:p w14:paraId="363505B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Una vez -los hombres- cargados de certezas, creadas mentalmente, van por el mundo con cierta directriz, con cierto conjunto de normas mentales justificadas en esas certezas que ya no necesitan explicitar más. Sólo qué, la característica del hombre es su dinamismo físico mental, esto lo hace volverse a preguntar sobre si sus certezas tienen validez o no, si son útiles o no, y empiezan a formular ciertas categorías de contradicción, lo que denominaríamos: crítica. Es esta crítica de los fundamentos o argumentos ya dados, e incluso de los propios fundamentos, lo que Richard Rorty denomina Filosofía. Y es esta concepción de filosofía la que seguiremos a lo largo o angosto de nuestra investigación, entremezclada con aquella expresada por William James, que ve a la filosofía como “un intento inusitadamente porfiado de pensar con claridad”.</w:t>
      </w:r>
    </w:p>
    <w:p w14:paraId="2B281711" w14:textId="77777777" w:rsidR="001925CE" w:rsidRPr="000D3432" w:rsidRDefault="001925CE" w:rsidP="00A95498">
      <w:pPr>
        <w:ind w:firstLine="426"/>
        <w:jc w:val="both"/>
        <w:rPr>
          <w:rFonts w:asciiTheme="minorHAnsi" w:hAnsiTheme="minorHAnsi"/>
          <w:szCs w:val="24"/>
        </w:rPr>
      </w:pPr>
    </w:p>
    <w:p w14:paraId="3C09B0C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Empezaremos diciendo que las certezas por las que se conducen los hombres son las bases por las que se produce y justifica el Derecho. Esta es la importancia de la conexión entre Filosofía y Derecho. Ambas de alguna manera </w:t>
      </w:r>
      <w:r w:rsidRPr="000D3432">
        <w:rPr>
          <w:rFonts w:asciiTheme="minorHAnsi" w:hAnsiTheme="minorHAnsi"/>
          <w:szCs w:val="24"/>
        </w:rPr>
        <w:lastRenderedPageBreak/>
        <w:t xml:space="preserve">siempre van juntas. Por eso, esta no es una historia paralela del pensamiento filosófico, diferente al pensamiento jurídico, o al desarrollo social, sino más bien la conexión entre estos tipos de pensamiento y actividad social. Un intento de aproximación a las concepciones que sobre el Derecho se han dado a lo largo de la historia del pensamiento occidental. </w:t>
      </w:r>
    </w:p>
    <w:p w14:paraId="5ACEC430" w14:textId="77777777" w:rsidR="001925CE" w:rsidRPr="000D3432" w:rsidRDefault="001925CE" w:rsidP="00A95498">
      <w:pPr>
        <w:ind w:firstLine="426"/>
        <w:jc w:val="both"/>
        <w:rPr>
          <w:rFonts w:asciiTheme="minorHAnsi" w:hAnsiTheme="minorHAnsi"/>
          <w:szCs w:val="24"/>
        </w:rPr>
      </w:pPr>
    </w:p>
    <w:p w14:paraId="49494AB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filosofía no es independiente de la historia social. Y no es esta esa separación, sino más bien la presentación de los fenómenos argumentativos de ciertos pensadores del Derecho y su relación con la sociedad. Se intenta -dado el carácter dinámico de esta investigación y del propio Derecho- conjugar los diferentes elementos de la filosofía con el Derecho, del pensamiento con la expresión social. Recorrer los laberintos de lo que podríamos llamar el Derecho pensado.</w:t>
      </w:r>
    </w:p>
    <w:p w14:paraId="1BC524AE" w14:textId="77777777" w:rsidR="001925CE" w:rsidRPr="000D3432" w:rsidRDefault="001925CE" w:rsidP="00A95498">
      <w:pPr>
        <w:ind w:firstLine="426"/>
        <w:jc w:val="both"/>
        <w:rPr>
          <w:rFonts w:asciiTheme="minorHAnsi" w:hAnsiTheme="minorHAnsi"/>
          <w:szCs w:val="24"/>
        </w:rPr>
      </w:pPr>
    </w:p>
    <w:p w14:paraId="751CEFE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que anotar, por otro lado, el lineamiento crítico que queremos darle a este trabajo, que se dará bajo tres visiones o ángulos de estudio: la premodernidad, la modernidad y la postmodernidad.</w:t>
      </w:r>
    </w:p>
    <w:p w14:paraId="722BDF02" w14:textId="77777777" w:rsidR="001925CE" w:rsidRPr="000D3432" w:rsidRDefault="001925CE" w:rsidP="00A95498">
      <w:pPr>
        <w:ind w:firstLine="426"/>
        <w:jc w:val="both"/>
        <w:rPr>
          <w:rFonts w:asciiTheme="minorHAnsi" w:hAnsiTheme="minorHAnsi"/>
          <w:szCs w:val="24"/>
        </w:rPr>
      </w:pPr>
    </w:p>
    <w:p w14:paraId="1817403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 que notaremos, seguramente, es que el Derecho, las argumentaciones filosóficas sobre él, mejor dicho, la variedad de posiciones mentales que se dan sobre el Derecho y las relaciones jurídicas presentan un fenómeno importante, que es “la afirmación de la diferencia”, ésta última corrobora también la dinámica crítica que supone la filosofía del Derecho.</w:t>
      </w:r>
    </w:p>
    <w:p w14:paraId="4F068A5E" w14:textId="77777777" w:rsidR="001925CE" w:rsidRPr="000D3432" w:rsidRDefault="001925CE" w:rsidP="00A95498">
      <w:pPr>
        <w:ind w:firstLine="426"/>
        <w:jc w:val="both"/>
        <w:rPr>
          <w:rFonts w:asciiTheme="minorHAnsi" w:hAnsiTheme="minorHAnsi"/>
          <w:szCs w:val="24"/>
        </w:rPr>
      </w:pPr>
    </w:p>
    <w:p w14:paraId="48F7079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multiplicidad de concepciones sobre el Derecho, sobre la Filosofía del Derecho nos mueve a dar un vistazo un poco audaz y atrevido, acaso breve y al ras, pero necesario, sobre la visión planteada por ciertos autores, desde ciertas posiciones teóricas. Todas estas teorías occidentales han influido de cierta manera en la creación del Derecho. El Derecho desde esta perspectiva viene a ser -en parte- la conjunción de esos puntos de vista, de esos razonamientos que han marcado, de alguna manera, la dirección y el sentido de la vida y por ende del orden jurídico, del pensamiento y la concepción del Derecho.</w:t>
      </w:r>
    </w:p>
    <w:p w14:paraId="47EA5A8F" w14:textId="77777777" w:rsidR="001925CE" w:rsidRPr="000D3432" w:rsidRDefault="001925CE" w:rsidP="00A95498">
      <w:pPr>
        <w:ind w:firstLine="426"/>
        <w:jc w:val="both"/>
        <w:rPr>
          <w:rFonts w:asciiTheme="minorHAnsi" w:hAnsiTheme="minorHAnsi"/>
          <w:szCs w:val="24"/>
        </w:rPr>
      </w:pPr>
    </w:p>
    <w:p w14:paraId="04A0F6B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Podemos decir, entonces, que el Derecho actual está constituido -cierta porción- por la conjunción de zumos, de ideas y razonamientos que resistiendo al tiempo -que todo lo erosiona- se han impregnado en el subconsciente colectivo de los hombres, imprimiéndoles la idea de cómo conducirse social y jurídicamente.</w:t>
      </w:r>
    </w:p>
    <w:p w14:paraId="2E25B15C" w14:textId="77777777" w:rsidR="001925CE" w:rsidRPr="000D3432" w:rsidRDefault="001925CE" w:rsidP="00A95498">
      <w:pPr>
        <w:ind w:firstLine="426"/>
        <w:jc w:val="both"/>
        <w:rPr>
          <w:rFonts w:asciiTheme="minorHAnsi" w:hAnsiTheme="minorHAnsi"/>
          <w:szCs w:val="24"/>
        </w:rPr>
      </w:pPr>
    </w:p>
    <w:p w14:paraId="7711D8F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Queremos, además, anotar una aclaración. No es este un trabajo de Filosofía del Derecho, esto escaparía ampliamente a los recursos y a los objetivos de la investigación, sino más bien el seguimiento de cierto planteamiento y desarrollo, propuesto en el plan de trabajo, así que podemos decir que este trabajo “...no pretende ser una justa y cabal filosofía del derecho, ni siquiera un bosquejo; se propone simplemente hacer resaltar ciertos problemas que a mi parecer deben estar hoy en primer término,...”</w:t>
      </w:r>
      <w:r w:rsidRPr="000D3432">
        <w:rPr>
          <w:rStyle w:val="Refdenotaalpie"/>
          <w:rFonts w:asciiTheme="minorHAnsi" w:hAnsiTheme="minorHAnsi"/>
          <w:sz w:val="24"/>
          <w:szCs w:val="24"/>
          <w:vertAlign w:val="superscript"/>
        </w:rPr>
        <w:footnoteReference w:id="146"/>
      </w:r>
    </w:p>
    <w:p w14:paraId="02BD143C" w14:textId="77777777" w:rsidR="001925CE" w:rsidRPr="000D3432" w:rsidRDefault="001925CE" w:rsidP="00A95498">
      <w:pPr>
        <w:ind w:firstLine="426"/>
        <w:jc w:val="both"/>
        <w:rPr>
          <w:rFonts w:asciiTheme="minorHAnsi" w:hAnsiTheme="minorHAnsi"/>
          <w:szCs w:val="24"/>
        </w:rPr>
      </w:pPr>
    </w:p>
    <w:p w14:paraId="2ABE048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puede estar plasmado en leyes y normas (esto no significa que el Derecho sea sólo leyes y normas), así que su concepción, en estas visiones tradicionales, se asentaría en estas leyes, sólo que incluso la ley tiene dentro suyo determinados juicios normativos, una cierta filosofía, así que nosotros pensamos con Friedrich que: “El Derecho común, tradicional en gran parte, descansa en una visión general de la ley ...[no obstante]... es dudosa la idea expresada con frecuencia por los abogados de tipo más práctico, de que la ley no involucra una filosofía del derecho. Porque la ley consiste en declaraciones o enunciados expresados verbalmente, y tales declaraciones, comúnmente llamadas juicios - que en derecho son, netamente, juicios normativos-, dan lugar a una clase de cuestiones filosóficas generales, de significación para tales juicios.”</w:t>
      </w:r>
      <w:r w:rsidRPr="000D3432">
        <w:rPr>
          <w:rStyle w:val="Refdenotaalpie"/>
          <w:rFonts w:asciiTheme="minorHAnsi" w:hAnsiTheme="minorHAnsi"/>
          <w:sz w:val="24"/>
          <w:szCs w:val="24"/>
          <w:vertAlign w:val="superscript"/>
        </w:rPr>
        <w:footnoteReference w:id="147"/>
      </w:r>
    </w:p>
    <w:p w14:paraId="56C1B5B8" w14:textId="77777777" w:rsidR="001925CE" w:rsidRPr="000D3432" w:rsidRDefault="001925CE" w:rsidP="00A95498">
      <w:pPr>
        <w:ind w:firstLine="426"/>
        <w:jc w:val="both"/>
        <w:rPr>
          <w:rFonts w:asciiTheme="minorHAnsi" w:hAnsiTheme="minorHAnsi"/>
          <w:szCs w:val="24"/>
        </w:rPr>
      </w:pPr>
    </w:p>
    <w:p w14:paraId="6065478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Dicho todo lo anterior empezaremos con nuestras discursos teóricos sobre la concepción del Derecho desde la perspectiva del pensamiento filosófico occidental, dentro del margen de la visión premoderna, moderna o postmoderna.</w:t>
      </w:r>
    </w:p>
    <w:p w14:paraId="287617A1" w14:textId="77777777" w:rsidR="001925CE" w:rsidRPr="000D3432" w:rsidRDefault="001925CE" w:rsidP="00A95498">
      <w:pPr>
        <w:pStyle w:val="Level1"/>
        <w:tabs>
          <w:tab w:val="left" w:pos="-1440"/>
        </w:tabs>
        <w:jc w:val="both"/>
        <w:rPr>
          <w:rFonts w:asciiTheme="minorHAnsi" w:hAnsiTheme="minorHAnsi"/>
          <w:b/>
          <w:szCs w:val="24"/>
        </w:rPr>
      </w:pPr>
    </w:p>
    <w:p w14:paraId="5575528E" w14:textId="77777777" w:rsidR="001925CE" w:rsidRPr="000D3432" w:rsidRDefault="001925CE" w:rsidP="00A95498">
      <w:pPr>
        <w:pStyle w:val="Level1"/>
        <w:tabs>
          <w:tab w:val="left" w:pos="-1440"/>
        </w:tabs>
        <w:jc w:val="both"/>
        <w:rPr>
          <w:rFonts w:asciiTheme="minorHAnsi" w:hAnsiTheme="minorHAnsi"/>
          <w:b/>
          <w:szCs w:val="24"/>
        </w:rPr>
      </w:pPr>
      <w:r w:rsidRPr="000D3432">
        <w:rPr>
          <w:rFonts w:asciiTheme="minorHAnsi" w:hAnsiTheme="minorHAnsi"/>
          <w:b/>
          <w:i/>
          <w:smallCaps/>
          <w:szCs w:val="24"/>
        </w:rPr>
        <w:t>1.- Pensamiento Premoderno</w:t>
      </w:r>
    </w:p>
    <w:p w14:paraId="10ECEDFA" w14:textId="77777777" w:rsidR="001925CE" w:rsidRPr="000D3432" w:rsidRDefault="001925CE" w:rsidP="00A95498">
      <w:pPr>
        <w:pStyle w:val="Level1"/>
        <w:tabs>
          <w:tab w:val="left" w:pos="-1440"/>
        </w:tabs>
        <w:jc w:val="both"/>
        <w:rPr>
          <w:rFonts w:asciiTheme="minorHAnsi" w:hAnsiTheme="minorHAnsi"/>
          <w:b/>
          <w:szCs w:val="24"/>
        </w:rPr>
      </w:pPr>
    </w:p>
    <w:p w14:paraId="6C7241DF" w14:textId="77777777" w:rsidR="001925CE" w:rsidRPr="000D3432" w:rsidRDefault="001925CE" w:rsidP="00A95498">
      <w:pPr>
        <w:pStyle w:val="Level1"/>
        <w:tabs>
          <w:tab w:val="left" w:pos="-1440"/>
        </w:tabs>
        <w:jc w:val="both"/>
        <w:rPr>
          <w:rFonts w:asciiTheme="minorHAnsi" w:hAnsiTheme="minorHAnsi"/>
          <w:b/>
          <w:szCs w:val="24"/>
        </w:rPr>
      </w:pPr>
      <w:r w:rsidRPr="000D3432">
        <w:rPr>
          <w:rFonts w:asciiTheme="minorHAnsi" w:hAnsiTheme="minorHAnsi"/>
          <w:b/>
          <w:szCs w:val="24"/>
        </w:rPr>
        <w:t>a.- El Derecho como Visión Mítica:</w:t>
      </w:r>
    </w:p>
    <w:p w14:paraId="7655EEBC" w14:textId="77777777" w:rsidR="001925CE" w:rsidRPr="000D3432" w:rsidRDefault="001925CE" w:rsidP="00A95498">
      <w:pPr>
        <w:ind w:firstLine="426"/>
        <w:jc w:val="both"/>
        <w:rPr>
          <w:rFonts w:asciiTheme="minorHAnsi" w:hAnsiTheme="minorHAnsi"/>
          <w:szCs w:val="24"/>
        </w:rPr>
      </w:pPr>
    </w:p>
    <w:p w14:paraId="59B4A3B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un principio, suponemos, el hombre necesitó explicarse el fenómeno de la vida -eso de porqué sucedían tales o cuales cosas-, así que los hechos que no entendía -según esta teoría- los explicaba a través de los mitos; luego estas explicaciones comenzarían a regir sus conductas. Los mitos representaban las explicaciones de los hechos y eran considerados “el fundamento y el comienzo de la historia de una comunidad o del género humano en general”</w:t>
      </w:r>
      <w:r w:rsidRPr="000D3432">
        <w:rPr>
          <w:rStyle w:val="Refdenotaalpie"/>
          <w:rFonts w:asciiTheme="minorHAnsi" w:hAnsiTheme="minorHAnsi"/>
          <w:sz w:val="24"/>
          <w:szCs w:val="24"/>
          <w:vertAlign w:val="superscript"/>
        </w:rPr>
        <w:footnoteReference w:id="148"/>
      </w:r>
      <w:r w:rsidRPr="000D3432">
        <w:rPr>
          <w:rFonts w:asciiTheme="minorHAnsi" w:hAnsiTheme="minorHAnsi"/>
          <w:szCs w:val="24"/>
        </w:rPr>
        <w:t>. Los mitos comportaban la personificación de los acontecimientos. Estos se podían derivar de contenidos naturales y ficticios, o de ambos. Cuando eran fenómenos contenidos en fenómenos naturales se presentaban en forma alegórica, es decir como una representación gráfica o hablada de una idea sustraída de la naturaleza; pero en esta representación alegórica había siempre un contenido ficticio y otro real. Así el mito es como un relato que expresaba lo que habría ocurrido.</w:t>
      </w:r>
    </w:p>
    <w:p w14:paraId="01F8D82F" w14:textId="77777777" w:rsidR="001925CE" w:rsidRPr="000D3432" w:rsidRDefault="001925CE" w:rsidP="00A95498">
      <w:pPr>
        <w:ind w:firstLine="426"/>
        <w:jc w:val="both"/>
        <w:rPr>
          <w:rFonts w:asciiTheme="minorHAnsi" w:hAnsiTheme="minorHAnsi"/>
          <w:szCs w:val="24"/>
        </w:rPr>
      </w:pPr>
    </w:p>
    <w:p w14:paraId="428A217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 trascendental en la interpretación mítica de la realidad, es que esta sufre una suerte de envoltura de la verdad. En la Antigüedad se admitía la narración mitológica como envoltorio de la realidad. Incluso más tarde, Platón la uso para establecer la veracidad de aquello que no se podían probar mediante la razón.</w:t>
      </w:r>
      <w:r w:rsidRPr="000D3432">
        <w:rPr>
          <w:rStyle w:val="Refdenotaalpie"/>
          <w:rFonts w:asciiTheme="minorHAnsi" w:hAnsiTheme="minorHAnsi"/>
          <w:sz w:val="24"/>
          <w:szCs w:val="24"/>
          <w:vertAlign w:val="superscript"/>
        </w:rPr>
        <w:footnoteReference w:id="149"/>
      </w:r>
      <w:r w:rsidRPr="000D3432">
        <w:rPr>
          <w:rFonts w:asciiTheme="minorHAnsi" w:hAnsiTheme="minorHAnsi"/>
          <w:szCs w:val="24"/>
        </w:rPr>
        <w:t xml:space="preserve"> Así mismo en la Edad Media el mito sirvió sobremanera como </w:t>
      </w:r>
      <w:r w:rsidRPr="000D3432">
        <w:rPr>
          <w:rFonts w:asciiTheme="minorHAnsi" w:hAnsiTheme="minorHAnsi"/>
          <w:szCs w:val="24"/>
        </w:rPr>
        <w:lastRenderedPageBreak/>
        <w:t xml:space="preserve">elemento explicativo. </w:t>
      </w:r>
    </w:p>
    <w:p w14:paraId="4833D53D" w14:textId="77777777" w:rsidR="001925CE" w:rsidRPr="000D3432" w:rsidRDefault="001925CE" w:rsidP="00A95498">
      <w:pPr>
        <w:ind w:firstLine="426"/>
        <w:jc w:val="both"/>
        <w:rPr>
          <w:rFonts w:asciiTheme="minorHAnsi" w:hAnsiTheme="minorHAnsi"/>
          <w:szCs w:val="24"/>
        </w:rPr>
      </w:pPr>
    </w:p>
    <w:p w14:paraId="0788565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trascendencia del conocimiento a través de los mitos resalta en un factor determinante de la realidad, esta es la creencia en los mitos, y la sujeción a ellos para diagramar nuestras conductas. Los mitos, por lo tanto demuestran algo muy singular, quizá no la verdad de estos mitos, pero sí la verdad de la creencia en estos mitos.</w:t>
      </w:r>
      <w:r w:rsidRPr="000D3432">
        <w:rPr>
          <w:rStyle w:val="Refdenotaalpie"/>
          <w:rFonts w:asciiTheme="minorHAnsi" w:hAnsiTheme="minorHAnsi"/>
          <w:sz w:val="24"/>
          <w:szCs w:val="24"/>
          <w:vertAlign w:val="superscript"/>
        </w:rPr>
        <w:footnoteReference w:id="150"/>
      </w:r>
    </w:p>
    <w:p w14:paraId="1463E3AD" w14:textId="77777777" w:rsidR="001925CE" w:rsidRPr="000D3432" w:rsidRDefault="001925CE" w:rsidP="00A95498">
      <w:pPr>
        <w:ind w:firstLine="426"/>
        <w:jc w:val="both"/>
        <w:rPr>
          <w:rFonts w:asciiTheme="minorHAnsi" w:hAnsiTheme="minorHAnsi"/>
          <w:szCs w:val="24"/>
        </w:rPr>
      </w:pPr>
    </w:p>
    <w:p w14:paraId="5722288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Además el mito ha demostrado el modo de ser o forma de una conciencia en el hombre. Aún si los mitos hubieran sido fantásticas creaciones del hombre, alegorías fabulosas sobre la vida y el hombre, no se puede dejar de apreciar que bajo el manto mítico, bajo la sombra de la ficción existe en el hombre una conciencia mítica, es decir, una mentalidad que se dirige a partir del mito como explicación los hechos. El hombre en ese momento, el momento en que acepta los mitos, revela su conciencia mítica, es por esto que el mito podría representar la mentalidad directriz de un tipo de sociedad, el orden social y por allí jurídico de los hombres, la conciencia mítica de estos hombres.</w:t>
      </w:r>
      <w:r w:rsidRPr="000D3432">
        <w:rPr>
          <w:rStyle w:val="Refdenotaalpie"/>
          <w:rFonts w:asciiTheme="minorHAnsi" w:hAnsiTheme="minorHAnsi"/>
          <w:sz w:val="24"/>
          <w:szCs w:val="24"/>
          <w:vertAlign w:val="superscript"/>
        </w:rPr>
        <w:footnoteReference w:id="151"/>
      </w:r>
    </w:p>
    <w:p w14:paraId="547ABF14" w14:textId="77777777" w:rsidR="001925CE" w:rsidRPr="000D3432" w:rsidRDefault="001925CE" w:rsidP="00A95498">
      <w:pPr>
        <w:ind w:firstLine="426"/>
        <w:jc w:val="both"/>
        <w:rPr>
          <w:rFonts w:asciiTheme="minorHAnsi" w:hAnsiTheme="minorHAnsi"/>
          <w:szCs w:val="24"/>
        </w:rPr>
      </w:pPr>
    </w:p>
    <w:p w14:paraId="040146E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resultado es que el mito cumple una función en la conciencia,  en el sentido de ver las cosas, en la concepción de la vida, el mundo y las relaciones sociales, en el conocimiento que tiene el hombre de sí mismo, de su existencia, de la existencia de las cosas y de sus actos, aquello con lo cual podrá formular juicios para dirigir su conducta, aquello que le hará diferenciar el bien del mal -según lo expresa el mito. De ese modo el mito cumple algo así como la función de estructurar la conciencia.</w:t>
      </w:r>
      <w:r w:rsidRPr="000D3432">
        <w:rPr>
          <w:rStyle w:val="Refdenotaalpie"/>
          <w:rFonts w:asciiTheme="minorHAnsi" w:hAnsiTheme="minorHAnsi"/>
          <w:sz w:val="24"/>
          <w:szCs w:val="24"/>
          <w:vertAlign w:val="superscript"/>
        </w:rPr>
        <w:footnoteReference w:id="152"/>
      </w:r>
    </w:p>
    <w:p w14:paraId="400996DC" w14:textId="77777777" w:rsidR="001925CE" w:rsidRPr="000D3432" w:rsidRDefault="001925CE" w:rsidP="00A95498">
      <w:pPr>
        <w:ind w:firstLine="426"/>
        <w:jc w:val="both"/>
        <w:rPr>
          <w:rFonts w:asciiTheme="minorHAnsi" w:hAnsiTheme="minorHAnsi"/>
          <w:szCs w:val="24"/>
        </w:rPr>
      </w:pPr>
    </w:p>
    <w:p w14:paraId="4AED3D5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visión mítica del mundo, por la cual los hombres y las sociedades se estructuran una conciencia de sí mismos y de su relación con las cosas y con los demás, se puede observar claramente en el Perú prehispánico. Donde el orden nacía de ciertas explicaciones y discursos míticos. El mito cumplía allí una función primordial, donde los hombres se dirigían por narraciones míticas; sus estructuras normativas se construían, también, de acuerdo a estas concepciones y narraciones míticas.</w:t>
      </w:r>
      <w:r w:rsidRPr="000D3432">
        <w:rPr>
          <w:rStyle w:val="Refdenotaalpie"/>
          <w:rFonts w:asciiTheme="minorHAnsi" w:hAnsiTheme="minorHAnsi"/>
          <w:sz w:val="24"/>
          <w:szCs w:val="24"/>
          <w:vertAlign w:val="superscript"/>
        </w:rPr>
        <w:footnoteReference w:id="153"/>
      </w:r>
    </w:p>
    <w:p w14:paraId="0A569D54" w14:textId="77777777" w:rsidR="001925CE" w:rsidRPr="000D3432" w:rsidRDefault="001925CE" w:rsidP="00A95498">
      <w:pPr>
        <w:ind w:firstLine="426"/>
        <w:jc w:val="both"/>
        <w:rPr>
          <w:rFonts w:asciiTheme="minorHAnsi" w:hAnsiTheme="minorHAnsi"/>
          <w:szCs w:val="24"/>
        </w:rPr>
      </w:pPr>
    </w:p>
    <w:p w14:paraId="37DE62E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Los mitos surtían efectos normativos, de dirección, explicativos y coactivos, por ejemplo, en los mitos incaicos se hablan de cerros o islotes marinos petrificados que son -según esta versión mítica- seres castigados por su soberbia. Esto representa un tipo de conducta a seguir. La soberbia era entonces </w:t>
      </w:r>
      <w:r w:rsidRPr="000D3432">
        <w:rPr>
          <w:rFonts w:asciiTheme="minorHAnsi" w:hAnsiTheme="minorHAnsi"/>
          <w:szCs w:val="24"/>
        </w:rPr>
        <w:lastRenderedPageBreak/>
        <w:t xml:space="preserve">mala, y había que evitarla, de lo contrario el castigo sería igual. Más allá, el fundamento del accionar jurídico del Inca era la divinidad, ésta estaba respaldada en mitos, creencias. ¿No era el orden social jurídico entonces respaldado por la concepción mítica que se tenía de la vida? ¿No era el Derecho de orden mítico? </w:t>
      </w:r>
    </w:p>
    <w:p w14:paraId="69841087" w14:textId="77777777" w:rsidR="001925CE" w:rsidRPr="000D3432" w:rsidRDefault="001925CE" w:rsidP="00A95498">
      <w:pPr>
        <w:ind w:firstLine="426"/>
        <w:jc w:val="both"/>
        <w:rPr>
          <w:rFonts w:asciiTheme="minorHAnsi" w:hAnsiTheme="minorHAnsi"/>
          <w:szCs w:val="24"/>
        </w:rPr>
      </w:pPr>
    </w:p>
    <w:p w14:paraId="0A7AED2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Según esta teoría el Derecho provenía del Mito, era la consecuencia de las premoniciones míticas. Aunque ya lo dicho sea suficiente para mostrar la fuerza del mito y su trascendencia para formar una estructura social normativa, es necesario poner en evidencia que estamos hablando no de un Derecho como lo entendemos hoy, con leyes escritas, teorías poderosamente argumentadas y revestidas de las más sutiles construcciones políticas y filosóficas, sino que hablamos más bien de una formación incipiente del Derecho. Hablamos de aquellas formas cómo la sociedad estaba estructurada normativamente, y a ello, para efectos de esta teoría, la hemos denominado Derecho.</w:t>
      </w:r>
    </w:p>
    <w:p w14:paraId="28E7B58D" w14:textId="77777777" w:rsidR="001925CE" w:rsidRPr="000D3432" w:rsidRDefault="001925CE" w:rsidP="00A95498">
      <w:pPr>
        <w:ind w:firstLine="426"/>
        <w:jc w:val="both"/>
        <w:rPr>
          <w:rFonts w:asciiTheme="minorHAnsi" w:hAnsiTheme="minorHAnsi"/>
          <w:szCs w:val="24"/>
        </w:rPr>
      </w:pPr>
    </w:p>
    <w:p w14:paraId="5C2C9C4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¿Porqué la necesidad de hacer una explicitación mítica del orden jurídico? Porque, según parece, a través del razonamiento filosófico, histórico y crítico, el Derecho nace, parte de algo. No es algo que ya está dado de antemano, y no se justifica en la nada, sino más bien es una creación de los hombres y se justifica en las concepciones -en este caso míticas- que se sobre él se tenga.</w:t>
      </w:r>
    </w:p>
    <w:p w14:paraId="3674BA52" w14:textId="77777777" w:rsidR="001925CE" w:rsidRPr="000D3432" w:rsidRDefault="001925CE" w:rsidP="00A95498">
      <w:pPr>
        <w:ind w:firstLine="426"/>
        <w:jc w:val="both"/>
        <w:rPr>
          <w:rFonts w:asciiTheme="minorHAnsi" w:hAnsiTheme="minorHAnsi"/>
          <w:szCs w:val="24"/>
        </w:rPr>
      </w:pPr>
    </w:p>
    <w:p w14:paraId="371CA3C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este tipo de ordenamientos sociales el pensamiento mítico, la conciencia mítica actúa como un instrumento de limitación y coacción, y garantiza cierto ordenamiento humano, cierta estructura social. El mito es cierto poder que se ejerce sobre el deseo y el inconsciente, sobre la libertad de hacer o no hacer, y juega un papel muy importante en las relaciones políticas jurídicas, es decir de gobierno y de normatividad. El mito formaba, dentro de esa concepción, toda la trama de la existencia; es representativa, quiere decir o explica algo, instaura un determinado tipo de relación de poder y saber, de poder político y de conocimiento; es un método que puede cumplir muy bien la maniobra de formación y transformación de los individuos en función de ciertas normas. Es en sí la directriz, el centro, la médula de la explicación social de los actos y hechos.</w:t>
      </w:r>
    </w:p>
    <w:p w14:paraId="60C491F0" w14:textId="77777777" w:rsidR="001925CE" w:rsidRPr="000D3432" w:rsidRDefault="001925CE" w:rsidP="00A95498">
      <w:pPr>
        <w:ind w:firstLine="426"/>
        <w:jc w:val="both"/>
        <w:rPr>
          <w:rFonts w:asciiTheme="minorHAnsi" w:hAnsiTheme="minorHAnsi"/>
          <w:szCs w:val="24"/>
        </w:rPr>
      </w:pPr>
    </w:p>
    <w:p w14:paraId="701F934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Según esta concepción mítica de la creación del Derecho, de lo que sería el Derecho, o mejor, el ordenamiento jurídico, la razón aparece como un inconveniente, un obstáculo para el reinado del mito como objeto de conocimiento y de explicación de la realidad, de la verdad. </w:t>
      </w:r>
    </w:p>
    <w:p w14:paraId="0662FF7D" w14:textId="77777777" w:rsidR="001925CE" w:rsidRPr="000D3432" w:rsidRDefault="001925CE" w:rsidP="00A95498">
      <w:pPr>
        <w:ind w:firstLine="426"/>
        <w:jc w:val="both"/>
        <w:rPr>
          <w:rFonts w:asciiTheme="minorHAnsi" w:hAnsiTheme="minorHAnsi"/>
          <w:szCs w:val="24"/>
        </w:rPr>
      </w:pPr>
    </w:p>
    <w:p w14:paraId="1EF0247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actitud de los hombres que se dirigen por esta cosmovisión mítica se enmarcarían dentro de lo que denominaríamos el pensamiento primitivo, la premodernidad, la concepción acrítica, irreflexiva. Aquí el orden tiene sus fundamentos en discursos extraordinarios, supersticiosos, y hasta divinos, pero no en discursos racionalmente demostrables. Esto sin embargo no anula la validez del conocimiento mítico, puesto que las sociedades que trajinaban dentro de esta percepción de la vida, no pensaban siguiera en que había otra forma de explicar las cosas, bastaba con la expuesta por estos relatos </w:t>
      </w:r>
      <w:r w:rsidRPr="000D3432">
        <w:rPr>
          <w:rFonts w:asciiTheme="minorHAnsi" w:hAnsiTheme="minorHAnsi"/>
          <w:szCs w:val="24"/>
        </w:rPr>
        <w:lastRenderedPageBreak/>
        <w:t xml:space="preserve">fantásticos. El carácter es altamente acrítico, pero a la vez fantásticamente creativo. Hay menos capacidad de contradicción, pero mucha agilidad mental para construir respuestas a los hechos de la vida. Se trabaja con los elementos más a mano para explicarlo todo: la mente. La comprobación que es una operación racional está lejos del alcance de las posibilidades de estos individuos. Los hechos y los fenómenos se atribuyen a potencias ocultas, aún los más naturales.  </w:t>
      </w:r>
    </w:p>
    <w:p w14:paraId="7DB3E30F" w14:textId="77777777" w:rsidR="001925CE" w:rsidRPr="000D3432" w:rsidRDefault="001925CE" w:rsidP="00A95498">
      <w:pPr>
        <w:ind w:firstLine="426"/>
        <w:jc w:val="both"/>
        <w:rPr>
          <w:rFonts w:asciiTheme="minorHAnsi" w:hAnsiTheme="minorHAnsi"/>
          <w:szCs w:val="24"/>
        </w:rPr>
      </w:pPr>
    </w:p>
    <w:p w14:paraId="791AC3F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Algo vendría, luego, a erosionar el fundamento mítico de la vida, el mundo, las relaciones sociales, etc., es decir de la existencia: la escritura. Fue la escritura de estos mitos lo que originó la crítica de los moldes de conducta, de las formas normativas, de la determinación del orden social y jurídico. Y fue, según narran los historiadores, los escritos de Homero y Hesíodo</w:t>
      </w:r>
      <w:r w:rsidRPr="000D3432">
        <w:rPr>
          <w:rStyle w:val="Refdenotaalpie"/>
          <w:rFonts w:asciiTheme="minorHAnsi" w:hAnsiTheme="minorHAnsi"/>
          <w:sz w:val="24"/>
          <w:szCs w:val="24"/>
          <w:vertAlign w:val="superscript"/>
        </w:rPr>
        <w:footnoteReference w:id="154"/>
      </w:r>
      <w:r w:rsidRPr="000D3432">
        <w:rPr>
          <w:rFonts w:asciiTheme="minorHAnsi" w:hAnsiTheme="minorHAnsi"/>
          <w:szCs w:val="24"/>
        </w:rPr>
        <w:t xml:space="preserve"> -en la cultura occidental- quienes plasmaron por primera vez los mitos en escritos. Con ello había nacido, comenzado, toda nuestra historia escrita, y a la vez la formulación objetiva de la crítica. Antes de esto el pensamiento, las narraciones míticas estaban formuladas en versiones orales que no se asentaban en ningún cubículo objetivo, sino más bien eran discursos volátiles, etéreos, etc. La escritura permitió el paso hacia el pensamiento crítico, otorgó la posibilidad de contradecir las versiones  míticas de la existencia y las relaciones normativas. De esta forma el modo de transmisión de conocimiento, de orden normativo se transmutó, cambió, etc.; el conocimiento se hizo objetivo, visible, perdurable, pero también criticable, refutable, rebatible.</w:t>
      </w:r>
    </w:p>
    <w:p w14:paraId="12DD9F66" w14:textId="77777777" w:rsidR="001925CE" w:rsidRPr="000D3432" w:rsidRDefault="001925CE" w:rsidP="00A95498">
      <w:pPr>
        <w:ind w:firstLine="426"/>
        <w:jc w:val="both"/>
        <w:rPr>
          <w:rFonts w:asciiTheme="minorHAnsi" w:hAnsiTheme="minorHAnsi"/>
          <w:szCs w:val="24"/>
        </w:rPr>
      </w:pPr>
    </w:p>
    <w:p w14:paraId="5B38C17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suceso -que los mitos volátiles, trasmitidos de boca en boca habían sido escritos-, aparentemente tan inofensivo, habría de provocar una enorme transformación en la vida de los hombres. Habíase determinado con la escritura un punto focal, central, de donde partirían las fundamentaciones de las relaciones sociales y jurídicas. Desde ese momento la cultura -gran parte de ella- nos viene por medio de los libros, de la palabra escrita, de la delimitadora palabra; pero, a la vez, nos vienen los materiales para refutar esa cultura. La escritura actuaría como método de formación y transformación de los individuos en función de ciertas normas.</w:t>
      </w:r>
    </w:p>
    <w:p w14:paraId="2B6352B8" w14:textId="77777777" w:rsidR="001925CE" w:rsidRPr="000D3432" w:rsidRDefault="001925CE" w:rsidP="00A95498">
      <w:pPr>
        <w:ind w:firstLine="426"/>
        <w:jc w:val="both"/>
        <w:rPr>
          <w:rFonts w:asciiTheme="minorHAnsi" w:hAnsiTheme="minorHAnsi"/>
          <w:szCs w:val="24"/>
        </w:rPr>
      </w:pPr>
    </w:p>
    <w:p w14:paraId="1C6917D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Además, a partir de la escritura todo los conceptos sufrieron ataques más perennes y corrosivos; por ejemplo, los dioses mitológicos habían sido debelados, por Homero, como seres con los mismos defectos atribuídos a los humanos.</w:t>
      </w:r>
    </w:p>
    <w:p w14:paraId="06C35E88" w14:textId="77777777" w:rsidR="001925CE" w:rsidRPr="000D3432" w:rsidRDefault="001925CE" w:rsidP="00A95498">
      <w:pPr>
        <w:ind w:firstLine="426"/>
        <w:jc w:val="both"/>
        <w:rPr>
          <w:rFonts w:asciiTheme="minorHAnsi" w:hAnsiTheme="minorHAnsi"/>
          <w:szCs w:val="24"/>
        </w:rPr>
      </w:pPr>
    </w:p>
    <w:p w14:paraId="100E445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escritura, fue el quiebre de lo mítico,  su verdugo, el mecanismo que lo hizo erosionable, aquello que le quitó validez, no lo destruyó totalmente, pero sí lo disolvió, le quitó poder explicativo y de conocimiento. Con este fenómeno de objetivización de la palabra, de sistematización material del lenguaje la discrepancia con los mitos era el signo característico; se podía objetar de los mitos porque estos no ya se perdían en especulaciones verbales, sino que </w:t>
      </w:r>
      <w:r w:rsidRPr="000D3432">
        <w:rPr>
          <w:rFonts w:asciiTheme="minorHAnsi" w:hAnsiTheme="minorHAnsi"/>
          <w:szCs w:val="24"/>
        </w:rPr>
        <w:lastRenderedPageBreak/>
        <w:t xml:space="preserve">quedaban asentadas en representaciones materiales, impresas, lo que los exponía a análisis o examen de sus contenidos y a la constatación de la validez o no de estos contenidos. </w:t>
      </w:r>
    </w:p>
    <w:p w14:paraId="0E5FF17B" w14:textId="77777777" w:rsidR="001925CE" w:rsidRPr="000D3432" w:rsidRDefault="001925CE" w:rsidP="00A95498">
      <w:pPr>
        <w:ind w:firstLine="426"/>
        <w:jc w:val="both"/>
        <w:rPr>
          <w:rFonts w:asciiTheme="minorHAnsi" w:hAnsiTheme="minorHAnsi"/>
          <w:szCs w:val="24"/>
        </w:rPr>
      </w:pPr>
    </w:p>
    <w:p w14:paraId="11BFC08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todo esto el Derecho, o lo que más se le asemejaba -en esta etapa-, venía de los mitos, incluso podría decirse que los mitos surtían efectos de normatividad, pero cuando apareció la escritura ésta era la que justificaba, daba validez a cualquier fundamentación mítica. Es decir, las normas podían basarse en creencias míticas, pero era la escritura lo que hacía a la norma válida y legítima. </w:t>
      </w:r>
    </w:p>
    <w:p w14:paraId="044A6B91" w14:textId="77777777" w:rsidR="001925CE" w:rsidRPr="000D3432" w:rsidRDefault="001925CE" w:rsidP="00A95498">
      <w:pPr>
        <w:ind w:firstLine="426"/>
        <w:jc w:val="both"/>
        <w:rPr>
          <w:rFonts w:asciiTheme="minorHAnsi" w:hAnsiTheme="minorHAnsi"/>
          <w:szCs w:val="24"/>
        </w:rPr>
      </w:pPr>
    </w:p>
    <w:p w14:paraId="360D4FB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Los mitos eran, acaso, explicaciones de orden religioso. Eran relatos que intentaban explicar los principios de la vida. A través de esta visión todas las explicaciones a las interrogantes de la vida estaban ya dadas. A través de los mitos se explicaba, por ejemplo, que había una constante lucha entre bien y mal; lo que suponía que la distancia entre estos dos conceptos (bien y mal) estaban claramente diferenciados. El mito determinaba de alguna manera la participación del hombre en la construcción del mundo. Poniendo otro ejemplo, había poblaciones que hacían sacrificios a los dioses para agradarles y darles fuerza para combatir las fuerzas del mal. Y como se sabe el Derecho también cumple una función de diferenciación entre lo prohibido (el mal) y lo permitido (el bien).</w:t>
      </w:r>
    </w:p>
    <w:p w14:paraId="37B75E72" w14:textId="77777777" w:rsidR="001925CE" w:rsidRPr="000D3432" w:rsidRDefault="001925CE" w:rsidP="00A95498">
      <w:pPr>
        <w:ind w:firstLine="426"/>
        <w:jc w:val="both"/>
        <w:rPr>
          <w:rFonts w:asciiTheme="minorHAnsi" w:hAnsiTheme="minorHAnsi"/>
          <w:szCs w:val="24"/>
        </w:rPr>
      </w:pPr>
    </w:p>
    <w:p w14:paraId="10AEFBC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la concepción mítica, unida a la religión, provocó una importante y determinante influencia en el actuar jurídico, en la normatividad, en la ley de la cultura griega. Las leyes se revestían, por esta concepción de carácter sagrado, sustentada en mitos, o argumentos de esa índole.</w:t>
      </w:r>
      <w:r w:rsidRPr="000D3432">
        <w:rPr>
          <w:rStyle w:val="Refdenotaalpie"/>
          <w:rFonts w:asciiTheme="minorHAnsi" w:hAnsiTheme="minorHAnsi"/>
          <w:sz w:val="24"/>
          <w:szCs w:val="24"/>
          <w:vertAlign w:val="superscript"/>
        </w:rPr>
        <w:footnoteReference w:id="155"/>
      </w:r>
    </w:p>
    <w:p w14:paraId="23FDDC42" w14:textId="77777777" w:rsidR="001925CE" w:rsidRPr="000D3432" w:rsidRDefault="001925CE" w:rsidP="00A95498">
      <w:pPr>
        <w:ind w:firstLine="426"/>
        <w:jc w:val="both"/>
        <w:rPr>
          <w:rFonts w:asciiTheme="minorHAnsi" w:hAnsiTheme="minorHAnsi"/>
          <w:szCs w:val="24"/>
        </w:rPr>
      </w:pPr>
    </w:p>
    <w:p w14:paraId="5CF7971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acercamiento a lo sagrado tuvo en la antigüedad una vital importancia:</w:t>
      </w:r>
    </w:p>
    <w:p w14:paraId="216BE8E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“Durante muchas generaciones, las leyes no estuvieron escritas; se transmitieron de padres a hijos, con la creencia y la fórmula de la oración”.</w:t>
      </w:r>
      <w:r w:rsidRPr="000D3432">
        <w:rPr>
          <w:rStyle w:val="Refdenotaalpie"/>
          <w:rFonts w:asciiTheme="minorHAnsi" w:hAnsiTheme="minorHAnsi"/>
          <w:sz w:val="24"/>
          <w:szCs w:val="24"/>
          <w:vertAlign w:val="superscript"/>
        </w:rPr>
        <w:footnoteReference w:id="156"/>
      </w:r>
    </w:p>
    <w:p w14:paraId="43D3C64E" w14:textId="77777777" w:rsidR="001925CE" w:rsidRPr="000D3432" w:rsidRDefault="001925CE" w:rsidP="00A95498">
      <w:pPr>
        <w:ind w:firstLine="426"/>
        <w:jc w:val="both"/>
        <w:rPr>
          <w:rFonts w:asciiTheme="minorHAnsi" w:hAnsiTheme="minorHAnsi"/>
          <w:szCs w:val="24"/>
        </w:rPr>
      </w:pPr>
    </w:p>
    <w:p w14:paraId="2E6B81F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último, según esta teoría, los mitos eran el fundamento central para la formulación del Derecho. La historia demuestra esta concepción. El sistema social de organización estaba basado específicamente en las explicaciones míticas. Estos formaban un conjunto de preceptos que funcionaban como conductos, caminos por los cuales dirigir las conductas. Lo que debía o no debía hacerse estaba en los mitos. Así que el Derecho más primario se fundamentaba en estos mitos. Esto demuestra -la relación íntima entre ordenamiento jurídico y mito- el carácter premoderno de la concepción del Derecho. </w:t>
      </w:r>
    </w:p>
    <w:p w14:paraId="6D66B713" w14:textId="77777777" w:rsidR="001925CE" w:rsidRPr="000D3432" w:rsidRDefault="001925CE" w:rsidP="00A95498">
      <w:pPr>
        <w:ind w:firstLine="426"/>
        <w:jc w:val="both"/>
        <w:rPr>
          <w:rFonts w:asciiTheme="minorHAnsi" w:hAnsiTheme="minorHAnsi"/>
          <w:szCs w:val="24"/>
        </w:rPr>
      </w:pPr>
    </w:p>
    <w:p w14:paraId="188A50E3" w14:textId="77777777" w:rsidR="001925CE" w:rsidRPr="000D3432" w:rsidRDefault="001925CE" w:rsidP="00A95498">
      <w:pPr>
        <w:pStyle w:val="Textoindependiente21"/>
        <w:ind w:left="0" w:firstLine="0"/>
        <w:rPr>
          <w:rFonts w:asciiTheme="minorHAnsi" w:hAnsiTheme="minorHAnsi"/>
          <w:szCs w:val="24"/>
        </w:rPr>
      </w:pPr>
      <w:r w:rsidRPr="000D3432">
        <w:rPr>
          <w:rFonts w:asciiTheme="minorHAnsi" w:hAnsiTheme="minorHAnsi"/>
          <w:szCs w:val="24"/>
        </w:rPr>
        <w:t xml:space="preserve">b.- El Derecho y la naturaleza </w:t>
      </w:r>
    </w:p>
    <w:p w14:paraId="0D4DC70B" w14:textId="77777777" w:rsidR="001925CE" w:rsidRPr="000D3432" w:rsidRDefault="001925CE" w:rsidP="00A95498">
      <w:pPr>
        <w:pStyle w:val="Textoindependiente21"/>
        <w:ind w:left="0" w:firstLine="425"/>
        <w:rPr>
          <w:rFonts w:asciiTheme="minorHAnsi" w:hAnsiTheme="minorHAnsi"/>
          <w:b w:val="0"/>
          <w:szCs w:val="24"/>
        </w:rPr>
      </w:pPr>
    </w:p>
    <w:p w14:paraId="7BD9BBC5" w14:textId="77777777" w:rsidR="001925CE" w:rsidRPr="000D3432" w:rsidRDefault="001925CE" w:rsidP="00A95498">
      <w:pPr>
        <w:pStyle w:val="Textoindependiente21"/>
        <w:ind w:left="0" w:firstLine="425"/>
        <w:rPr>
          <w:rFonts w:asciiTheme="minorHAnsi" w:hAnsiTheme="minorHAnsi"/>
          <w:szCs w:val="24"/>
        </w:rPr>
      </w:pPr>
      <w:r w:rsidRPr="000D3432">
        <w:rPr>
          <w:rFonts w:asciiTheme="minorHAnsi" w:hAnsiTheme="minorHAnsi"/>
          <w:b w:val="0"/>
          <w:szCs w:val="24"/>
        </w:rPr>
        <w:t xml:space="preserve">O también: “El Derecho como la búsqueda de explicaciones en la naturaleza </w:t>
      </w:r>
      <w:r w:rsidRPr="000D3432">
        <w:rPr>
          <w:rFonts w:asciiTheme="minorHAnsi" w:hAnsiTheme="minorHAnsi"/>
          <w:b w:val="0"/>
          <w:szCs w:val="24"/>
        </w:rPr>
        <w:lastRenderedPageBreak/>
        <w:t>y sus procesos”</w:t>
      </w:r>
    </w:p>
    <w:p w14:paraId="6B057F68" w14:textId="77777777" w:rsidR="001925CE" w:rsidRPr="000D3432" w:rsidRDefault="001925CE" w:rsidP="00A95498">
      <w:pPr>
        <w:ind w:firstLine="426"/>
        <w:jc w:val="both"/>
        <w:rPr>
          <w:rFonts w:asciiTheme="minorHAnsi" w:hAnsiTheme="minorHAnsi"/>
          <w:szCs w:val="24"/>
        </w:rPr>
      </w:pPr>
    </w:p>
    <w:p w14:paraId="4CF5A8F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 la aparición de la escritura, como dijimos, se hizo posible discutir la validez y verdad de los mitos. Por ejemplo, la mitología de Homero fue discutida porque en sus escritos los dioses aparecían con las mismas cualidades de los hombres, es decir, los dioses eran, también, egoístas, de foco fiar, etc. Fue así que “por primera vez se dijo que quizá los mitos no fueran más que imaginaciones humanas”</w:t>
      </w:r>
      <w:r w:rsidRPr="000D3432">
        <w:rPr>
          <w:rStyle w:val="Refdenotaalpie"/>
          <w:rFonts w:asciiTheme="minorHAnsi" w:hAnsiTheme="minorHAnsi"/>
          <w:sz w:val="24"/>
          <w:szCs w:val="24"/>
          <w:vertAlign w:val="superscript"/>
        </w:rPr>
        <w:footnoteReference w:id="157"/>
      </w:r>
      <w:r w:rsidRPr="000D3432">
        <w:rPr>
          <w:rFonts w:asciiTheme="minorHAnsi" w:hAnsiTheme="minorHAnsi"/>
          <w:szCs w:val="24"/>
        </w:rPr>
        <w:t xml:space="preserve">. </w:t>
      </w:r>
    </w:p>
    <w:p w14:paraId="075F48F9" w14:textId="77777777" w:rsidR="001925CE" w:rsidRPr="000D3432" w:rsidRDefault="001925CE" w:rsidP="00A95498">
      <w:pPr>
        <w:ind w:firstLine="426"/>
        <w:jc w:val="both"/>
        <w:rPr>
          <w:rFonts w:asciiTheme="minorHAnsi" w:hAnsiTheme="minorHAnsi"/>
          <w:szCs w:val="24"/>
        </w:rPr>
      </w:pPr>
    </w:p>
    <w:p w14:paraId="6D7F320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Jenófanes (570), por su parte, haciendo también una crítica a la cosmovisión del mundo a través de los mitos, explicó su posición exponiendo que ésta -la explicación mítica- facilitaba el enredo y la confusión, o, en todo caso, la inexactitud, la imposibilidad de la coincidencia entre la verdad y la realidad, ¿cómo podían los hombres crearse dioses a su imagen y semejanza? La mitología había planteado esa posibilidad, cosa que Jenófanes no aceptaba como probable. Rechazó el antropomorfismo de los dioses. </w:t>
      </w:r>
    </w:p>
    <w:p w14:paraId="43AE1705" w14:textId="77777777" w:rsidR="001925CE" w:rsidRPr="000D3432" w:rsidRDefault="001925CE" w:rsidP="00A95498">
      <w:pPr>
        <w:ind w:firstLine="426"/>
        <w:jc w:val="both"/>
        <w:rPr>
          <w:rFonts w:asciiTheme="minorHAnsi" w:hAnsiTheme="minorHAnsi"/>
          <w:szCs w:val="24"/>
        </w:rPr>
      </w:pPr>
    </w:p>
    <w:p w14:paraId="08B5FFC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esa época los griegos fundaron una serie de ciudades estado -cuenta JosteinGaarder. Y tenían esclavos que hacían todo el trabajo físico. Esto alentó el pensamiento. Si los ciudadanos libres no tenían que trabajar, ¿qué podían hacer? La consecuencia fue natural: pensar. Y lo mejor, pensar por cuenta propia. Esto era ya un rasgo elemental del pensamiento moderno: capacidad de pensar por cuenta propia. Sin embargo había confluencia de situaciones sociales, personales, sociales. Los esclavos no podían pensar por cuenta propia, lo que determinaba una evidente situación premoderna.</w:t>
      </w:r>
    </w:p>
    <w:p w14:paraId="49210F90" w14:textId="77777777" w:rsidR="001925CE" w:rsidRPr="000D3432" w:rsidRDefault="001925CE" w:rsidP="00A95498">
      <w:pPr>
        <w:ind w:firstLine="426"/>
        <w:jc w:val="both"/>
        <w:rPr>
          <w:rFonts w:asciiTheme="minorHAnsi" w:hAnsiTheme="minorHAnsi"/>
          <w:szCs w:val="24"/>
        </w:rPr>
      </w:pPr>
    </w:p>
    <w:p w14:paraId="145EE49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 la crítica de los mitos como instrumento de certeza, había que encontrar otro fundamento de la existencia. Encuentran un nuevo principio por la cual explicar los fenómenos naturales, y por lo tanto por los cuales guiarse ellos también. El objetivo cambio de una recurrencia a lo tradicional y mítico a explicaciones naturales. “El objetivo de los primeros filósofos era buscar explicaciones naturales a los procesos de la naturaleza”</w:t>
      </w:r>
      <w:r w:rsidRPr="000D3432">
        <w:rPr>
          <w:rStyle w:val="Refdenotaalpie"/>
          <w:rFonts w:asciiTheme="minorHAnsi" w:hAnsiTheme="minorHAnsi"/>
          <w:sz w:val="24"/>
          <w:szCs w:val="24"/>
          <w:vertAlign w:val="superscript"/>
        </w:rPr>
        <w:footnoteReference w:id="158"/>
      </w:r>
      <w:r w:rsidRPr="000D3432">
        <w:rPr>
          <w:rFonts w:asciiTheme="minorHAnsi" w:hAnsiTheme="minorHAnsi"/>
          <w:szCs w:val="24"/>
        </w:rPr>
        <w:t xml:space="preserve">. El principio universal que explicaría de ahí en adelante ya no sería el mito, sino la naturaleza y sus procesos. Entonces intentaron buscar leyes naturales  constantes. Se quería entender los procesos naturales, independientemente de las explicaciones míticas. Esta fue una forma cómo la concepción del mundo se independizó del mito, e incluso de la religión. El orden mítico había sido arrinconado y el orden natural emergía. </w:t>
      </w:r>
    </w:p>
    <w:p w14:paraId="1774A0E5" w14:textId="77777777" w:rsidR="001925CE" w:rsidRPr="000D3432" w:rsidRDefault="001925CE" w:rsidP="00A95498">
      <w:pPr>
        <w:ind w:firstLine="426"/>
        <w:jc w:val="both"/>
        <w:rPr>
          <w:rFonts w:asciiTheme="minorHAnsi" w:hAnsiTheme="minorHAnsi"/>
          <w:szCs w:val="24"/>
        </w:rPr>
      </w:pPr>
    </w:p>
    <w:p w14:paraId="704D267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Tales de Mileto - por su lado- intenta explicar la existencia y el mundo de acuerdo a criterios desligados del razonamiento mítico, de la explicación mítica. Con él la orientación mítica se coloca en un lugar apartado, y el nuevo factor del pensamiento occidental empieza a darse en la explicación a través del análisis y estudio de la naturaleza y sus procesos.</w:t>
      </w:r>
      <w:r w:rsidRPr="000D3432">
        <w:rPr>
          <w:rStyle w:val="Refdenotaalpie"/>
          <w:rFonts w:asciiTheme="minorHAnsi" w:hAnsiTheme="minorHAnsi"/>
          <w:sz w:val="24"/>
          <w:szCs w:val="24"/>
          <w:vertAlign w:val="superscript"/>
        </w:rPr>
        <w:footnoteReference w:id="159"/>
      </w:r>
    </w:p>
    <w:p w14:paraId="5AC982B0" w14:textId="77777777" w:rsidR="001925CE" w:rsidRPr="000D3432" w:rsidRDefault="001925CE" w:rsidP="00A95498">
      <w:pPr>
        <w:ind w:firstLine="426"/>
        <w:jc w:val="both"/>
        <w:rPr>
          <w:rFonts w:asciiTheme="minorHAnsi" w:hAnsiTheme="minorHAnsi"/>
          <w:szCs w:val="24"/>
        </w:rPr>
      </w:pPr>
    </w:p>
    <w:p w14:paraId="7FA783A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la cultura griega, no había esa preocupación por el origen de las cosas, se pensaba que las cosas estaban ahí desde siempre. Creían en la existencia de leyes universales, los de la naturaleza, y en la necesidad de encontrarlas, descubrirlas, para luego adaptar las conductas humanas de acuerdo a esas leyes universales de la naturaleza, a esos principios. Así que su preocupación estaba enfocada en el proceso, en el movimiento del orden natural. En qué era realmente la naturaleza. Esta preocupación nació de un fenómeno muy preciso: el movimiento.El movimiento significa cambio o variación. El hombre griego descubre cuatro tipos de movimientos</w:t>
      </w:r>
      <w:r w:rsidRPr="000D3432">
        <w:rPr>
          <w:rStyle w:val="Refdenotaalpie"/>
          <w:rFonts w:asciiTheme="minorHAnsi" w:hAnsiTheme="minorHAnsi"/>
          <w:sz w:val="24"/>
          <w:szCs w:val="24"/>
          <w:vertAlign w:val="superscript"/>
        </w:rPr>
        <w:footnoteReference w:id="160"/>
      </w:r>
      <w:r w:rsidRPr="000D3432">
        <w:rPr>
          <w:rFonts w:asciiTheme="minorHAnsi" w:hAnsiTheme="minorHAnsi"/>
          <w:szCs w:val="24"/>
        </w:rPr>
        <w:t>. Eso lo puso en una situación riesgosa e incierta ante la vida.</w:t>
      </w:r>
      <w:r w:rsidRPr="000D3432">
        <w:rPr>
          <w:rStyle w:val="Refdenotaalpie"/>
          <w:rFonts w:asciiTheme="minorHAnsi" w:hAnsiTheme="minorHAnsi"/>
          <w:sz w:val="24"/>
          <w:szCs w:val="24"/>
          <w:vertAlign w:val="superscript"/>
        </w:rPr>
        <w:footnoteReference w:id="161"/>
      </w:r>
    </w:p>
    <w:p w14:paraId="5872CF8C" w14:textId="77777777" w:rsidR="001925CE" w:rsidRPr="000D3432" w:rsidRDefault="001925CE" w:rsidP="00A95498">
      <w:pPr>
        <w:ind w:firstLine="426"/>
        <w:jc w:val="both"/>
        <w:rPr>
          <w:rFonts w:asciiTheme="minorHAnsi" w:hAnsiTheme="minorHAnsi"/>
          <w:szCs w:val="24"/>
        </w:rPr>
      </w:pPr>
    </w:p>
    <w:p w14:paraId="4791101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 por esto que el hombre empieza a buscar las respuestas en la naturaleza. Se preguntaba, más bien, cómo ocurrían los cambios en la naturaleza. Pensaba qué había en la materia primaria de donde surgía todo. ¿cuáles eran? y ¿porqué importaban? Porque de acuerdo a ello establecerían el orden a seguir, el orden en la vida, y en las conductas humanas. Era necesario para saber el curso natural, el proceso de evolución de los seres, para poder tener un criterio de certeza con cual conducirse.</w:t>
      </w:r>
    </w:p>
    <w:p w14:paraId="23232137" w14:textId="77777777" w:rsidR="001925CE" w:rsidRPr="000D3432" w:rsidRDefault="001925CE" w:rsidP="00A95498">
      <w:pPr>
        <w:ind w:firstLine="426"/>
        <w:jc w:val="both"/>
        <w:rPr>
          <w:rFonts w:asciiTheme="minorHAnsi" w:hAnsiTheme="minorHAnsi"/>
          <w:szCs w:val="24"/>
        </w:rPr>
      </w:pPr>
    </w:p>
    <w:p w14:paraId="15BE132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búsqueda de respuestas ya no estaba en los mitos, sino en la naturaleza. Los seres humanos dejarían de conducirse (establecer sus normas de conducta) por los mitos para cambiarlos por razones de orden natural. A la vez esta búsqueda de respuestas sólidas estaba dando lugar al pensamiento racional. Podemos aventurarnos a decir que se estaba estableciendo un nuevo tipo de pensar el mundo y las relaciones sociales, incluso diríamos que “los filósofos de la naturaleza dieron los primeros pasos hacia una manera científica de pensar, desencadenando todas las ciencias naturales posteriores"</w:t>
      </w:r>
      <w:r w:rsidRPr="000D3432">
        <w:rPr>
          <w:rStyle w:val="Refdenotaalpie"/>
          <w:rFonts w:asciiTheme="minorHAnsi" w:hAnsiTheme="minorHAnsi"/>
          <w:sz w:val="24"/>
          <w:szCs w:val="24"/>
          <w:vertAlign w:val="superscript"/>
        </w:rPr>
        <w:footnoteReference w:id="162"/>
      </w:r>
      <w:r w:rsidRPr="000D3432">
        <w:rPr>
          <w:rFonts w:asciiTheme="minorHAnsi" w:hAnsiTheme="minorHAnsi"/>
          <w:szCs w:val="24"/>
        </w:rPr>
        <w:t>.</w:t>
      </w:r>
    </w:p>
    <w:p w14:paraId="37F250CF" w14:textId="77777777" w:rsidR="001925CE" w:rsidRPr="000D3432" w:rsidRDefault="001925CE" w:rsidP="00A95498">
      <w:pPr>
        <w:ind w:firstLine="426"/>
        <w:jc w:val="both"/>
        <w:rPr>
          <w:rFonts w:asciiTheme="minorHAnsi" w:hAnsiTheme="minorHAnsi"/>
          <w:szCs w:val="24"/>
        </w:rPr>
      </w:pPr>
    </w:p>
    <w:p w14:paraId="6612D62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su parte, Parménides pensaba, por ejemplo, que todo lo que hay y existe ha existido siempre, es decir, el orden estaba ya dado de antemano. Pero se aventuró a afirmar aún algo más: que en realidad no podía haber ningún cambio. Aún sabiendo que la naturaleza muestra cambios, éste pensador fundamentó su concepción de inmutabilidad de las cosas en la falencia de los sentidos, es decir en la incapacidad de los sentidos de atrapar real y </w:t>
      </w:r>
      <w:r w:rsidRPr="000D3432">
        <w:rPr>
          <w:rFonts w:asciiTheme="minorHAnsi" w:hAnsiTheme="minorHAnsi"/>
          <w:szCs w:val="24"/>
        </w:rPr>
        <w:lastRenderedPageBreak/>
        <w:t>verdaderamente los hechos o sucesos naturales. Para él los sentidos no eran de fiar, pues podían ser susceptibles de estar percibiendo ilusiones; así que confrontados los sentidos y la razón optaba por la última. Era un filósofo que se sentía  con la responsabilidad de "descubrir toda clase de ilusiones", que pudieran distorsionar el sentido de la vida. Esta dilucidación refleja un pensamiento racionalista, que es el que adoptan, en parte, los procedimientos jurídicos. Las pruebas y los actos probatorios son eso: medios racionales con los que se demuestra un acto, hecho o conducta. La concepción de Parménides intentaba demostrar que el conocimiento de la naturaleza y sus procesos no podían recogerse arbitrariamente por los sentidos.</w:t>
      </w:r>
    </w:p>
    <w:p w14:paraId="7BAECF3D" w14:textId="77777777" w:rsidR="001925CE" w:rsidRPr="000D3432" w:rsidRDefault="001925CE" w:rsidP="00A95498">
      <w:pPr>
        <w:ind w:firstLine="426"/>
        <w:jc w:val="both"/>
        <w:rPr>
          <w:rFonts w:asciiTheme="minorHAnsi" w:hAnsiTheme="minorHAnsi"/>
          <w:szCs w:val="24"/>
        </w:rPr>
      </w:pPr>
    </w:p>
    <w:p w14:paraId="7C514A0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otra lado Heráclito de Efeso contradecía la concepción de Parménides y pensaba que "todo fluye", todo está en movimiento, en constante cambio, evolución. Nada es eterno. Nada es lo mismo. "No se puede descender dos veces al mismo río". Esta concepción de que nada es lo mismo, de que todo fluye, pone al hombre a pensar que sus normas no pueden ser estáticas, porque no funcionarían en un mundo donde todo fluye. Heráclito propone un fenómeno inherente al mundo y fundamental en las relaciones sociales: la contradicción. El dice que el mundo es contradictorio, es una playa de contradicciones. Esa contradicción es parte del movimiento, o mejor, lo que produce el movimiento. Si todo es contradicción, el bien y el mal también lo son, pero, ¿existen necesariamente como exigencias recíprocas?. Heráclito señala que el mundo está caracterizado por constantes contradicciones, y que: "Tanto el bien como el mal tienen un lugar necesario en el Todo (...) y si no hubiera un juego entre los contrastes, el mundo dejaría de existir."</w:t>
      </w:r>
      <w:r w:rsidRPr="000D3432">
        <w:rPr>
          <w:rStyle w:val="Refdenotaalpie"/>
          <w:rFonts w:asciiTheme="minorHAnsi" w:hAnsiTheme="minorHAnsi"/>
          <w:sz w:val="24"/>
          <w:szCs w:val="24"/>
          <w:vertAlign w:val="superscript"/>
        </w:rPr>
        <w:footnoteReference w:id="163"/>
      </w:r>
      <w:r w:rsidRPr="000D3432">
        <w:rPr>
          <w:rFonts w:asciiTheme="minorHAnsi" w:hAnsiTheme="minorHAnsi"/>
          <w:szCs w:val="24"/>
        </w:rPr>
        <w:t>.</w:t>
      </w:r>
    </w:p>
    <w:p w14:paraId="5591B38D" w14:textId="77777777" w:rsidR="001925CE" w:rsidRPr="000D3432" w:rsidRDefault="001925CE" w:rsidP="00A95498">
      <w:pPr>
        <w:ind w:firstLine="426"/>
        <w:jc w:val="both"/>
        <w:rPr>
          <w:rFonts w:asciiTheme="minorHAnsi" w:hAnsiTheme="minorHAnsi"/>
          <w:szCs w:val="24"/>
        </w:rPr>
      </w:pPr>
    </w:p>
    <w:p w14:paraId="51A20D4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filósofo se inclinaba a pensar que existía  una "razón universal" que dirige todo lo que sucede en la naturaleza, común para todos y por la cual todos tienen que guiarse". Estaba hablando de Dios, de la Ley natural, o razón universal. Creía en las sensaciones -a diferencia de Parménides-, en el cambio, en que todo fluye, en la ley natural, en Dios.</w:t>
      </w:r>
      <w:r w:rsidRPr="000D3432">
        <w:rPr>
          <w:rStyle w:val="Refdenotaalpie"/>
          <w:rFonts w:asciiTheme="minorHAnsi" w:hAnsiTheme="minorHAnsi"/>
          <w:sz w:val="24"/>
          <w:szCs w:val="24"/>
          <w:vertAlign w:val="superscript"/>
        </w:rPr>
        <w:footnoteReference w:id="164"/>
      </w:r>
    </w:p>
    <w:p w14:paraId="50E51E16" w14:textId="77777777" w:rsidR="001925CE" w:rsidRPr="000D3432" w:rsidRDefault="001925CE" w:rsidP="00A95498">
      <w:pPr>
        <w:ind w:firstLine="426"/>
        <w:jc w:val="both"/>
        <w:rPr>
          <w:rFonts w:asciiTheme="minorHAnsi" w:hAnsiTheme="minorHAnsi"/>
          <w:szCs w:val="24"/>
        </w:rPr>
      </w:pPr>
    </w:p>
    <w:p w14:paraId="00C0070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Veía en las contradicciones un todo no ideal llamado Dios o Logos (razón). Heráclito pensaba que la virtud consiste en la subordinación del individuo a las leyes de una armonía razonable y universal.</w:t>
      </w:r>
    </w:p>
    <w:p w14:paraId="61DAC453" w14:textId="77777777" w:rsidR="001925CE" w:rsidRPr="000D3432" w:rsidRDefault="001925CE" w:rsidP="00A95498">
      <w:pPr>
        <w:ind w:firstLine="426"/>
        <w:jc w:val="both"/>
        <w:rPr>
          <w:rFonts w:asciiTheme="minorHAnsi" w:hAnsiTheme="minorHAnsi"/>
          <w:szCs w:val="24"/>
        </w:rPr>
      </w:pPr>
    </w:p>
    <w:p w14:paraId="20AA9F1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su parte Empédocles (494-934 A.C.) trabaja con las concepciones de Parménides y su convicción de que nada cambia, pero sin descartar la teoría de "todo fluye" de Heráclito. Concilió estas dos concepciones arguyendo que en realidad se contradecían, pero que ambas no se anulaban. Explicaba que existen cosas que nunca cambian, como el agua, que siempre será agua, pero que al unirse a otros elementos va formando parte de estos, lo que produce el cambio del que habla Heráclito. Por consecuencia tanto nuestra razón como nuestros sentidos son ciertos, funcionan, y no hay que descartarlos. Lo que hay que hacer </w:t>
      </w:r>
      <w:r w:rsidRPr="000D3432">
        <w:rPr>
          <w:rFonts w:asciiTheme="minorHAnsi" w:hAnsiTheme="minorHAnsi"/>
          <w:szCs w:val="24"/>
        </w:rPr>
        <w:lastRenderedPageBreak/>
        <w:t>es conjugar esos dos conocimientos. Para Empédocles había dos fuerzas que actuaban en la naturaleza: el "amor", que es la fuerza que une y da la base del cambio, de la transformación, y al contrario de esto existe también el odio, que separa.</w:t>
      </w:r>
      <w:r w:rsidRPr="000D3432">
        <w:rPr>
          <w:rStyle w:val="Refdenotaalpie"/>
          <w:rFonts w:asciiTheme="minorHAnsi" w:hAnsiTheme="minorHAnsi"/>
          <w:sz w:val="24"/>
          <w:szCs w:val="24"/>
          <w:vertAlign w:val="superscript"/>
        </w:rPr>
        <w:footnoteReference w:id="165"/>
      </w:r>
    </w:p>
    <w:p w14:paraId="4CA6DD3F" w14:textId="77777777" w:rsidR="001925CE" w:rsidRPr="000D3432" w:rsidRDefault="001925CE" w:rsidP="00A95498">
      <w:pPr>
        <w:ind w:firstLine="426"/>
        <w:jc w:val="both"/>
        <w:rPr>
          <w:rFonts w:asciiTheme="minorHAnsi" w:hAnsiTheme="minorHAnsi"/>
          <w:szCs w:val="24"/>
        </w:rPr>
      </w:pPr>
    </w:p>
    <w:p w14:paraId="38829F3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Lo importante de estas apreciaciones es la distinción y los extremos de cada fuerza: el amor y el odio; pero también la relación, lucha de fuerzas que se produce al unir o desunirse los elementos. Se establece una causa y una consecuencia, o al menos se concreta la idea de la lucha de fuerzas, que es un elemento fundamental en las relaciones humanas, jurídicas. ¿Estas fuerzas "amor", "odio", son las que producen la determinación del orden? </w:t>
      </w:r>
    </w:p>
    <w:p w14:paraId="0621E476" w14:textId="77777777" w:rsidR="001925CE" w:rsidRPr="000D3432" w:rsidRDefault="001925CE" w:rsidP="00A95498">
      <w:pPr>
        <w:ind w:firstLine="426"/>
        <w:jc w:val="both"/>
        <w:rPr>
          <w:rFonts w:asciiTheme="minorHAnsi" w:hAnsiTheme="minorHAnsi"/>
          <w:szCs w:val="24"/>
        </w:rPr>
      </w:pPr>
    </w:p>
    <w:p w14:paraId="5D46252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su parte Anaxágoras pensaba que hay algo de todo en todo o en algo, pensaba que el mundo está hecho de piezas minúsculas, pero que estos podían dividirse y que había en ellas algo de todo. Para que se unieran tenía que existir una fuerza. "Anaxágoras se imaginaba una especie de fuerza que "pone orden""</w:t>
      </w:r>
      <w:r w:rsidRPr="000D3432">
        <w:rPr>
          <w:rStyle w:val="Refdenotaalpie"/>
          <w:rFonts w:asciiTheme="minorHAnsi" w:hAnsiTheme="minorHAnsi"/>
          <w:sz w:val="24"/>
          <w:szCs w:val="24"/>
          <w:vertAlign w:val="superscript"/>
        </w:rPr>
        <w:footnoteReference w:id="166"/>
      </w:r>
    </w:p>
    <w:p w14:paraId="670D5D41" w14:textId="77777777" w:rsidR="001925CE" w:rsidRPr="000D3432" w:rsidRDefault="001925CE" w:rsidP="00A95498">
      <w:pPr>
        <w:ind w:firstLine="426"/>
        <w:jc w:val="both"/>
        <w:rPr>
          <w:rFonts w:asciiTheme="minorHAnsi" w:hAnsiTheme="minorHAnsi"/>
          <w:szCs w:val="24"/>
        </w:rPr>
      </w:pPr>
    </w:p>
    <w:p w14:paraId="06BF770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Demócrito quién formuló la Teoría Atómica</w:t>
      </w:r>
      <w:r w:rsidRPr="000D3432">
        <w:rPr>
          <w:rStyle w:val="Refdenotaalpie"/>
          <w:rFonts w:asciiTheme="minorHAnsi" w:hAnsiTheme="minorHAnsi"/>
          <w:sz w:val="24"/>
          <w:szCs w:val="24"/>
          <w:vertAlign w:val="superscript"/>
        </w:rPr>
        <w:footnoteReference w:id="167"/>
      </w:r>
      <w:r w:rsidRPr="000D3432">
        <w:rPr>
          <w:rFonts w:asciiTheme="minorHAnsi" w:hAnsiTheme="minorHAnsi"/>
          <w:szCs w:val="24"/>
        </w:rPr>
        <w:t>. "Demócrito pensaba que había una causa natural en todo lo que ocurre, una causa que se encuentra en las cosas mismas."</w:t>
      </w:r>
      <w:r w:rsidRPr="000D3432">
        <w:rPr>
          <w:rStyle w:val="Refdenotaalpie"/>
          <w:rFonts w:asciiTheme="minorHAnsi" w:hAnsiTheme="minorHAnsi"/>
          <w:sz w:val="24"/>
          <w:szCs w:val="24"/>
          <w:vertAlign w:val="superscript"/>
        </w:rPr>
        <w:footnoteReference w:id="168"/>
      </w:r>
      <w:r w:rsidRPr="000D3432">
        <w:rPr>
          <w:rFonts w:asciiTheme="minorHAnsi" w:hAnsiTheme="minorHAnsi"/>
          <w:szCs w:val="24"/>
        </w:rPr>
        <w:t>. para este filósofo había siempre una causa natural en todo lo ocurrido, por lo cual aspiraba a descubrir las leyes de la naturaleza. Y fue él quién puso fin, al menos temporalmente a la filosofía griega de la naturaleza.</w:t>
      </w:r>
      <w:r w:rsidRPr="000D3432">
        <w:rPr>
          <w:rStyle w:val="Refdenotaalpie"/>
          <w:rFonts w:asciiTheme="minorHAnsi" w:hAnsiTheme="minorHAnsi"/>
          <w:sz w:val="24"/>
          <w:szCs w:val="24"/>
          <w:vertAlign w:val="superscript"/>
        </w:rPr>
        <w:footnoteReference w:id="169"/>
      </w:r>
    </w:p>
    <w:p w14:paraId="7A454CE2" w14:textId="77777777" w:rsidR="001925CE" w:rsidRPr="000D3432" w:rsidRDefault="001925CE" w:rsidP="00A95498">
      <w:pPr>
        <w:jc w:val="both"/>
        <w:rPr>
          <w:rFonts w:asciiTheme="minorHAnsi" w:hAnsiTheme="minorHAnsi"/>
          <w:szCs w:val="24"/>
        </w:rPr>
      </w:pPr>
    </w:p>
    <w:p w14:paraId="4FA36D0A"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c.-  Sócrates</w:t>
      </w:r>
    </w:p>
    <w:p w14:paraId="4B9B0B0C" w14:textId="77777777" w:rsidR="001925CE" w:rsidRPr="000D3432" w:rsidRDefault="001925CE" w:rsidP="00A95498">
      <w:pPr>
        <w:jc w:val="both"/>
        <w:rPr>
          <w:rFonts w:asciiTheme="minorHAnsi" w:hAnsiTheme="minorHAnsi"/>
          <w:szCs w:val="24"/>
        </w:rPr>
      </w:pPr>
    </w:p>
    <w:p w14:paraId="1603B33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El pensamiento de este autor está determinado por Friedrich, dentro del título de “El Derecho como fundamento y supremacía de la ley”.</w:t>
      </w:r>
    </w:p>
    <w:p w14:paraId="26FEEF04" w14:textId="77777777" w:rsidR="001925CE" w:rsidRPr="000D3432" w:rsidRDefault="001925CE" w:rsidP="00A95498">
      <w:pPr>
        <w:ind w:firstLine="426"/>
        <w:jc w:val="both"/>
        <w:rPr>
          <w:rFonts w:asciiTheme="minorHAnsi" w:hAnsiTheme="minorHAnsi"/>
          <w:szCs w:val="24"/>
        </w:rPr>
      </w:pPr>
    </w:p>
    <w:p w14:paraId="1D24427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Sócrates</w:t>
      </w:r>
      <w:r w:rsidRPr="000D3432">
        <w:rPr>
          <w:rStyle w:val="Refdenotaalpie"/>
          <w:rFonts w:asciiTheme="minorHAnsi" w:hAnsiTheme="minorHAnsi"/>
          <w:sz w:val="24"/>
          <w:szCs w:val="24"/>
          <w:vertAlign w:val="superscript"/>
        </w:rPr>
        <w:footnoteReference w:id="170"/>
      </w:r>
      <w:r w:rsidRPr="000D3432">
        <w:rPr>
          <w:rFonts w:asciiTheme="minorHAnsi" w:hAnsiTheme="minorHAnsi"/>
          <w:szCs w:val="24"/>
        </w:rPr>
        <w:t xml:space="preserve">, era un filósofo que creía en la supremacía de la ley. Esta debería estar por sobre todas las cosas para que existiese el orden necesario en la vida. Además, para este pensador el fundamento principal de nuestro conocimiento se encontraba en la razón del hombre. </w:t>
      </w:r>
    </w:p>
    <w:p w14:paraId="1316E384" w14:textId="77777777" w:rsidR="001925CE" w:rsidRPr="000D3432" w:rsidRDefault="001925CE" w:rsidP="00A95498">
      <w:pPr>
        <w:ind w:firstLine="426"/>
        <w:jc w:val="both"/>
        <w:rPr>
          <w:rFonts w:asciiTheme="minorHAnsi" w:hAnsiTheme="minorHAnsi"/>
          <w:szCs w:val="24"/>
        </w:rPr>
      </w:pPr>
    </w:p>
    <w:p w14:paraId="7023045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origen de sus raciocinios pueden haber sido producto de su condición de versador, argumentador, comentador y crítico de las tradiciones. Permanentemente deambulando por las calles</w:t>
      </w:r>
      <w:r w:rsidRPr="000D3432">
        <w:rPr>
          <w:rStyle w:val="Refdenotaalpie"/>
          <w:rFonts w:asciiTheme="minorHAnsi" w:hAnsiTheme="minorHAnsi"/>
          <w:sz w:val="24"/>
          <w:szCs w:val="24"/>
          <w:vertAlign w:val="superscript"/>
        </w:rPr>
        <w:footnoteReference w:id="171"/>
      </w:r>
      <w:r w:rsidRPr="000D3432">
        <w:rPr>
          <w:rFonts w:asciiTheme="minorHAnsi" w:hAnsiTheme="minorHAnsi"/>
          <w:szCs w:val="24"/>
        </w:rPr>
        <w:t xml:space="preserve"> se ponía a conversar con cuanta persona lo escuchara, haciendo de la palabra uno de sus mejores vicios; su filosofía coloquial consistía en jugar con las palabras del otro, no confrontaba </w:t>
      </w:r>
      <w:r w:rsidRPr="000D3432">
        <w:rPr>
          <w:rFonts w:asciiTheme="minorHAnsi" w:hAnsiTheme="minorHAnsi"/>
          <w:szCs w:val="24"/>
        </w:rPr>
        <w:lastRenderedPageBreak/>
        <w:t>directa y bruscamente las concepciones de los demás, sino que utilizando el pensamiento y razonamiento de los otros, les daba forma, las ordenaba, de tal forma que pareciera que ellos mismos habían descubierto la verdad que antes contradecían. Es por esta cualidad que se le consideró como partero, es decir quien hacía parir las concepciones.</w:t>
      </w:r>
    </w:p>
    <w:p w14:paraId="0A6A38BA" w14:textId="77777777" w:rsidR="001925CE" w:rsidRPr="000D3432" w:rsidRDefault="001925CE" w:rsidP="00A95498">
      <w:pPr>
        <w:ind w:firstLine="426"/>
        <w:jc w:val="both"/>
        <w:rPr>
          <w:rFonts w:asciiTheme="minorHAnsi" w:hAnsiTheme="minorHAnsi"/>
          <w:szCs w:val="24"/>
        </w:rPr>
      </w:pPr>
    </w:p>
    <w:p w14:paraId="280EF73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trascendencia de Sócrates</w:t>
      </w:r>
      <w:r w:rsidRPr="000D3432">
        <w:rPr>
          <w:rStyle w:val="Refdenotaalpie"/>
          <w:rFonts w:asciiTheme="minorHAnsi" w:hAnsiTheme="minorHAnsi"/>
          <w:sz w:val="24"/>
          <w:szCs w:val="24"/>
          <w:vertAlign w:val="superscript"/>
        </w:rPr>
        <w:footnoteReference w:id="172"/>
      </w:r>
      <w:r w:rsidRPr="000D3432">
        <w:rPr>
          <w:rFonts w:asciiTheme="minorHAnsi" w:hAnsiTheme="minorHAnsi"/>
          <w:szCs w:val="24"/>
        </w:rPr>
        <w:t xml:space="preserve"> es su peculiar capacidad para atreverse a contradecir los antiguos conceptos de la vida y de las relaciones sociales. Sus especulaciones y discursos proponían la rebeldía de los hombres contra los conceptos aprendidos acríticamente. Pensaba que cada hombre debía someter a examen los conceptos por los que se conducía en la vida y no aceptarlos como verdades incólumes e irrefutables, así instigaba a los hombres a dudar de los viejos conceptos que no habían pasado por previo examen crítico. Este planteamiento era peligrosísimo para el régimen vigente, puesto que todo régimen se basaba en reglas y conceptos ya aceptados que se manejaban como una especie de dogmas con carácter social. Fue por esta causa que Sócrates -según cuenta Platón- fue acusado de pervertor</w:t>
      </w:r>
      <w:r w:rsidRPr="000D3432">
        <w:rPr>
          <w:rStyle w:val="Refdenotaalpie"/>
          <w:rFonts w:asciiTheme="minorHAnsi" w:hAnsiTheme="minorHAnsi"/>
          <w:sz w:val="24"/>
          <w:szCs w:val="24"/>
          <w:vertAlign w:val="superscript"/>
        </w:rPr>
        <w:footnoteReference w:id="173"/>
      </w:r>
      <w:r w:rsidRPr="000D3432">
        <w:rPr>
          <w:rFonts w:asciiTheme="minorHAnsi" w:hAnsiTheme="minorHAnsi"/>
          <w:szCs w:val="24"/>
        </w:rPr>
        <w:t xml:space="preserve"> de la juventud, sometido a juicio y sentenciado a muerte. Sócrates sin embargo, habiendo podido apelar de esta decisión o huir eludiendo así la sentencia, no lo hizo. ¿Porqué? Las explicaciones que dan casi la mayoría de los autores es que prefirió morir -ingiriendo la cicuta- a faltar a las leyes de Grecia, porque era un convencido  de la necesidad del respeto de las leyes y de las decisiones jurídicas para el buen gobierno y convivencia de la gente en una sociedad civilizada. La decisión de este filósofo determinaba algo: el convencimiento en la supremacía de la ley y del rigor que esta revestía como elemento imprescindible. Sócrates creía en la ley griega, en el orden jurídico, y en la importancia de someterse a esta ley y orden. Pensaba que la ley no era el problema sino los hombres.</w:t>
      </w:r>
    </w:p>
    <w:p w14:paraId="612DA814" w14:textId="77777777" w:rsidR="001925CE" w:rsidRPr="000D3432" w:rsidRDefault="001925CE" w:rsidP="00A95498">
      <w:pPr>
        <w:ind w:firstLine="426"/>
        <w:jc w:val="both"/>
        <w:rPr>
          <w:rFonts w:asciiTheme="minorHAnsi" w:hAnsiTheme="minorHAnsi"/>
          <w:szCs w:val="24"/>
        </w:rPr>
      </w:pPr>
    </w:p>
    <w:p w14:paraId="2F95F79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Su concepción del respeto a la organización social jurídicamente establecida, al imperio de las leyes y al debelamiento de la capacidad de errar del hombre investido de autoridad, el tratamiento que le dio a su caso, la determinación con que aceptó el fallo injusto, nos sorprende aún hoy. Sócrates planteó una reflexión filosófica jurídica, esta es la certeza de que la corrupción no está en las leyes, sino en los hombres. </w:t>
      </w:r>
    </w:p>
    <w:p w14:paraId="2747F3AF" w14:textId="77777777" w:rsidR="001925CE" w:rsidRPr="000D3432" w:rsidRDefault="001925CE" w:rsidP="00A95498">
      <w:pPr>
        <w:ind w:firstLine="426"/>
        <w:jc w:val="both"/>
        <w:rPr>
          <w:rFonts w:asciiTheme="minorHAnsi" w:hAnsiTheme="minorHAnsi"/>
          <w:szCs w:val="24"/>
        </w:rPr>
      </w:pPr>
    </w:p>
    <w:p w14:paraId="0E5C514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Así el orden, la disciplina y la organización se lograría sólo a través del cumplimiento dogmático de las leyes, -parece discernir- ¿aun a costa de la vida? Sócrates responde -con su muerte- que sí. Y falleció creyendo que era lo mejor para su sociedad, para el orden, para la Ley. Su sacrificio valió para que muchos </w:t>
      </w:r>
      <w:r w:rsidRPr="000D3432">
        <w:rPr>
          <w:rFonts w:asciiTheme="minorHAnsi" w:hAnsiTheme="minorHAnsi"/>
          <w:szCs w:val="24"/>
        </w:rPr>
        <w:lastRenderedPageBreak/>
        <w:t xml:space="preserve">filósofos, juristas, etc, argumentaran la necesidad del apego y respeto a la ley en forma dogmática y absoluta. Esto exponía la idea de que la forma vale más que la sustancia o la verdad. Con la muerte de Sócrates prevaleció la norma y no la vida. El carácter de su filosofía tenía en este referente un carácter de subordinación. </w:t>
      </w:r>
    </w:p>
    <w:p w14:paraId="06A6B5F6" w14:textId="77777777" w:rsidR="001925CE" w:rsidRPr="000D3432" w:rsidRDefault="001925CE" w:rsidP="00A95498">
      <w:pPr>
        <w:ind w:firstLine="426"/>
        <w:jc w:val="both"/>
        <w:rPr>
          <w:rFonts w:asciiTheme="minorHAnsi" w:hAnsiTheme="minorHAnsi"/>
          <w:szCs w:val="24"/>
        </w:rPr>
      </w:pPr>
    </w:p>
    <w:p w14:paraId="449F557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Sócrates habría obedecido a una cuestión moral, al principio de seguridad jurídica, cree en el Derecho Natural y en su superioridad, pero al acatar la sentencia se ha inferido el Derecho Positivo. “Sócrates en el Critón, hace del respeto de las leyes el fundamento místico de la moral cívica”</w:t>
      </w:r>
      <w:r w:rsidRPr="000D3432">
        <w:rPr>
          <w:rStyle w:val="Refdenotaalpie"/>
          <w:rFonts w:asciiTheme="minorHAnsi" w:hAnsiTheme="minorHAnsi"/>
          <w:sz w:val="24"/>
          <w:szCs w:val="24"/>
          <w:vertAlign w:val="superscript"/>
        </w:rPr>
        <w:footnoteReference w:id="174"/>
      </w:r>
      <w:r w:rsidRPr="000D3432">
        <w:rPr>
          <w:rFonts w:asciiTheme="minorHAnsi" w:hAnsiTheme="minorHAnsi"/>
          <w:szCs w:val="24"/>
        </w:rPr>
        <w:t xml:space="preserve"> escribe Claude Du Pasquier parafraseando a René Hurbert.</w:t>
      </w:r>
    </w:p>
    <w:p w14:paraId="2F9D96EF" w14:textId="77777777" w:rsidR="001925CE" w:rsidRPr="000D3432" w:rsidRDefault="001925CE" w:rsidP="00A95498">
      <w:pPr>
        <w:ind w:firstLine="426"/>
        <w:jc w:val="both"/>
        <w:rPr>
          <w:rFonts w:asciiTheme="minorHAnsi" w:hAnsiTheme="minorHAnsi"/>
          <w:szCs w:val="24"/>
        </w:rPr>
      </w:pPr>
    </w:p>
    <w:p w14:paraId="4BB4223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Ahora bien, el principio de seguridad jurídica por la que ha muerto Sócrates explica que la justicia no puede existir si no se obedecen las decisiones de los tribunales. Pero Sócrates explica que la teoría jurídica no es la que ha fallado, no es la ley la incorrecta, sino la aplicación, la injusticia es característica y dominio de los hombres no de las leyes. Las leyes no pueden ser justas o injustas, sino sólo preceptos normativos. La intermediación entre el hombre y la Ley es “la interpretación”, este es el punto clave de todo sistema jurídico. Así que lo que ha fallado no son las leyes -dice- sino los hombres y su forma de interpretar las leyes. </w:t>
      </w:r>
    </w:p>
    <w:p w14:paraId="58919E8D" w14:textId="77777777" w:rsidR="001925CE" w:rsidRPr="000D3432" w:rsidRDefault="001925CE" w:rsidP="00A95498">
      <w:pPr>
        <w:ind w:firstLine="426"/>
        <w:jc w:val="both"/>
        <w:rPr>
          <w:rFonts w:asciiTheme="minorHAnsi" w:hAnsiTheme="minorHAnsi"/>
          <w:szCs w:val="24"/>
        </w:rPr>
      </w:pPr>
    </w:p>
    <w:p w14:paraId="657C69C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Una nota de la trascendencia de la fundamentación del pensamiento en Sócrates es el sentido positivista que se le da a las leyes actualmente. El imperio de la ley, es desde este pensador, un argumento válido y necesario para la efectivización de una sociedad civilizada. Así que, especulando, podríamos decir que tal vez el argumento descrito en la frase “La ley es la ley” como mecanismo de validez y legitimidad de los actos humanos y la determinación de estos a la autoridad, puede devenir desde Sócrates. </w:t>
      </w:r>
    </w:p>
    <w:p w14:paraId="70F1E57B" w14:textId="77777777" w:rsidR="001925CE" w:rsidRPr="000D3432" w:rsidRDefault="001925CE" w:rsidP="00A95498">
      <w:pPr>
        <w:ind w:firstLine="426"/>
        <w:jc w:val="both"/>
        <w:rPr>
          <w:rFonts w:asciiTheme="minorHAnsi" w:hAnsiTheme="minorHAnsi"/>
          <w:szCs w:val="24"/>
        </w:rPr>
      </w:pPr>
    </w:p>
    <w:p w14:paraId="0AFD8DC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la preocupación por la ley, estaba engajado también en el fin filosófico. La filosofía designaba la categoría legislativa, su función y justificación; como lo expone Claude Du Pasquier que “La filosofía asignaba a la legislación el fin más elevado: las leyes debían conducir al hombre a la virtud oponiendo a las pasiones malsanas una sólida barrera.”</w:t>
      </w:r>
      <w:r w:rsidRPr="000D3432">
        <w:rPr>
          <w:rStyle w:val="Refdenotaalpie"/>
          <w:rFonts w:asciiTheme="minorHAnsi" w:hAnsiTheme="minorHAnsi"/>
          <w:sz w:val="24"/>
          <w:szCs w:val="24"/>
          <w:vertAlign w:val="superscript"/>
        </w:rPr>
        <w:footnoteReference w:id="175"/>
      </w:r>
    </w:p>
    <w:p w14:paraId="3C33F882" w14:textId="77777777" w:rsidR="001925CE" w:rsidRPr="000D3432" w:rsidRDefault="001925CE" w:rsidP="00A95498">
      <w:pPr>
        <w:ind w:firstLine="426"/>
        <w:jc w:val="both"/>
        <w:rPr>
          <w:rFonts w:asciiTheme="minorHAnsi" w:hAnsiTheme="minorHAnsi"/>
          <w:szCs w:val="24"/>
        </w:rPr>
      </w:pPr>
    </w:p>
    <w:p w14:paraId="30D1737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Otro de los fundamentos trascendentales del pensamiento socrático era  la proposición que hizo a los hombres de gobernarse así mismos. Esta era la base para lograr la virtud. Pensaba que si lográramos que nuestros complejos, resentimientos y demás emociones negativas, no afectaran a nuestros sentidos, y capacidad de actuar o no actuar, lograríamos en realidad la base de toda la vida humana: el autogobierno. Además, agregaba, que aquellos que lograran esto -el autogobierno- mostrarían indicativos de que son mejores que el resto y por lo tanto serían los más indicados para conducir a la sociedad. Es decir, serían, según este enfoque, los mejores los llamados a gobernar. En conclusión </w:t>
      </w:r>
      <w:r w:rsidRPr="000D3432">
        <w:rPr>
          <w:rFonts w:asciiTheme="minorHAnsi" w:hAnsiTheme="minorHAnsi"/>
          <w:szCs w:val="24"/>
        </w:rPr>
        <w:lastRenderedPageBreak/>
        <w:t>el principio fundamental era el autogobierno que determinaba el bien.</w:t>
      </w:r>
    </w:p>
    <w:p w14:paraId="6E464BDA"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verdadero ser busca su perfección interior, el autogobierno, el aprendizaje continuo. En eso y solo en eso consiste el bien."</w:t>
      </w:r>
      <w:r w:rsidRPr="000D3432">
        <w:rPr>
          <w:rStyle w:val="Refdenotaalpie"/>
          <w:rFonts w:asciiTheme="minorHAnsi" w:hAnsiTheme="minorHAnsi"/>
          <w:sz w:val="24"/>
          <w:szCs w:val="24"/>
          <w:vertAlign w:val="superscript"/>
        </w:rPr>
        <w:footnoteReference w:id="176"/>
      </w:r>
    </w:p>
    <w:p w14:paraId="19D8E4EE" w14:textId="77777777" w:rsidR="001925CE" w:rsidRPr="000D3432" w:rsidRDefault="001925CE" w:rsidP="00A95498">
      <w:pPr>
        <w:ind w:firstLine="426"/>
        <w:jc w:val="both"/>
        <w:rPr>
          <w:rFonts w:asciiTheme="minorHAnsi" w:hAnsiTheme="minorHAnsi"/>
          <w:szCs w:val="24"/>
        </w:rPr>
      </w:pPr>
    </w:p>
    <w:p w14:paraId="30D3465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Otra de sus contribuciones al pensamiento y razonamiento occidental fue su método de reflexión: la Mayéutica, es decir aquel método por la cual utilizando el diálogo y las preguntas se llega a la verdad. Llega a esta conclusión porque cree que las personas tienen el conocimiento de la verdad última dentro del alma, y que esta verdad para comprenderse, tenerse, sólo necesita de someterse a la reflexión consciente para salir a la luz. Para demostrar esto Sócrates plantea a través de una ficción la forma en que un esclavo ignorante puede llegar a la formulación del teorema de Pitágoras, demostrando así que el conocimiento está innato en el alma, en vez de ser implícito o inseparable de la experiencia. </w:t>
      </w:r>
    </w:p>
    <w:p w14:paraId="343D72AF" w14:textId="77777777" w:rsidR="001925CE" w:rsidRPr="000D3432" w:rsidRDefault="001925CE" w:rsidP="00A95498">
      <w:pPr>
        <w:ind w:firstLine="426"/>
        <w:jc w:val="both"/>
        <w:rPr>
          <w:rFonts w:asciiTheme="minorHAnsi" w:hAnsiTheme="minorHAnsi"/>
          <w:szCs w:val="24"/>
        </w:rPr>
      </w:pPr>
    </w:p>
    <w:p w14:paraId="3465749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Sócrates, por otro lado, creía en la existencia de normas absolutas y universales sobre lo que es correcto o no, "pensaba que la capacidad de distinguir entre lo que está bien y lo que está mal se encuentra en la razón, y no en la sociedad". Creía en la existencia de un orden absoluto e universal que podía ser descubierto por medio de la razón, para el buen gobierno.</w:t>
      </w:r>
    </w:p>
    <w:p w14:paraId="3335EC71" w14:textId="77777777" w:rsidR="001925CE" w:rsidRPr="000D3432" w:rsidRDefault="001925CE" w:rsidP="00A95498">
      <w:pPr>
        <w:ind w:firstLine="426"/>
        <w:jc w:val="both"/>
        <w:rPr>
          <w:rFonts w:asciiTheme="minorHAnsi" w:hAnsiTheme="minorHAnsi"/>
          <w:szCs w:val="24"/>
        </w:rPr>
      </w:pPr>
    </w:p>
    <w:p w14:paraId="36BC780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Resumiendo, la filosofía de Sócrates, proponía por un lado la búsqueda de un autogobierno; que en todo caso, los gobernantes deberían ser los mejores; el respeto a las leyes; y la creencia de la existencia de un orden absoluto y universal.</w:t>
      </w:r>
    </w:p>
    <w:p w14:paraId="775486BE" w14:textId="77777777" w:rsidR="001925CE" w:rsidRPr="000D3432" w:rsidRDefault="001925CE" w:rsidP="00A95498">
      <w:pPr>
        <w:jc w:val="both"/>
        <w:rPr>
          <w:rFonts w:asciiTheme="minorHAnsi" w:hAnsiTheme="minorHAnsi"/>
          <w:szCs w:val="24"/>
        </w:rPr>
      </w:pPr>
    </w:p>
    <w:p w14:paraId="00C212B3"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 Platón - Aristóteles</w:t>
      </w:r>
    </w:p>
    <w:p w14:paraId="30541141" w14:textId="77777777" w:rsidR="001925CE" w:rsidRPr="000D3432" w:rsidRDefault="001925CE" w:rsidP="00A95498">
      <w:pPr>
        <w:ind w:firstLine="426"/>
        <w:jc w:val="both"/>
        <w:rPr>
          <w:rFonts w:asciiTheme="minorHAnsi" w:hAnsiTheme="minorHAnsi"/>
          <w:szCs w:val="24"/>
        </w:rPr>
      </w:pPr>
    </w:p>
    <w:p w14:paraId="2426B53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Estos autores están dentro del título:“El Derecho como participación en la idea de justicia”</w:t>
      </w:r>
      <w:r w:rsidRPr="000D3432">
        <w:rPr>
          <w:rStyle w:val="Refdenotaalpie"/>
          <w:rFonts w:asciiTheme="minorHAnsi" w:hAnsiTheme="minorHAnsi"/>
          <w:b/>
          <w:sz w:val="24"/>
          <w:szCs w:val="24"/>
          <w:vertAlign w:val="superscript"/>
        </w:rPr>
        <w:footnoteReference w:id="177"/>
      </w:r>
    </w:p>
    <w:p w14:paraId="7C03ED90" w14:textId="77777777" w:rsidR="001925CE" w:rsidRPr="000D3432" w:rsidRDefault="001925CE" w:rsidP="00A95498">
      <w:pPr>
        <w:ind w:firstLine="426"/>
        <w:jc w:val="both"/>
        <w:rPr>
          <w:rFonts w:asciiTheme="minorHAnsi" w:hAnsiTheme="minorHAnsi"/>
          <w:b/>
          <w:szCs w:val="24"/>
        </w:rPr>
      </w:pPr>
    </w:p>
    <w:p w14:paraId="3DBDB44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b/>
          <w:szCs w:val="24"/>
        </w:rPr>
        <w:t>"El hombre es la medida de todas las cosas"</w:t>
      </w:r>
      <w:r w:rsidRPr="000D3432">
        <w:rPr>
          <w:rFonts w:asciiTheme="minorHAnsi" w:hAnsiTheme="minorHAnsi"/>
          <w:szCs w:val="24"/>
        </w:rPr>
        <w:t xml:space="preserve"> dice Protágoras y con esto empieza otra revolución en el pensamiento occidental y otra visión del hombre, el mundo y sus normas. </w:t>
      </w:r>
    </w:p>
    <w:p w14:paraId="31BA96F6" w14:textId="77777777" w:rsidR="001925CE" w:rsidRPr="000D3432" w:rsidRDefault="001925CE" w:rsidP="00A95498">
      <w:pPr>
        <w:ind w:firstLine="426"/>
        <w:jc w:val="both"/>
        <w:rPr>
          <w:rFonts w:asciiTheme="minorHAnsi" w:hAnsiTheme="minorHAnsi"/>
          <w:szCs w:val="24"/>
        </w:rPr>
      </w:pPr>
    </w:p>
    <w:p w14:paraId="5E3E1C8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Los sofistas, que eran errantes filósofos o profesores -Protágoras era un sofista -, criticaban los mitos tradicionales. El hombre sería el centro de todo. Sin embargo no creían en lo absoluto, por el contrario opinaban que todo podía ser discutido, "señalando que no habían "normas absolutas" sobre lo que es correcto o erróneo"</w:t>
      </w:r>
      <w:r w:rsidRPr="000D3432">
        <w:rPr>
          <w:rStyle w:val="Refdenotaalpie"/>
          <w:rFonts w:asciiTheme="minorHAnsi" w:hAnsiTheme="minorHAnsi"/>
          <w:sz w:val="24"/>
          <w:szCs w:val="24"/>
          <w:vertAlign w:val="superscript"/>
        </w:rPr>
        <w:footnoteReference w:id="178"/>
      </w:r>
      <w:r w:rsidRPr="000D3432">
        <w:rPr>
          <w:rFonts w:asciiTheme="minorHAnsi" w:hAnsiTheme="minorHAnsi"/>
          <w:szCs w:val="24"/>
        </w:rPr>
        <w:t>.</w:t>
      </w:r>
    </w:p>
    <w:p w14:paraId="0FDA4E7A" w14:textId="77777777" w:rsidR="001925CE" w:rsidRPr="000D3432" w:rsidRDefault="001925CE" w:rsidP="00A95498">
      <w:pPr>
        <w:ind w:firstLine="426"/>
        <w:jc w:val="both"/>
        <w:rPr>
          <w:rFonts w:asciiTheme="minorHAnsi" w:hAnsiTheme="minorHAnsi"/>
          <w:szCs w:val="24"/>
        </w:rPr>
      </w:pPr>
    </w:p>
    <w:p w14:paraId="45015E7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hombre es el centro de todas las cosas", y el hombre es cambiante, variable, por lo que lo bueno y malo no podrían ser actos estables, tal vez </w:t>
      </w:r>
      <w:r w:rsidRPr="000D3432">
        <w:rPr>
          <w:rFonts w:asciiTheme="minorHAnsi" w:hAnsiTheme="minorHAnsi"/>
          <w:szCs w:val="24"/>
        </w:rPr>
        <w:lastRenderedPageBreak/>
        <w:t>conceptos, pero no actos absolutos. Por lo tanto no puede haber normas absolutas. Este tipo de pensamiento viene a romper la filosofía de la naturaleza que explica la existencia de normas absolutas y universales conocidas por todos por la razón. Además si el hombre es el centro de las cosas la valorización del bien y el mal estaban en relación directa con las necesidades del hombre.</w:t>
      </w:r>
    </w:p>
    <w:p w14:paraId="60919AEC" w14:textId="77777777" w:rsidR="001925CE" w:rsidRPr="000D3432" w:rsidRDefault="001925CE" w:rsidP="00A95498">
      <w:pPr>
        <w:ind w:firstLine="426"/>
        <w:jc w:val="both"/>
        <w:rPr>
          <w:rFonts w:asciiTheme="minorHAnsi" w:hAnsiTheme="minorHAnsi"/>
          <w:szCs w:val="24"/>
        </w:rPr>
      </w:pPr>
    </w:p>
    <w:p w14:paraId="4CF1499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Si el hombre es la medida de todas las cosas, entonces, él también es el centro de todo, y por lo tanto el centro de donde parten las normas. Sin embargo escribe</w:t>
      </w:r>
      <w:r w:rsidRPr="000D3432">
        <w:rPr>
          <w:rStyle w:val="Refdenotaalpie"/>
          <w:rFonts w:asciiTheme="minorHAnsi" w:hAnsiTheme="minorHAnsi"/>
          <w:sz w:val="24"/>
          <w:szCs w:val="24"/>
          <w:vertAlign w:val="superscript"/>
        </w:rPr>
        <w:footnoteReference w:id="179"/>
      </w:r>
      <w:r w:rsidRPr="000D3432">
        <w:rPr>
          <w:rFonts w:asciiTheme="minorHAnsi" w:hAnsiTheme="minorHAnsi"/>
          <w:szCs w:val="24"/>
        </w:rPr>
        <w:t xml:space="preserve"> Melquiades Castillo, Protágoras “Afirma que la formación de las normas jurídicas no depende del arbitrio humano, sino que se apoya en el sentimiento de la justicia. No reconoce ni un derecho natural ni un derecho divino; y corresponde a la asamblea del pueblo, de acuerdo con las circunstancias del momento, el mejor ordenamiento jurídico conforme a lo justo.”</w:t>
      </w:r>
      <w:r w:rsidRPr="000D3432">
        <w:rPr>
          <w:rStyle w:val="Refdenotaalpie"/>
          <w:rFonts w:asciiTheme="minorHAnsi" w:hAnsiTheme="minorHAnsi"/>
          <w:sz w:val="24"/>
          <w:szCs w:val="24"/>
          <w:vertAlign w:val="superscript"/>
        </w:rPr>
        <w:footnoteReference w:id="180"/>
      </w:r>
    </w:p>
    <w:p w14:paraId="5FA026DA" w14:textId="77777777" w:rsidR="001925CE" w:rsidRPr="000D3432" w:rsidRDefault="001925CE" w:rsidP="00A95498">
      <w:pPr>
        <w:ind w:firstLine="426"/>
        <w:jc w:val="both"/>
        <w:rPr>
          <w:rFonts w:asciiTheme="minorHAnsi" w:hAnsiTheme="minorHAnsi"/>
          <w:szCs w:val="24"/>
        </w:rPr>
      </w:pPr>
    </w:p>
    <w:p w14:paraId="1DFF579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aquí una ruptura con las estructuras anteriores del orden. Este ya no vendría de la naturaleza, ni de la divinidad, sino del sentido de justicia, y es el pueblo el que decide el ordenamiento jurídico. Este pensamiento no surgió del azar, sino que se produjo por una especie de gran revolución, que luego de una serie de cuestionamientos dio como resultado la elaboración de una determinada forma de orden jurídico.</w:t>
      </w:r>
    </w:p>
    <w:p w14:paraId="67D0AA0D" w14:textId="77777777" w:rsidR="001925CE" w:rsidRPr="000D3432" w:rsidRDefault="001925CE" w:rsidP="00A95498">
      <w:pPr>
        <w:ind w:firstLine="426"/>
        <w:jc w:val="both"/>
        <w:rPr>
          <w:rFonts w:asciiTheme="minorHAnsi" w:hAnsiTheme="minorHAnsi"/>
          <w:szCs w:val="24"/>
        </w:rPr>
      </w:pPr>
    </w:p>
    <w:p w14:paraId="4B189F45" w14:textId="77777777" w:rsidR="001925CE" w:rsidRPr="000D3432" w:rsidRDefault="001925CE" w:rsidP="00A95498">
      <w:pPr>
        <w:ind w:firstLine="426"/>
        <w:jc w:val="both"/>
        <w:rPr>
          <w:rFonts w:asciiTheme="minorHAnsi" w:hAnsiTheme="minorHAnsi"/>
          <w:b/>
          <w:szCs w:val="24"/>
        </w:rPr>
      </w:pPr>
      <w:r w:rsidRPr="000D3432">
        <w:rPr>
          <w:rFonts w:asciiTheme="minorHAnsi" w:hAnsiTheme="minorHAnsi"/>
          <w:szCs w:val="24"/>
        </w:rPr>
        <w:t>Como el hombre era el centro de todo, y el orden lo abarca todo, aparece la “idea de que el derecho como el orden de la comunidad, es una creación del hombre y una creación conforme con su naturaleza de que todos los hombres son iguales”</w:t>
      </w:r>
      <w:r w:rsidRPr="000D3432">
        <w:rPr>
          <w:rStyle w:val="Refdenotaalpie"/>
          <w:rFonts w:asciiTheme="minorHAnsi" w:hAnsiTheme="minorHAnsi"/>
          <w:sz w:val="24"/>
          <w:szCs w:val="24"/>
          <w:vertAlign w:val="superscript"/>
        </w:rPr>
        <w:footnoteReference w:id="181"/>
      </w:r>
      <w:r w:rsidRPr="000D3432">
        <w:rPr>
          <w:rFonts w:asciiTheme="minorHAnsi" w:hAnsiTheme="minorHAnsi"/>
          <w:b/>
          <w:szCs w:val="24"/>
        </w:rPr>
        <w:t xml:space="preserve">. </w:t>
      </w:r>
      <w:r w:rsidRPr="000D3432">
        <w:rPr>
          <w:rFonts w:asciiTheme="minorHAnsi" w:hAnsiTheme="minorHAnsi"/>
          <w:szCs w:val="24"/>
        </w:rPr>
        <w:t>Habían sin embargo otros argumentos más, pero una que caracterizaba a todos estos: la relatividad de las normas: “Lo que para Platón era característico de todos estos argumentos y que, desde su punto de vista, resultaba decisivo, era la tendencia general a hacer relativas las normas mismas que debían poseer una absoluta obligatoriedad.”</w:t>
      </w:r>
      <w:r w:rsidRPr="000D3432">
        <w:rPr>
          <w:rStyle w:val="Refdenotaalpie"/>
          <w:rFonts w:asciiTheme="minorHAnsi" w:hAnsiTheme="minorHAnsi"/>
          <w:sz w:val="24"/>
          <w:szCs w:val="24"/>
          <w:vertAlign w:val="superscript"/>
        </w:rPr>
        <w:footnoteReference w:id="182"/>
      </w:r>
    </w:p>
    <w:p w14:paraId="0AA2FF26" w14:textId="77777777" w:rsidR="001925CE" w:rsidRPr="000D3432" w:rsidRDefault="001925CE" w:rsidP="00A95498">
      <w:pPr>
        <w:jc w:val="both"/>
        <w:rPr>
          <w:rFonts w:asciiTheme="minorHAnsi" w:hAnsiTheme="minorHAnsi"/>
          <w:b/>
          <w:szCs w:val="24"/>
        </w:rPr>
      </w:pPr>
    </w:p>
    <w:p w14:paraId="2A23098E" w14:textId="77777777" w:rsidR="001925CE" w:rsidRPr="000D3432" w:rsidRDefault="001925CE" w:rsidP="00A95498">
      <w:pPr>
        <w:jc w:val="both"/>
        <w:rPr>
          <w:rFonts w:asciiTheme="minorHAnsi" w:hAnsiTheme="minorHAnsi"/>
          <w:b/>
          <w:szCs w:val="24"/>
        </w:rPr>
      </w:pPr>
    </w:p>
    <w:p w14:paraId="1D3261A2"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d.- Platón</w:t>
      </w:r>
    </w:p>
    <w:p w14:paraId="30D83D8C" w14:textId="77777777" w:rsidR="001925CE" w:rsidRPr="000D3432" w:rsidRDefault="001925CE" w:rsidP="00A95498">
      <w:pPr>
        <w:pStyle w:val="Parafffo"/>
        <w:spacing w:line="240" w:lineRule="auto"/>
        <w:rPr>
          <w:rFonts w:asciiTheme="minorHAnsi" w:hAnsiTheme="minorHAnsi"/>
          <w:sz w:val="24"/>
          <w:szCs w:val="24"/>
        </w:rPr>
      </w:pPr>
    </w:p>
    <w:p w14:paraId="72BDF873" w14:textId="77777777" w:rsidR="001925CE" w:rsidRPr="000D3432" w:rsidRDefault="001925CE" w:rsidP="00A95498">
      <w:pPr>
        <w:pStyle w:val="Parafffo"/>
        <w:spacing w:line="240" w:lineRule="auto"/>
        <w:rPr>
          <w:rFonts w:asciiTheme="minorHAnsi" w:hAnsiTheme="minorHAnsi"/>
          <w:b/>
          <w:sz w:val="24"/>
          <w:szCs w:val="24"/>
        </w:rPr>
      </w:pPr>
      <w:r w:rsidRPr="000D3432">
        <w:rPr>
          <w:rFonts w:asciiTheme="minorHAnsi" w:hAnsiTheme="minorHAnsi"/>
          <w:sz w:val="24"/>
          <w:szCs w:val="24"/>
        </w:rPr>
        <w:t>“..., en la visión platónica el derecho no es, en último análisis, sino un puente fantasma para los sabios en su búsqueda de las verdades y los valores eternos.”</w:t>
      </w:r>
      <w:r w:rsidRPr="000D3432">
        <w:rPr>
          <w:rStyle w:val="Refdenotaalpie"/>
          <w:rFonts w:asciiTheme="minorHAnsi" w:hAnsiTheme="minorHAnsi"/>
          <w:sz w:val="24"/>
          <w:szCs w:val="24"/>
          <w:vertAlign w:val="superscript"/>
        </w:rPr>
        <w:footnoteReference w:id="183"/>
      </w:r>
    </w:p>
    <w:p w14:paraId="7CF156C0" w14:textId="77777777" w:rsidR="001925CE" w:rsidRPr="000D3432" w:rsidRDefault="001925CE" w:rsidP="00A95498">
      <w:pPr>
        <w:ind w:firstLine="426"/>
        <w:jc w:val="both"/>
        <w:rPr>
          <w:rFonts w:asciiTheme="minorHAnsi" w:hAnsiTheme="minorHAnsi"/>
          <w:szCs w:val="24"/>
        </w:rPr>
      </w:pPr>
    </w:p>
    <w:p w14:paraId="5199F11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Muerto Sócrates, no murieron con él sus ideas -entre ellas las que atañen al orden jurídico. Y fue su discípulo Platón quién revivió la filosofía Socrática y escribió la historia y filosofía de su maestro, pero con nuevas alternativas de orden social.</w:t>
      </w:r>
    </w:p>
    <w:p w14:paraId="19C219FB" w14:textId="77777777" w:rsidR="001925CE" w:rsidRPr="000D3432" w:rsidRDefault="001925CE" w:rsidP="00A95498">
      <w:pPr>
        <w:ind w:firstLine="426"/>
        <w:jc w:val="both"/>
        <w:rPr>
          <w:rFonts w:asciiTheme="minorHAnsi" w:hAnsiTheme="minorHAnsi"/>
          <w:szCs w:val="24"/>
        </w:rPr>
      </w:pPr>
    </w:p>
    <w:p w14:paraId="466B6EE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 xml:space="preserve">Platón nos deja en sus escritos la idea del Estado como uno de sus mayores aportes. En este aspecto plantea que para la existencia de un Estado y gobierno ideal lo mejor era colocar a los filósofos en el estrado máximo, en la categoría superior de la estructura social del Estado; según esta concepción eran los filósofos los más aptos para el gobierno y dirección de los pueblos, por estar mejor preparados mentalmente. </w:t>
      </w:r>
    </w:p>
    <w:p w14:paraId="22896629" w14:textId="77777777" w:rsidR="001925CE" w:rsidRPr="000D3432" w:rsidRDefault="001925CE" w:rsidP="00A95498">
      <w:pPr>
        <w:ind w:firstLine="426"/>
        <w:jc w:val="both"/>
        <w:rPr>
          <w:rFonts w:asciiTheme="minorHAnsi" w:hAnsiTheme="minorHAnsi"/>
          <w:szCs w:val="24"/>
        </w:rPr>
      </w:pPr>
    </w:p>
    <w:p w14:paraId="0C21041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 esta forma la sociedad debería organizarse de acuerdo con el orden establecido por el Estado, y el Estado ideal se proponía como "un orden propicio a la vida moral en que el bueno será estimulado al bien y el malo será corregido y educado."</w:t>
      </w:r>
      <w:r w:rsidRPr="000D3432">
        <w:rPr>
          <w:rStyle w:val="Refdenotaalpie"/>
          <w:rFonts w:asciiTheme="minorHAnsi" w:hAnsiTheme="minorHAnsi"/>
          <w:sz w:val="24"/>
          <w:szCs w:val="24"/>
          <w:vertAlign w:val="superscript"/>
        </w:rPr>
        <w:footnoteReference w:id="184"/>
      </w:r>
      <w:r w:rsidRPr="000D3432">
        <w:rPr>
          <w:rFonts w:asciiTheme="minorHAnsi" w:hAnsiTheme="minorHAnsi"/>
          <w:szCs w:val="24"/>
        </w:rPr>
        <w:t>. El bien</w:t>
      </w:r>
      <w:r w:rsidRPr="000D3432">
        <w:rPr>
          <w:rStyle w:val="Refdenotaalpie"/>
          <w:rFonts w:asciiTheme="minorHAnsi" w:hAnsiTheme="minorHAnsi"/>
          <w:sz w:val="24"/>
          <w:szCs w:val="24"/>
          <w:vertAlign w:val="superscript"/>
        </w:rPr>
        <w:footnoteReference w:id="185"/>
      </w:r>
      <w:r w:rsidRPr="000D3432">
        <w:rPr>
          <w:rFonts w:asciiTheme="minorHAnsi" w:hAnsiTheme="minorHAnsi"/>
          <w:szCs w:val="24"/>
        </w:rPr>
        <w:t xml:space="preserve"> y el mal claramente demarcados como categorías distintas. Y el orden direccionado a hacer a los hombre felices y mejores, las leyes y el Derecho cumplirían una función educativa,“...,la ley deberá conformarse en todos sus aspectos de tal manera que los seres humanos que viven bajo su dominio lleguen a ser mejores. Esto quiere decir que la ley tiene una función claramente educativa.”</w:t>
      </w:r>
      <w:r w:rsidRPr="000D3432">
        <w:rPr>
          <w:rStyle w:val="Refdenotaalpie"/>
          <w:rFonts w:asciiTheme="minorHAnsi" w:hAnsiTheme="minorHAnsi"/>
          <w:sz w:val="24"/>
          <w:szCs w:val="24"/>
          <w:vertAlign w:val="superscript"/>
        </w:rPr>
        <w:footnoteReference w:id="186"/>
      </w:r>
    </w:p>
    <w:p w14:paraId="69A7C8D7" w14:textId="77777777" w:rsidR="001925CE" w:rsidRPr="000D3432" w:rsidRDefault="001925CE" w:rsidP="00A95498">
      <w:pPr>
        <w:ind w:firstLine="426"/>
        <w:jc w:val="both"/>
        <w:rPr>
          <w:rFonts w:asciiTheme="minorHAnsi" w:hAnsiTheme="minorHAnsi"/>
          <w:szCs w:val="24"/>
        </w:rPr>
      </w:pPr>
    </w:p>
    <w:p w14:paraId="64D0C70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la función del Derecho trae consigo también la persuasión de los hombres de obedecer las leyes, a través de explicaciones anteriores a las prerrogativas normativas.</w:t>
      </w:r>
    </w:p>
    <w:p w14:paraId="387153F4"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 “...en las leyes de Platón se da gran importancia al preámbulo de un estatuto, pues </w:t>
      </w:r>
      <w:r w:rsidRPr="000D3432">
        <w:rPr>
          <w:rFonts w:asciiTheme="minorHAnsi" w:hAnsiTheme="minorHAnsi"/>
          <w:b/>
          <w:sz w:val="24"/>
          <w:szCs w:val="24"/>
        </w:rPr>
        <w:t>estos preámbulos tienen por objeto explicar a los ciudadanos cuáles son las razones que abonan la promulgación de dichas leyes; es decir, se proponen persuadir a los ciudadanos de que obedezcan la ley, en vez de limitarse a ordenarles que lo hagan.</w:t>
      </w:r>
      <w:r w:rsidRPr="000D3432">
        <w:rPr>
          <w:rFonts w:asciiTheme="minorHAnsi" w:hAnsiTheme="minorHAnsi"/>
          <w:sz w:val="24"/>
          <w:szCs w:val="24"/>
        </w:rPr>
        <w:t xml:space="preserve"> Así, Platón propone, por ejemplo, que una ley que ordena al hombre que contraiga matrimonio antes de los treinta y cinco años deberá ser complementada con un preámbulo que explique la necesidad de la procreación a fin de mantener la supervivencia de la comunidad. Sólo en esta forma puede establecerse y sostenerse la autoridad de la ley...”</w:t>
      </w:r>
      <w:r w:rsidRPr="000D3432">
        <w:rPr>
          <w:rStyle w:val="Refdenotaalpie"/>
          <w:rFonts w:asciiTheme="minorHAnsi" w:hAnsiTheme="minorHAnsi"/>
          <w:sz w:val="24"/>
          <w:szCs w:val="24"/>
          <w:vertAlign w:val="superscript"/>
        </w:rPr>
        <w:footnoteReference w:id="187"/>
      </w:r>
    </w:p>
    <w:p w14:paraId="6EAE98BF" w14:textId="77777777" w:rsidR="001925CE" w:rsidRPr="000D3432" w:rsidRDefault="001925CE" w:rsidP="00A95498">
      <w:pPr>
        <w:ind w:firstLine="426"/>
        <w:jc w:val="both"/>
        <w:rPr>
          <w:rFonts w:asciiTheme="minorHAnsi" w:hAnsiTheme="minorHAnsi"/>
          <w:szCs w:val="24"/>
        </w:rPr>
      </w:pPr>
    </w:p>
    <w:p w14:paraId="3B26C0D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Determinado esto la interrogante sería: cómo se definiría el bien o el mal? Platón, como respondiendo a esa pregunta agrega que el bien</w:t>
      </w:r>
      <w:r w:rsidRPr="000D3432">
        <w:rPr>
          <w:rStyle w:val="Refdenotaalpie"/>
          <w:rFonts w:asciiTheme="minorHAnsi" w:hAnsiTheme="minorHAnsi"/>
          <w:sz w:val="24"/>
          <w:szCs w:val="24"/>
          <w:vertAlign w:val="superscript"/>
        </w:rPr>
        <w:footnoteReference w:id="188"/>
      </w:r>
      <w:r w:rsidRPr="000D3432">
        <w:rPr>
          <w:rFonts w:asciiTheme="minorHAnsi" w:hAnsiTheme="minorHAnsi"/>
          <w:szCs w:val="24"/>
        </w:rPr>
        <w:t xml:space="preserve"> estará determinado por esa conjunción denominada "bien común, osea, bienestar para todos, esto es el bien público, que termina siendo -por extensión- el bien  de cada uno. Luego como “todos dependemos de todos” -según Platón-, y todo se desarrolla dentro de una ciudad, entonces el bien será para toda la ciudad y para todos. De lo que resulta que todos intervienen de alguna manera en la construcción del Estado ideal, por eso todos eran necesarios puesto que </w:t>
      </w:r>
      <w:r w:rsidRPr="000D3432">
        <w:rPr>
          <w:rFonts w:asciiTheme="minorHAnsi" w:hAnsiTheme="minorHAnsi"/>
          <w:szCs w:val="24"/>
        </w:rPr>
        <w:lastRenderedPageBreak/>
        <w:t>cumplen una función determinada. En este estado de cosas "las leyes deben tender al bien, pero no al bien de una clase social, sino al bien común, al bien general de todos los ciudadanos"</w:t>
      </w:r>
      <w:r w:rsidRPr="000D3432">
        <w:rPr>
          <w:rStyle w:val="Refdenotaalpie"/>
          <w:rFonts w:asciiTheme="minorHAnsi" w:hAnsiTheme="minorHAnsi"/>
          <w:sz w:val="24"/>
          <w:szCs w:val="24"/>
          <w:vertAlign w:val="superscript"/>
        </w:rPr>
        <w:footnoteReference w:id="189"/>
      </w:r>
      <w:r w:rsidRPr="000D3432">
        <w:rPr>
          <w:rFonts w:asciiTheme="minorHAnsi" w:hAnsiTheme="minorHAnsi"/>
          <w:szCs w:val="24"/>
        </w:rPr>
        <w:t>. Además Platón sólo reconoce a las leyes cuando éstas se ajustan al principio del bien de la comunidad, al bien común; Platón “insiste en que no reconocerá como leyes, en el sentido de ley justa, ninguna que no haya sido dictada para el bien de la comunidad. Una legislación que sólo sirve los intereses del partido en el poder, es para él una mera cuestión de conveniencia, y le deniega la calidad de verdadera ley. (...) Platón encuentra el fundamento para afirmar que el gobierno no es sino el servidor de las leyes. Únicamente en un estado en el cual “el derecho gobierna a los que gobiernan”...”</w:t>
      </w:r>
      <w:r w:rsidRPr="000D3432">
        <w:rPr>
          <w:rStyle w:val="Refdenotaalpie"/>
          <w:rFonts w:asciiTheme="minorHAnsi" w:hAnsiTheme="minorHAnsi"/>
          <w:sz w:val="24"/>
          <w:szCs w:val="24"/>
          <w:vertAlign w:val="superscript"/>
        </w:rPr>
        <w:footnoteReference w:id="190"/>
      </w:r>
      <w:r w:rsidRPr="000D3432">
        <w:rPr>
          <w:rFonts w:asciiTheme="minorHAnsi" w:hAnsiTheme="minorHAnsi"/>
          <w:szCs w:val="24"/>
        </w:rPr>
        <w:t xml:space="preserve">. Reconociéndolo así, el panorama que quería seguir Platón, era iluminar el laberinto de la complejidad humana, enfatizando la condición de las leyes como piezas de creación humana, como actos de conocimiento, que gestan la seguridad del hombre y lo conduzcan hacia la virtud. Para Platón </w:t>
      </w:r>
    </w:p>
    <w:p w14:paraId="58BFB4EB"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las leyes son los medios para asegurar, no sólo que los hombres vivan, sino que vivan bien y lleguen a ser virtuosos como sea posible.”</w:t>
      </w:r>
      <w:r w:rsidRPr="000D3432">
        <w:rPr>
          <w:rStyle w:val="Refdenotaalpie"/>
          <w:rFonts w:asciiTheme="minorHAnsi" w:hAnsiTheme="minorHAnsi"/>
          <w:sz w:val="24"/>
          <w:szCs w:val="24"/>
          <w:vertAlign w:val="superscript"/>
        </w:rPr>
        <w:footnoteReference w:id="191"/>
      </w:r>
    </w:p>
    <w:p w14:paraId="4D8C6E8A" w14:textId="77777777" w:rsidR="001925CE" w:rsidRPr="000D3432" w:rsidRDefault="001925CE" w:rsidP="00A95498">
      <w:pPr>
        <w:ind w:firstLine="426"/>
        <w:jc w:val="both"/>
        <w:rPr>
          <w:rFonts w:asciiTheme="minorHAnsi" w:hAnsiTheme="minorHAnsi"/>
          <w:szCs w:val="24"/>
        </w:rPr>
      </w:pPr>
    </w:p>
    <w:p w14:paraId="1F7995C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Platón había descubierto, y planteado lo que sería luego uno de los principios generales de toda concepción del Estado y su existencia: “el bien común”</w:t>
      </w:r>
      <w:r w:rsidRPr="000D3432">
        <w:rPr>
          <w:rStyle w:val="Refdenotaalpie"/>
          <w:rFonts w:asciiTheme="minorHAnsi" w:hAnsiTheme="minorHAnsi"/>
          <w:sz w:val="24"/>
          <w:szCs w:val="24"/>
          <w:vertAlign w:val="superscript"/>
        </w:rPr>
        <w:footnoteReference w:id="192"/>
      </w:r>
      <w:r w:rsidRPr="000D3432">
        <w:rPr>
          <w:rFonts w:asciiTheme="minorHAnsi" w:hAnsiTheme="minorHAnsi"/>
          <w:szCs w:val="24"/>
        </w:rPr>
        <w:t>, como justificante y función fundamental del Estado. Y además la conceptualización de la filosofía del Derecho se mostraba ligada al elemento ético, “...la filosofía platónica del derecho está estrechamente vinculada con la ética,...”</w:t>
      </w:r>
      <w:r w:rsidRPr="000D3432">
        <w:rPr>
          <w:rStyle w:val="Refdenotaalpie"/>
          <w:rFonts w:asciiTheme="minorHAnsi" w:hAnsiTheme="minorHAnsi"/>
          <w:sz w:val="24"/>
          <w:szCs w:val="24"/>
          <w:vertAlign w:val="superscript"/>
        </w:rPr>
        <w:footnoteReference w:id="193"/>
      </w:r>
    </w:p>
    <w:p w14:paraId="1674A202" w14:textId="77777777" w:rsidR="001925CE" w:rsidRPr="000D3432" w:rsidRDefault="001925CE" w:rsidP="00A95498">
      <w:pPr>
        <w:ind w:firstLine="426"/>
        <w:jc w:val="both"/>
        <w:rPr>
          <w:rFonts w:asciiTheme="minorHAnsi" w:hAnsiTheme="minorHAnsi"/>
          <w:szCs w:val="24"/>
        </w:rPr>
      </w:pPr>
    </w:p>
    <w:p w14:paraId="1377D39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llegar al bien común, hay que hacerlo -decía Platón- a través de un principio abstracto pero real: la razón universal -explica Platón, y aclara la distancia que existe entre esta razón universal y los sentidos. Para este filósofo los sentidos son difusos, falsarios, engañosos, de poco fiar, porque -según él- no exponen la realidad, sino que son sólo una representación gráfica, simbólica de ella, pero que esta representación puede interpretarse de forma errada si nos atenemos a los sentidos. Por eso sólo aquello que está más allá de los sentidos, de lo tangible, es lo cierto, los verdaderos moldes de la realidad, que en conclusión serían las ideas. Estas últimas serán el recipiente que contiene al mundo. Por lo que las “ideas”</w:t>
      </w:r>
      <w:r w:rsidRPr="000D3432">
        <w:rPr>
          <w:rStyle w:val="Refdenotaalpie"/>
          <w:rFonts w:asciiTheme="minorHAnsi" w:hAnsiTheme="minorHAnsi"/>
          <w:sz w:val="24"/>
          <w:szCs w:val="24"/>
          <w:vertAlign w:val="superscript"/>
        </w:rPr>
        <w:footnoteReference w:id="194"/>
      </w:r>
      <w:r w:rsidRPr="000D3432">
        <w:rPr>
          <w:rFonts w:asciiTheme="minorHAnsi" w:hAnsiTheme="minorHAnsi"/>
          <w:szCs w:val="24"/>
        </w:rPr>
        <w:t xml:space="preserve"> serían lo único verdadero, y las cosas el reflejo, la sombra, la proyección de las ideas. Esta concepción está expuesta en la famosa teoría de las ideas de Platón</w:t>
      </w:r>
      <w:r w:rsidRPr="000D3432">
        <w:rPr>
          <w:rStyle w:val="Refdenotaalpie"/>
          <w:rFonts w:asciiTheme="minorHAnsi" w:hAnsiTheme="minorHAnsi"/>
          <w:sz w:val="24"/>
          <w:szCs w:val="24"/>
          <w:vertAlign w:val="superscript"/>
        </w:rPr>
        <w:footnoteReference w:id="195"/>
      </w:r>
      <w:r w:rsidRPr="000D3432">
        <w:rPr>
          <w:rFonts w:asciiTheme="minorHAnsi" w:hAnsiTheme="minorHAnsi"/>
          <w:szCs w:val="24"/>
        </w:rPr>
        <w:t xml:space="preserve">, que son la base de la filosofía Platónica. </w:t>
      </w:r>
    </w:p>
    <w:p w14:paraId="76FDD9F1" w14:textId="77777777" w:rsidR="001925CE" w:rsidRPr="000D3432" w:rsidRDefault="001925CE" w:rsidP="00A95498">
      <w:pPr>
        <w:ind w:firstLine="426"/>
        <w:jc w:val="both"/>
        <w:rPr>
          <w:rFonts w:asciiTheme="minorHAnsi" w:hAnsiTheme="minorHAnsi"/>
          <w:szCs w:val="24"/>
        </w:rPr>
      </w:pPr>
    </w:p>
    <w:p w14:paraId="039EDD5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idea expuesta en la teoría de las ideas, tiene cierta importancia reveladora: el hecho de describir al mundo como una consecuencia de las ideas. En efecto, el mundo está compuesto, estructurado por un conjunto de ideas transformadas en instituciones, como por ejemplo: la "idea" del Estado, del Derecho, de la Justicia, etc., solo que las ideas varían, no son inmutables, permanecen en esencia pero no en sentido. La palabra es significante, no siempre significado.</w:t>
      </w:r>
    </w:p>
    <w:p w14:paraId="009D8CDA" w14:textId="77777777" w:rsidR="001925CE" w:rsidRPr="000D3432" w:rsidRDefault="001925CE" w:rsidP="00A95498">
      <w:pPr>
        <w:ind w:firstLine="426"/>
        <w:jc w:val="both"/>
        <w:rPr>
          <w:rFonts w:asciiTheme="minorHAnsi" w:hAnsiTheme="minorHAnsi"/>
          <w:szCs w:val="24"/>
        </w:rPr>
      </w:pPr>
    </w:p>
    <w:p w14:paraId="3731368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Platón diseña un tipo de organización social "ideal" y la llama la "República"(que significa "cosa pública"), donde argumenta que una sociedad ideal sería aquella conformada orgánicamente, dirigida por el Estado y dividida en tres partes: la Cabeza, Pecho y el Vientre.</w:t>
      </w:r>
      <w:r w:rsidRPr="000D3432">
        <w:rPr>
          <w:rFonts w:asciiTheme="minorHAnsi" w:hAnsiTheme="minorHAnsi"/>
          <w:szCs w:val="24"/>
        </w:rPr>
        <w:tab/>
      </w:r>
    </w:p>
    <w:p w14:paraId="76069144" w14:textId="77777777" w:rsidR="001925CE" w:rsidRPr="000D3432" w:rsidRDefault="001925CE" w:rsidP="00A95498">
      <w:pPr>
        <w:ind w:firstLine="426"/>
        <w:jc w:val="both"/>
        <w:rPr>
          <w:rFonts w:asciiTheme="minorHAnsi" w:hAnsiTheme="minorHAnsi"/>
          <w:szCs w:val="24"/>
        </w:rPr>
      </w:pPr>
    </w:p>
    <w:p w14:paraId="74FFE56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explicar la estructura de la sociedad planteada Platón hace una operación comparativa. Estableciendo el paralelo entre la sociedad y el hombre, explica que así como la persona tiene cabeza, la sociedad tiene Estado. Y que en esta cabeza de la sociedad llamada Estado deberían estar los mejores, es decir los filósofos. Piensa que sólo éstos podrán gobernar porque pueden autogobernarse así mismos, y por lo tanto conocer el bien y el mal a través de la razón y del conocimiento de las “ideas eternas”.</w:t>
      </w:r>
    </w:p>
    <w:p w14:paraId="18105219" w14:textId="77777777" w:rsidR="001925CE" w:rsidRPr="000D3432" w:rsidRDefault="001925CE" w:rsidP="00A95498">
      <w:pPr>
        <w:ind w:firstLine="426"/>
        <w:jc w:val="both"/>
        <w:rPr>
          <w:rFonts w:asciiTheme="minorHAnsi" w:hAnsiTheme="minorHAnsi"/>
          <w:szCs w:val="24"/>
        </w:rPr>
      </w:pPr>
    </w:p>
    <w:p w14:paraId="452A4D0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Más abajo de la cabeza, el hombre tendría también un pecho, que en la estructura social debería estar formada por los soldados, que como el pecho, ofrece la ofensiva protectora y la seguridad de la sociedad y garantiza el cumplimiento de las normas.</w:t>
      </w:r>
    </w:p>
    <w:p w14:paraId="02DA6F2C" w14:textId="77777777" w:rsidR="001925CE" w:rsidRPr="000D3432" w:rsidRDefault="001925CE" w:rsidP="00A95498">
      <w:pPr>
        <w:ind w:firstLine="426"/>
        <w:jc w:val="both"/>
        <w:rPr>
          <w:rFonts w:asciiTheme="minorHAnsi" w:hAnsiTheme="minorHAnsi"/>
          <w:szCs w:val="24"/>
        </w:rPr>
      </w:pPr>
    </w:p>
    <w:p w14:paraId="10E7AC1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la parte más baja del cuerpo humano, estaría ya el vientre, que en la estructura social estaría representada por los productores, por el pueblo.  </w:t>
      </w:r>
    </w:p>
    <w:p w14:paraId="22C20F02" w14:textId="77777777" w:rsidR="001925CE" w:rsidRPr="000D3432" w:rsidRDefault="001925CE" w:rsidP="00A95498">
      <w:pPr>
        <w:ind w:firstLine="426"/>
        <w:jc w:val="both"/>
        <w:rPr>
          <w:rFonts w:asciiTheme="minorHAnsi" w:hAnsiTheme="minorHAnsi"/>
          <w:szCs w:val="24"/>
        </w:rPr>
      </w:pPr>
    </w:p>
    <w:p w14:paraId="09C674A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Graficando la organización de la sociedad según Platón, tenemos:</w:t>
      </w:r>
    </w:p>
    <w:p w14:paraId="1D75011C" w14:textId="77777777" w:rsidR="001925CE" w:rsidRPr="000D3432" w:rsidRDefault="001925CE" w:rsidP="00A95498">
      <w:pPr>
        <w:ind w:firstLine="426"/>
        <w:jc w:val="both"/>
        <w:rPr>
          <w:rFonts w:asciiTheme="minorHAnsi" w:hAnsiTheme="minorHAnsi"/>
          <w:i/>
          <w:szCs w:val="24"/>
        </w:rPr>
      </w:pPr>
    </w:p>
    <w:p w14:paraId="2CB840A0" w14:textId="77777777" w:rsidR="001925CE" w:rsidRPr="000D3432" w:rsidRDefault="001925CE" w:rsidP="00A95498">
      <w:pPr>
        <w:ind w:firstLine="426"/>
        <w:jc w:val="both"/>
        <w:rPr>
          <w:rFonts w:asciiTheme="minorHAnsi" w:hAnsiTheme="minorHAnsi"/>
          <w:i/>
          <w:szCs w:val="24"/>
        </w:rPr>
      </w:pPr>
      <w:r w:rsidRPr="000D3432">
        <w:rPr>
          <w:rFonts w:asciiTheme="minorHAnsi" w:hAnsiTheme="minorHAnsi"/>
          <w:i/>
          <w:szCs w:val="24"/>
        </w:rPr>
        <w:t>Estado de Platón:</w:t>
      </w:r>
    </w:p>
    <w:p w14:paraId="33940F78" w14:textId="77777777" w:rsidR="001925CE" w:rsidRPr="000D3432" w:rsidRDefault="001925CE" w:rsidP="00A95498">
      <w:pPr>
        <w:ind w:left="850" w:firstLine="426"/>
        <w:jc w:val="both"/>
        <w:rPr>
          <w:rFonts w:asciiTheme="minorHAnsi" w:hAnsiTheme="minorHAnsi"/>
          <w:szCs w:val="24"/>
        </w:rPr>
      </w:pPr>
      <w:r w:rsidRPr="000D3432">
        <w:rPr>
          <w:rFonts w:asciiTheme="minorHAnsi" w:hAnsiTheme="minorHAnsi"/>
          <w:szCs w:val="24"/>
        </w:rPr>
        <w:t xml:space="preserve">- Cabeza </w:t>
      </w:r>
      <w:r w:rsidRPr="000D3432">
        <w:rPr>
          <w:rFonts w:asciiTheme="minorHAnsi" w:hAnsiTheme="minorHAnsi"/>
          <w:szCs w:val="24"/>
        </w:rPr>
        <w:tab/>
        <w:t>=</w:t>
      </w:r>
      <w:r w:rsidRPr="000D3432">
        <w:rPr>
          <w:rFonts w:asciiTheme="minorHAnsi" w:hAnsiTheme="minorHAnsi"/>
          <w:szCs w:val="24"/>
        </w:rPr>
        <w:tab/>
        <w:t xml:space="preserve">Gobernantes </w:t>
      </w:r>
      <w:r w:rsidRPr="000D3432">
        <w:rPr>
          <w:rFonts w:asciiTheme="minorHAnsi" w:hAnsiTheme="minorHAnsi"/>
          <w:szCs w:val="24"/>
        </w:rPr>
        <w:tab/>
        <w:t xml:space="preserve">= </w:t>
      </w:r>
      <w:r w:rsidRPr="000D3432">
        <w:rPr>
          <w:rFonts w:asciiTheme="minorHAnsi" w:hAnsiTheme="minorHAnsi"/>
          <w:szCs w:val="24"/>
        </w:rPr>
        <w:tab/>
        <w:t>Filósofos</w:t>
      </w:r>
    </w:p>
    <w:p w14:paraId="52224429" w14:textId="77777777" w:rsidR="001925CE" w:rsidRPr="000D3432" w:rsidRDefault="001925CE" w:rsidP="00A95498">
      <w:pPr>
        <w:ind w:left="850" w:firstLine="426"/>
        <w:jc w:val="both"/>
        <w:rPr>
          <w:rFonts w:asciiTheme="minorHAnsi" w:hAnsiTheme="minorHAnsi"/>
          <w:szCs w:val="24"/>
        </w:rPr>
      </w:pPr>
      <w:r w:rsidRPr="000D3432">
        <w:rPr>
          <w:rFonts w:asciiTheme="minorHAnsi" w:hAnsiTheme="minorHAnsi"/>
          <w:szCs w:val="24"/>
        </w:rPr>
        <w:t xml:space="preserve">- Pecho </w:t>
      </w:r>
      <w:r w:rsidRPr="000D3432">
        <w:rPr>
          <w:rFonts w:asciiTheme="minorHAnsi" w:hAnsiTheme="minorHAnsi"/>
          <w:szCs w:val="24"/>
        </w:rPr>
        <w:tab/>
      </w:r>
      <w:r w:rsidRPr="000D3432">
        <w:rPr>
          <w:rFonts w:asciiTheme="minorHAnsi" w:hAnsiTheme="minorHAnsi"/>
          <w:szCs w:val="24"/>
        </w:rPr>
        <w:tab/>
        <w:t>=</w:t>
      </w:r>
      <w:r w:rsidRPr="000D3432">
        <w:rPr>
          <w:rFonts w:asciiTheme="minorHAnsi" w:hAnsiTheme="minorHAnsi"/>
          <w:szCs w:val="24"/>
        </w:rPr>
        <w:tab/>
        <w:t xml:space="preserve"> Defensa </w:t>
      </w:r>
      <w:r w:rsidRPr="000D3432">
        <w:rPr>
          <w:rFonts w:asciiTheme="minorHAnsi" w:hAnsiTheme="minorHAnsi"/>
          <w:szCs w:val="24"/>
        </w:rPr>
        <w:tab/>
        <w:t xml:space="preserve">= </w:t>
      </w:r>
      <w:r w:rsidRPr="000D3432">
        <w:rPr>
          <w:rFonts w:asciiTheme="minorHAnsi" w:hAnsiTheme="minorHAnsi"/>
          <w:szCs w:val="24"/>
        </w:rPr>
        <w:tab/>
        <w:t>Soldados</w:t>
      </w:r>
    </w:p>
    <w:p w14:paraId="079DC35F" w14:textId="77777777" w:rsidR="001925CE" w:rsidRPr="000D3432" w:rsidRDefault="001925CE" w:rsidP="00A95498">
      <w:pPr>
        <w:ind w:left="850" w:firstLine="426"/>
        <w:jc w:val="both"/>
        <w:rPr>
          <w:rFonts w:asciiTheme="minorHAnsi" w:hAnsiTheme="minorHAnsi"/>
          <w:szCs w:val="24"/>
        </w:rPr>
      </w:pPr>
      <w:r w:rsidRPr="000D3432">
        <w:rPr>
          <w:rFonts w:asciiTheme="minorHAnsi" w:hAnsiTheme="minorHAnsi"/>
          <w:szCs w:val="24"/>
        </w:rPr>
        <w:t xml:space="preserve">- Vientre </w:t>
      </w:r>
      <w:r w:rsidRPr="000D3432">
        <w:rPr>
          <w:rFonts w:asciiTheme="minorHAnsi" w:hAnsiTheme="minorHAnsi"/>
          <w:szCs w:val="24"/>
        </w:rPr>
        <w:tab/>
        <w:t>=</w:t>
      </w:r>
      <w:r w:rsidRPr="000D3432">
        <w:rPr>
          <w:rFonts w:asciiTheme="minorHAnsi" w:hAnsiTheme="minorHAnsi"/>
          <w:szCs w:val="24"/>
        </w:rPr>
        <w:tab/>
        <w:t xml:space="preserve">Productores </w:t>
      </w:r>
      <w:r w:rsidRPr="000D3432">
        <w:rPr>
          <w:rFonts w:asciiTheme="minorHAnsi" w:hAnsiTheme="minorHAnsi"/>
          <w:szCs w:val="24"/>
        </w:rPr>
        <w:tab/>
        <w:t>=</w:t>
      </w:r>
      <w:r w:rsidRPr="000D3432">
        <w:rPr>
          <w:rFonts w:asciiTheme="minorHAnsi" w:hAnsiTheme="minorHAnsi"/>
          <w:szCs w:val="24"/>
        </w:rPr>
        <w:tab/>
        <w:t>Pueblo.</w:t>
      </w:r>
    </w:p>
    <w:p w14:paraId="4A5CCB42" w14:textId="77777777" w:rsidR="001925CE" w:rsidRPr="000D3432" w:rsidRDefault="001925CE" w:rsidP="00A95498">
      <w:pPr>
        <w:ind w:firstLine="426"/>
        <w:jc w:val="both"/>
        <w:rPr>
          <w:rFonts w:asciiTheme="minorHAnsi" w:hAnsiTheme="minorHAnsi"/>
          <w:szCs w:val="24"/>
        </w:rPr>
      </w:pPr>
    </w:p>
    <w:p w14:paraId="64EE823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esquema involucra a todos los integrantes de la sociedad, en donde cada individuo -como parte de la sociedad, del Estado- cumple una función, que -subraya Platón- debería estar determinada por las capacidades inherentes de los hombres. Sólo así las partes del Estado -Cabeza, Pecho y Vientre- trabajarían en armonía, en equilibrio y formarían el Estado Ideal, al que se le denominaría “República”.</w:t>
      </w:r>
    </w:p>
    <w:p w14:paraId="2D06264A" w14:textId="77777777" w:rsidR="001925CE" w:rsidRPr="000D3432" w:rsidRDefault="001925CE" w:rsidP="00A95498">
      <w:pPr>
        <w:ind w:firstLine="426"/>
        <w:jc w:val="both"/>
        <w:rPr>
          <w:rFonts w:asciiTheme="minorHAnsi" w:hAnsiTheme="minorHAnsi"/>
          <w:szCs w:val="24"/>
        </w:rPr>
      </w:pPr>
    </w:p>
    <w:p w14:paraId="5FF7A21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Pero con la conciencia de que los filósofos y los soldados pudieran ser </w:t>
      </w:r>
      <w:r w:rsidRPr="000D3432">
        <w:rPr>
          <w:rFonts w:asciiTheme="minorHAnsi" w:hAnsiTheme="minorHAnsi"/>
          <w:szCs w:val="24"/>
        </w:rPr>
        <w:lastRenderedPageBreak/>
        <w:t xml:space="preserve">tentados por la ambición y el ansia de riqueza, era necesario establecer un marco que asegurara el buen gobierno de los filósofos, y garantizara plenamente la responsabilidad de la acción de los soldados. Platón propone, entonces, la abolición de propiedad privada y de familia en los gobernantes y soldados, que dejaría, a éstos libres de toda ambición, porque el mal -supone este pensador- proviene justamente de las posesiones y de la envidia. </w:t>
      </w:r>
    </w:p>
    <w:p w14:paraId="3A128248"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731CDEE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una primera instancia Platón aspiraba a la comunidad de todos, luego, frente a la refutación que le hizo la realidad cambió su concepción de organización de la sociedad. De un Estado Filosófico (ideal) pasó a exponer, como replanteamiento de su teoría social, el Estado Legal, con lo que intentaba resolver la incongruencia de su anterior teoría social, calificada como muy imaginaria y poco real. El primer Estado Ideal fue un fracaso experimental cuando intentó modelar la polis de Siracusa, a invitación de su amigo Dion; y es por eso que “...a consecuencia de ese fracaso Platón retornó a la doctrina griega tradicional, según la cual el buen orden de la polis puede lograrse únicamente con la formulación de una ley básica o nomos. Este nomos lo considera Platón como una participación de la idea de la justicia y, mediante esta participación, ella, a su vez, participa de la idea del bien.”</w:t>
      </w:r>
      <w:r w:rsidRPr="000D3432">
        <w:rPr>
          <w:rStyle w:val="Refdenotaalpie"/>
          <w:rFonts w:asciiTheme="minorHAnsi" w:hAnsiTheme="minorHAnsi"/>
          <w:sz w:val="24"/>
          <w:szCs w:val="24"/>
          <w:vertAlign w:val="superscript"/>
        </w:rPr>
        <w:footnoteReference w:id="196"/>
      </w:r>
    </w:p>
    <w:p w14:paraId="359FCFC2" w14:textId="77777777" w:rsidR="001925CE" w:rsidRPr="000D3432" w:rsidRDefault="001925CE" w:rsidP="00A95498">
      <w:pPr>
        <w:ind w:firstLine="426"/>
        <w:jc w:val="both"/>
        <w:rPr>
          <w:rFonts w:asciiTheme="minorHAnsi" w:hAnsiTheme="minorHAnsi"/>
          <w:szCs w:val="24"/>
        </w:rPr>
      </w:pPr>
    </w:p>
    <w:p w14:paraId="4EF213E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su teoría sobre la configuración de la República Platón expone un marco muy rígido, limitado, planeado, programado, en donde todo estaría dispuesto milimétricamente, y nada dejado al azar individual. Todos deberían ser educados. Formados.</w:t>
      </w:r>
      <w:r w:rsidRPr="000D3432">
        <w:rPr>
          <w:rStyle w:val="Refdenotaalpie"/>
          <w:rFonts w:asciiTheme="minorHAnsi" w:hAnsiTheme="minorHAnsi"/>
          <w:sz w:val="24"/>
          <w:szCs w:val="24"/>
          <w:vertAlign w:val="superscript"/>
        </w:rPr>
        <w:footnoteReference w:id="197"/>
      </w:r>
    </w:p>
    <w:p w14:paraId="37F34BC2" w14:textId="77777777" w:rsidR="001925CE" w:rsidRPr="000D3432" w:rsidRDefault="001925CE" w:rsidP="00A95498">
      <w:pPr>
        <w:ind w:firstLine="426"/>
        <w:jc w:val="both"/>
        <w:rPr>
          <w:rFonts w:asciiTheme="minorHAnsi" w:hAnsiTheme="minorHAnsi"/>
          <w:szCs w:val="24"/>
        </w:rPr>
      </w:pPr>
    </w:p>
    <w:p w14:paraId="0BAE111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Al respecto, contradiciendo la argumentación y validez de la teoría platónica, y mostrando la decadencia de estas ideas, Karl Popper parafraseado por Barylko expone que "este régimen comunista (el de la República propuesta por Platón) se circunscribe a la clase gobernante, que es la única que debe mantenerse a salvo de la desunión; las querellas de los súbditos no son dignas de la menor consideración..."</w:t>
      </w:r>
      <w:r w:rsidRPr="000D3432">
        <w:rPr>
          <w:rStyle w:val="Refdenotaalpie"/>
          <w:rFonts w:asciiTheme="minorHAnsi" w:hAnsiTheme="minorHAnsi"/>
          <w:sz w:val="24"/>
          <w:szCs w:val="24"/>
          <w:vertAlign w:val="superscript"/>
        </w:rPr>
        <w:footnoteReference w:id="198"/>
      </w:r>
    </w:p>
    <w:p w14:paraId="2FD2815D" w14:textId="77777777" w:rsidR="001925CE" w:rsidRPr="000D3432" w:rsidRDefault="001925CE" w:rsidP="00A95498">
      <w:pPr>
        <w:ind w:firstLine="426"/>
        <w:jc w:val="both"/>
        <w:rPr>
          <w:rFonts w:asciiTheme="minorHAnsi" w:hAnsiTheme="minorHAnsi"/>
          <w:szCs w:val="24"/>
        </w:rPr>
      </w:pPr>
    </w:p>
    <w:p w14:paraId="39B996B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Otro aspecto, luego de aceptar la ineficacia e imposibilidad del Estado Ideal, fue concebir al Estado como Educación, es decir cómo ente encargado de producir esta educación en los hombres a los que gobernaba. Además, en las Leyes, en donde expone el Segundo Mejor Estado, incorpora a su teoría la necesidad de la propiedad privada y la familia como fundamentos de su nueva concepción de Estado.</w:t>
      </w:r>
    </w:p>
    <w:p w14:paraId="1FD8B537" w14:textId="77777777" w:rsidR="001925CE" w:rsidRPr="000D3432" w:rsidRDefault="001925CE" w:rsidP="00A95498">
      <w:pPr>
        <w:ind w:firstLine="426"/>
        <w:jc w:val="both"/>
        <w:rPr>
          <w:rFonts w:asciiTheme="minorHAnsi" w:hAnsiTheme="minorHAnsi"/>
          <w:szCs w:val="24"/>
        </w:rPr>
      </w:pPr>
    </w:p>
    <w:p w14:paraId="57ACCFA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idea central, a nuestro parecer, de las proposiciones de Platón, es el establecimiento de un Estado justo, que se caracteriza porque cada uno conoce su lugar en el conjunto.</w:t>
      </w:r>
      <w:r w:rsidRPr="000D3432">
        <w:rPr>
          <w:rStyle w:val="Refdenotaalpie"/>
          <w:rFonts w:asciiTheme="minorHAnsi" w:hAnsiTheme="minorHAnsi"/>
          <w:sz w:val="24"/>
          <w:szCs w:val="24"/>
          <w:vertAlign w:val="superscript"/>
        </w:rPr>
        <w:footnoteReference w:id="199"/>
      </w:r>
    </w:p>
    <w:p w14:paraId="1BA811BE" w14:textId="77777777" w:rsidR="001925CE" w:rsidRPr="000D3432" w:rsidRDefault="001925CE" w:rsidP="00A95498">
      <w:pPr>
        <w:ind w:firstLine="426"/>
        <w:jc w:val="both"/>
        <w:rPr>
          <w:rFonts w:asciiTheme="minorHAnsi" w:hAnsiTheme="minorHAnsi"/>
          <w:szCs w:val="24"/>
        </w:rPr>
      </w:pPr>
    </w:p>
    <w:p w14:paraId="19BD5D1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Platón propone: una Sociedad-Estado gobernada por los filósofos; los mejores para el bien común y usando la razón que es la que encontrará las ideas universales y eternas. Haciendo que en el Estado-Sociedad cada individuo cumpla su función en el conjunto y ocupe su lugar gracias a un sistema de educación y evaluación igual para todos.</w:t>
      </w:r>
    </w:p>
    <w:p w14:paraId="10A94EF8" w14:textId="77777777" w:rsidR="001925CE" w:rsidRPr="000D3432" w:rsidRDefault="001925CE" w:rsidP="00A95498">
      <w:pPr>
        <w:ind w:firstLine="426"/>
        <w:jc w:val="both"/>
        <w:rPr>
          <w:rFonts w:asciiTheme="minorHAnsi" w:hAnsiTheme="minorHAnsi"/>
          <w:szCs w:val="24"/>
        </w:rPr>
      </w:pPr>
    </w:p>
    <w:p w14:paraId="4A472D2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el campo del Derecho, Platón tiene -según Villoro- dos aportes: </w:t>
      </w:r>
    </w:p>
    <w:p w14:paraId="279B04D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1.- La idea del Estado como medio propicio al pleno desarrollo del individuo,</w:t>
      </w:r>
    </w:p>
    <w:p w14:paraId="011541E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2.- El bien común como criterio de la actividad política</w:t>
      </w:r>
      <w:r w:rsidRPr="000D3432">
        <w:rPr>
          <w:rStyle w:val="Refdenotaalpie"/>
          <w:rFonts w:asciiTheme="minorHAnsi" w:hAnsiTheme="minorHAnsi"/>
          <w:sz w:val="24"/>
          <w:szCs w:val="24"/>
          <w:vertAlign w:val="superscript"/>
        </w:rPr>
        <w:footnoteReference w:id="200"/>
      </w:r>
    </w:p>
    <w:p w14:paraId="278E5C0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Platón marcó un nuevo sentimiento de lo que debía ser la organización, el orden social y jurídico; porque antes de él los sofistas pensaban que el Estado era un hecho social del que unos se aprovechaban y que otros debían soportar</w:t>
      </w:r>
      <w:r w:rsidRPr="000D3432">
        <w:rPr>
          <w:rStyle w:val="Refdenotaalpie"/>
          <w:rFonts w:asciiTheme="minorHAnsi" w:hAnsiTheme="minorHAnsi"/>
          <w:sz w:val="24"/>
          <w:szCs w:val="24"/>
          <w:vertAlign w:val="superscript"/>
        </w:rPr>
        <w:footnoteReference w:id="201"/>
      </w:r>
    </w:p>
    <w:p w14:paraId="1B6CCD2A" w14:textId="77777777" w:rsidR="001925CE" w:rsidRPr="000D3432" w:rsidRDefault="001925CE" w:rsidP="00A95498">
      <w:pPr>
        <w:ind w:firstLine="426"/>
        <w:jc w:val="both"/>
        <w:rPr>
          <w:rFonts w:asciiTheme="minorHAnsi" w:hAnsiTheme="minorHAnsi"/>
          <w:szCs w:val="24"/>
        </w:rPr>
      </w:pPr>
    </w:p>
    <w:p w14:paraId="38077CB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Hay un enfoque clarificador de la trascendencia Platónica en el Derecho.  Usando recursos expresivos filosóficos (críticos) Platón parece infundir una duda respecto de la realidad positivista, es más, la desconoce como elemento esencial de la realidad, puesto que sus rasgos -del positivismo- no están acendrados en la verdad, y la verdad sería más bien las ideas. Entonces, el Derecho no puede estar fijado en el mundo sensible. Luego, el positivismo sería imperfecto en esencia por su condición de tener cómo factor de referencia al mundo sensible, este mundo sensible que es negado como elemento cognoscitivo por Platón. Además, cómo el mundo de las ideas absolutas no puede ser aprendido definitivamente, el Derecho no puede tampoco ser estático, sino dinámico, cambiando de acuerdo a su ánimo y acción de perfeccionamiento. Platón aporta al Derecho Natural estas dos observaciones: </w:t>
      </w:r>
    </w:p>
    <w:p w14:paraId="1248605F"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"Platón añade dos matices a la doctrina del Derecho Natural: 1.- La convicción de la imperfección esencial del Derecho Positivo, ya que pertenece al mundo sensible (para Platón los sentidos nos dan apariencias previas, no certezas ni verdades.), 2.- Un enfoque dinámico sobre el mismo, ya que debe continuamente irse perfeccionando de acuerdo con el mundo de las ideas absolutas. Esta labor sólo la pueden realizar los filósofos."</w:t>
      </w:r>
      <w:r w:rsidRPr="000D3432">
        <w:rPr>
          <w:rStyle w:val="Refdenotaalpie"/>
          <w:rFonts w:asciiTheme="minorHAnsi" w:hAnsiTheme="minorHAnsi"/>
          <w:sz w:val="24"/>
          <w:szCs w:val="24"/>
          <w:vertAlign w:val="superscript"/>
        </w:rPr>
        <w:footnoteReference w:id="202"/>
      </w:r>
    </w:p>
    <w:p w14:paraId="7DA5DD3F"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5F25B7B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Según explica C.J. Friedrich, el orden se establecía de acuerdo a cierto “nomos”, que significaba, originalmente, costumbre sagrada. Este nomos, o costumbre sagrada regía para todo y para todos.Es “el orden que lo abarca todo”. Pero cuando aparece el pensamiento de que “el hombre es la medida de todas las cosas” -con Protágoras- el nomos deja de ser la costumbre sagrada y se convierte más bien en una especie de norma racional. El pensamiento religioso, la pérdida secuencial en la fe, hacen que el nomos como costumbre sagrada vaya decayendo. Y aparece el nomos como norma creada por el hombre. El nomos </w:t>
      </w:r>
      <w:r w:rsidRPr="000D3432">
        <w:rPr>
          <w:rFonts w:asciiTheme="minorHAnsi" w:hAnsiTheme="minorHAnsi"/>
          <w:szCs w:val="24"/>
        </w:rPr>
        <w:lastRenderedPageBreak/>
        <w:t>devendría luego en Derecho. Se estaba construyendo una dimensión representativa del nomos diferente al original, desde donde “aparece la idea de que el derecho como el orden de la comunidad, es una creación del hombre”</w:t>
      </w:r>
      <w:r w:rsidRPr="000D3432">
        <w:rPr>
          <w:rStyle w:val="Refdenotaalpie"/>
          <w:rFonts w:asciiTheme="minorHAnsi" w:hAnsiTheme="minorHAnsi"/>
          <w:sz w:val="24"/>
          <w:szCs w:val="24"/>
          <w:vertAlign w:val="superscript"/>
        </w:rPr>
        <w:footnoteReference w:id="203"/>
      </w:r>
      <w:r w:rsidRPr="000D3432">
        <w:rPr>
          <w:rFonts w:asciiTheme="minorHAnsi" w:hAnsiTheme="minorHAnsi"/>
          <w:szCs w:val="24"/>
        </w:rPr>
        <w:t xml:space="preserve">  De ser así el nomos era cambiante, relativo, tiene ya tendencia múltiple y heterogénea realidad. Se produce una transfiguración del nomos original como “orgulloso orden de obligación universal”</w:t>
      </w:r>
      <w:r w:rsidRPr="000D3432">
        <w:rPr>
          <w:rStyle w:val="Refdenotaalpie"/>
          <w:rFonts w:asciiTheme="minorHAnsi" w:hAnsiTheme="minorHAnsi"/>
          <w:sz w:val="24"/>
          <w:szCs w:val="24"/>
          <w:vertAlign w:val="superscript"/>
        </w:rPr>
        <w:footnoteReference w:id="204"/>
      </w:r>
      <w:r w:rsidRPr="000D3432">
        <w:rPr>
          <w:rFonts w:asciiTheme="minorHAnsi" w:hAnsiTheme="minorHAnsi"/>
          <w:szCs w:val="24"/>
        </w:rPr>
        <w:t xml:space="preserve"> en una nueva dimensión esencial  y condición “relativista” de las normas, y del nomos, “bajo la influencia del pensamiento racionalista”. </w:t>
      </w:r>
    </w:p>
    <w:p w14:paraId="4504DA3E" w14:textId="77777777" w:rsidR="001925CE" w:rsidRPr="000D3432" w:rsidRDefault="001925CE" w:rsidP="00A95498">
      <w:pPr>
        <w:ind w:firstLine="426"/>
        <w:jc w:val="both"/>
        <w:rPr>
          <w:rFonts w:asciiTheme="minorHAnsi" w:hAnsiTheme="minorHAnsi"/>
          <w:szCs w:val="24"/>
        </w:rPr>
      </w:pPr>
    </w:p>
    <w:p w14:paraId="6635474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Del espíritu racionalista del nuevo nomos como “mero hábito”, y siendo las relaciones sociales complejos e imprevisibles, ha brotado una nueva realidad: el relativismo, un universo jurídico que se sostiene ahora, sólo por la razón,  que parte del hombre puesto en el centro. El nomos, el Derecho se configura así como un admirable ejercicio de la libertad, como una búsqueda incesante que en el despliegue de su creatividad ha ido dando forma y sustancia al nuevo nomos, al nuevo Derecho.</w:t>
      </w:r>
    </w:p>
    <w:p w14:paraId="24FD3974" w14:textId="77777777" w:rsidR="001925CE" w:rsidRPr="000D3432" w:rsidRDefault="001925CE" w:rsidP="00A95498">
      <w:pPr>
        <w:ind w:firstLine="426"/>
        <w:jc w:val="both"/>
        <w:rPr>
          <w:rFonts w:asciiTheme="minorHAnsi" w:hAnsiTheme="minorHAnsi"/>
          <w:szCs w:val="24"/>
        </w:rPr>
      </w:pPr>
    </w:p>
    <w:p w14:paraId="2191E0D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No cabe duda -para Platón- de la consistencia y de la necesaria presencia del derecho y las leyes en la reestructuración de la polís, como factores actuantes del proceso de desarrollo racionalista, en donde se reconoce al hombre en el centro de todo. Platón está convencido “de que el derecho y las leyes (nomos y nomoi) son esenciales para la estructuración de la polis, a la que, con frecuencia, suele traducirse como “estado”, término moderno que resulta muy desorientador cuando se aplica al orden político de Grecia.”</w:t>
      </w:r>
      <w:r w:rsidRPr="000D3432">
        <w:rPr>
          <w:rStyle w:val="Refdenotaalpie"/>
          <w:rFonts w:asciiTheme="minorHAnsi" w:hAnsiTheme="minorHAnsi"/>
          <w:sz w:val="24"/>
          <w:szCs w:val="24"/>
          <w:vertAlign w:val="superscript"/>
        </w:rPr>
        <w:footnoteReference w:id="205"/>
      </w:r>
    </w:p>
    <w:p w14:paraId="746C9AA8" w14:textId="77777777" w:rsidR="001925CE" w:rsidRPr="000D3432" w:rsidRDefault="001925CE" w:rsidP="00A95498">
      <w:pPr>
        <w:ind w:firstLine="426"/>
        <w:jc w:val="both"/>
        <w:rPr>
          <w:rFonts w:asciiTheme="minorHAnsi" w:hAnsiTheme="minorHAnsi"/>
          <w:szCs w:val="24"/>
        </w:rPr>
      </w:pPr>
    </w:p>
    <w:p w14:paraId="0576227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la concepción de Platón la idea del Derecho es sólo participación de la idea de justicia. Desde este punto la idea del Derecho no podía ser contradictoria con la idea de justicia. “Desde luego, la idea del derecho no puede estar en conflicto con la idea de justicia y, por tanto, todos los conflictos que existen entre derecho y justicia deberán considerarse como una consecuencia de la imperfecta interpretación de las ideas respectivas. De ahí se desprende que la ley positiva es un fenómeno expuesto a llegar a ser y a desaparecer, que sólo participa de manera incompleta del mundo intemporal de las ideas,...”</w:t>
      </w:r>
      <w:r w:rsidRPr="000D3432">
        <w:rPr>
          <w:rStyle w:val="Refdenotaalpie"/>
          <w:rFonts w:asciiTheme="minorHAnsi" w:hAnsiTheme="minorHAnsi"/>
          <w:sz w:val="24"/>
          <w:szCs w:val="24"/>
          <w:vertAlign w:val="superscript"/>
        </w:rPr>
        <w:footnoteReference w:id="206"/>
      </w:r>
    </w:p>
    <w:p w14:paraId="2014AD0F" w14:textId="77777777" w:rsidR="001925CE" w:rsidRPr="000D3432" w:rsidRDefault="001925CE" w:rsidP="00A95498">
      <w:pPr>
        <w:pStyle w:val="Parafffo"/>
        <w:spacing w:line="240" w:lineRule="auto"/>
        <w:rPr>
          <w:rFonts w:asciiTheme="minorHAnsi" w:hAnsiTheme="minorHAnsi"/>
          <w:sz w:val="24"/>
          <w:szCs w:val="24"/>
        </w:rPr>
      </w:pPr>
    </w:p>
    <w:p w14:paraId="543FE806"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Para Platón el origen del Estado se halla en la peculiaridad del hombre de no poder satisfacer por sí sólo todas sus necesidades, y por consiguiente la división del trabajo se hace indispensable</w:t>
      </w:r>
      <w:r w:rsidRPr="000D3432">
        <w:rPr>
          <w:rStyle w:val="Refdenotaalpie"/>
          <w:rFonts w:asciiTheme="minorHAnsi" w:hAnsiTheme="minorHAnsi"/>
          <w:sz w:val="24"/>
          <w:szCs w:val="24"/>
          <w:vertAlign w:val="superscript"/>
        </w:rPr>
        <w:footnoteReference w:id="207"/>
      </w:r>
      <w:r w:rsidRPr="000D3432">
        <w:rPr>
          <w:rFonts w:asciiTheme="minorHAnsi" w:hAnsiTheme="minorHAnsi"/>
          <w:sz w:val="24"/>
          <w:szCs w:val="24"/>
        </w:rPr>
        <w:t>.</w:t>
      </w:r>
    </w:p>
    <w:p w14:paraId="32B50446" w14:textId="77777777" w:rsidR="001925CE" w:rsidRPr="000D3432" w:rsidRDefault="001925CE" w:rsidP="00A95498">
      <w:pPr>
        <w:jc w:val="both"/>
        <w:rPr>
          <w:rFonts w:asciiTheme="minorHAnsi" w:hAnsiTheme="minorHAnsi"/>
          <w:b/>
          <w:szCs w:val="24"/>
        </w:rPr>
      </w:pPr>
    </w:p>
    <w:p w14:paraId="6571BFF4"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e.- Aristóteles</w:t>
      </w:r>
    </w:p>
    <w:p w14:paraId="57DDDB44" w14:textId="77777777" w:rsidR="001925CE" w:rsidRPr="000D3432" w:rsidRDefault="001925CE" w:rsidP="00A95498">
      <w:pPr>
        <w:ind w:firstLine="426"/>
        <w:jc w:val="both"/>
        <w:rPr>
          <w:rFonts w:asciiTheme="minorHAnsi" w:hAnsiTheme="minorHAnsi"/>
          <w:szCs w:val="24"/>
        </w:rPr>
      </w:pPr>
    </w:p>
    <w:p w14:paraId="7531A18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Surge en el pensamiento occidental otro filósofo: Aristóteles; de sus ideas, fundamentos, argumentos nos vienen ciertas creencias, hábitos, conceptos, vicios, errores, supersticiones, etc., y razonamientos sociales y jurídicos.</w:t>
      </w:r>
    </w:p>
    <w:p w14:paraId="0C0FCD55" w14:textId="77777777" w:rsidR="001925CE" w:rsidRPr="000D3432" w:rsidRDefault="001925CE" w:rsidP="00A95498">
      <w:pPr>
        <w:ind w:firstLine="426"/>
        <w:jc w:val="both"/>
        <w:rPr>
          <w:rFonts w:asciiTheme="minorHAnsi" w:hAnsiTheme="minorHAnsi"/>
          <w:szCs w:val="24"/>
        </w:rPr>
      </w:pPr>
    </w:p>
    <w:p w14:paraId="5544FC6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Aristóteles ha sido llamado "el gran sistematizador". Descendiente de médicos. Dicen que -después de despilfarrar su dinero- ingresó en el ejército, empujado por el hambre. Era de Macedonia y concebía al hombre como un "animal político. Pensaba que siendo el hombre un ser social por naturaleza era la educación el molde para su socialización. En esta socialización lo importante consistía en formar al hombre virtuoso y buscar la manera de crear en él buenos hábitos que lo hicieran diferenciar el bien y el mal, estos eran concebidos en forma exclusiva. </w:t>
      </w:r>
    </w:p>
    <w:p w14:paraId="529338E1" w14:textId="77777777" w:rsidR="001925CE" w:rsidRPr="000D3432" w:rsidRDefault="001925CE" w:rsidP="00A95498">
      <w:pPr>
        <w:ind w:firstLine="426"/>
        <w:jc w:val="both"/>
        <w:rPr>
          <w:rFonts w:asciiTheme="minorHAnsi" w:hAnsiTheme="minorHAnsi"/>
          <w:szCs w:val="24"/>
        </w:rPr>
      </w:pPr>
    </w:p>
    <w:p w14:paraId="74FA048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Aristóteles fue un hombre meticuloso que quiso poner orden en los conceptos de los seres humanos</w:t>
      </w:r>
      <w:r w:rsidRPr="000D3432">
        <w:rPr>
          <w:rStyle w:val="Refdenotaalpie"/>
          <w:rFonts w:asciiTheme="minorHAnsi" w:hAnsiTheme="minorHAnsi"/>
          <w:sz w:val="24"/>
          <w:szCs w:val="24"/>
          <w:vertAlign w:val="superscript"/>
        </w:rPr>
        <w:footnoteReference w:id="208"/>
      </w:r>
      <w:r w:rsidRPr="000D3432">
        <w:rPr>
          <w:rFonts w:asciiTheme="minorHAnsi" w:hAnsiTheme="minorHAnsi"/>
          <w:szCs w:val="24"/>
        </w:rPr>
        <w:t>. Creía en los sentidos y pensaba que sólo a través de ellos el hombre puede formarse ideas y conceptos de la realidad. La concepción del "buen vivir" de Aristóteles descansaba en el fundamento de que el hombre debe adoptar el "justo medio", dejando de lado todo tipo de excesos. Había que buscar el equilibrio, la armonía, el justo medio. ¿cómo adquirirlos? Nos propone hacerlo mediante la educación y adquisición de "buenos hábitos" que deben practicarse</w:t>
      </w:r>
      <w:r w:rsidRPr="000D3432">
        <w:rPr>
          <w:rStyle w:val="Refdenotaalpie"/>
          <w:rFonts w:asciiTheme="minorHAnsi" w:hAnsiTheme="minorHAnsi"/>
          <w:sz w:val="24"/>
          <w:szCs w:val="24"/>
          <w:vertAlign w:val="superscript"/>
        </w:rPr>
        <w:footnoteReference w:id="209"/>
      </w:r>
      <w:r w:rsidRPr="000D3432">
        <w:rPr>
          <w:rFonts w:asciiTheme="minorHAnsi" w:hAnsiTheme="minorHAnsi"/>
          <w:szCs w:val="24"/>
        </w:rPr>
        <w:t>, Aristóteles entiende que “somos nuestros hábitos, la acumulación de nuestras acciones”, escribe  -parafraseando a William James- JosteinGaarder.</w:t>
      </w:r>
    </w:p>
    <w:p w14:paraId="368D75E2" w14:textId="77777777" w:rsidR="001925CE" w:rsidRPr="000D3432" w:rsidRDefault="001925CE" w:rsidP="00A95498">
      <w:pPr>
        <w:ind w:firstLine="426"/>
        <w:jc w:val="both"/>
        <w:rPr>
          <w:rFonts w:asciiTheme="minorHAnsi" w:hAnsiTheme="minorHAnsi"/>
          <w:szCs w:val="24"/>
        </w:rPr>
      </w:pPr>
    </w:p>
    <w:p w14:paraId="6BF01ED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Aristóteles intenta ordenar la sociedad ordenando las ideas, los conceptos; para ello propone construir buenos hábitos</w:t>
      </w:r>
      <w:r w:rsidRPr="000D3432">
        <w:rPr>
          <w:rStyle w:val="Refdenotaalpie"/>
          <w:rFonts w:asciiTheme="minorHAnsi" w:hAnsiTheme="minorHAnsi"/>
          <w:sz w:val="24"/>
          <w:szCs w:val="24"/>
          <w:vertAlign w:val="superscript"/>
        </w:rPr>
        <w:footnoteReference w:id="210"/>
      </w:r>
      <w:r w:rsidRPr="000D3432">
        <w:rPr>
          <w:rFonts w:asciiTheme="minorHAnsi" w:hAnsiTheme="minorHAnsi"/>
          <w:szCs w:val="24"/>
        </w:rPr>
        <w:t xml:space="preserve"> en la sociedad; ellos serán los que, luego, determinarán el crecimiento y mejor vivir de los hombres de la sociedad. Cree que la  familia cumple ciertas funciones como la educación de los hijos, comida y calor, pero que el Estado tiene la facultad de organizar a la sociedad. Diría por ejemplo que "sólo el Estado puede cubrir la mejor organización de comunidad humana"</w:t>
      </w:r>
      <w:r w:rsidRPr="000D3432">
        <w:rPr>
          <w:rStyle w:val="Refdenotaalpie"/>
          <w:rFonts w:asciiTheme="minorHAnsi" w:hAnsiTheme="minorHAnsi"/>
          <w:sz w:val="24"/>
          <w:szCs w:val="24"/>
          <w:vertAlign w:val="superscript"/>
        </w:rPr>
        <w:footnoteReference w:id="211"/>
      </w:r>
    </w:p>
    <w:p w14:paraId="75DCF43A" w14:textId="77777777" w:rsidR="001925CE" w:rsidRPr="000D3432" w:rsidRDefault="001925CE" w:rsidP="00A95498">
      <w:pPr>
        <w:ind w:firstLine="426"/>
        <w:jc w:val="both"/>
        <w:rPr>
          <w:rFonts w:asciiTheme="minorHAnsi" w:hAnsiTheme="minorHAnsi"/>
          <w:szCs w:val="24"/>
        </w:rPr>
      </w:pPr>
    </w:p>
    <w:p w14:paraId="38923D4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Aristóteles piensa que todas las cosas existen para un fin: el thelos (fin último). A diferencia de Platón que pensaba que la sociedad  era producto de los hombres, Aristóteles piensa que no, que la sociedad es un producto de la naturaleza; y que al  tener todo un fin, una finalidad lo importante no sería qué forma de Estado adoptar, sino cómo la sociedad puede realizar el fin (el telos) para el que está creado. Para lo cual plantea tres formas de mejor organización del Estado:</w:t>
      </w:r>
    </w:p>
    <w:p w14:paraId="5D46598F"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1.-</w:t>
      </w:r>
      <w:r w:rsidRPr="000D3432">
        <w:rPr>
          <w:rFonts w:asciiTheme="minorHAnsi" w:hAnsiTheme="minorHAnsi"/>
          <w:szCs w:val="24"/>
        </w:rPr>
        <w:tab/>
      </w:r>
      <w:r w:rsidRPr="000D3432">
        <w:rPr>
          <w:rFonts w:asciiTheme="minorHAnsi" w:hAnsiTheme="minorHAnsi"/>
          <w:b/>
          <w:szCs w:val="24"/>
        </w:rPr>
        <w:t xml:space="preserve">La Monarquía: </w:t>
      </w:r>
      <w:r w:rsidRPr="000D3432">
        <w:rPr>
          <w:rFonts w:asciiTheme="minorHAnsi" w:hAnsiTheme="minorHAnsi"/>
          <w:szCs w:val="24"/>
        </w:rPr>
        <w:t xml:space="preserve">Con un jefe superior en el Estado, pero cuidándose de no llegar al extremo, a la tiranía, que sería el gobierno de uno </w:t>
      </w:r>
      <w:r w:rsidRPr="000D3432">
        <w:rPr>
          <w:rFonts w:asciiTheme="minorHAnsi" w:hAnsiTheme="minorHAnsi"/>
          <w:szCs w:val="24"/>
        </w:rPr>
        <w:lastRenderedPageBreak/>
        <w:t>para su propio beneficio.</w:t>
      </w:r>
    </w:p>
    <w:p w14:paraId="6EE6B1B1"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2.-</w:t>
      </w:r>
      <w:r w:rsidRPr="000D3432">
        <w:rPr>
          <w:rFonts w:asciiTheme="minorHAnsi" w:hAnsiTheme="minorHAnsi"/>
          <w:szCs w:val="24"/>
        </w:rPr>
        <w:tab/>
      </w:r>
      <w:r w:rsidRPr="000D3432">
        <w:rPr>
          <w:rFonts w:asciiTheme="minorHAnsi" w:hAnsiTheme="minorHAnsi"/>
          <w:b/>
          <w:szCs w:val="24"/>
        </w:rPr>
        <w:t xml:space="preserve">La Aristocracia: </w:t>
      </w:r>
      <w:r w:rsidRPr="000D3432">
        <w:rPr>
          <w:rFonts w:asciiTheme="minorHAnsi" w:hAnsiTheme="minorHAnsi"/>
          <w:szCs w:val="24"/>
        </w:rPr>
        <w:t>Con un grupo menor o mayor de jefes de Estado, cuidando de no caer en la Oligarquía.</w:t>
      </w:r>
    </w:p>
    <w:p w14:paraId="233BBEFA" w14:textId="77777777" w:rsidR="001925CE" w:rsidRPr="000D3432" w:rsidRDefault="001925CE" w:rsidP="00A95498">
      <w:pPr>
        <w:tabs>
          <w:tab w:val="left" w:pos="-1440"/>
        </w:tabs>
        <w:ind w:left="1276" w:hanging="567"/>
        <w:jc w:val="both"/>
        <w:rPr>
          <w:rFonts w:asciiTheme="minorHAnsi" w:hAnsiTheme="minorHAnsi"/>
          <w:szCs w:val="24"/>
        </w:rPr>
      </w:pPr>
      <w:r w:rsidRPr="000D3432">
        <w:rPr>
          <w:rFonts w:asciiTheme="minorHAnsi" w:hAnsiTheme="minorHAnsi"/>
          <w:szCs w:val="24"/>
        </w:rPr>
        <w:t>3.-</w:t>
      </w:r>
      <w:r w:rsidRPr="000D3432">
        <w:rPr>
          <w:rFonts w:asciiTheme="minorHAnsi" w:hAnsiTheme="minorHAnsi"/>
          <w:szCs w:val="24"/>
        </w:rPr>
        <w:tab/>
      </w:r>
      <w:r w:rsidRPr="000D3432">
        <w:rPr>
          <w:rFonts w:asciiTheme="minorHAnsi" w:hAnsiTheme="minorHAnsi"/>
          <w:b/>
          <w:szCs w:val="24"/>
        </w:rPr>
        <w:t xml:space="preserve">La Democracia: </w:t>
      </w:r>
      <w:r w:rsidRPr="000D3432">
        <w:rPr>
          <w:rFonts w:asciiTheme="minorHAnsi" w:hAnsiTheme="minorHAnsi"/>
          <w:szCs w:val="24"/>
        </w:rPr>
        <w:t>Gobierno de la mayoría de los ciudadanos,</w:t>
      </w:r>
      <w:r w:rsidRPr="000D3432">
        <w:rPr>
          <w:rFonts w:asciiTheme="minorHAnsi" w:hAnsiTheme="minorHAnsi"/>
          <w:b/>
          <w:szCs w:val="24"/>
        </w:rPr>
        <w:t xml:space="preserve"> c</w:t>
      </w:r>
      <w:r w:rsidRPr="000D3432">
        <w:rPr>
          <w:rFonts w:asciiTheme="minorHAnsi" w:hAnsiTheme="minorHAnsi"/>
          <w:szCs w:val="24"/>
        </w:rPr>
        <w:t>uidándose de no caer en la demagogia.</w:t>
      </w:r>
    </w:p>
    <w:p w14:paraId="461A310C" w14:textId="77777777" w:rsidR="001925CE" w:rsidRPr="000D3432" w:rsidRDefault="001925CE" w:rsidP="00A95498">
      <w:pPr>
        <w:tabs>
          <w:tab w:val="left" w:pos="-1440"/>
        </w:tabs>
        <w:ind w:left="1276" w:hanging="567"/>
        <w:jc w:val="both"/>
        <w:rPr>
          <w:rFonts w:asciiTheme="minorHAnsi" w:hAnsiTheme="minorHAnsi"/>
          <w:szCs w:val="24"/>
        </w:rPr>
      </w:pPr>
    </w:p>
    <w:p w14:paraId="75D863F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"La primera cuestión para Aristóteles será averiguar hasta que punto el Estado corresponde al orden natural"</w:t>
      </w:r>
      <w:r w:rsidRPr="000D3432">
        <w:rPr>
          <w:rStyle w:val="Refdenotaalpie"/>
          <w:rFonts w:asciiTheme="minorHAnsi" w:hAnsiTheme="minorHAnsi"/>
          <w:sz w:val="24"/>
          <w:szCs w:val="24"/>
          <w:vertAlign w:val="superscript"/>
        </w:rPr>
        <w:footnoteReference w:id="212"/>
      </w:r>
      <w:r w:rsidRPr="000D3432">
        <w:rPr>
          <w:rFonts w:asciiTheme="minorHAnsi" w:hAnsiTheme="minorHAnsi"/>
          <w:szCs w:val="24"/>
        </w:rPr>
        <w:t xml:space="preserve">, al telos o fin último de las cosas. </w:t>
      </w:r>
    </w:p>
    <w:p w14:paraId="0980B775" w14:textId="77777777" w:rsidR="001925CE" w:rsidRPr="000D3432" w:rsidRDefault="001925CE" w:rsidP="00A95498">
      <w:pPr>
        <w:ind w:firstLine="426"/>
        <w:jc w:val="both"/>
        <w:rPr>
          <w:rFonts w:asciiTheme="minorHAnsi" w:hAnsiTheme="minorHAnsi"/>
          <w:szCs w:val="24"/>
        </w:rPr>
      </w:pPr>
    </w:p>
    <w:p w14:paraId="2A0AAF3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ley, por su parte, cumple una función ordenadora, tomando en cuenta la variedad de los hechos, pero al encontrarse, debido a esta multiplicidad de hechos, es imperfecta, esto se podrá resolver a través de la equidad que tratará de ser el justo equilibrio: “la ley es una norma general, pero los hechos que debe ordenar surgen de la variedad de la vida práctica. De aquí la necesidad de suplir las imperfecciones de la ley positiva con la equidad"</w:t>
      </w:r>
      <w:r w:rsidRPr="000D3432">
        <w:rPr>
          <w:rStyle w:val="Refdenotaalpie"/>
          <w:rFonts w:asciiTheme="minorHAnsi" w:hAnsiTheme="minorHAnsi"/>
          <w:sz w:val="24"/>
          <w:szCs w:val="24"/>
          <w:vertAlign w:val="superscript"/>
        </w:rPr>
        <w:footnoteReference w:id="213"/>
      </w:r>
      <w:r w:rsidRPr="000D3432">
        <w:rPr>
          <w:rFonts w:asciiTheme="minorHAnsi" w:hAnsiTheme="minorHAnsi"/>
          <w:szCs w:val="24"/>
        </w:rPr>
        <w:t>. No obstante esto, es necesario para la duración de la ley, la complementación entre norma y usos, es decir que la ley tiene que asentarse en los usos engendrados a lo largo del tiempo para poder perdurar y ser efectiva.</w:t>
      </w:r>
    </w:p>
    <w:p w14:paraId="76EF9A4D" w14:textId="77777777" w:rsidR="001925CE" w:rsidRPr="000D3432" w:rsidRDefault="001925CE" w:rsidP="00A95498">
      <w:pPr>
        <w:ind w:firstLine="426"/>
        <w:jc w:val="both"/>
        <w:rPr>
          <w:rFonts w:asciiTheme="minorHAnsi" w:hAnsiTheme="minorHAnsi"/>
          <w:szCs w:val="24"/>
        </w:rPr>
      </w:pPr>
    </w:p>
    <w:p w14:paraId="60FF825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Cabe anotar además que Aristóteles había concebido la idea del Poder Judicial como uno de los poderes del Estado, al lado del Legislativo y del Ejecutivo.</w:t>
      </w:r>
    </w:p>
    <w:p w14:paraId="4537517D" w14:textId="77777777" w:rsidR="001925CE" w:rsidRPr="000D3432" w:rsidRDefault="001925CE" w:rsidP="00A95498">
      <w:pPr>
        <w:ind w:firstLine="426"/>
        <w:jc w:val="both"/>
        <w:rPr>
          <w:rFonts w:asciiTheme="minorHAnsi" w:hAnsiTheme="minorHAnsi"/>
          <w:szCs w:val="24"/>
        </w:rPr>
      </w:pPr>
    </w:p>
    <w:p w14:paraId="763E101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Siguiendo la disertación teórica de C.J. Friedrich, la Ley, en Aristóteles sigue desempeñando una función principal. Sin embargo lo que caracteriza a este pensador es su idea del Telos, es decir del fin último. Esto significa la propensión a la perfección que existe en toda cosa existente. Todo, por consecuencia, tiende a esta última acción: la perfección de su propio yo, lo que constituye el fin último, el telos.</w:t>
      </w:r>
      <w:r w:rsidRPr="000D3432">
        <w:rPr>
          <w:rStyle w:val="Refdenotaalpie"/>
          <w:rFonts w:asciiTheme="minorHAnsi" w:hAnsiTheme="minorHAnsi"/>
          <w:sz w:val="24"/>
          <w:szCs w:val="24"/>
          <w:vertAlign w:val="superscript"/>
        </w:rPr>
        <w:footnoteReference w:id="214"/>
      </w:r>
    </w:p>
    <w:p w14:paraId="45FCEAFF" w14:textId="77777777" w:rsidR="001925CE" w:rsidRPr="000D3432" w:rsidRDefault="001925CE" w:rsidP="00A95498">
      <w:pPr>
        <w:ind w:firstLine="426"/>
        <w:jc w:val="both"/>
        <w:rPr>
          <w:rFonts w:asciiTheme="minorHAnsi" w:hAnsiTheme="minorHAnsi"/>
          <w:szCs w:val="24"/>
        </w:rPr>
      </w:pPr>
    </w:p>
    <w:p w14:paraId="12D016F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 que existe en realidad -argumenta Aristóteles- es una propensión inherente a desarrollar el propio ser. Visto de esta manera el Derecho y su proceso evolutivo, final, responde también de acuerdo a la propensión inherente, por ejemplo “...la inspiración original de cómo resolver una situación dada, su discusión en las comisiones y ante el parlamento, y su realización última en un estatuto razonable y justo, es decir, apropiado para la situación de que se trate: todas estas fases de la creación de una ley deberán interpretarse en función del fin último.”</w:t>
      </w:r>
      <w:r w:rsidRPr="000D3432">
        <w:rPr>
          <w:rStyle w:val="Refdenotaalpie"/>
          <w:rFonts w:asciiTheme="minorHAnsi" w:hAnsiTheme="minorHAnsi"/>
          <w:sz w:val="24"/>
          <w:szCs w:val="24"/>
          <w:vertAlign w:val="superscript"/>
        </w:rPr>
        <w:footnoteReference w:id="215"/>
      </w:r>
    </w:p>
    <w:p w14:paraId="540E1C3B" w14:textId="77777777" w:rsidR="001925CE" w:rsidRPr="000D3432" w:rsidRDefault="001925CE" w:rsidP="00A95498">
      <w:pPr>
        <w:ind w:firstLine="426"/>
        <w:jc w:val="both"/>
        <w:rPr>
          <w:rFonts w:asciiTheme="minorHAnsi" w:hAnsiTheme="minorHAnsi"/>
          <w:szCs w:val="24"/>
        </w:rPr>
      </w:pPr>
    </w:p>
    <w:p w14:paraId="3C5DF21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Ahondando en el tema jurídico, y dado que la legislación era tema central en la cultura griega, Aristóteles expone su filosofía jurídica de que la Ley puede </w:t>
      </w:r>
      <w:r w:rsidRPr="000D3432">
        <w:rPr>
          <w:rFonts w:asciiTheme="minorHAnsi" w:hAnsiTheme="minorHAnsi"/>
          <w:szCs w:val="24"/>
        </w:rPr>
        <w:lastRenderedPageBreak/>
        <w:t>determinarse sólo en relación con lo que es justo, y, según él, lo justo debe ser entendido en el sentido de la igualdad, valor que divide en dos proposiciones: igualdad numérica e igualdad proporcional. Explicada y diferenciada supone:</w:t>
      </w:r>
    </w:p>
    <w:p w14:paraId="7B1DB425"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“La igualdad numérica hace de cada hombre una unidad igual a todos y cada uno de los demás hombres. Es lo que ahora solemos entender por igualdad y lo que queremos decir cuando afirmamos que todos los ciudadanos son iguales ante la ley. La igualdad proporcional da a cada hombre aquello a que tiene derecho de acuerdo con sus capacidades, sus conocimientos, etc. De esta distinción deduce Aristóteles numerosos motivos de controversia y discusión”</w:t>
      </w:r>
      <w:r w:rsidRPr="000D3432">
        <w:rPr>
          <w:rStyle w:val="Refdenotaalpie"/>
          <w:rFonts w:asciiTheme="minorHAnsi" w:hAnsiTheme="minorHAnsi"/>
          <w:sz w:val="24"/>
          <w:szCs w:val="24"/>
          <w:vertAlign w:val="superscript"/>
        </w:rPr>
        <w:footnoteReference w:id="216"/>
      </w:r>
    </w:p>
    <w:p w14:paraId="3D94F471" w14:textId="77777777" w:rsidR="001925CE" w:rsidRPr="000D3432" w:rsidRDefault="001925CE" w:rsidP="00A95498">
      <w:pPr>
        <w:ind w:firstLine="426"/>
        <w:jc w:val="both"/>
        <w:rPr>
          <w:rFonts w:asciiTheme="minorHAnsi" w:hAnsiTheme="minorHAnsi"/>
          <w:szCs w:val="24"/>
        </w:rPr>
      </w:pPr>
    </w:p>
    <w:p w14:paraId="1672566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distinción respecto de la igualdad es fundamental por la evidente confusión que aún hoy existe para designar y proponer como recurso jurídico a la igualdad. La igualdad numérica, abstracta, de cosa, objeto, se confunde con la igualdad proporcional, dejando al Derecho de un lado u otro, por lo general más del lado de la concepción de la igualdad numérica.</w:t>
      </w:r>
    </w:p>
    <w:p w14:paraId="3B69DF4C" w14:textId="77777777" w:rsidR="001925CE" w:rsidRPr="000D3432" w:rsidRDefault="001925CE" w:rsidP="00A95498">
      <w:pPr>
        <w:ind w:firstLine="426"/>
        <w:jc w:val="both"/>
        <w:rPr>
          <w:rFonts w:asciiTheme="minorHAnsi" w:hAnsiTheme="minorHAnsi"/>
          <w:szCs w:val="24"/>
        </w:rPr>
      </w:pPr>
    </w:p>
    <w:p w14:paraId="67A848B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Como sólo lo justo podía ser derecho, o ley, se hace necesario la explicación de este valor, y Aristóteles al explicarla la divide en Justicia distributiva y correctiva. La justicia había aparecido en la antigüedad como un gran principio de la moral religiosa</w:t>
      </w:r>
      <w:r w:rsidRPr="000D3432">
        <w:rPr>
          <w:rStyle w:val="Refdenotaalpie"/>
          <w:rFonts w:asciiTheme="minorHAnsi" w:hAnsiTheme="minorHAnsi"/>
          <w:sz w:val="24"/>
          <w:szCs w:val="24"/>
          <w:vertAlign w:val="superscript"/>
        </w:rPr>
        <w:footnoteReference w:id="217"/>
      </w:r>
      <w:r w:rsidRPr="000D3432">
        <w:rPr>
          <w:rFonts w:asciiTheme="minorHAnsi" w:hAnsiTheme="minorHAnsi"/>
          <w:szCs w:val="24"/>
        </w:rPr>
        <w:t>, y con Aristóteles la división se hace más recurrente. De un lado la justicia distributiva que indica un sentido de proporción:</w:t>
      </w:r>
    </w:p>
    <w:p w14:paraId="3DF97F39"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“lo que cada uno recibe debe ser proporcional a sus méritos o a sus aportes...”</w:t>
      </w:r>
      <w:r w:rsidRPr="000D3432">
        <w:rPr>
          <w:rStyle w:val="Refdenotaalpie"/>
          <w:rFonts w:asciiTheme="minorHAnsi" w:hAnsiTheme="minorHAnsi"/>
          <w:sz w:val="24"/>
          <w:szCs w:val="24"/>
          <w:vertAlign w:val="superscript"/>
        </w:rPr>
        <w:footnoteReference w:id="218"/>
      </w:r>
      <w:r w:rsidRPr="000D3432">
        <w:rPr>
          <w:rFonts w:asciiTheme="minorHAnsi" w:hAnsiTheme="minorHAnsi"/>
          <w:sz w:val="24"/>
          <w:szCs w:val="24"/>
        </w:rPr>
        <w:t>,</w:t>
      </w:r>
    </w:p>
    <w:p w14:paraId="27928E24" w14:textId="77777777" w:rsidR="001925CE" w:rsidRPr="000D3432" w:rsidRDefault="001925CE" w:rsidP="00A95498">
      <w:pPr>
        <w:ind w:firstLine="426"/>
        <w:jc w:val="both"/>
        <w:rPr>
          <w:rFonts w:asciiTheme="minorHAnsi" w:hAnsiTheme="minorHAnsi"/>
          <w:szCs w:val="24"/>
        </w:rPr>
      </w:pPr>
    </w:p>
    <w:p w14:paraId="3C63CC2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 decir que “a igual logro se otorgue recompensa igual”</w:t>
      </w:r>
      <w:r w:rsidRPr="000D3432">
        <w:rPr>
          <w:rStyle w:val="Refdenotaalpie"/>
          <w:rFonts w:asciiTheme="minorHAnsi" w:hAnsiTheme="minorHAnsi"/>
          <w:sz w:val="24"/>
          <w:szCs w:val="24"/>
          <w:vertAlign w:val="superscript"/>
        </w:rPr>
        <w:footnoteReference w:id="219"/>
      </w:r>
      <w:r w:rsidRPr="000D3432">
        <w:rPr>
          <w:rFonts w:asciiTheme="minorHAnsi" w:hAnsiTheme="minorHAnsi"/>
          <w:szCs w:val="24"/>
        </w:rPr>
        <w:t xml:space="preserve">. </w:t>
      </w:r>
    </w:p>
    <w:p w14:paraId="5B9BBC2C" w14:textId="77777777" w:rsidR="001925CE" w:rsidRPr="000D3432" w:rsidRDefault="001925CE" w:rsidP="00A95498">
      <w:pPr>
        <w:ind w:firstLine="426"/>
        <w:jc w:val="both"/>
        <w:rPr>
          <w:rFonts w:asciiTheme="minorHAnsi" w:hAnsiTheme="minorHAnsi"/>
          <w:szCs w:val="24"/>
        </w:rPr>
      </w:pPr>
    </w:p>
    <w:p w14:paraId="008ED32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 otro lado está la justicia correctiva lo importante es la corrección de las desigualdades:</w:t>
      </w:r>
    </w:p>
    <w:p w14:paraId="02485478"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 “...la justicia correctiva se preocupa de enmendar errores. Si se deja de cumplir un contrato o se comete un agravio, la justicia correctiva trata de proporcionar una compensación adecuada a la parte agraviada; si se ha cometido un crimen, se ocupa de que el culpable reciba el justo castigo. Como en el caso anterior la justicia es, aquí, un medio entre dos extremos injustos”</w:t>
      </w:r>
      <w:r w:rsidRPr="000D3432">
        <w:rPr>
          <w:rStyle w:val="Refdenotaalpie"/>
          <w:rFonts w:asciiTheme="minorHAnsi" w:hAnsiTheme="minorHAnsi"/>
          <w:sz w:val="24"/>
          <w:szCs w:val="24"/>
          <w:vertAlign w:val="superscript"/>
        </w:rPr>
        <w:footnoteReference w:id="220"/>
      </w:r>
    </w:p>
    <w:p w14:paraId="2BDD4162" w14:textId="77777777" w:rsidR="001925CE" w:rsidRPr="000D3432" w:rsidRDefault="001925CE" w:rsidP="00A95498">
      <w:pPr>
        <w:ind w:firstLine="426"/>
        <w:jc w:val="both"/>
        <w:rPr>
          <w:rFonts w:asciiTheme="minorHAnsi" w:hAnsiTheme="minorHAnsi"/>
          <w:szCs w:val="24"/>
        </w:rPr>
      </w:pPr>
    </w:p>
    <w:p w14:paraId="62221E0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la filosofía del Derecho de Aristóteles, sin embargo, las diferencias de concepto no se han establecido totalmente, por ejemplo, la moral y el Derecho mismo son confundidos, y no separados, es decir “en ninguna parte se plantea el problema de un conflicto entre la moral y el derecho, y, puede decirse, que entre los griegos estas dos disciplinas no estaban separadas la una de la otra... El fin del derecho como el de la moral es asegurar la felicidad del hombre que vive en </w:t>
      </w:r>
      <w:r w:rsidRPr="000D3432">
        <w:rPr>
          <w:rFonts w:asciiTheme="minorHAnsi" w:hAnsiTheme="minorHAnsi"/>
          <w:szCs w:val="24"/>
        </w:rPr>
        <w:lastRenderedPageBreak/>
        <w:t>sociedad.”</w:t>
      </w:r>
      <w:r w:rsidRPr="000D3432">
        <w:rPr>
          <w:rStyle w:val="Refdenotaalpie"/>
          <w:rFonts w:asciiTheme="minorHAnsi" w:hAnsiTheme="minorHAnsi"/>
          <w:sz w:val="24"/>
          <w:szCs w:val="24"/>
          <w:vertAlign w:val="superscript"/>
        </w:rPr>
        <w:footnoteReference w:id="221"/>
      </w:r>
      <w:r w:rsidRPr="000D3432">
        <w:rPr>
          <w:rFonts w:asciiTheme="minorHAnsi" w:hAnsiTheme="minorHAnsi"/>
          <w:szCs w:val="24"/>
        </w:rPr>
        <w:t>.</w:t>
      </w:r>
    </w:p>
    <w:p w14:paraId="51E61645" w14:textId="77777777" w:rsidR="001925CE" w:rsidRPr="000D3432" w:rsidRDefault="001925CE" w:rsidP="00A95498">
      <w:pPr>
        <w:ind w:firstLine="426"/>
        <w:jc w:val="both"/>
        <w:rPr>
          <w:rFonts w:asciiTheme="minorHAnsi" w:hAnsiTheme="minorHAnsi"/>
          <w:szCs w:val="24"/>
        </w:rPr>
      </w:pPr>
    </w:p>
    <w:p w14:paraId="02F127A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magnitud de la filosofía de Aristóteles sobre el Derecho ha servido como estimulante de análisis de las vivencias jurídicas, políticas y sociales. Dejando un aporte disperso en sus varias obras.</w:t>
      </w:r>
    </w:p>
    <w:p w14:paraId="788A787F" w14:textId="77777777" w:rsidR="001925CE" w:rsidRPr="000D3432" w:rsidRDefault="001925CE" w:rsidP="00A95498">
      <w:pPr>
        <w:jc w:val="both"/>
        <w:rPr>
          <w:rFonts w:asciiTheme="minorHAnsi" w:hAnsiTheme="minorHAnsi"/>
          <w:szCs w:val="24"/>
        </w:rPr>
      </w:pPr>
    </w:p>
    <w:p w14:paraId="733D89A3"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f.- Santo Tomás de Aquino</w:t>
      </w:r>
    </w:p>
    <w:p w14:paraId="1AD6198B" w14:textId="77777777" w:rsidR="001925CE" w:rsidRPr="000D3432" w:rsidRDefault="001925CE" w:rsidP="00A95498">
      <w:pPr>
        <w:jc w:val="both"/>
        <w:rPr>
          <w:rFonts w:asciiTheme="minorHAnsi" w:hAnsiTheme="minorHAnsi"/>
          <w:szCs w:val="24"/>
        </w:rPr>
      </w:pPr>
    </w:p>
    <w:p w14:paraId="229EAF8E" w14:textId="77777777" w:rsidR="001925CE" w:rsidRPr="000D3432" w:rsidRDefault="001925CE" w:rsidP="00A95498">
      <w:pPr>
        <w:jc w:val="both"/>
        <w:rPr>
          <w:rFonts w:asciiTheme="minorHAnsi" w:hAnsiTheme="minorHAnsi"/>
          <w:b/>
          <w:szCs w:val="24"/>
        </w:rPr>
      </w:pPr>
      <w:r w:rsidRPr="000D3432">
        <w:rPr>
          <w:rFonts w:asciiTheme="minorHAnsi" w:hAnsiTheme="minorHAnsi"/>
          <w:szCs w:val="24"/>
        </w:rPr>
        <w:tab/>
        <w:t>Friedrich lo enmarca así: El Derecho como espejo y parte del orden divino del mundo.</w:t>
      </w:r>
    </w:p>
    <w:p w14:paraId="3CC1AE0E" w14:textId="77777777" w:rsidR="001925CE" w:rsidRPr="000D3432" w:rsidRDefault="001925CE" w:rsidP="00A95498">
      <w:pPr>
        <w:ind w:firstLine="426"/>
        <w:jc w:val="both"/>
        <w:rPr>
          <w:rFonts w:asciiTheme="minorHAnsi" w:hAnsiTheme="minorHAnsi"/>
          <w:szCs w:val="24"/>
        </w:rPr>
      </w:pPr>
    </w:p>
    <w:p w14:paraId="6D3F364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Santo Tomás de Aquino importa para el pensamiento jurídico peruano, porque fueron sus ideas las que se impregnaron y usaron en los inicios del pensamiento jurídico de la Colonia:</w:t>
      </w:r>
    </w:p>
    <w:p w14:paraId="2D1186C0"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"En el origen, el pensamiento político jurídico de la Colonia está inspirado en las ideas Tomistas."</w:t>
      </w:r>
      <w:r w:rsidRPr="000D3432">
        <w:rPr>
          <w:rStyle w:val="Refdenotaalpie"/>
          <w:rFonts w:asciiTheme="minorHAnsi" w:hAnsiTheme="minorHAnsi"/>
          <w:sz w:val="24"/>
          <w:szCs w:val="24"/>
          <w:vertAlign w:val="superscript"/>
        </w:rPr>
        <w:footnoteReference w:id="222"/>
      </w:r>
      <w:r w:rsidRPr="000D3432">
        <w:rPr>
          <w:rFonts w:asciiTheme="minorHAnsi" w:hAnsiTheme="minorHAnsi"/>
          <w:sz w:val="24"/>
          <w:szCs w:val="24"/>
        </w:rPr>
        <w:t>.</w:t>
      </w:r>
    </w:p>
    <w:p w14:paraId="146B487F" w14:textId="77777777" w:rsidR="001925CE" w:rsidRPr="000D3432" w:rsidRDefault="001925CE" w:rsidP="00A95498">
      <w:pPr>
        <w:ind w:firstLine="426"/>
        <w:jc w:val="both"/>
        <w:rPr>
          <w:rFonts w:asciiTheme="minorHAnsi" w:hAnsiTheme="minorHAnsi"/>
          <w:szCs w:val="24"/>
        </w:rPr>
      </w:pPr>
    </w:p>
    <w:p w14:paraId="72C8F45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Santo Tomás de Aquino -que era un robusto, corpulento, sabio, filósofo y de profunda convicción religiosa</w:t>
      </w:r>
      <w:r w:rsidRPr="000D3432">
        <w:rPr>
          <w:rStyle w:val="Refdenotaalpie"/>
          <w:rFonts w:asciiTheme="minorHAnsi" w:hAnsiTheme="minorHAnsi"/>
          <w:sz w:val="24"/>
          <w:szCs w:val="24"/>
          <w:vertAlign w:val="superscript"/>
        </w:rPr>
        <w:footnoteReference w:id="223"/>
      </w:r>
      <w:r w:rsidRPr="000D3432">
        <w:rPr>
          <w:rFonts w:asciiTheme="minorHAnsi" w:hAnsiTheme="minorHAnsi"/>
          <w:szCs w:val="24"/>
        </w:rPr>
        <w:t>, convencido de su fe- preocupado por la conciliación entre lo espiritual y lo real, hace una distinción y separación de la fe y la razón, previene que ambos son preceptos con los que se puede apreciar el mundo, y que aunque tengan rasgos que suponen divergencia, no se contradicen, teniendo, eso sí una esfera de acción o  radio correspondiente  a cada cual. El problema que ha tratado de resolver Santo Tomás de Aquino es el que surge de las relaciones de poder entre la Iglesia y el Estado, es decir entre el poder espiritual y el pode temporal:</w:t>
      </w:r>
    </w:p>
    <w:p w14:paraId="2251D2DF"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“La filosofía escolástica de santo Tomás de Aquino ha resuelto este problema estableciendo la hegemonía de Dios, pero tomando algunas de las ideas esenciales de la teoría de Aristóteles.”</w:t>
      </w:r>
      <w:r w:rsidRPr="000D3432">
        <w:rPr>
          <w:rStyle w:val="Refdenotaalpie"/>
          <w:rFonts w:asciiTheme="minorHAnsi" w:hAnsiTheme="minorHAnsi"/>
          <w:sz w:val="24"/>
          <w:szCs w:val="24"/>
          <w:vertAlign w:val="superscript"/>
        </w:rPr>
        <w:footnoteReference w:id="224"/>
      </w:r>
    </w:p>
    <w:p w14:paraId="381369D6" w14:textId="77777777" w:rsidR="001925CE" w:rsidRPr="000D3432" w:rsidRDefault="001925CE" w:rsidP="00A95498">
      <w:pPr>
        <w:ind w:firstLine="426"/>
        <w:jc w:val="both"/>
        <w:rPr>
          <w:rFonts w:asciiTheme="minorHAnsi" w:hAnsiTheme="minorHAnsi"/>
          <w:szCs w:val="24"/>
        </w:rPr>
      </w:pPr>
    </w:p>
    <w:p w14:paraId="5BD012C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¿Qué  cree y expresa Santo Tomás de Aquino</w:t>
      </w:r>
      <w:r w:rsidRPr="000D3432">
        <w:rPr>
          <w:rStyle w:val="Refdenotaalpie"/>
          <w:rFonts w:asciiTheme="minorHAnsi" w:hAnsiTheme="minorHAnsi"/>
          <w:sz w:val="24"/>
          <w:szCs w:val="24"/>
          <w:vertAlign w:val="superscript"/>
        </w:rPr>
        <w:footnoteReference w:id="225"/>
      </w:r>
      <w:r w:rsidRPr="000D3432">
        <w:rPr>
          <w:rFonts w:asciiTheme="minorHAnsi" w:hAnsiTheme="minorHAnsi"/>
          <w:szCs w:val="24"/>
        </w:rPr>
        <w:t>? Cree que el ius (derecho) es "la misma cosa justa”. Por lo tanto las leyes son sólo instrumentos para el bien común, y solo válidas cuando se adecuan a lo justo. Pero la ley es un precepto de la razón en vista del bien común.</w:t>
      </w:r>
      <w:r w:rsidRPr="000D3432">
        <w:rPr>
          <w:rStyle w:val="Refdenotaalpie"/>
          <w:rFonts w:asciiTheme="minorHAnsi" w:hAnsiTheme="minorHAnsi"/>
          <w:sz w:val="24"/>
          <w:szCs w:val="24"/>
          <w:vertAlign w:val="superscript"/>
        </w:rPr>
        <w:footnoteReference w:id="226"/>
      </w:r>
    </w:p>
    <w:p w14:paraId="586C520D" w14:textId="77777777" w:rsidR="001925CE" w:rsidRPr="000D3432" w:rsidRDefault="001925CE" w:rsidP="00A95498">
      <w:pPr>
        <w:ind w:firstLine="426"/>
        <w:jc w:val="both"/>
        <w:rPr>
          <w:rFonts w:asciiTheme="minorHAnsi" w:hAnsiTheme="minorHAnsi"/>
          <w:szCs w:val="24"/>
        </w:rPr>
      </w:pPr>
    </w:p>
    <w:p w14:paraId="4E9491B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dato importante en la filosofía de Santo Tomás de Aquino es que este había ya descubierto que la Ley no era el Derecho en sí, sino que era parte del Derecho." La ley es una constitución escrita; y de ahí que la ley no sea el derecho mismo propiamente hablando, sino cierta razón del derecho"</w:t>
      </w:r>
      <w:r w:rsidRPr="000D3432">
        <w:rPr>
          <w:rStyle w:val="Refdenotaalpie"/>
          <w:rFonts w:asciiTheme="minorHAnsi" w:hAnsiTheme="minorHAnsi"/>
          <w:sz w:val="24"/>
          <w:szCs w:val="24"/>
          <w:vertAlign w:val="superscript"/>
        </w:rPr>
        <w:footnoteReference w:id="227"/>
      </w:r>
      <w:r w:rsidRPr="000D3432">
        <w:rPr>
          <w:rFonts w:asciiTheme="minorHAnsi" w:hAnsiTheme="minorHAnsi"/>
          <w:szCs w:val="24"/>
        </w:rPr>
        <w:t xml:space="preserve">. Tomás de </w:t>
      </w:r>
      <w:r w:rsidRPr="000D3432">
        <w:rPr>
          <w:rFonts w:asciiTheme="minorHAnsi" w:hAnsiTheme="minorHAnsi"/>
          <w:szCs w:val="24"/>
        </w:rPr>
        <w:lastRenderedPageBreak/>
        <w:t>Aquino pensaba que todo, al final, tenía como destino a Dios, pero había que tenerse en cuenta que "la ley no es más que un ordenamiento de la razón, en orden al bien común, promulgado por aquel que tiene a su cuidado la comunidad."</w:t>
      </w:r>
      <w:r w:rsidRPr="000D3432">
        <w:rPr>
          <w:rStyle w:val="Refdenotaalpie"/>
          <w:rFonts w:asciiTheme="minorHAnsi" w:hAnsiTheme="minorHAnsi"/>
          <w:sz w:val="24"/>
          <w:szCs w:val="24"/>
          <w:vertAlign w:val="superscript"/>
        </w:rPr>
        <w:footnoteReference w:id="228"/>
      </w:r>
    </w:p>
    <w:p w14:paraId="34A60C64" w14:textId="77777777" w:rsidR="001925CE" w:rsidRPr="000D3432" w:rsidRDefault="001925CE" w:rsidP="00A95498">
      <w:pPr>
        <w:ind w:firstLine="426"/>
        <w:jc w:val="both"/>
        <w:rPr>
          <w:rFonts w:asciiTheme="minorHAnsi" w:hAnsiTheme="minorHAnsi"/>
          <w:szCs w:val="24"/>
        </w:rPr>
      </w:pPr>
    </w:p>
    <w:p w14:paraId="6136310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Santo Tomás cree en la conformidad entre ley natural y ley humana, como fundamento de todo derecho. Y advierte que en el caso de no ser posible esta conformidad, se debe optar por los preceptos derivados de Dios, es decir propone la hegemonía del Derecho divino sobre el terrenal.</w:t>
      </w:r>
    </w:p>
    <w:p w14:paraId="77044F3B"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sistema de Santo Tomás se desenvuelve según la idea de una perfecta conformidad de la ley humana (derecho positivo)con la ley natural; la obediencia a la autoridad pública es un deber primordial, pues, “entre la autoridad y el bien común hay connaturalidad esencial”. No obstante, si las leyes son injustas, no se está obligado a inclinarse, “a menos que la resistencia no deba ocasionar el escándalo o el desorden (...); si ellas van hasta violar los mandamientos de Dios se las debe desobedecer...”</w:t>
      </w:r>
      <w:r w:rsidRPr="000D3432">
        <w:rPr>
          <w:rStyle w:val="Refdenotaalpie"/>
          <w:rFonts w:asciiTheme="minorHAnsi" w:hAnsiTheme="minorHAnsi"/>
          <w:sz w:val="24"/>
          <w:szCs w:val="24"/>
          <w:vertAlign w:val="superscript"/>
        </w:rPr>
        <w:footnoteReference w:id="229"/>
      </w:r>
    </w:p>
    <w:p w14:paraId="7B607B46" w14:textId="77777777" w:rsidR="001925CE" w:rsidRPr="000D3432" w:rsidRDefault="001925CE" w:rsidP="00A95498">
      <w:pPr>
        <w:ind w:firstLine="426"/>
        <w:jc w:val="both"/>
        <w:rPr>
          <w:rFonts w:asciiTheme="minorHAnsi" w:hAnsiTheme="minorHAnsi"/>
          <w:szCs w:val="24"/>
        </w:rPr>
      </w:pPr>
    </w:p>
    <w:p w14:paraId="3F661B8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 decir que las normas jurídicas, tiene validez sólo en relación a su calidad de exigencias de justicia en primer lugar. "Las normas jurídicas valen principalmente porque formulan exigencias de Justicia que brotan del orden objetivo metafísico de los seres y sólo en segundo lugar por la autoridad de quien las promulga. Es decir, el Derecho se buscaba primeramente en las facultades y exigencias morales que tenía una persona sobre otra u otras, o sobre una cosa; sólo después se consideraba lo que decía la Autoridad sobre el caso."</w:t>
      </w:r>
      <w:r w:rsidRPr="000D3432">
        <w:rPr>
          <w:rStyle w:val="Refdenotaalpie"/>
          <w:rFonts w:asciiTheme="minorHAnsi" w:hAnsiTheme="minorHAnsi"/>
          <w:sz w:val="24"/>
          <w:szCs w:val="24"/>
          <w:vertAlign w:val="superscript"/>
        </w:rPr>
        <w:footnoteReference w:id="230"/>
      </w:r>
      <w:r w:rsidRPr="000D3432">
        <w:rPr>
          <w:rFonts w:asciiTheme="minorHAnsi" w:hAnsiTheme="minorHAnsi"/>
          <w:szCs w:val="24"/>
        </w:rPr>
        <w:t>.</w:t>
      </w:r>
    </w:p>
    <w:p w14:paraId="4B3BB216" w14:textId="77777777" w:rsidR="001925CE" w:rsidRPr="000D3432" w:rsidRDefault="001925CE" w:rsidP="00A95498">
      <w:pPr>
        <w:ind w:firstLine="426"/>
        <w:jc w:val="both"/>
        <w:rPr>
          <w:rFonts w:asciiTheme="minorHAnsi" w:hAnsiTheme="minorHAnsi"/>
          <w:szCs w:val="24"/>
        </w:rPr>
      </w:pPr>
    </w:p>
    <w:p w14:paraId="4C2BC2D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este filósofo Dios se distingue de la ley, éste a su vez es un mandato divino que se plasma en el orden del mundo, "Dios se distingue de la ley, que es su mandato y que plasma el orden del mundo, pero sin identificarse con ese mismo orden."</w:t>
      </w:r>
      <w:r w:rsidRPr="000D3432">
        <w:rPr>
          <w:rStyle w:val="Refdenotaalpie"/>
          <w:rFonts w:asciiTheme="minorHAnsi" w:hAnsiTheme="minorHAnsi"/>
          <w:sz w:val="24"/>
          <w:szCs w:val="24"/>
          <w:vertAlign w:val="superscript"/>
        </w:rPr>
        <w:footnoteReference w:id="231"/>
      </w:r>
    </w:p>
    <w:p w14:paraId="45DFA66D" w14:textId="77777777" w:rsidR="001925CE" w:rsidRPr="000D3432" w:rsidRDefault="001925CE" w:rsidP="00A95498">
      <w:pPr>
        <w:ind w:firstLine="426"/>
        <w:jc w:val="both"/>
        <w:rPr>
          <w:rFonts w:asciiTheme="minorHAnsi" w:hAnsiTheme="minorHAnsi"/>
          <w:szCs w:val="24"/>
        </w:rPr>
      </w:pPr>
    </w:p>
    <w:p w14:paraId="30006D0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Con Tomás de Aquino "el Derecho es impregnado de un sentido de sacralidad, racionalidad y verdad,..."</w:t>
      </w:r>
      <w:r w:rsidRPr="000D3432">
        <w:rPr>
          <w:rStyle w:val="Refdenotaalpie"/>
          <w:rFonts w:asciiTheme="minorHAnsi" w:hAnsiTheme="minorHAnsi"/>
          <w:sz w:val="24"/>
          <w:szCs w:val="24"/>
          <w:vertAlign w:val="superscript"/>
        </w:rPr>
        <w:footnoteReference w:id="232"/>
      </w:r>
      <w:r w:rsidRPr="000D3432">
        <w:rPr>
          <w:rFonts w:asciiTheme="minorHAnsi" w:hAnsiTheme="minorHAnsi"/>
          <w:szCs w:val="24"/>
        </w:rPr>
        <w:t xml:space="preserve"> Es reconocido Dios como creador del universo, aparece como Dios amoroso. "Su ley es, por consiguiente, una ley de bondad y amor infinitos, en contraste con las férreas de Zeus o la inflexible Moira de la Stoa"</w:t>
      </w:r>
      <w:r w:rsidRPr="000D3432">
        <w:rPr>
          <w:rStyle w:val="Refdenotaalpie"/>
          <w:rFonts w:asciiTheme="minorHAnsi" w:hAnsiTheme="minorHAnsi"/>
          <w:sz w:val="24"/>
          <w:szCs w:val="24"/>
          <w:vertAlign w:val="superscript"/>
        </w:rPr>
        <w:footnoteReference w:id="233"/>
      </w:r>
    </w:p>
    <w:p w14:paraId="1B637FAF" w14:textId="77777777" w:rsidR="001925CE" w:rsidRPr="000D3432" w:rsidRDefault="001925CE" w:rsidP="00A95498">
      <w:pPr>
        <w:ind w:firstLine="426"/>
        <w:jc w:val="both"/>
        <w:rPr>
          <w:rFonts w:asciiTheme="minorHAnsi" w:hAnsiTheme="minorHAnsi"/>
          <w:szCs w:val="24"/>
        </w:rPr>
      </w:pPr>
    </w:p>
    <w:p w14:paraId="532623C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una diferencia clara de la Ley Eterna, y la Ley Humana, esta última sólo es ley si se deriva de la primera, sino sería corrupción de la Ley.</w:t>
      </w:r>
    </w:p>
    <w:p w14:paraId="79369261" w14:textId="77777777" w:rsidR="001925CE" w:rsidRPr="000D3432" w:rsidRDefault="001925CE" w:rsidP="00A95498">
      <w:pPr>
        <w:ind w:firstLine="426"/>
        <w:jc w:val="both"/>
        <w:rPr>
          <w:rFonts w:asciiTheme="minorHAnsi" w:hAnsiTheme="minorHAnsi"/>
          <w:szCs w:val="24"/>
        </w:rPr>
      </w:pPr>
    </w:p>
    <w:p w14:paraId="3D9A895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su parte el Derecho positivo, humano, nace de la voluntad de común de </w:t>
      </w:r>
      <w:r w:rsidRPr="000D3432">
        <w:rPr>
          <w:rFonts w:asciiTheme="minorHAnsi" w:hAnsiTheme="minorHAnsi"/>
          <w:szCs w:val="24"/>
        </w:rPr>
        <w:lastRenderedPageBreak/>
        <w:t>los hombres, y el Derecho natural nace de la misma naturaleza de las cosas</w:t>
      </w:r>
      <w:r w:rsidRPr="000D3432">
        <w:rPr>
          <w:rStyle w:val="Refdenotaalpie"/>
          <w:rFonts w:asciiTheme="minorHAnsi" w:hAnsiTheme="minorHAnsi"/>
          <w:sz w:val="24"/>
          <w:szCs w:val="24"/>
          <w:vertAlign w:val="superscript"/>
        </w:rPr>
        <w:footnoteReference w:id="234"/>
      </w:r>
      <w:r w:rsidRPr="000D3432">
        <w:rPr>
          <w:rFonts w:asciiTheme="minorHAnsi" w:hAnsiTheme="minorHAnsi"/>
          <w:szCs w:val="24"/>
        </w:rPr>
        <w:t>.</w:t>
      </w:r>
    </w:p>
    <w:p w14:paraId="6C93192E" w14:textId="77777777" w:rsidR="001925CE" w:rsidRPr="000D3432" w:rsidRDefault="001925CE" w:rsidP="00A95498">
      <w:pPr>
        <w:ind w:firstLine="426"/>
        <w:jc w:val="both"/>
        <w:rPr>
          <w:rFonts w:asciiTheme="minorHAnsi" w:hAnsiTheme="minorHAnsi"/>
          <w:szCs w:val="24"/>
        </w:rPr>
      </w:pPr>
    </w:p>
    <w:p w14:paraId="6239E65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Citaremos a Claude Du Pasquier, que hace un análisis claro sobre la concepción del Derecho en Santo Tomás de Aquino:</w:t>
      </w:r>
    </w:p>
    <w:p w14:paraId="62471995"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“La concepción tomista del derecho forma parte en un grandioso sistema de metafísica teológica. El universo está gobernado por la ley eterna basada en la razón divina. El hombre está sujeto a la ley natural, reflejo de la razón divina. La ley humana aplica los principios de la ley natural a las circunstancias particulares de las diversas sociedades.”</w:t>
      </w:r>
      <w:r w:rsidRPr="000D3432">
        <w:rPr>
          <w:rStyle w:val="Refdenotaalpie"/>
          <w:rFonts w:asciiTheme="minorHAnsi" w:hAnsiTheme="minorHAnsi"/>
          <w:sz w:val="24"/>
          <w:szCs w:val="24"/>
          <w:vertAlign w:val="superscript"/>
        </w:rPr>
        <w:footnoteReference w:id="235"/>
      </w:r>
    </w:p>
    <w:p w14:paraId="5CAD51E1" w14:textId="77777777" w:rsidR="001925CE" w:rsidRPr="000D3432" w:rsidRDefault="001925CE" w:rsidP="00A95498">
      <w:pPr>
        <w:ind w:firstLine="426"/>
        <w:jc w:val="both"/>
        <w:rPr>
          <w:rFonts w:asciiTheme="minorHAnsi" w:hAnsiTheme="minorHAnsi"/>
          <w:szCs w:val="24"/>
        </w:rPr>
      </w:pPr>
    </w:p>
    <w:p w14:paraId="002AFC0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en Santo Tomás de Aquino es estudiado como la idea de la participación de la justicia, y la creación del estado aparece como expresión libre de la actividad humana y su convivencia con el resto de miembros de la sociedad. “El Estado surge por una actividad libre del hombre. Declara lícito el derecho de resistencia activa del pueblo ante el usurpador o invasor que se apodera violentamente del gobierno”.</w:t>
      </w:r>
    </w:p>
    <w:p w14:paraId="0C1389D7" w14:textId="77777777" w:rsidR="001925CE" w:rsidRPr="000D3432" w:rsidRDefault="001925CE" w:rsidP="00A95498">
      <w:pPr>
        <w:ind w:firstLine="426"/>
        <w:jc w:val="both"/>
        <w:rPr>
          <w:rFonts w:asciiTheme="minorHAnsi" w:hAnsiTheme="minorHAnsi"/>
          <w:szCs w:val="24"/>
        </w:rPr>
      </w:pPr>
    </w:p>
    <w:p w14:paraId="649BA2C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Para Santo Tomás el Derecho es algo inherente a la realidad natural y social, algo que está dado de acuerdo a su función orientada por el orden natural y divino. Las relaciones sociales están determinadas de tal forma que cumplan las funciones asignadas por un orden divino. </w:t>
      </w:r>
    </w:p>
    <w:p w14:paraId="41C13BF9"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“Para Santo Tomás, el Derecho es la expresión de ciertas estructuras inherentes en la realidad natural y social. (...) las formas de organización social son reales sólo en la medida que cumplan ciertas funciones que le han sido encomendadas por un Derecho Superior, divino...”</w:t>
      </w:r>
      <w:r w:rsidRPr="000D3432">
        <w:rPr>
          <w:rStyle w:val="Refdenotaalpie"/>
          <w:rFonts w:asciiTheme="minorHAnsi" w:hAnsiTheme="minorHAnsi"/>
          <w:sz w:val="24"/>
          <w:szCs w:val="24"/>
          <w:vertAlign w:val="superscript"/>
        </w:rPr>
        <w:footnoteReference w:id="236"/>
      </w:r>
    </w:p>
    <w:p w14:paraId="2D26A224" w14:textId="77777777" w:rsidR="001925CE" w:rsidRPr="000D3432" w:rsidRDefault="001925CE" w:rsidP="00A95498">
      <w:pPr>
        <w:ind w:firstLine="426"/>
        <w:jc w:val="both"/>
        <w:rPr>
          <w:rFonts w:asciiTheme="minorHAnsi" w:hAnsiTheme="minorHAnsi"/>
          <w:szCs w:val="24"/>
        </w:rPr>
      </w:pPr>
    </w:p>
    <w:p w14:paraId="3E26FB0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Las normas que contradijeran, o atentaran contra el sentido divino, natural, no serían Derecho. No obstante el pensamiento planteado, de la validez de la normatividad, tiene sus implicancias benéficas. Se sugiere que  las normas deben estar de acuerdo a la naturaleza esencial de la sociedad.</w:t>
      </w:r>
    </w:p>
    <w:p w14:paraId="7878D4A4"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“Esta teoría adelanta el punto de vista, corroborado por las teorías actuales de razonamiento legal, que el significado de cualquier conjunto de reglas dependen necesariamente del contexto social específico, de ese marco institucional dentro del cual tales reglas deben operar.”</w:t>
      </w:r>
      <w:r w:rsidRPr="000D3432">
        <w:rPr>
          <w:rStyle w:val="Refdenotaalpie"/>
          <w:rFonts w:asciiTheme="minorHAnsi" w:hAnsiTheme="minorHAnsi"/>
          <w:sz w:val="24"/>
          <w:szCs w:val="24"/>
          <w:vertAlign w:val="superscript"/>
        </w:rPr>
        <w:footnoteReference w:id="237"/>
      </w:r>
    </w:p>
    <w:p w14:paraId="4E829203" w14:textId="77777777" w:rsidR="001925CE" w:rsidRPr="000D3432" w:rsidRDefault="001925CE" w:rsidP="00A95498">
      <w:pPr>
        <w:ind w:firstLine="426"/>
        <w:jc w:val="both"/>
        <w:rPr>
          <w:rFonts w:asciiTheme="minorHAnsi" w:hAnsiTheme="minorHAnsi"/>
          <w:szCs w:val="24"/>
        </w:rPr>
      </w:pPr>
    </w:p>
    <w:p w14:paraId="02284F7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último diremos que la primera contradicción y liberación del pensamiento Tomista, se da porque comienza a cuestionarse la cosmovisión de Tomás de Aquino y  se pone en duda a partir del siglo  XII, comenzando por Scoto, que expresa que "las reglas del gobierno divino del mundo están </w:t>
      </w:r>
      <w:r w:rsidRPr="000D3432">
        <w:rPr>
          <w:rFonts w:asciiTheme="minorHAnsi" w:hAnsiTheme="minorHAnsi"/>
          <w:szCs w:val="24"/>
        </w:rPr>
        <w:lastRenderedPageBreak/>
        <w:t>determinadas más por la voluntad que por la sabiduría de Dios"</w:t>
      </w:r>
      <w:r w:rsidRPr="000D3432">
        <w:rPr>
          <w:rStyle w:val="Refdenotaalpie"/>
          <w:rFonts w:asciiTheme="minorHAnsi" w:hAnsiTheme="minorHAnsi"/>
          <w:sz w:val="24"/>
          <w:szCs w:val="24"/>
          <w:vertAlign w:val="superscript"/>
        </w:rPr>
        <w:footnoteReference w:id="238"/>
      </w:r>
    </w:p>
    <w:p w14:paraId="5F7C4710" w14:textId="77777777" w:rsidR="001925CE" w:rsidRPr="000D3432" w:rsidRDefault="001925CE" w:rsidP="00A95498">
      <w:pPr>
        <w:pStyle w:val="Level1"/>
        <w:tabs>
          <w:tab w:val="left" w:pos="-1440"/>
        </w:tabs>
        <w:jc w:val="both"/>
        <w:rPr>
          <w:rFonts w:asciiTheme="minorHAnsi" w:hAnsiTheme="minorHAnsi"/>
          <w:b/>
          <w:szCs w:val="24"/>
        </w:rPr>
      </w:pPr>
    </w:p>
    <w:p w14:paraId="3DBF26AD" w14:textId="77777777" w:rsidR="001925CE" w:rsidRPr="000D3432" w:rsidRDefault="001925CE" w:rsidP="00A95498">
      <w:pPr>
        <w:pStyle w:val="Level1"/>
        <w:tabs>
          <w:tab w:val="left" w:pos="-1440"/>
        </w:tabs>
        <w:jc w:val="both"/>
        <w:rPr>
          <w:rFonts w:asciiTheme="minorHAnsi" w:hAnsiTheme="minorHAnsi"/>
          <w:b/>
          <w:i/>
          <w:smallCaps/>
          <w:szCs w:val="24"/>
        </w:rPr>
      </w:pPr>
    </w:p>
    <w:p w14:paraId="693BA0F9" w14:textId="77777777" w:rsidR="001925CE" w:rsidRPr="000D3432" w:rsidRDefault="001925CE" w:rsidP="00A95498">
      <w:pPr>
        <w:pStyle w:val="Level1"/>
        <w:tabs>
          <w:tab w:val="left" w:pos="-1440"/>
        </w:tabs>
        <w:jc w:val="both"/>
        <w:rPr>
          <w:rFonts w:asciiTheme="minorHAnsi" w:hAnsiTheme="minorHAnsi"/>
          <w:b/>
          <w:szCs w:val="24"/>
        </w:rPr>
      </w:pPr>
      <w:r w:rsidRPr="000D3432">
        <w:rPr>
          <w:rFonts w:asciiTheme="minorHAnsi" w:hAnsiTheme="minorHAnsi"/>
          <w:b/>
          <w:i/>
          <w:smallCaps/>
          <w:szCs w:val="24"/>
        </w:rPr>
        <w:t>2.- Pensamiento Moderno</w:t>
      </w:r>
    </w:p>
    <w:p w14:paraId="2F9B6067"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"Moderno significa en movimiento perpetuo, en cambio. "</w:t>
      </w:r>
    </w:p>
    <w:p w14:paraId="76CE1121" w14:textId="77777777" w:rsidR="001925CE" w:rsidRPr="000D3432" w:rsidRDefault="001925CE" w:rsidP="00A95498">
      <w:pPr>
        <w:pStyle w:val="Parafffo"/>
        <w:spacing w:line="240" w:lineRule="auto"/>
        <w:ind w:left="0"/>
        <w:rPr>
          <w:rFonts w:asciiTheme="minorHAnsi" w:hAnsiTheme="minorHAnsi"/>
          <w:b/>
          <w:sz w:val="24"/>
          <w:szCs w:val="24"/>
        </w:rPr>
      </w:pPr>
    </w:p>
    <w:p w14:paraId="5A74044A" w14:textId="77777777" w:rsidR="001925CE" w:rsidRPr="000D3432" w:rsidRDefault="001925CE" w:rsidP="00A95498">
      <w:pPr>
        <w:pStyle w:val="Parafffo"/>
        <w:spacing w:line="240" w:lineRule="auto"/>
        <w:ind w:left="0"/>
        <w:rPr>
          <w:rFonts w:asciiTheme="minorHAnsi" w:hAnsiTheme="minorHAnsi"/>
          <w:b/>
          <w:sz w:val="24"/>
          <w:szCs w:val="24"/>
        </w:rPr>
      </w:pPr>
      <w:r w:rsidRPr="000D3432">
        <w:rPr>
          <w:rFonts w:asciiTheme="minorHAnsi" w:hAnsiTheme="minorHAnsi"/>
          <w:b/>
          <w:sz w:val="24"/>
          <w:szCs w:val="24"/>
        </w:rPr>
        <w:t xml:space="preserve">a.- René Descartes; </w:t>
      </w:r>
    </w:p>
    <w:p w14:paraId="2FD57AE7" w14:textId="77777777" w:rsidR="001925CE" w:rsidRPr="000D3432" w:rsidRDefault="001925CE" w:rsidP="00A95498">
      <w:pPr>
        <w:pStyle w:val="Parafffo"/>
        <w:spacing w:line="240" w:lineRule="auto"/>
        <w:ind w:left="0" w:firstLine="425"/>
        <w:rPr>
          <w:rFonts w:asciiTheme="minorHAnsi" w:hAnsiTheme="minorHAnsi"/>
          <w:sz w:val="24"/>
          <w:szCs w:val="24"/>
        </w:rPr>
      </w:pPr>
    </w:p>
    <w:p w14:paraId="2BD8B89A" w14:textId="77777777" w:rsidR="001925CE" w:rsidRPr="000D3432" w:rsidRDefault="001925CE" w:rsidP="00A95498">
      <w:pPr>
        <w:pStyle w:val="Parafffo"/>
        <w:spacing w:line="240" w:lineRule="auto"/>
        <w:ind w:left="0" w:firstLine="425"/>
        <w:rPr>
          <w:rFonts w:asciiTheme="minorHAnsi" w:hAnsiTheme="minorHAnsi"/>
          <w:sz w:val="24"/>
          <w:szCs w:val="24"/>
        </w:rPr>
      </w:pPr>
      <w:r w:rsidRPr="000D3432">
        <w:rPr>
          <w:rFonts w:asciiTheme="minorHAnsi" w:hAnsiTheme="minorHAnsi"/>
          <w:sz w:val="24"/>
          <w:szCs w:val="24"/>
        </w:rPr>
        <w:t xml:space="preserve"> O “el Derecho como método de la razón”.</w:t>
      </w:r>
    </w:p>
    <w:p w14:paraId="342EA6C4" w14:textId="77777777" w:rsidR="001925CE" w:rsidRPr="000D3432" w:rsidRDefault="001925CE" w:rsidP="00A95498">
      <w:pPr>
        <w:ind w:firstLine="426"/>
        <w:jc w:val="both"/>
        <w:rPr>
          <w:rFonts w:asciiTheme="minorHAnsi" w:hAnsiTheme="minorHAnsi"/>
          <w:szCs w:val="24"/>
        </w:rPr>
      </w:pPr>
    </w:p>
    <w:p w14:paraId="7CC0773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María Emilia Biagosch escribe: “Descartes puede considerarse como el más ilustre entre los grandes iniciadores de la época moderna en el campo de la filosofía. Fue el maestro de Europa para muchas generaciones, reemplazando a Aristóteles (discípulo de Platón) que hasta la Edad Media había ejercido un dominio absoluto sobre todas las doctrinas y sistemas filosóficos.”</w:t>
      </w:r>
      <w:r w:rsidRPr="000D3432">
        <w:rPr>
          <w:rStyle w:val="Refdenotaalpie"/>
          <w:rFonts w:asciiTheme="minorHAnsi" w:hAnsiTheme="minorHAnsi"/>
          <w:sz w:val="24"/>
          <w:szCs w:val="24"/>
          <w:vertAlign w:val="superscript"/>
        </w:rPr>
        <w:footnoteReference w:id="239"/>
      </w:r>
      <w:r w:rsidRPr="000D3432">
        <w:rPr>
          <w:rFonts w:asciiTheme="minorHAnsi" w:hAnsiTheme="minorHAnsi"/>
          <w:szCs w:val="24"/>
        </w:rPr>
        <w:t>. Con el empieza una nueva época, una nueva transformación de la vida y la concepción del mundo.</w:t>
      </w:r>
    </w:p>
    <w:p w14:paraId="7EAAFDF4" w14:textId="77777777" w:rsidR="001925CE" w:rsidRPr="000D3432" w:rsidRDefault="001925CE" w:rsidP="00A95498">
      <w:pPr>
        <w:ind w:firstLine="426"/>
        <w:jc w:val="both"/>
        <w:rPr>
          <w:rFonts w:asciiTheme="minorHAnsi" w:hAnsiTheme="minorHAnsi"/>
          <w:szCs w:val="24"/>
        </w:rPr>
      </w:pPr>
    </w:p>
    <w:p w14:paraId="00DD6CA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pensador, había escrito en su libro “Discurso del Método”, su filosofía más central. En ella empieza, en su primera parte, con un argumento preciso, el del sentido: “No hay nada tan bien repartido en el mundo como el buen sentido”</w:t>
      </w:r>
      <w:r w:rsidRPr="000D3432">
        <w:rPr>
          <w:rStyle w:val="Refdenotaalpie"/>
          <w:rFonts w:asciiTheme="minorHAnsi" w:hAnsiTheme="minorHAnsi"/>
          <w:sz w:val="24"/>
          <w:szCs w:val="24"/>
          <w:vertAlign w:val="superscript"/>
        </w:rPr>
        <w:footnoteReference w:id="240"/>
      </w:r>
      <w:r w:rsidRPr="000D3432">
        <w:rPr>
          <w:rFonts w:asciiTheme="minorHAnsi" w:hAnsiTheme="minorHAnsi"/>
          <w:szCs w:val="24"/>
        </w:rPr>
        <w:t>, y el de la duda. Este libro tiene por objeto “bien dirigir la razón y buscar la verdad en las ciencias”.</w:t>
      </w:r>
    </w:p>
    <w:p w14:paraId="499E3BFA" w14:textId="77777777" w:rsidR="001925CE" w:rsidRPr="000D3432" w:rsidRDefault="001925CE" w:rsidP="00A95498">
      <w:pPr>
        <w:ind w:firstLine="426"/>
        <w:jc w:val="both"/>
        <w:rPr>
          <w:rFonts w:asciiTheme="minorHAnsi" w:hAnsiTheme="minorHAnsi"/>
          <w:szCs w:val="24"/>
        </w:rPr>
      </w:pPr>
    </w:p>
    <w:p w14:paraId="566FC29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 Había sido educado por los jesuitas, y afirmaba que la clave para entender la realidad era haciendo una operación de división del objeto estudiado, arremetiendo contra el sentido de unidad. </w:t>
      </w:r>
      <w:r w:rsidRPr="000D3432">
        <w:rPr>
          <w:rFonts w:asciiTheme="minorHAnsi" w:hAnsiTheme="minorHAnsi"/>
          <w:szCs w:val="24"/>
        </w:rPr>
        <w:tab/>
        <w:t>“Matemático educado por los jesuitas (...) Afirmó que la realidad solamente se podía comprender dividiéndola en fragmentos cada vez más pequeños. En sus propias palabras era necesario “dividir cada una de las dificultades sometidas a examen en el mayor número posible de partes”(...) Se trataba de un ataque deliberado a la noción de unidad.”</w:t>
      </w:r>
      <w:r w:rsidRPr="000D3432">
        <w:rPr>
          <w:rStyle w:val="Refdenotaalpie"/>
          <w:rFonts w:asciiTheme="minorHAnsi" w:hAnsiTheme="minorHAnsi"/>
          <w:sz w:val="24"/>
          <w:szCs w:val="24"/>
          <w:vertAlign w:val="superscript"/>
        </w:rPr>
        <w:footnoteReference w:id="241"/>
      </w:r>
    </w:p>
    <w:p w14:paraId="1888AE7D" w14:textId="77777777" w:rsidR="001925CE" w:rsidRPr="000D3432" w:rsidRDefault="001925CE" w:rsidP="00A95498">
      <w:pPr>
        <w:ind w:firstLine="426"/>
        <w:jc w:val="both"/>
        <w:rPr>
          <w:rFonts w:asciiTheme="minorHAnsi" w:hAnsiTheme="minorHAnsi"/>
          <w:szCs w:val="24"/>
        </w:rPr>
      </w:pPr>
    </w:p>
    <w:p w14:paraId="4E9ABB8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Parece que la función sistematizadora la había venido a cumplir ahora Descartes. "La antigüedad había tenido grandes sistematizados como Platón y Aristóteles. La  Edad Media tuvo a Santo Tomás de Aquino, que  quiso construir un puente entre la filosofía de Aristóteles y la teología cristiana."</w:t>
      </w:r>
      <w:r w:rsidRPr="000D3432">
        <w:rPr>
          <w:rStyle w:val="Refdenotaalpie"/>
          <w:rFonts w:asciiTheme="minorHAnsi" w:hAnsiTheme="minorHAnsi"/>
          <w:sz w:val="24"/>
          <w:szCs w:val="24"/>
          <w:vertAlign w:val="superscript"/>
        </w:rPr>
        <w:footnoteReference w:id="242"/>
      </w:r>
      <w:r w:rsidRPr="000D3432">
        <w:rPr>
          <w:rFonts w:asciiTheme="minorHAnsi" w:hAnsiTheme="minorHAnsi"/>
          <w:szCs w:val="24"/>
        </w:rPr>
        <w:t>.</w:t>
      </w:r>
    </w:p>
    <w:p w14:paraId="21188315" w14:textId="77777777" w:rsidR="001925CE" w:rsidRPr="000D3432" w:rsidRDefault="001925CE" w:rsidP="00A95498">
      <w:pPr>
        <w:ind w:firstLine="426"/>
        <w:jc w:val="both"/>
        <w:rPr>
          <w:rFonts w:asciiTheme="minorHAnsi" w:hAnsiTheme="minorHAnsi"/>
          <w:szCs w:val="24"/>
        </w:rPr>
      </w:pPr>
    </w:p>
    <w:p w14:paraId="4469851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Descartes planteó trascendental interrogante ¿Será que el mundo haya sido explicado ya definitiva y absolutamente en los libros de Aristóteles y la Biblia? Esto es lo que era tenido como cierto. Pero él lo duda. Y pone en cuestión todo el pensamiento anterior. Su inclinación filosófica apuntaba a conseguir "conocimientos seguros sobre la naturaleza de los hombres y del universo".</w:t>
      </w:r>
    </w:p>
    <w:p w14:paraId="1F236946" w14:textId="77777777" w:rsidR="001925CE" w:rsidRPr="000D3432" w:rsidRDefault="001925CE" w:rsidP="00A95498">
      <w:pPr>
        <w:ind w:firstLine="426"/>
        <w:jc w:val="both"/>
        <w:rPr>
          <w:rFonts w:asciiTheme="minorHAnsi" w:hAnsiTheme="minorHAnsi"/>
          <w:szCs w:val="24"/>
        </w:rPr>
      </w:pPr>
    </w:p>
    <w:p w14:paraId="2C8A527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Se había hecho errante desde joven, y a lo único que llegó fue a la duda. Así que dijo que no podíamos fiarnos de los conocimientos dados. Deberíamos empezar de cero para llegar al verdadero conocimiento. Volver a pensar, volver a construir el edificio, una vez que lo echamos. El piensa que para encontrar la verdad o un conocimiento era necesario el método que nos prevendría de deviaciones inútiles. Estaba preocupado por la certeza de nuestro conocimiento, y postulaba que todo tendría que ser sometido a evaluación, medido y medible.</w:t>
      </w:r>
    </w:p>
    <w:p w14:paraId="518A3CE7"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"Podía decirse que cada idea tendrá que "medirse y pensarse", más o menos como Galileo decía que todo tenía que medirse y que lo que no se podía medir tendría que hacerse medible. Descartes pensaba que la filosofía podía ir de lo simple a lo complejo. Así sería posible construir nuevos conocimientos."</w:t>
      </w:r>
      <w:r w:rsidRPr="000D3432">
        <w:rPr>
          <w:rStyle w:val="Refdenotaalpie"/>
          <w:rFonts w:asciiTheme="minorHAnsi" w:hAnsiTheme="minorHAnsi"/>
          <w:sz w:val="24"/>
          <w:szCs w:val="24"/>
          <w:vertAlign w:val="superscript"/>
        </w:rPr>
        <w:footnoteReference w:id="243"/>
      </w:r>
    </w:p>
    <w:p w14:paraId="3F4F410F" w14:textId="77777777" w:rsidR="001925CE" w:rsidRPr="000D3432" w:rsidRDefault="001925CE" w:rsidP="00A95498">
      <w:pPr>
        <w:ind w:firstLine="426"/>
        <w:jc w:val="both"/>
        <w:rPr>
          <w:rFonts w:asciiTheme="minorHAnsi" w:hAnsiTheme="minorHAnsi"/>
          <w:szCs w:val="24"/>
        </w:rPr>
      </w:pPr>
    </w:p>
    <w:p w14:paraId="5E7FBFC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primer punto, pensaba, era: “dudar de todo”.</w:t>
      </w:r>
    </w:p>
    <w:p w14:paraId="65EE1621" w14:textId="77777777" w:rsidR="001925CE" w:rsidRPr="000D3432" w:rsidRDefault="001925CE" w:rsidP="00A95498">
      <w:pPr>
        <w:ind w:firstLine="426"/>
        <w:jc w:val="both"/>
        <w:rPr>
          <w:rFonts w:asciiTheme="minorHAnsi" w:hAnsiTheme="minorHAnsi"/>
          <w:szCs w:val="24"/>
        </w:rPr>
      </w:pPr>
    </w:p>
    <w:p w14:paraId="79D3D71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Quería utilizar el razonamiento matemático; puesto que para él sólo la razón nos proporcionaba conocimientos  seguros.</w:t>
      </w:r>
    </w:p>
    <w:p w14:paraId="4EEF64CC" w14:textId="77777777" w:rsidR="001925CE" w:rsidRPr="000D3432" w:rsidRDefault="001925CE" w:rsidP="00A95498">
      <w:pPr>
        <w:ind w:firstLine="426"/>
        <w:jc w:val="both"/>
        <w:rPr>
          <w:rFonts w:asciiTheme="minorHAnsi" w:hAnsiTheme="minorHAnsi"/>
          <w:szCs w:val="24"/>
        </w:rPr>
      </w:pPr>
    </w:p>
    <w:p w14:paraId="50FABF0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planteamiento de Descartes influye en el pensamiento jurídico. Si todo era puesto en duda, el Derecho no podía escapar a esto. La validez del Derecho no podría sujetarse a planteamientos dados para siempre.</w:t>
      </w:r>
    </w:p>
    <w:p w14:paraId="3E802080" w14:textId="77777777" w:rsidR="001925CE" w:rsidRPr="000D3432" w:rsidRDefault="001925CE" w:rsidP="00A95498">
      <w:pPr>
        <w:ind w:firstLine="426"/>
        <w:jc w:val="both"/>
        <w:rPr>
          <w:rFonts w:asciiTheme="minorHAnsi" w:hAnsiTheme="minorHAnsi"/>
          <w:szCs w:val="24"/>
        </w:rPr>
      </w:pPr>
    </w:p>
    <w:p w14:paraId="546BB2F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importancia del pensamiento de Descartes en el Derecho es la condición, desde él, de que toda idea tendría que medirse y pensarse. Incluso, si la ciencia era objeto de duda ya no sería ciencia. </w:t>
      </w:r>
    </w:p>
    <w:p w14:paraId="42BE10EA" w14:textId="77777777" w:rsidR="001925CE" w:rsidRPr="000D3432" w:rsidRDefault="001925CE" w:rsidP="00A95498">
      <w:pPr>
        <w:ind w:firstLine="426"/>
        <w:jc w:val="both"/>
        <w:rPr>
          <w:rFonts w:asciiTheme="minorHAnsi" w:hAnsiTheme="minorHAnsi"/>
          <w:szCs w:val="24"/>
        </w:rPr>
      </w:pPr>
    </w:p>
    <w:p w14:paraId="109BB0A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Las dudas, errores y contradicciones que asaltaron el espíritu del joven Descartes lo resolvieron a estudiar por sí mismo. Así elaboró </w:t>
      </w:r>
      <w:r w:rsidRPr="000D3432">
        <w:rPr>
          <w:rFonts w:asciiTheme="minorHAnsi" w:hAnsiTheme="minorHAnsi"/>
          <w:b/>
          <w:szCs w:val="24"/>
        </w:rPr>
        <w:t xml:space="preserve">cuatro reglas </w:t>
      </w:r>
      <w:r w:rsidRPr="000D3432">
        <w:rPr>
          <w:rFonts w:asciiTheme="minorHAnsi" w:hAnsiTheme="minorHAnsi"/>
          <w:szCs w:val="24"/>
        </w:rPr>
        <w:t>que creyó le bastarían. La primera (evidencia) fue no admitir nada como verdadero, salvo que lo supiese de manera clara y distinta; la segunda (análisis), dividir las dificultades en tantas partes como fuera posible, para su examen y resolución; la tercera (síntesis), hacer ascender gradualmente los pensamientos, desde los objetos más simples hasta el conocimiento de los más conplejos, y la cuarta (enumeración), hacer en todos un recuento y revisión generales, hasta estar seguro de no omitir nada. Por tales medios -de naturaleza lógica- no habrá cosa que no pueda ser alcanzada o descubierta</w:t>
      </w:r>
      <w:r w:rsidRPr="000D3432">
        <w:rPr>
          <w:rStyle w:val="Refdenotaalpie"/>
          <w:rFonts w:asciiTheme="minorHAnsi" w:hAnsiTheme="minorHAnsi"/>
          <w:sz w:val="24"/>
          <w:szCs w:val="24"/>
          <w:vertAlign w:val="superscript"/>
        </w:rPr>
        <w:footnoteReference w:id="244"/>
      </w:r>
      <w:r w:rsidRPr="000D3432">
        <w:rPr>
          <w:rFonts w:asciiTheme="minorHAnsi" w:hAnsiTheme="minorHAnsi"/>
          <w:szCs w:val="24"/>
        </w:rPr>
        <w:t>, piensa Descartes.</w:t>
      </w:r>
    </w:p>
    <w:p w14:paraId="3FD4FA18" w14:textId="77777777" w:rsidR="001925CE" w:rsidRPr="000D3432" w:rsidRDefault="001925CE" w:rsidP="00A95498">
      <w:pPr>
        <w:ind w:firstLine="426"/>
        <w:jc w:val="both"/>
        <w:rPr>
          <w:rFonts w:asciiTheme="minorHAnsi" w:hAnsiTheme="minorHAnsi"/>
          <w:szCs w:val="24"/>
        </w:rPr>
      </w:pPr>
    </w:p>
    <w:p w14:paraId="688B351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Descartes duda, pero no duda de que duda. Toda la especulación cartesiana tiene como fundamento la evidencia racional. El hombre mismo es sustancia pensante, razón. Pero, a la vez, sólo sabe de la cosas en cuanto se relaciona con ellas de alguna manera. Las cosas son ideas suyas y la realidad que les cabe es, así, ideal. El racionalismo cartesiano es entonces, además, un “idealismo”.</w:t>
      </w:r>
      <w:r w:rsidRPr="000D3432">
        <w:rPr>
          <w:rStyle w:val="Refdenotaalpie"/>
          <w:rFonts w:asciiTheme="minorHAnsi" w:hAnsiTheme="minorHAnsi"/>
          <w:sz w:val="24"/>
          <w:szCs w:val="24"/>
          <w:vertAlign w:val="superscript"/>
        </w:rPr>
        <w:footnoteReference w:id="245"/>
      </w:r>
    </w:p>
    <w:p w14:paraId="3F81CE43" w14:textId="77777777" w:rsidR="001925CE" w:rsidRPr="000D3432" w:rsidRDefault="001925CE" w:rsidP="00A95498">
      <w:pPr>
        <w:ind w:firstLine="426"/>
        <w:jc w:val="both"/>
        <w:rPr>
          <w:rFonts w:asciiTheme="minorHAnsi" w:hAnsiTheme="minorHAnsi"/>
          <w:szCs w:val="24"/>
        </w:rPr>
      </w:pPr>
    </w:p>
    <w:p w14:paraId="71D2BEA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Según Abbagnano, “la personalidad de Descartes señala el paso decisivo del Renacimiento a la Edad Moderna. Descartes parece haber logrado, mediante su teoría, el equilibrio, la proporción, armonía y un enfoque humano de la relación Hombre-Mundo. El mundo desde allí, seguirá las bases del pensamiento Cartesiano.</w:t>
      </w:r>
    </w:p>
    <w:p w14:paraId="3CE9C0A0"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w:t>
      </w:r>
    </w:p>
    <w:p w14:paraId="6E8F829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Cuando nace Descartes los tiempos aspiraban ya a una configuración más clara de las cosas y las relaciones sociales. Había también ya el cultivo de las matemáticas. El contexto social e histórico es el siguiente: El pensamiento medieval ha sufrido cierta ruptura, aunque aún no se había planteado una nueva forma de entender la verdad. La razón es tomada entonces como fundamento y base del pensamiento humano. La razón es algo interno del individuo; Hay un encuentro con el pensamiento religioso medieval. La seguridad para Descartes provendría de la certeza de la mente humana y no de aquella que nos da el pensamiento divino.</w:t>
      </w:r>
    </w:p>
    <w:p w14:paraId="12915A69" w14:textId="77777777" w:rsidR="001925CE" w:rsidRPr="000D3432" w:rsidRDefault="001925CE" w:rsidP="00A95498">
      <w:pPr>
        <w:ind w:firstLine="426"/>
        <w:jc w:val="both"/>
        <w:rPr>
          <w:rFonts w:asciiTheme="minorHAnsi" w:hAnsiTheme="minorHAnsi"/>
          <w:szCs w:val="24"/>
        </w:rPr>
      </w:pPr>
    </w:p>
    <w:p w14:paraId="6D461E5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su búsqueda de llegar a aceptar solo la verdad que es evidencia, choca con los prejuicios medievales en el tema del conocimiento, es decir, en primer lugar se enfrenta a la autoridad del pensamiento aristotélico, que se basaba en silogismos, que proponía aplicar teorías generales a casos concretos, por ejemplo: Manuel es un hombre; todos los hombres son animales. Entonces Manuel es un animal. Este método de conocimiento aristotélico es refutado por Descartes, porque no permite una clara y real visión de las cosas. </w:t>
      </w:r>
    </w:p>
    <w:p w14:paraId="36062820" w14:textId="77777777" w:rsidR="001925CE" w:rsidRPr="000D3432" w:rsidRDefault="001925CE" w:rsidP="00A95498">
      <w:pPr>
        <w:ind w:firstLine="426"/>
        <w:jc w:val="both"/>
        <w:rPr>
          <w:rFonts w:asciiTheme="minorHAnsi" w:hAnsiTheme="minorHAnsi"/>
          <w:szCs w:val="24"/>
        </w:rPr>
      </w:pPr>
    </w:p>
    <w:p w14:paraId="253E22A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Descartes pretende no seguir más que las demostraciones de la razón, juzga al mundo con un sereno y equilibrio racional, plantea la duda como cosmovisión, a fin de evitar los prejuicios y precipitaciones en el conocimiento de la verdad. Descartes había observado con esto que “nada quedaba fuera de discusión libre de duda...”. y que por lo tanto, si habían tantas opiniones acerca de un mismo asunto, había que dudar de ellas. Está preocupado por entender. Y entender es una manera de poder conducirse. Descartes quiere hallar el camino adecuado para dirigirse en la vida (¿sentimiento religioso?), quiere poder distinguir lo verdadero y lo falso.  Atacado por la duda, deja los preceptos aprendidos de la formación jesuita de la Fléche, y se propone, abandonando los libros, a buscar la verdad en sí mismo y en el mundo.</w:t>
      </w:r>
      <w:r w:rsidRPr="000D3432">
        <w:rPr>
          <w:rStyle w:val="Refdenotaalpie"/>
          <w:rFonts w:asciiTheme="minorHAnsi" w:hAnsiTheme="minorHAnsi"/>
          <w:sz w:val="24"/>
          <w:szCs w:val="24"/>
          <w:vertAlign w:val="superscript"/>
        </w:rPr>
        <w:footnoteReference w:id="246"/>
      </w:r>
    </w:p>
    <w:p w14:paraId="5BC51286" w14:textId="77777777" w:rsidR="001925CE" w:rsidRPr="000D3432" w:rsidRDefault="001925CE" w:rsidP="00A95498">
      <w:pPr>
        <w:ind w:firstLine="426"/>
        <w:jc w:val="both"/>
        <w:rPr>
          <w:rFonts w:asciiTheme="minorHAnsi" w:hAnsiTheme="minorHAnsi"/>
          <w:szCs w:val="24"/>
        </w:rPr>
      </w:pPr>
    </w:p>
    <w:p w14:paraId="32648A0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Descartes todo lo había puesto en duda, y con esto refleja el escepticismo de su época. Cree aún en la posibilidad del acceso a la verdad, pero, a condición de usar el método adecuado para llegar a ella. En la búsqueda de la verdad, sometido el objeto de análisis a examen, si demuestra cualquier observación o duda dejará de ser verdadera, es decir: bastará que algo ofrezca duda para que deba ser rechazado</w:t>
      </w:r>
      <w:r w:rsidRPr="000D3432">
        <w:rPr>
          <w:rStyle w:val="Refdenotaalpie"/>
          <w:rFonts w:asciiTheme="minorHAnsi" w:hAnsiTheme="minorHAnsi"/>
          <w:sz w:val="24"/>
          <w:szCs w:val="24"/>
          <w:vertAlign w:val="superscript"/>
        </w:rPr>
        <w:footnoteReference w:id="247"/>
      </w:r>
      <w:r w:rsidRPr="000D3432">
        <w:rPr>
          <w:rFonts w:asciiTheme="minorHAnsi" w:hAnsiTheme="minorHAnsi"/>
          <w:szCs w:val="24"/>
        </w:rPr>
        <w:t xml:space="preserve">. La razón de Descartes dispone que ésta debe ser una que </w:t>
      </w:r>
      <w:r w:rsidRPr="000D3432">
        <w:rPr>
          <w:rFonts w:asciiTheme="minorHAnsi" w:hAnsiTheme="minorHAnsi"/>
          <w:szCs w:val="24"/>
        </w:rPr>
        <w:lastRenderedPageBreak/>
        <w:t>valga para el que hace el examen de las cosas, no importando la de los demás, puesto que hasta los más grandes sabios son contradichos por otros sabios. Esta razón debe producir evidencia perfecta, la misma de las matemáticas y que sea válida igualmente para todas las ciencias.</w:t>
      </w:r>
      <w:r w:rsidRPr="000D3432">
        <w:rPr>
          <w:rStyle w:val="Refdenotaalpie"/>
          <w:rFonts w:asciiTheme="minorHAnsi" w:hAnsiTheme="minorHAnsi"/>
          <w:sz w:val="24"/>
          <w:szCs w:val="24"/>
          <w:vertAlign w:val="superscript"/>
        </w:rPr>
        <w:footnoteReference w:id="248"/>
      </w:r>
    </w:p>
    <w:p w14:paraId="5610F9BA" w14:textId="77777777" w:rsidR="001925CE" w:rsidRPr="000D3432" w:rsidRDefault="001925CE" w:rsidP="00A95498">
      <w:pPr>
        <w:ind w:firstLine="426"/>
        <w:jc w:val="both"/>
        <w:rPr>
          <w:rFonts w:asciiTheme="minorHAnsi" w:hAnsiTheme="minorHAnsi"/>
          <w:szCs w:val="24"/>
        </w:rPr>
      </w:pPr>
    </w:p>
    <w:p w14:paraId="644928B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Descartes con este tipo de pensamiento ha marcado las bases para el pensamiento moderno, la condición del hombre de dirigirse según sus propios criterio y perspectivas, de asimilar el conocimiento a través de análisis críticos de lo que observa, sin referencia dogmática a los demás saberes sacralizados como verdaderos. La condición del hombre es pues su independencia del pensamiento anterior o contemporáneo. La verdad debería ser descubierta, entonces, por el propio hombres, mediante sus meditaciones y especulaciones sacadas de sí mismo. Lo qué es Descartes, demuestra el signo del hombre moderno.</w:t>
      </w:r>
      <w:r w:rsidRPr="000D3432">
        <w:rPr>
          <w:rStyle w:val="Refdenotaalpie"/>
          <w:rFonts w:asciiTheme="minorHAnsi" w:hAnsiTheme="minorHAnsi"/>
          <w:sz w:val="24"/>
          <w:szCs w:val="24"/>
          <w:vertAlign w:val="superscript"/>
        </w:rPr>
        <w:footnoteReference w:id="249"/>
      </w:r>
    </w:p>
    <w:p w14:paraId="65ABCDA5" w14:textId="77777777" w:rsidR="001925CE" w:rsidRPr="000D3432" w:rsidRDefault="001925CE" w:rsidP="00A95498">
      <w:pPr>
        <w:ind w:firstLine="426"/>
        <w:jc w:val="both"/>
        <w:rPr>
          <w:rFonts w:asciiTheme="minorHAnsi" w:hAnsiTheme="minorHAnsi"/>
          <w:szCs w:val="24"/>
        </w:rPr>
      </w:pPr>
    </w:p>
    <w:p w14:paraId="0AFD12A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Descartes ha descubierto la potencialidad del pensamiento humano, como ser independiente. Cree que el único medio para llegar a la verdad es seguir la razón, tan evidente que logre el convencimiento propio, y además pueda producir la certeza que dan las matemáticas.   </w:t>
      </w:r>
    </w:p>
    <w:p w14:paraId="29C05C3E" w14:textId="77777777" w:rsidR="001925CE" w:rsidRPr="000D3432" w:rsidRDefault="001925CE" w:rsidP="00A95498">
      <w:pPr>
        <w:ind w:firstLine="426"/>
        <w:jc w:val="both"/>
        <w:rPr>
          <w:rFonts w:asciiTheme="minorHAnsi" w:hAnsiTheme="minorHAnsi"/>
          <w:szCs w:val="24"/>
        </w:rPr>
      </w:pPr>
    </w:p>
    <w:p w14:paraId="539F816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Descartes propone un nuevo método de pensar, que tiene su consistencia en la existencia consciente, que asegurará la certeza de lo conocido. “...propone un nuevo método de pensar. Pero su radicalismo va más allá: exige una reconstrucción total del saber sobre la base de evidencias incontestables. Para él la certeza última está en la propia existencia consciente (cogito ergo sum - pienso, luego existo). Con ello incorpora al acervo filosófico una cateogoría fundamental, la noción de sujeto pensante...”</w:t>
      </w:r>
      <w:r w:rsidRPr="000D3432">
        <w:rPr>
          <w:rStyle w:val="Refdenotaalpie"/>
          <w:rFonts w:asciiTheme="minorHAnsi" w:hAnsiTheme="minorHAnsi"/>
          <w:sz w:val="24"/>
          <w:szCs w:val="24"/>
          <w:vertAlign w:val="superscript"/>
        </w:rPr>
        <w:footnoteReference w:id="250"/>
      </w:r>
    </w:p>
    <w:p w14:paraId="29332B53" w14:textId="77777777" w:rsidR="001925CE" w:rsidRPr="000D3432" w:rsidRDefault="001925CE" w:rsidP="00A95498">
      <w:pPr>
        <w:ind w:firstLine="426"/>
        <w:jc w:val="both"/>
        <w:rPr>
          <w:rFonts w:asciiTheme="minorHAnsi" w:hAnsiTheme="minorHAnsi"/>
          <w:szCs w:val="24"/>
        </w:rPr>
      </w:pPr>
    </w:p>
    <w:p w14:paraId="2B11D4C3" w14:textId="77777777" w:rsidR="001925CE" w:rsidRPr="000D3432" w:rsidRDefault="001925CE" w:rsidP="00A95498">
      <w:pPr>
        <w:ind w:firstLine="426"/>
        <w:jc w:val="both"/>
        <w:rPr>
          <w:rFonts w:asciiTheme="minorHAnsi" w:hAnsiTheme="minorHAnsi"/>
          <w:b/>
          <w:szCs w:val="24"/>
        </w:rPr>
      </w:pPr>
      <w:r w:rsidRPr="000D3432">
        <w:rPr>
          <w:rFonts w:asciiTheme="minorHAnsi" w:hAnsiTheme="minorHAnsi"/>
          <w:szCs w:val="24"/>
        </w:rPr>
        <w:t xml:space="preserve">Esta categoría pensante, que adoptará desde ahora el hombre será la determinante para el movimiento del pensamiento moderno. La necesidad del pensar se convierte en un factor también de la interpretación jurídica del mundo. </w:t>
      </w:r>
    </w:p>
    <w:p w14:paraId="661C0CDC" w14:textId="77777777" w:rsidR="001925CE" w:rsidRPr="000D3432" w:rsidRDefault="001925CE" w:rsidP="00A95498">
      <w:pPr>
        <w:jc w:val="both"/>
        <w:rPr>
          <w:rFonts w:asciiTheme="minorHAnsi" w:hAnsiTheme="minorHAnsi"/>
          <w:b/>
          <w:szCs w:val="24"/>
        </w:rPr>
      </w:pPr>
    </w:p>
    <w:p w14:paraId="5D2653D3"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b.- Spinoza</w:t>
      </w:r>
    </w:p>
    <w:p w14:paraId="226AA1D1" w14:textId="77777777" w:rsidR="001925CE" w:rsidRPr="000D3432" w:rsidRDefault="001925CE" w:rsidP="00A95498">
      <w:pPr>
        <w:ind w:firstLine="425"/>
        <w:jc w:val="both"/>
        <w:rPr>
          <w:rFonts w:asciiTheme="minorHAnsi" w:hAnsiTheme="minorHAnsi"/>
          <w:szCs w:val="24"/>
        </w:rPr>
      </w:pPr>
    </w:p>
    <w:p w14:paraId="6FCE926F"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O “El Derecho como expresión de la razón pura”. (Friedrich).</w:t>
      </w:r>
    </w:p>
    <w:p w14:paraId="62D49F6A" w14:textId="77777777" w:rsidR="001925CE" w:rsidRPr="000D3432" w:rsidRDefault="001925CE" w:rsidP="00A95498">
      <w:pPr>
        <w:ind w:firstLine="426"/>
        <w:jc w:val="both"/>
        <w:rPr>
          <w:rFonts w:asciiTheme="minorHAnsi" w:hAnsiTheme="minorHAnsi"/>
          <w:szCs w:val="24"/>
        </w:rPr>
      </w:pPr>
    </w:p>
    <w:p w14:paraId="11F47F5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Spinoza había insinuado la teoría del inconsciente, incluso antes que Freud. Era un judío que fue repudiado por la Sinagoga e incluso por su familia; había tomado influencia de Descartes y pensaba que la Biblia, las Escrituras, no eran inspiradas por Dios. Fue excomulgado por heterodoxo.</w:t>
      </w:r>
    </w:p>
    <w:p w14:paraId="6BC64B00" w14:textId="77777777" w:rsidR="001925CE" w:rsidRPr="000D3432" w:rsidRDefault="001925CE" w:rsidP="00A95498">
      <w:pPr>
        <w:ind w:firstLine="426"/>
        <w:jc w:val="both"/>
        <w:rPr>
          <w:rFonts w:asciiTheme="minorHAnsi" w:hAnsiTheme="minorHAnsi"/>
          <w:szCs w:val="24"/>
        </w:rPr>
      </w:pPr>
    </w:p>
    <w:p w14:paraId="31383EC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Escribió entre varias obras, su fundamental “</w:t>
      </w:r>
      <w:r w:rsidRPr="000D3432">
        <w:rPr>
          <w:rFonts w:asciiTheme="minorHAnsi" w:hAnsiTheme="minorHAnsi"/>
          <w:i/>
          <w:szCs w:val="24"/>
        </w:rPr>
        <w:t>Etica</w:t>
      </w:r>
      <w:r w:rsidRPr="000D3432">
        <w:rPr>
          <w:rFonts w:asciiTheme="minorHAnsi" w:hAnsiTheme="minorHAnsi"/>
          <w:szCs w:val="24"/>
        </w:rPr>
        <w:t>”</w:t>
      </w:r>
      <w:r w:rsidRPr="000D3432">
        <w:rPr>
          <w:rStyle w:val="Refdenotaalpie"/>
          <w:rFonts w:asciiTheme="minorHAnsi" w:hAnsiTheme="minorHAnsi"/>
          <w:sz w:val="24"/>
          <w:szCs w:val="24"/>
          <w:vertAlign w:val="superscript"/>
        </w:rPr>
        <w:footnoteReference w:id="251"/>
      </w:r>
      <w:r w:rsidRPr="000D3432">
        <w:rPr>
          <w:rFonts w:asciiTheme="minorHAnsi" w:hAnsiTheme="minorHAnsi"/>
          <w:szCs w:val="24"/>
        </w:rPr>
        <w:t>, en donde, -según Gaarder- "...quería mostrar como la vida del hombre está condicionada por las leyes de la naturaleza."</w:t>
      </w:r>
      <w:r w:rsidRPr="000D3432">
        <w:rPr>
          <w:rStyle w:val="Refdenotaalpie"/>
          <w:rFonts w:asciiTheme="minorHAnsi" w:hAnsiTheme="minorHAnsi"/>
          <w:sz w:val="24"/>
          <w:szCs w:val="24"/>
          <w:vertAlign w:val="superscript"/>
        </w:rPr>
        <w:footnoteReference w:id="252"/>
      </w:r>
      <w:r w:rsidRPr="000D3432">
        <w:rPr>
          <w:rFonts w:asciiTheme="minorHAnsi" w:hAnsiTheme="minorHAnsi"/>
          <w:szCs w:val="24"/>
        </w:rPr>
        <w:t xml:space="preserve">, y es por ello que debemos liberarnos de nuestros sentimientos y afectos, para así encontrar la paz y hallar la felicidad. </w:t>
      </w:r>
    </w:p>
    <w:p w14:paraId="55CC406A" w14:textId="77777777" w:rsidR="001925CE" w:rsidRPr="000D3432" w:rsidRDefault="001925CE" w:rsidP="00A95498">
      <w:pPr>
        <w:ind w:firstLine="426"/>
        <w:jc w:val="both"/>
        <w:rPr>
          <w:rFonts w:asciiTheme="minorHAnsi" w:hAnsiTheme="minorHAnsi"/>
          <w:szCs w:val="24"/>
        </w:rPr>
      </w:pPr>
    </w:p>
    <w:p w14:paraId="17CFF53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terrible o humana concepción de liberarnos de nuestros sentimientos parece coincidir de alguna manera con la concepción de Diógenes que predicaba el desdén al dolor: el hombre no debería preocuparse por el dolor.</w:t>
      </w:r>
    </w:p>
    <w:p w14:paraId="1FFFA04B" w14:textId="77777777" w:rsidR="001925CE" w:rsidRPr="000D3432" w:rsidRDefault="001925CE" w:rsidP="00A95498">
      <w:pPr>
        <w:ind w:firstLine="426"/>
        <w:jc w:val="both"/>
        <w:rPr>
          <w:rFonts w:asciiTheme="minorHAnsi" w:hAnsiTheme="minorHAnsi"/>
          <w:szCs w:val="24"/>
        </w:rPr>
      </w:pPr>
    </w:p>
    <w:p w14:paraId="2CB5182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Spinoza al proponer que nos liberemos de sentimientos y afectos, provoca una pregunta: ¿qué nos queda?, a lo cual responde: Dios. "Spinoza pensaba que Dios, o las leyes de la naturaleza son la causa interna de todo lo que ocurre"</w:t>
      </w:r>
      <w:r w:rsidRPr="000D3432">
        <w:rPr>
          <w:rStyle w:val="Refdenotaalpie"/>
          <w:rFonts w:asciiTheme="minorHAnsi" w:hAnsiTheme="minorHAnsi"/>
          <w:sz w:val="24"/>
          <w:szCs w:val="24"/>
          <w:vertAlign w:val="superscript"/>
        </w:rPr>
        <w:footnoteReference w:id="253"/>
      </w:r>
      <w:r w:rsidRPr="000D3432">
        <w:rPr>
          <w:rFonts w:asciiTheme="minorHAnsi" w:hAnsiTheme="minorHAnsi"/>
          <w:szCs w:val="24"/>
        </w:rPr>
        <w:t xml:space="preserve">. Todo puede o no puede ser de acuerdo a su naturaleza, los límites de lo posible o imposible lo establece la naturaleza. Podemos hacer tal o cual cosa, pero sólo si tenemos la facultad para ello. Osea "todo ocurre necesariamente" </w:t>
      </w:r>
    </w:p>
    <w:p w14:paraId="3A6BEE14" w14:textId="77777777" w:rsidR="001925CE" w:rsidRPr="000D3432" w:rsidRDefault="001925CE" w:rsidP="00A95498">
      <w:pPr>
        <w:ind w:firstLine="426"/>
        <w:jc w:val="both"/>
        <w:rPr>
          <w:rFonts w:asciiTheme="minorHAnsi" w:hAnsiTheme="minorHAnsi"/>
          <w:szCs w:val="24"/>
        </w:rPr>
      </w:pPr>
    </w:p>
    <w:p w14:paraId="5999364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¿Qué pretende Spinoza, qué propone para conducirnos por la vida? El dice que los seres humanos deberíamos tener mucho cuidado y no dejarnos llevar por las emociones. Que no decidimos sino lo que la naturaleza permite. Parece explicarnos que cada quien vive según su propia naturaleza. El hombre vive según las leyes de la naturaleza,  y su naturaleza es ser sociable, formar grupos, etc.¿Tomando como referencia esto cuál sería la concepción del Derecho?</w:t>
      </w:r>
    </w:p>
    <w:p w14:paraId="65C51B49" w14:textId="77777777" w:rsidR="001925CE" w:rsidRPr="000D3432" w:rsidRDefault="001925CE" w:rsidP="00A95498">
      <w:pPr>
        <w:ind w:firstLine="426"/>
        <w:jc w:val="both"/>
        <w:rPr>
          <w:rFonts w:asciiTheme="minorHAnsi" w:hAnsiTheme="minorHAnsi"/>
          <w:szCs w:val="24"/>
        </w:rPr>
      </w:pPr>
    </w:p>
    <w:p w14:paraId="55B4AE4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Spinoza se preocupaba mucho por la tolerancia religiosa y la libertad de expresión, por la libertad. "Se nos puede inhibir nuestra evolución y nuestro crecimiento personal por ejemplo mediante determinadas condiciones políticas, de esta manera una fuerza exterior nos puede poner impedimentos. Sólo vivimos como seres libres cuando podemos desarrollar "libremente" nuestras posibilidades inherentes. Pero estamos tan determinados por disposiciones internas y condiciones externas..."</w:t>
      </w:r>
      <w:r w:rsidRPr="000D3432">
        <w:rPr>
          <w:rStyle w:val="Refdenotaalpie"/>
          <w:rFonts w:asciiTheme="minorHAnsi" w:hAnsiTheme="minorHAnsi"/>
          <w:sz w:val="24"/>
          <w:szCs w:val="24"/>
          <w:vertAlign w:val="superscript"/>
        </w:rPr>
        <w:footnoteReference w:id="254"/>
      </w:r>
      <w:r w:rsidRPr="000D3432">
        <w:rPr>
          <w:rFonts w:asciiTheme="minorHAnsi" w:hAnsiTheme="minorHAnsi"/>
          <w:szCs w:val="24"/>
        </w:rPr>
        <w:t>.</w:t>
      </w:r>
    </w:p>
    <w:p w14:paraId="0F8E2C04" w14:textId="77777777" w:rsidR="001925CE" w:rsidRPr="000D3432" w:rsidRDefault="001925CE" w:rsidP="00A95498">
      <w:pPr>
        <w:ind w:firstLine="426"/>
        <w:jc w:val="both"/>
        <w:rPr>
          <w:rFonts w:asciiTheme="minorHAnsi" w:hAnsiTheme="minorHAnsi"/>
          <w:szCs w:val="24"/>
        </w:rPr>
      </w:pPr>
    </w:p>
    <w:p w14:paraId="5C3B499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Spinoza todo es naturaleza, y el hombre es simple modificación de Dios. Pero además, lo que acontece al hombre, sus pasiones, son de orden natural, es decir que estas -las pasiones y lo que acontece al hombre- son fenómenos que sólo siguen el curso necesario de la naturaleza.</w:t>
      </w:r>
    </w:p>
    <w:p w14:paraId="698382F7" w14:textId="77777777" w:rsidR="001925CE" w:rsidRPr="000D3432" w:rsidRDefault="001925CE" w:rsidP="00A95498">
      <w:pPr>
        <w:ind w:firstLine="426"/>
        <w:jc w:val="both"/>
        <w:rPr>
          <w:rFonts w:asciiTheme="minorHAnsi" w:hAnsiTheme="minorHAnsi"/>
          <w:szCs w:val="24"/>
        </w:rPr>
      </w:pPr>
    </w:p>
    <w:p w14:paraId="75443EC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cuanto a la libertad, Spinoza propone una peculiar concepción de aquella. La libertad estaría ligada al conocimiento, que sería la condición de aquella. Este conocimiento de su condición natural de ser, lo hace entender su determinación a ser lo que la naturaleza le ha dispuesto; la coacción desaparecería y la razón sería libertad. Y cómo todo lo determina Dios, </w:t>
      </w:r>
      <w:r w:rsidRPr="000D3432">
        <w:rPr>
          <w:rFonts w:asciiTheme="minorHAnsi" w:hAnsiTheme="minorHAnsi"/>
          <w:szCs w:val="24"/>
        </w:rPr>
        <w:lastRenderedPageBreak/>
        <w:t>obedecerlo sería libertad. JulíanMarias, escribe que:</w:t>
      </w:r>
    </w:p>
    <w:p w14:paraId="56286A13"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“Para Spinoza, “se dice libre la cosa que existe por la sola necesidad de su naturaleza y se determina a obrar por sí solo”; es una idea de la libertad dentro de la cual solo Dios es libre. Spinoza es determinista: “no se puede considerar al hombre como un imperio dentro de otro imperio”. El hombre, pues, no es libre, ni el mundo tiene una finalidad; todo es necesario y está determinado causalmente. El hombre es esclavo porque se cree libre y se ve arrastrado por la necesidad. No cabe más que un modo de libertad: el conocimiento. Cuando el hombre sabe lo que es, sabe que no es libre, y no se siente obligado o coaccionado, sino determinado según su esencia; por esto la razón es libertad. El ser del hombre, (...), consiste en no ser libre y en saberlo, en vivir en la naturaleza, en Dios. Aquí resuena el principio estoico: (...); obedecer a Dios es libertad.”</w:t>
      </w:r>
      <w:r w:rsidRPr="000D3432">
        <w:rPr>
          <w:rStyle w:val="Refdenotaalpie"/>
          <w:rFonts w:asciiTheme="minorHAnsi" w:hAnsiTheme="minorHAnsi"/>
          <w:sz w:val="24"/>
          <w:szCs w:val="24"/>
          <w:vertAlign w:val="superscript"/>
        </w:rPr>
        <w:footnoteReference w:id="255"/>
      </w:r>
    </w:p>
    <w:p w14:paraId="677A2D65" w14:textId="77777777" w:rsidR="001925CE" w:rsidRPr="000D3432" w:rsidRDefault="001925CE" w:rsidP="00A95498">
      <w:pPr>
        <w:ind w:firstLine="426"/>
        <w:jc w:val="both"/>
        <w:rPr>
          <w:rFonts w:asciiTheme="minorHAnsi" w:hAnsiTheme="minorHAnsi"/>
          <w:szCs w:val="24"/>
        </w:rPr>
      </w:pPr>
    </w:p>
    <w:p w14:paraId="552C7B5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Spinoza pensaba que "Nosotros no decidimos todo lo que ocurre con nuestro cuerpo, que es un modo de atributo de la extensión. Tampoco elegimos lo que pensamos.". Con lo cual pretende decirnos que hasta nuestros propios pensamientos están determinados por lo externo, por el lugar de nuestra ubicación. Somos occidentales, entonces tenemos pensamiento y tradición occidental. Determinado, geográfica y mentalmente.</w:t>
      </w:r>
    </w:p>
    <w:p w14:paraId="2685B2C5" w14:textId="77777777" w:rsidR="001925CE" w:rsidRPr="000D3432" w:rsidRDefault="001925CE" w:rsidP="00A95498">
      <w:pPr>
        <w:ind w:firstLine="426"/>
        <w:jc w:val="both"/>
        <w:rPr>
          <w:rFonts w:asciiTheme="minorHAnsi" w:hAnsiTheme="minorHAnsi"/>
          <w:szCs w:val="24"/>
        </w:rPr>
      </w:pPr>
    </w:p>
    <w:p w14:paraId="7227FF7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¿Como conseguir la armonía, la felicidad? Spinoza responde que librándonos de las pasiones, la ambición y el deseo. No aferrarse a las emociones y pasiones.</w:t>
      </w:r>
    </w:p>
    <w:p w14:paraId="037F5DA8" w14:textId="77777777" w:rsidR="001925CE" w:rsidRPr="000D3432" w:rsidRDefault="001925CE" w:rsidP="00A95498">
      <w:pPr>
        <w:ind w:firstLine="426"/>
        <w:jc w:val="both"/>
        <w:rPr>
          <w:rFonts w:asciiTheme="minorHAnsi" w:hAnsiTheme="minorHAnsi"/>
          <w:szCs w:val="24"/>
        </w:rPr>
      </w:pPr>
    </w:p>
    <w:p w14:paraId="4838B42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el orden jurídico, Baruch Spinoza expone que el Derecho ha sido identificado con el poder, según escribe Friedrich. La posición de Spinoza se confrontó con la de la razón</w:t>
      </w:r>
      <w:r w:rsidRPr="000D3432">
        <w:rPr>
          <w:rStyle w:val="Refdenotaalpie"/>
          <w:rFonts w:asciiTheme="minorHAnsi" w:hAnsiTheme="minorHAnsi"/>
          <w:sz w:val="24"/>
          <w:szCs w:val="24"/>
          <w:vertAlign w:val="superscript"/>
        </w:rPr>
        <w:footnoteReference w:id="256"/>
      </w:r>
      <w:r w:rsidRPr="000D3432">
        <w:rPr>
          <w:rFonts w:asciiTheme="minorHAnsi" w:hAnsiTheme="minorHAnsi"/>
          <w:szCs w:val="24"/>
        </w:rPr>
        <w:t>. Su posición es tajantemente contradictoria con toda proposición de ley racional. Explicaba que el derecho natural de los hombres era determinado por la avaricia y el poder, no por la razón justa.</w:t>
      </w:r>
    </w:p>
    <w:p w14:paraId="4263DF89"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“...Baruch Spinoza (1632-77), quién identificó el derecho con el poder. Formuló su posición en tajante antítesis con toda ley racional, afirmando que el derecho natural de cada hombre no se determina por la razón justa, sino por la avaricia y el poder. Las leyes de la naturaleza, las regularidades de la naturaleza, determinan las acciones de los hombres. Estas leyes naturales son, en realidad, el derecho de la naturaleza, y a ellas se conforma todo comportamiento.”</w:t>
      </w:r>
      <w:r w:rsidRPr="000D3432">
        <w:rPr>
          <w:rStyle w:val="Refdenotaalpie"/>
          <w:rFonts w:asciiTheme="minorHAnsi" w:hAnsiTheme="minorHAnsi"/>
          <w:sz w:val="24"/>
          <w:szCs w:val="24"/>
          <w:vertAlign w:val="superscript"/>
        </w:rPr>
        <w:footnoteReference w:id="257"/>
      </w:r>
    </w:p>
    <w:p w14:paraId="0C835A6C" w14:textId="77777777" w:rsidR="001925CE" w:rsidRPr="000D3432" w:rsidRDefault="001925CE" w:rsidP="00A95498">
      <w:pPr>
        <w:ind w:firstLine="426"/>
        <w:jc w:val="both"/>
        <w:rPr>
          <w:rFonts w:asciiTheme="minorHAnsi" w:hAnsiTheme="minorHAnsi"/>
          <w:szCs w:val="24"/>
        </w:rPr>
      </w:pPr>
    </w:p>
    <w:p w14:paraId="263097E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Tenía, pues, la convicción que las reglas del Derecho sólo se pueden derivar de la naturaleza del hombre:</w:t>
      </w:r>
    </w:p>
    <w:p w14:paraId="3141763B"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 “Con lógica inexorable, Spinoza derivó este concepto de la convicción, </w:t>
      </w:r>
      <w:r w:rsidRPr="000D3432">
        <w:rPr>
          <w:rFonts w:asciiTheme="minorHAnsi" w:hAnsiTheme="minorHAnsi"/>
          <w:sz w:val="24"/>
          <w:szCs w:val="24"/>
        </w:rPr>
        <w:lastRenderedPageBreak/>
        <w:t>tomada por él de Maquiavelo, de que las reglas del derecho natural, como las de la matemática, sólo pueden deducirse de la naturaleza del hombre, tal como éste es en realidad; todo lo demás es pura utopía. La virtud de la regla es su seguridad, es decir, su éxito...”</w:t>
      </w:r>
      <w:r w:rsidRPr="000D3432">
        <w:rPr>
          <w:rStyle w:val="Refdenotaalpie"/>
          <w:rFonts w:asciiTheme="minorHAnsi" w:hAnsiTheme="minorHAnsi"/>
          <w:sz w:val="24"/>
          <w:szCs w:val="24"/>
          <w:vertAlign w:val="superscript"/>
        </w:rPr>
        <w:footnoteReference w:id="258"/>
      </w:r>
    </w:p>
    <w:p w14:paraId="37617712" w14:textId="77777777" w:rsidR="001925CE" w:rsidRPr="000D3432" w:rsidRDefault="001925CE" w:rsidP="00A95498">
      <w:pPr>
        <w:ind w:firstLine="426"/>
        <w:jc w:val="both"/>
        <w:rPr>
          <w:rFonts w:asciiTheme="minorHAnsi" w:hAnsiTheme="minorHAnsi"/>
          <w:szCs w:val="24"/>
        </w:rPr>
      </w:pPr>
    </w:p>
    <w:p w14:paraId="3121CBE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Además Spinoza considera que el Estado y el Derecho se originan  en la concentración del poder derivadas de los individuos, pues “cada uno tiene tanto derecho cuanto poder posee. Nada hay que deba sorprendernos, pues la naturaleza no está limitada por leyes humanas, sino por otras leyes que son infinitas y que ordenan la naturaleza toda, de la cual el hombre no es sino una pequeña parte.”</w:t>
      </w:r>
      <w:r w:rsidRPr="000D3432">
        <w:rPr>
          <w:rStyle w:val="Refdenotaalpie"/>
          <w:rFonts w:asciiTheme="minorHAnsi" w:hAnsiTheme="minorHAnsi"/>
          <w:sz w:val="24"/>
          <w:szCs w:val="24"/>
          <w:vertAlign w:val="superscript"/>
        </w:rPr>
        <w:footnoteReference w:id="259"/>
      </w:r>
      <w:r w:rsidRPr="000D3432">
        <w:rPr>
          <w:rFonts w:asciiTheme="minorHAnsi" w:hAnsiTheme="minorHAnsi"/>
          <w:szCs w:val="24"/>
        </w:rPr>
        <w:t xml:space="preserve"> Spinoza cree que la naturaleza toda y sus poderes tienen carácter divino.</w:t>
      </w:r>
    </w:p>
    <w:p w14:paraId="78971E26" w14:textId="77777777" w:rsidR="001925CE" w:rsidRPr="000D3432" w:rsidRDefault="001925CE" w:rsidP="00A95498">
      <w:pPr>
        <w:ind w:firstLine="426"/>
        <w:jc w:val="both"/>
        <w:rPr>
          <w:rFonts w:asciiTheme="minorHAnsi" w:hAnsiTheme="minorHAnsi"/>
          <w:szCs w:val="24"/>
        </w:rPr>
      </w:pPr>
    </w:p>
    <w:p w14:paraId="586C867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Al ser considerado -por este pensador- el hombre como ser meramente natural y una vez fundado, según este criterio, el estado soberano, hay en quién lo dirija o rija, un poder o derecho ilimitado, y puede por lo tanto romper, incluso cualquier tratado, basado en su poderío, y en la responsabilidad que tiene de la seguridad del Estado. </w:t>
      </w:r>
    </w:p>
    <w:p w14:paraId="566FB4BC"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“Una vez fundado ese estado soberano, quien lo rija tendrá el derecho ilimitado que resulta de ese poder también sin límites (...). En efecto, no sólo tiene el derecho, sino aun el deber de romper los tratados, puesto que es el responsable de la seguridad del estado”</w:t>
      </w:r>
      <w:r w:rsidRPr="000D3432">
        <w:rPr>
          <w:rStyle w:val="Refdenotaalpie"/>
          <w:rFonts w:asciiTheme="minorHAnsi" w:hAnsiTheme="minorHAnsi"/>
          <w:sz w:val="24"/>
          <w:szCs w:val="24"/>
          <w:vertAlign w:val="superscript"/>
        </w:rPr>
        <w:footnoteReference w:id="260"/>
      </w:r>
    </w:p>
    <w:p w14:paraId="167575E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Hablando, ahora del panteísmo</w:t>
      </w:r>
      <w:r w:rsidRPr="000D3432">
        <w:rPr>
          <w:rStyle w:val="Refdenotaalpie"/>
          <w:rFonts w:asciiTheme="minorHAnsi" w:hAnsiTheme="minorHAnsi"/>
          <w:sz w:val="24"/>
          <w:szCs w:val="24"/>
          <w:vertAlign w:val="superscript"/>
        </w:rPr>
        <w:footnoteReference w:id="261"/>
      </w:r>
      <w:r w:rsidRPr="000D3432">
        <w:rPr>
          <w:rFonts w:asciiTheme="minorHAnsi" w:hAnsiTheme="minorHAnsi"/>
          <w:szCs w:val="24"/>
        </w:rPr>
        <w:t xml:space="preserve"> de Spinoza, este consistía en la afirmación de que no hay ninguna realidad trascendente y de que todo cuanto hay es inmanente, es decir unido por naturaleza inherente, propia, y no como resultado de una acción exterior a ellos. El panteísmo tiende a sostener que el principio del mundo no es una  persona, sino algo de naturaleza impersonal.</w:t>
      </w:r>
      <w:r w:rsidRPr="000D3432">
        <w:rPr>
          <w:rStyle w:val="Refdenotaalpie"/>
          <w:rFonts w:asciiTheme="minorHAnsi" w:hAnsiTheme="minorHAnsi"/>
          <w:sz w:val="24"/>
          <w:szCs w:val="24"/>
          <w:vertAlign w:val="superscript"/>
        </w:rPr>
        <w:footnoteReference w:id="262"/>
      </w:r>
    </w:p>
    <w:p w14:paraId="3338DE15" w14:textId="77777777" w:rsidR="001925CE" w:rsidRPr="000D3432" w:rsidRDefault="001925CE" w:rsidP="00A95498">
      <w:pPr>
        <w:ind w:firstLine="426"/>
        <w:jc w:val="both"/>
        <w:rPr>
          <w:rFonts w:asciiTheme="minorHAnsi" w:hAnsiTheme="minorHAnsi"/>
          <w:szCs w:val="24"/>
        </w:rPr>
      </w:pPr>
    </w:p>
    <w:p w14:paraId="27ACAA3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panteísmo de Spinoza fue duramente criticado por sus contemporáneos, a tal grado, se dice, que no ejerció influencia mayor en el ordenamiento jurídico, “El panteísmo de Spinoza fue rechazado con tal violencia por sus contemporáneos, que su doctrina del derecho natural, basada tan escandalosamente en el poder, no ejerció influencia alguna concreta sobre el desarrollo jurídico.”</w:t>
      </w:r>
      <w:r w:rsidRPr="000D3432">
        <w:rPr>
          <w:rStyle w:val="Refdenotaalpie"/>
          <w:rFonts w:asciiTheme="minorHAnsi" w:hAnsiTheme="minorHAnsi"/>
          <w:sz w:val="24"/>
          <w:szCs w:val="24"/>
          <w:vertAlign w:val="superscript"/>
        </w:rPr>
        <w:footnoteReference w:id="263"/>
      </w:r>
    </w:p>
    <w:p w14:paraId="2609D61F" w14:textId="77777777" w:rsidR="001925CE" w:rsidRPr="000D3432" w:rsidRDefault="001925CE" w:rsidP="00A95498">
      <w:pPr>
        <w:ind w:firstLine="426"/>
        <w:jc w:val="both"/>
        <w:rPr>
          <w:rFonts w:asciiTheme="minorHAnsi" w:hAnsiTheme="minorHAnsi"/>
          <w:szCs w:val="24"/>
        </w:rPr>
      </w:pPr>
    </w:p>
    <w:p w14:paraId="62681F3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resumen Spinoza sostiene la idea de que existe una sola sustancia en el mundo, del cual se derivan todo lo demás. Esta sustancia vendría a ser Dios o la Naturaleza. En la sociedad concebida así, el ciudadano está bajo el imperio y Derecho del Estado; los hombres no poseen, por lo tanto, derechos propios. Los </w:t>
      </w:r>
      <w:r w:rsidRPr="000D3432">
        <w:rPr>
          <w:rFonts w:asciiTheme="minorHAnsi" w:hAnsiTheme="minorHAnsi"/>
          <w:szCs w:val="24"/>
        </w:rPr>
        <w:lastRenderedPageBreak/>
        <w:t>hombres tienen que obedecer al Estado soberano, de fuerza ilimitada, por ser la fuerza del Estado consustancial a la idea de que es la voluntad de todos.  Lo que el Estado decreta como justo debe ser tenido como tal por los ciudadanos.</w:t>
      </w:r>
      <w:r w:rsidRPr="000D3432">
        <w:rPr>
          <w:rStyle w:val="Refdenotaalpie"/>
          <w:rFonts w:asciiTheme="minorHAnsi" w:hAnsiTheme="minorHAnsi"/>
          <w:sz w:val="24"/>
          <w:szCs w:val="24"/>
          <w:vertAlign w:val="superscript"/>
        </w:rPr>
        <w:footnoteReference w:id="264"/>
      </w:r>
    </w:p>
    <w:p w14:paraId="4F81F3B8" w14:textId="77777777" w:rsidR="001925CE" w:rsidRPr="000D3432" w:rsidRDefault="001925CE" w:rsidP="00A95498">
      <w:pPr>
        <w:ind w:firstLine="426"/>
        <w:jc w:val="both"/>
        <w:rPr>
          <w:rFonts w:asciiTheme="minorHAnsi" w:hAnsiTheme="minorHAnsi"/>
          <w:szCs w:val="24"/>
        </w:rPr>
      </w:pPr>
    </w:p>
    <w:p w14:paraId="476FADE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Spinoza había hablado también, en su Ética, de la potencia del intelecto, estudia la estructura de la mente, y aborda el problema del conocimiento. Y el problema de nuestra tendencia a algo, el problema del sentido real de bien o mal, “No tendemos a las cosas -dice Spinoza-, no queremos o apetecemos algo porque juzguemos que sea bueno, sino al revés: creemos que algo es bueno porque tendemos a ello, lo queremos, apetecemos o deseamos. Esta cupiditas es el afecto principal del hombre”</w:t>
      </w:r>
      <w:r w:rsidRPr="000D3432">
        <w:rPr>
          <w:rStyle w:val="Refdenotaalpie"/>
          <w:rFonts w:asciiTheme="minorHAnsi" w:hAnsiTheme="minorHAnsi"/>
          <w:sz w:val="24"/>
          <w:szCs w:val="24"/>
          <w:vertAlign w:val="superscript"/>
        </w:rPr>
        <w:footnoteReference w:id="265"/>
      </w:r>
      <w:r w:rsidRPr="000D3432">
        <w:rPr>
          <w:rFonts w:asciiTheme="minorHAnsi" w:hAnsiTheme="minorHAnsi"/>
          <w:szCs w:val="24"/>
        </w:rPr>
        <w:t>. Esta tendencia a algo, que hace nos hace juzgar las cosas como buenas o malas, viene a complementarse con dos afectos capitales: la alegría y la tristeza. Estos tres elementos son los que determinarían todos los demás, incluso la vida psíquica del hombre.</w:t>
      </w:r>
    </w:p>
    <w:p w14:paraId="226FBC35" w14:textId="77777777" w:rsidR="001925CE" w:rsidRPr="000D3432" w:rsidRDefault="001925CE" w:rsidP="00A95498">
      <w:pPr>
        <w:ind w:firstLine="426"/>
        <w:jc w:val="both"/>
        <w:rPr>
          <w:rFonts w:asciiTheme="minorHAnsi" w:hAnsiTheme="minorHAnsi"/>
          <w:szCs w:val="24"/>
        </w:rPr>
      </w:pPr>
    </w:p>
    <w:p w14:paraId="3393FAB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Si aceptamos tales concepciones, el Derecho debería ser dirigido no a expresarse como un fundamento de la razón, sino de nuestras ¿apetencias? Si lo bueno y lo malo, no están determinadas por el orden teórico y justificado de las acciones, sino por la configuración de nuestros deseos y apetencias, ¿sería el Derecho un producto también de estas apetencias, de estos deseos?</w:t>
      </w:r>
    </w:p>
    <w:p w14:paraId="4F055668" w14:textId="77777777" w:rsidR="001925CE" w:rsidRPr="000D3432" w:rsidRDefault="001925CE" w:rsidP="00A95498">
      <w:pPr>
        <w:jc w:val="both"/>
        <w:rPr>
          <w:rFonts w:asciiTheme="minorHAnsi" w:hAnsiTheme="minorHAnsi"/>
          <w:szCs w:val="24"/>
        </w:rPr>
      </w:pPr>
    </w:p>
    <w:p w14:paraId="1AD0A229"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c.- Pascal:</w:t>
      </w:r>
      <w:r w:rsidRPr="000D3432">
        <w:rPr>
          <w:rFonts w:asciiTheme="minorHAnsi" w:hAnsiTheme="minorHAnsi"/>
          <w:szCs w:val="24"/>
        </w:rPr>
        <w:t xml:space="preserve"> (1623-1662)</w:t>
      </w:r>
    </w:p>
    <w:p w14:paraId="50E9B238" w14:textId="77777777" w:rsidR="001925CE" w:rsidRPr="000D3432" w:rsidRDefault="001925CE" w:rsidP="00A95498">
      <w:pPr>
        <w:jc w:val="both"/>
        <w:rPr>
          <w:rFonts w:asciiTheme="minorHAnsi" w:hAnsiTheme="minorHAnsi"/>
          <w:szCs w:val="24"/>
        </w:rPr>
      </w:pPr>
    </w:p>
    <w:p w14:paraId="3066F87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O “El Derecho como razón y sentimientos”.</w:t>
      </w:r>
    </w:p>
    <w:p w14:paraId="7955E8AE" w14:textId="77777777" w:rsidR="001925CE" w:rsidRPr="000D3432" w:rsidRDefault="001925CE" w:rsidP="00A95498">
      <w:pPr>
        <w:ind w:firstLine="426"/>
        <w:jc w:val="both"/>
        <w:rPr>
          <w:rFonts w:asciiTheme="minorHAnsi" w:hAnsiTheme="minorHAnsi"/>
          <w:szCs w:val="24"/>
        </w:rPr>
      </w:pPr>
    </w:p>
    <w:p w14:paraId="6FCC4F0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Filósofo y genial matemático, de extraña precocidad, místico y polemista, espíritu profundo y apasionadamente religioso</w:t>
      </w:r>
      <w:r w:rsidRPr="000D3432">
        <w:rPr>
          <w:rStyle w:val="Refdenotaalpie"/>
          <w:rFonts w:asciiTheme="minorHAnsi" w:hAnsiTheme="minorHAnsi"/>
          <w:sz w:val="24"/>
          <w:szCs w:val="24"/>
          <w:vertAlign w:val="superscript"/>
        </w:rPr>
        <w:footnoteReference w:id="266"/>
      </w:r>
      <w:r w:rsidRPr="000D3432">
        <w:rPr>
          <w:rFonts w:asciiTheme="minorHAnsi" w:hAnsiTheme="minorHAnsi"/>
          <w:szCs w:val="24"/>
        </w:rPr>
        <w:t>, entiende que la base de todo no es la razón cartesiana. No somos sólo pensamiento, no es cierto absolutamente que "pienso, luego existo", sino que pienso, sí, pero no es la acción condicionante del existir. Además no todo pasa por la razón, por el pensamiento. No somos sólo razón, pensamiento. Somos muchas cosas más, como por ejemplo, sentimiento, emoción, furia, deseo, frustración, etc.</w:t>
      </w:r>
    </w:p>
    <w:p w14:paraId="0C0178AC" w14:textId="77777777" w:rsidR="001925CE" w:rsidRPr="000D3432" w:rsidRDefault="001925CE" w:rsidP="00A95498">
      <w:pPr>
        <w:ind w:firstLine="426"/>
        <w:jc w:val="both"/>
        <w:rPr>
          <w:rFonts w:asciiTheme="minorHAnsi" w:hAnsiTheme="minorHAnsi"/>
          <w:szCs w:val="24"/>
        </w:rPr>
      </w:pPr>
    </w:p>
    <w:p w14:paraId="2F7F14F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 muy frágil salud, Blaise Pascal, advierte que la vida, la realidad de la vida humana, no pasa solamente por la razón -como ya lo dijimos-, ni por ese yo puro, cartesiano, que es un ente pensante.</w:t>
      </w:r>
      <w:r w:rsidRPr="000D3432">
        <w:rPr>
          <w:rStyle w:val="Refdenotaalpie"/>
          <w:rFonts w:asciiTheme="minorHAnsi" w:hAnsiTheme="minorHAnsi"/>
          <w:sz w:val="24"/>
          <w:szCs w:val="24"/>
          <w:vertAlign w:val="superscript"/>
        </w:rPr>
        <w:footnoteReference w:id="267"/>
      </w:r>
      <w:r w:rsidRPr="000D3432">
        <w:rPr>
          <w:rFonts w:asciiTheme="minorHAnsi" w:hAnsiTheme="minorHAnsi"/>
          <w:szCs w:val="24"/>
        </w:rPr>
        <w:t xml:space="preserve">. Porque el hombre es mucho más que razonamiento. Este es un grito de independencia, que parece decir que no somos algo únicamente racional. "No, no soy algo que piensa. A veces, es cierto, pienso. Pero normalmente me apasiono, amo, odio, busco, caigo, sueño, anhelo. Y el otro también. Y vivo con el otro. Ese es mi problema. Estar con el otro es mi mayor deseo, y también mi mayor dificultad." </w:t>
      </w:r>
    </w:p>
    <w:p w14:paraId="3953D6DE" w14:textId="77777777" w:rsidR="001925CE" w:rsidRPr="000D3432" w:rsidRDefault="001925CE" w:rsidP="00A95498">
      <w:pPr>
        <w:ind w:firstLine="426"/>
        <w:jc w:val="both"/>
        <w:rPr>
          <w:rFonts w:asciiTheme="minorHAnsi" w:hAnsiTheme="minorHAnsi"/>
          <w:szCs w:val="24"/>
        </w:rPr>
      </w:pPr>
    </w:p>
    <w:p w14:paraId="6066D0A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Pascal rompe con el molde del racionalismo, del pensamiento, de lo estrictamente lógico. El expone que todos tenemos otras características. El ser </w:t>
      </w:r>
      <w:r w:rsidRPr="000D3432">
        <w:rPr>
          <w:rFonts w:asciiTheme="minorHAnsi" w:hAnsiTheme="minorHAnsi"/>
          <w:szCs w:val="24"/>
        </w:rPr>
        <w:lastRenderedPageBreak/>
        <w:t>humano piensa, siente, une, vincula. El yo no puede imponerse como una especie de cárcel que explica todo mediante la razón. El yo impera en nuestro conocer y actuar, el yo "es injusto en sí, por hacerse centro de todo; es incómodo para los demás, porque quiere someternos, porque cada "yo" es enemigo y quisiera ser el tirano de todos los demás.</w:t>
      </w:r>
    </w:p>
    <w:p w14:paraId="635F4D83" w14:textId="77777777" w:rsidR="001925CE" w:rsidRPr="000D3432" w:rsidRDefault="001925CE" w:rsidP="00A95498">
      <w:pPr>
        <w:ind w:firstLine="426"/>
        <w:jc w:val="both"/>
        <w:rPr>
          <w:rFonts w:asciiTheme="minorHAnsi" w:hAnsiTheme="minorHAnsi"/>
          <w:szCs w:val="24"/>
        </w:rPr>
      </w:pPr>
    </w:p>
    <w:p w14:paraId="5A2D994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"Cada uno es un todo para sí mismo, porque muerto él, todo ha muerto para sí; de tal modo que cada uno cree ser todo para todos"</w:t>
      </w:r>
      <w:r w:rsidRPr="000D3432">
        <w:rPr>
          <w:rStyle w:val="Refdenotaalpie"/>
          <w:rFonts w:asciiTheme="minorHAnsi" w:hAnsiTheme="minorHAnsi"/>
          <w:sz w:val="24"/>
          <w:szCs w:val="24"/>
          <w:vertAlign w:val="superscript"/>
        </w:rPr>
        <w:footnoteReference w:id="268"/>
      </w:r>
      <w:r w:rsidRPr="000D3432">
        <w:rPr>
          <w:rFonts w:asciiTheme="minorHAnsi" w:hAnsiTheme="minorHAnsi"/>
          <w:szCs w:val="24"/>
        </w:rPr>
        <w:t>, es decir que el "centro" es uno mismo, el hombre, el yo, que quiere ser centro de todos, para cada uno de nosotros, o para nosotros, el centro no son los demás, somos nosotros mismos, cada uno.</w:t>
      </w:r>
    </w:p>
    <w:p w14:paraId="225EB202" w14:textId="77777777" w:rsidR="001925CE" w:rsidRPr="000D3432" w:rsidRDefault="001925CE" w:rsidP="00A95498">
      <w:pPr>
        <w:ind w:firstLine="426"/>
        <w:jc w:val="both"/>
        <w:rPr>
          <w:rFonts w:asciiTheme="minorHAnsi" w:hAnsiTheme="minorHAnsi"/>
          <w:szCs w:val="24"/>
        </w:rPr>
      </w:pPr>
    </w:p>
    <w:p w14:paraId="25DFAF7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sociedad -para Pascal-  no puede ser guiada sólo por la razón. Aunque, las normas sean concebidas según ellas. Estamos atrapados por ella, pero no somos sólo razón. "Pascal sabía que estamos atrapados por la razón, pero también sabía que sólo la fe puede hacernos felices"</w:t>
      </w:r>
      <w:r w:rsidRPr="000D3432">
        <w:rPr>
          <w:rStyle w:val="Refdenotaalpie"/>
          <w:rFonts w:asciiTheme="minorHAnsi" w:hAnsiTheme="minorHAnsi"/>
          <w:sz w:val="24"/>
          <w:szCs w:val="24"/>
          <w:vertAlign w:val="superscript"/>
        </w:rPr>
        <w:footnoteReference w:id="269"/>
      </w:r>
      <w:r w:rsidRPr="000D3432">
        <w:rPr>
          <w:rFonts w:asciiTheme="minorHAnsi" w:hAnsiTheme="minorHAnsi"/>
          <w:szCs w:val="24"/>
        </w:rPr>
        <w:t>.</w:t>
      </w:r>
    </w:p>
    <w:p w14:paraId="115A9583" w14:textId="77777777" w:rsidR="001925CE" w:rsidRPr="000D3432" w:rsidRDefault="001925CE" w:rsidP="00A95498">
      <w:pPr>
        <w:ind w:firstLine="426"/>
        <w:jc w:val="both"/>
        <w:rPr>
          <w:rFonts w:asciiTheme="minorHAnsi" w:hAnsiTheme="minorHAnsi"/>
          <w:szCs w:val="24"/>
        </w:rPr>
      </w:pPr>
    </w:p>
    <w:p w14:paraId="5B26880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No es solo cuestión de explicar las cosas y sus fundamentos, es necesario además encontrar el sentido. "La razón es solución, pero no es salvación. La solución entiende, analiza, explica. La salvación  da sentido a la existencia. (...) sugirió Pascal"</w:t>
      </w:r>
      <w:r w:rsidRPr="000D3432">
        <w:rPr>
          <w:rStyle w:val="Refdenotaalpie"/>
          <w:rFonts w:asciiTheme="minorHAnsi" w:hAnsiTheme="minorHAnsi"/>
          <w:sz w:val="24"/>
          <w:szCs w:val="24"/>
          <w:vertAlign w:val="superscript"/>
        </w:rPr>
        <w:footnoteReference w:id="270"/>
      </w:r>
      <w:r w:rsidRPr="000D3432">
        <w:rPr>
          <w:rFonts w:asciiTheme="minorHAnsi" w:hAnsiTheme="minorHAnsi"/>
          <w:szCs w:val="24"/>
        </w:rPr>
        <w:t>.</w:t>
      </w:r>
    </w:p>
    <w:p w14:paraId="703E1CCF" w14:textId="77777777" w:rsidR="001925CE" w:rsidRPr="000D3432" w:rsidRDefault="001925CE" w:rsidP="00A95498">
      <w:pPr>
        <w:ind w:firstLine="426"/>
        <w:jc w:val="both"/>
        <w:rPr>
          <w:rFonts w:asciiTheme="minorHAnsi" w:hAnsiTheme="minorHAnsi"/>
          <w:szCs w:val="24"/>
        </w:rPr>
      </w:pPr>
    </w:p>
    <w:p w14:paraId="19E412F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Pascal, hijo de un funcionario rico y culto, demostró precozmente su talento matemático y su curiosidad intelectual. Publicó algunos estudios, y junto con una célebre discusión con Descartes, le confirieron un prestigioso lugar dentro del mundo científico. </w:t>
      </w:r>
    </w:p>
    <w:p w14:paraId="5DB902AB" w14:textId="77777777" w:rsidR="001925CE" w:rsidRPr="000D3432" w:rsidRDefault="001925CE" w:rsidP="00A95498">
      <w:pPr>
        <w:ind w:firstLine="426"/>
        <w:jc w:val="both"/>
        <w:rPr>
          <w:rFonts w:asciiTheme="minorHAnsi" w:hAnsiTheme="minorHAnsi"/>
          <w:szCs w:val="24"/>
        </w:rPr>
      </w:pPr>
    </w:p>
    <w:p w14:paraId="1DA8520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Ya en 1654 una especie de iluminación, revelación, éxtasis religiosa cambió su modos vivendi, el curso de su vida, y se retiró al convento Port-Royal, desde allí se convierte en un pensador religioso.</w:t>
      </w:r>
    </w:p>
    <w:p w14:paraId="5D5EE22E" w14:textId="77777777" w:rsidR="001925CE" w:rsidRPr="000D3432" w:rsidRDefault="001925CE" w:rsidP="00A95498">
      <w:pPr>
        <w:ind w:firstLine="426"/>
        <w:jc w:val="both"/>
        <w:rPr>
          <w:rFonts w:asciiTheme="minorHAnsi" w:hAnsiTheme="minorHAnsi"/>
          <w:szCs w:val="24"/>
        </w:rPr>
      </w:pPr>
    </w:p>
    <w:p w14:paraId="1C17D52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Pascal quiere fundamentar una religión en la que la fe y la razón tuvieran una coexistencia equilibrada. Cree, como ya lo advertimos anteriormente en que no se debe dejar de lado ninguna de ellas, y no se las debe colocar en situaciones antagónicas. Por lo cual propone una religión donde la fe sea un acto voluntario y no racional. Y “Con una sorprendente modernidad preexistencialista, la angustia metafísica y el sentimiento del absurdo son clasificados como puntos de partida de lo humano.”</w:t>
      </w:r>
      <w:r w:rsidRPr="000D3432">
        <w:rPr>
          <w:rStyle w:val="Refdenotaalpie"/>
          <w:rFonts w:asciiTheme="minorHAnsi" w:hAnsiTheme="minorHAnsi"/>
          <w:sz w:val="24"/>
          <w:szCs w:val="24"/>
          <w:vertAlign w:val="superscript"/>
        </w:rPr>
        <w:footnoteReference w:id="271"/>
      </w:r>
    </w:p>
    <w:p w14:paraId="595A10B7" w14:textId="77777777" w:rsidR="001925CE" w:rsidRPr="000D3432" w:rsidRDefault="001925CE" w:rsidP="00A95498">
      <w:pPr>
        <w:ind w:firstLine="426"/>
        <w:jc w:val="both"/>
        <w:rPr>
          <w:rFonts w:asciiTheme="minorHAnsi" w:hAnsiTheme="minorHAnsi"/>
          <w:szCs w:val="24"/>
        </w:rPr>
      </w:pPr>
    </w:p>
    <w:p w14:paraId="6F400F8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La razón es un problema que aborda esencialmente, cree en la posibilidad de su coexistencia con el corazón, para la obtención del conocimiento de la verdad.</w:t>
      </w:r>
    </w:p>
    <w:p w14:paraId="079F853C"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“Respecto al problema de su actitud ante la razón, hay que subrayar que Pascal distingue entre lo que llama raison -que suele entender como </w:t>
      </w:r>
      <w:r w:rsidRPr="000D3432">
        <w:rPr>
          <w:rFonts w:asciiTheme="minorHAnsi" w:hAnsiTheme="minorHAnsi"/>
          <w:sz w:val="24"/>
          <w:szCs w:val="24"/>
        </w:rPr>
        <w:lastRenderedPageBreak/>
        <w:t>raciocinio o silogismo- y lo que llama coeur, corazón. “El corazón -dice- tiene razones que la razón no conoce.” Y añade: “Conocemos la verdad no solo por la razón, sino también por el corazón; de este último modo conocemos los primeros principios, y en vano el razonamiento, que no participa de ellos, intenta combatirlos...El conocimiento de los primeros principios es tan firme como ninguno de los que nos dan nuestros razonamientos. Y en estos conocimientos del corazón y del instinto es donde la razón tiene que apoyarse y fundar todo su discurso.” No se trata, pues, de nada sentimental, sino que el coeur [el corazón] es para Pascal una facultad para el conocimiento de las verdades principales, fundamento del raciocinio.”</w:t>
      </w:r>
      <w:r w:rsidRPr="000D3432">
        <w:rPr>
          <w:rStyle w:val="Refdenotaalpie"/>
          <w:rFonts w:asciiTheme="minorHAnsi" w:hAnsiTheme="minorHAnsi"/>
          <w:sz w:val="24"/>
          <w:szCs w:val="24"/>
          <w:vertAlign w:val="superscript"/>
        </w:rPr>
        <w:footnoteReference w:id="272"/>
      </w:r>
    </w:p>
    <w:p w14:paraId="0DC6F949" w14:textId="77777777" w:rsidR="001925CE" w:rsidRPr="000D3432" w:rsidRDefault="001925CE" w:rsidP="00A95498">
      <w:pPr>
        <w:ind w:firstLine="426"/>
        <w:jc w:val="both"/>
        <w:rPr>
          <w:rFonts w:asciiTheme="minorHAnsi" w:hAnsiTheme="minorHAnsi"/>
          <w:szCs w:val="24"/>
        </w:rPr>
      </w:pPr>
    </w:p>
    <w:p w14:paraId="2556189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en este pensador una evidente actitud no excluyente, y clarificadora de los errores del método de conocimiento de la verdad. Pacal “resume su actitud filosófica entera en una frase que esclarece su verdadera significación. “Dos excesos: excluir la razón, no admitir más que la razón”.”</w:t>
      </w:r>
      <w:r w:rsidRPr="000D3432">
        <w:rPr>
          <w:rStyle w:val="Refdenotaalpie"/>
          <w:rFonts w:asciiTheme="minorHAnsi" w:hAnsiTheme="minorHAnsi"/>
          <w:sz w:val="24"/>
          <w:szCs w:val="24"/>
          <w:vertAlign w:val="superscript"/>
        </w:rPr>
        <w:footnoteReference w:id="273"/>
      </w:r>
      <w:r w:rsidRPr="000D3432">
        <w:rPr>
          <w:rFonts w:asciiTheme="minorHAnsi" w:hAnsiTheme="minorHAnsi"/>
          <w:szCs w:val="24"/>
        </w:rPr>
        <w:t xml:space="preserve">. Además, este filósofo es uno de los más grandes psicólogos y moralistas franceses. Por otro lado, constituye una especie de culminación del Renacimiento. </w:t>
      </w:r>
    </w:p>
    <w:p w14:paraId="72FB60F4" w14:textId="77777777" w:rsidR="001925CE" w:rsidRPr="000D3432" w:rsidRDefault="001925CE" w:rsidP="00A95498">
      <w:pPr>
        <w:ind w:firstLine="426"/>
        <w:jc w:val="both"/>
        <w:rPr>
          <w:rFonts w:asciiTheme="minorHAnsi" w:hAnsiTheme="minorHAnsi"/>
          <w:szCs w:val="24"/>
        </w:rPr>
      </w:pPr>
    </w:p>
    <w:p w14:paraId="30C35EA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Escribe Claude Du Pasquier que Pascal le hizo duras críticas al Derecho Natural</w:t>
      </w:r>
      <w:r w:rsidRPr="000D3432">
        <w:rPr>
          <w:rStyle w:val="Refdenotaalpie"/>
          <w:rFonts w:asciiTheme="minorHAnsi" w:hAnsiTheme="minorHAnsi"/>
          <w:sz w:val="24"/>
          <w:szCs w:val="24"/>
          <w:vertAlign w:val="superscript"/>
        </w:rPr>
        <w:footnoteReference w:id="274"/>
      </w:r>
      <w:r w:rsidRPr="000D3432">
        <w:rPr>
          <w:rFonts w:asciiTheme="minorHAnsi" w:hAnsiTheme="minorHAnsi"/>
          <w:szCs w:val="24"/>
        </w:rPr>
        <w:t>, en los siglos XVII y XVIII, época del reinado soberano de este Derecho.  Además sus observaciones sarcásticas y extravagantes sobre el Derecho han provocado ciertos resquesores en el pensamiento predominantes de la época. Por ejemplo, opone al discurso del Derecho natural de la existencia de leyes universales y conocidas en todo el país, lo cual él no concibe, diciendo que hay, al contrario de lo expresado por el Derecho Natural, diversidad e inestabilidad de leyes humanas. No desestima la existencia de leyes naturales, pero advierte que la razón corrompida lo ha corrompido todo. Y los hombres, incapaces de tener opiniones iguales no pueden ponerse de acuerdo referente a la justicia “Así lo más prudente es remitirse al derecho establecido: “La costumbre hace toda la equidad por la sencilla razón que es aceptada”.”</w:t>
      </w:r>
      <w:r w:rsidRPr="000D3432">
        <w:rPr>
          <w:rStyle w:val="Refdenotaalpie"/>
          <w:rFonts w:asciiTheme="minorHAnsi" w:hAnsiTheme="minorHAnsi"/>
          <w:sz w:val="24"/>
          <w:szCs w:val="24"/>
          <w:vertAlign w:val="superscript"/>
        </w:rPr>
        <w:footnoteReference w:id="275"/>
      </w:r>
    </w:p>
    <w:p w14:paraId="52125F91" w14:textId="77777777" w:rsidR="001925CE" w:rsidRPr="000D3432" w:rsidRDefault="001925CE" w:rsidP="00A95498">
      <w:pPr>
        <w:ind w:firstLine="426"/>
        <w:jc w:val="both"/>
        <w:rPr>
          <w:rFonts w:asciiTheme="minorHAnsi" w:hAnsiTheme="minorHAnsi"/>
          <w:szCs w:val="24"/>
        </w:rPr>
      </w:pPr>
    </w:p>
    <w:p w14:paraId="25E91B0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Pascal es un convencido de que es necesario explicitar las relaciones entre fuerza y justicia, pues de allí derivará la existencia y vigencia de una  u otra. Du Pasquier citándolo escribe al respecto: “La justicia está sujeta a discusión; la fuerza es fácilmente reconocible y sin discusión. Así no ha podido darse la fuerza a la justicia porque la fuerza ha contradicho la justicia y ha dicho que era injusta y ha dicho que era ella quien era justa. Y así no pudiendo hacer que lo que es justo fuese fuerte, se ha hecho que lo que es fuerte fuese justo...”.”</w:t>
      </w:r>
      <w:r w:rsidRPr="000D3432">
        <w:rPr>
          <w:rStyle w:val="Refdenotaalpie"/>
          <w:rFonts w:asciiTheme="minorHAnsi" w:hAnsiTheme="minorHAnsi"/>
          <w:sz w:val="24"/>
          <w:szCs w:val="24"/>
          <w:vertAlign w:val="superscript"/>
        </w:rPr>
        <w:footnoteReference w:id="276"/>
      </w:r>
    </w:p>
    <w:p w14:paraId="7ABF0E8B" w14:textId="77777777" w:rsidR="001925CE" w:rsidRPr="000D3432" w:rsidRDefault="001925CE" w:rsidP="00A95498">
      <w:pPr>
        <w:ind w:firstLine="426"/>
        <w:jc w:val="both"/>
        <w:rPr>
          <w:rFonts w:asciiTheme="minorHAnsi" w:hAnsiTheme="minorHAnsi"/>
          <w:szCs w:val="24"/>
        </w:rPr>
      </w:pPr>
    </w:p>
    <w:p w14:paraId="0E9DE86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La determinación que hace Pascal de la fuerza como verdadero fundamento de la justicia, cómo creadora, por imposición de la fuerza expresa un escepticismo respeto de la justicia como tal. El planteamiento de Pascal, al final, </w:t>
      </w:r>
      <w:r w:rsidRPr="000D3432">
        <w:rPr>
          <w:rFonts w:asciiTheme="minorHAnsi" w:hAnsiTheme="minorHAnsi"/>
          <w:szCs w:val="24"/>
        </w:rPr>
        <w:lastRenderedPageBreak/>
        <w:t>es que la fuerza es la que crea, inventa, determina, lo que realmente se contextualizará como justo.</w:t>
      </w:r>
    </w:p>
    <w:p w14:paraId="5AE88AB5" w14:textId="77777777" w:rsidR="001925CE" w:rsidRPr="000D3432" w:rsidRDefault="001925CE" w:rsidP="00A95498">
      <w:pPr>
        <w:jc w:val="both"/>
        <w:rPr>
          <w:rFonts w:asciiTheme="minorHAnsi" w:hAnsiTheme="minorHAnsi"/>
          <w:szCs w:val="24"/>
        </w:rPr>
      </w:pPr>
    </w:p>
    <w:p w14:paraId="261E27CF"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d.- Nicolás Maquiavelo</w:t>
      </w:r>
      <w:r w:rsidRPr="000D3432">
        <w:rPr>
          <w:rFonts w:asciiTheme="minorHAnsi" w:hAnsiTheme="minorHAnsi"/>
          <w:szCs w:val="24"/>
        </w:rPr>
        <w:t>: (1469-1527)</w:t>
      </w:r>
    </w:p>
    <w:p w14:paraId="6DE9F2CF" w14:textId="77777777" w:rsidR="001925CE" w:rsidRPr="000D3432" w:rsidRDefault="001925CE" w:rsidP="00A95498">
      <w:pPr>
        <w:jc w:val="both"/>
        <w:rPr>
          <w:rFonts w:asciiTheme="minorHAnsi" w:hAnsiTheme="minorHAnsi"/>
          <w:szCs w:val="24"/>
        </w:rPr>
      </w:pPr>
    </w:p>
    <w:p w14:paraId="4314DB6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O El Derecho como descripción, expresión de la realidad.</w:t>
      </w:r>
    </w:p>
    <w:p w14:paraId="1231969F" w14:textId="77777777" w:rsidR="001925CE" w:rsidRPr="000D3432" w:rsidRDefault="001925CE" w:rsidP="00A95498">
      <w:pPr>
        <w:ind w:firstLine="426"/>
        <w:jc w:val="both"/>
        <w:rPr>
          <w:rFonts w:asciiTheme="minorHAnsi" w:hAnsiTheme="minorHAnsi"/>
          <w:szCs w:val="24"/>
        </w:rPr>
      </w:pPr>
    </w:p>
    <w:p w14:paraId="136C1EF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Nicolás Maquiavelo vivió en Florencia a finales del siglo XV y comienzos del XVI. Fue -al decir de Arturo Uslar Pietri- un extraño personaje histórico. Este pensador político es representado en la historia como  “...uno de los hombres que tuvo más claridad de pensamiento, y en cierto sentido uno de los más valiosos y originales pensadores sobre política y sobre historia que ha conocido el mundo moderno.”</w:t>
      </w:r>
      <w:r w:rsidRPr="000D3432">
        <w:rPr>
          <w:rStyle w:val="Refdenotaalpie"/>
          <w:rFonts w:asciiTheme="minorHAnsi" w:hAnsiTheme="minorHAnsi"/>
          <w:sz w:val="24"/>
          <w:szCs w:val="24"/>
          <w:vertAlign w:val="superscript"/>
        </w:rPr>
        <w:footnoteReference w:id="277"/>
      </w:r>
    </w:p>
    <w:p w14:paraId="35EBBA79" w14:textId="77777777" w:rsidR="001925CE" w:rsidRPr="000D3432" w:rsidRDefault="001925CE" w:rsidP="00A95498">
      <w:pPr>
        <w:ind w:firstLine="426"/>
        <w:jc w:val="both"/>
        <w:rPr>
          <w:rFonts w:asciiTheme="minorHAnsi" w:hAnsiTheme="minorHAnsi"/>
          <w:szCs w:val="24"/>
        </w:rPr>
      </w:pPr>
    </w:p>
    <w:p w14:paraId="2F5D934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contexto en el que se va a desenvolver Maquiavelo no es el de la paz y mansedumbre social; es más bien un tiempo turbulento, en donde la exaltación del hombre se conjuga también con la violencia; un mundo vital, desenfadado, pero también peligroso, escandaloso, etc.; era la época del Renacimiento. “A Maquiavelo le toca vivir en ese periodo que llamamos el Renacimiento italiano. El Renacimiento italiano es una de las épocas más inmorales de la historia. Pocas veces, con tanta vitalidad, con tanto impulso desenfadado, los hombres han pecado más alegre y descaradamente que en la época del Renacimiento. Los crímenes que nos parecen hoy más horribles, las traiciones más despiadadas, los engaños más cínicos, las abominaciones más escandalosas se cometieron con una frecuencia, con una ostentación, con una despreocupación increíbles e impresionantes durante esos largos años pecaminosos.(...) Abundan asesinatos, envenenamientos, traiciones, engaños y toda suerte de maldades. No había fe. El hermano engañaba al hermano, el hijo al padre, no había manera alguna de confiar en la palabra de nadie.(...) En ese mundo turbio, regido de hecho por una especie de ley de la selva, florecieron grandes y agresivas individualidades. Nada se apreciaba más que el valor, la decisión, la tenacidad para obtener fines, que era lo que hacía que se destacaran los unos sobre los otros.”</w:t>
      </w:r>
      <w:r w:rsidRPr="000D3432">
        <w:rPr>
          <w:rStyle w:val="Refdenotaalpie"/>
          <w:rFonts w:asciiTheme="minorHAnsi" w:hAnsiTheme="minorHAnsi"/>
          <w:sz w:val="24"/>
          <w:szCs w:val="24"/>
          <w:vertAlign w:val="superscript"/>
        </w:rPr>
        <w:footnoteReference w:id="278"/>
      </w:r>
      <w:r w:rsidRPr="000D3432">
        <w:rPr>
          <w:rFonts w:asciiTheme="minorHAnsi" w:hAnsiTheme="minorHAnsi"/>
          <w:szCs w:val="24"/>
        </w:rPr>
        <w:t xml:space="preserve"> Este era el mundo donde vivió Maquiavelo, y este el que quería describir. </w:t>
      </w:r>
    </w:p>
    <w:p w14:paraId="33E77357" w14:textId="77777777" w:rsidR="001925CE" w:rsidRPr="000D3432" w:rsidRDefault="001925CE" w:rsidP="00A95498">
      <w:pPr>
        <w:ind w:firstLine="426"/>
        <w:jc w:val="both"/>
        <w:rPr>
          <w:rFonts w:asciiTheme="minorHAnsi" w:hAnsiTheme="minorHAnsi"/>
          <w:szCs w:val="24"/>
        </w:rPr>
      </w:pPr>
    </w:p>
    <w:p w14:paraId="5140B01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Como hijo del Renacimiento Maquiavelo sabe de la importancia trascendental que cumple la razón. Una razón que no viene del misticismo, sino de la operación intelectual de atrapar el verdadero ser de la realidad. Esto se debe a que es la época donde la razón toma importancia marcada: la razón ocupa el centro. Dios está ahora a un lado, sigue existiendo pero se lo despoja de su categoría hegemónica y central. El reinado de la razón es autárquica, es decir se basta así mismo. </w:t>
      </w:r>
    </w:p>
    <w:p w14:paraId="39AF3F63" w14:textId="77777777" w:rsidR="001925CE" w:rsidRPr="000D3432" w:rsidRDefault="001925CE" w:rsidP="00A95498">
      <w:pPr>
        <w:ind w:firstLine="426"/>
        <w:jc w:val="both"/>
        <w:rPr>
          <w:rFonts w:asciiTheme="minorHAnsi" w:hAnsiTheme="minorHAnsi"/>
          <w:szCs w:val="24"/>
        </w:rPr>
      </w:pPr>
    </w:p>
    <w:p w14:paraId="131F902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Lo importante, en un ambiente como este, es el presente, el qué son las cosas, la realidad actual, palpante, no lo que debería ser. Con esta concepción escribe entre otras obras El príncipe, donde se deja reflejar “el pensamiento del </w:t>
      </w:r>
      <w:r w:rsidRPr="000D3432">
        <w:rPr>
          <w:rFonts w:asciiTheme="minorHAnsi" w:hAnsiTheme="minorHAnsi"/>
          <w:szCs w:val="24"/>
        </w:rPr>
        <w:lastRenderedPageBreak/>
        <w:t>Renacimiento en sus formas más originales, libres y abiertas, despojado de toda preocupación metafísica, totalmente dirigido a observar la realidad humana y terrenal y a descubrir científicamente las normas y los fines inmediatos que regulan y orientan su desarrollo”</w:t>
      </w:r>
      <w:r w:rsidRPr="000D3432">
        <w:rPr>
          <w:rStyle w:val="Refdenotaalpie"/>
          <w:rFonts w:asciiTheme="minorHAnsi" w:hAnsiTheme="minorHAnsi"/>
          <w:sz w:val="24"/>
          <w:szCs w:val="24"/>
          <w:vertAlign w:val="superscript"/>
        </w:rPr>
        <w:footnoteReference w:id="279"/>
      </w:r>
      <w:r w:rsidRPr="000D3432">
        <w:rPr>
          <w:rFonts w:asciiTheme="minorHAnsi" w:hAnsiTheme="minorHAnsi"/>
          <w:szCs w:val="24"/>
        </w:rPr>
        <w:t xml:space="preserve"> No obstante, este libro, El Príncipe</w:t>
      </w:r>
      <w:r w:rsidRPr="000D3432">
        <w:rPr>
          <w:rStyle w:val="Refdenotaalpie"/>
          <w:rFonts w:asciiTheme="minorHAnsi" w:hAnsiTheme="minorHAnsi"/>
          <w:sz w:val="24"/>
          <w:szCs w:val="24"/>
          <w:vertAlign w:val="superscript"/>
        </w:rPr>
        <w:footnoteReference w:id="280"/>
      </w:r>
      <w:r w:rsidRPr="000D3432">
        <w:rPr>
          <w:rFonts w:asciiTheme="minorHAnsi" w:hAnsiTheme="minorHAnsi"/>
          <w:szCs w:val="24"/>
        </w:rPr>
        <w:t>, ha sido considerado como una especie de recetario de las más atroces canalladas; concepción que está totalmente errada, porque lo que Maquiavelo pretendía era retratar la época de su tiempo, y dar al príncipe los instrumentos para poder normar y dirigir el pueblo que le tocaba gobernar. El Derecho debía, por tanto, constituirse sobre bases reales de lo que sucede en la práxis, manejada desde su conocimiento, no desde el debe ser, sino desde el es. Frente a la cruel realidad, lo que Maquiavelo hace es darle al príncipe la visión de cómo gobernar, y propone que use, simbólicamente hablando, de la fuerza del león, y de la astucia del zorro. Esta era la clave para el buen gobierno. Resultando de la misma naturaleza de la sociedad la bondad como un valor inadecuado. Esto no quiere decir que Maquiavelo no cree en el bien; al contrario de esto, él piensa que el hombre bueno debe enseñar el bien.</w:t>
      </w:r>
      <w:r w:rsidRPr="000D3432">
        <w:rPr>
          <w:rStyle w:val="Refdenotaalpie"/>
          <w:rFonts w:asciiTheme="minorHAnsi" w:hAnsiTheme="minorHAnsi"/>
          <w:sz w:val="24"/>
          <w:szCs w:val="24"/>
          <w:vertAlign w:val="superscript"/>
        </w:rPr>
        <w:footnoteReference w:id="281"/>
      </w:r>
    </w:p>
    <w:p w14:paraId="3CEB1F09" w14:textId="77777777" w:rsidR="001925CE" w:rsidRPr="000D3432" w:rsidRDefault="001925CE" w:rsidP="00A95498">
      <w:pPr>
        <w:ind w:firstLine="426"/>
        <w:jc w:val="both"/>
        <w:rPr>
          <w:rFonts w:asciiTheme="minorHAnsi" w:hAnsiTheme="minorHAnsi"/>
          <w:szCs w:val="24"/>
        </w:rPr>
      </w:pPr>
    </w:p>
    <w:p w14:paraId="23126C7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 que hizo Maquiavelo, fue describir cómo funciona la sociedad en relación al Estado y al gobierno; estudió y describió las relaciones de poder que se daban insitu, en ese momento y de allí planteó sus reglas, que luego incluyó en esa especie de manual del gobernante: El Príncipe, "No se debe olvidar -insisto- que Maquiavelo extrajo sus reglas de la experiencia histórica. El gobernante ideal era entonces el zorro y el león, bajo una misma piel"</w:t>
      </w:r>
      <w:r w:rsidRPr="000D3432">
        <w:rPr>
          <w:rStyle w:val="Refdenotaalpie"/>
          <w:rFonts w:asciiTheme="minorHAnsi" w:hAnsiTheme="minorHAnsi"/>
          <w:sz w:val="24"/>
          <w:szCs w:val="24"/>
          <w:vertAlign w:val="superscript"/>
        </w:rPr>
        <w:footnoteReference w:id="282"/>
      </w:r>
      <w:r w:rsidRPr="000D3432">
        <w:rPr>
          <w:rFonts w:asciiTheme="minorHAnsi" w:hAnsiTheme="minorHAnsi"/>
          <w:szCs w:val="24"/>
        </w:rPr>
        <w:t xml:space="preserve">. </w:t>
      </w:r>
    </w:p>
    <w:p w14:paraId="14D71288" w14:textId="77777777" w:rsidR="001925CE" w:rsidRPr="000D3432" w:rsidRDefault="001925CE" w:rsidP="00A95498">
      <w:pPr>
        <w:ind w:firstLine="426"/>
        <w:jc w:val="both"/>
        <w:rPr>
          <w:rFonts w:asciiTheme="minorHAnsi" w:hAnsiTheme="minorHAnsi"/>
          <w:szCs w:val="24"/>
        </w:rPr>
      </w:pPr>
    </w:p>
    <w:p w14:paraId="19EE98F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 desde este pensador que el Derecho, y la misma concepción del mundo fue apreciándose bajo otros cristales, más crudos tal vez, pero también más reales. En donde se establecía una clara distancia entre la ética y la política, bases para la corriente del liberalismo. Nicolás Maquiavelo “...defendió el divorcio completo entre ética y política, que después heredaría el liberalismo.”</w:t>
      </w:r>
      <w:r w:rsidRPr="000D3432">
        <w:rPr>
          <w:rStyle w:val="Refdenotaalpie"/>
          <w:rFonts w:asciiTheme="minorHAnsi" w:hAnsiTheme="minorHAnsi"/>
          <w:sz w:val="24"/>
          <w:szCs w:val="24"/>
          <w:vertAlign w:val="superscript"/>
        </w:rPr>
        <w:footnoteReference w:id="283"/>
      </w:r>
    </w:p>
    <w:p w14:paraId="716EFFFD" w14:textId="77777777" w:rsidR="001925CE" w:rsidRPr="000D3432" w:rsidRDefault="001925CE" w:rsidP="00A95498">
      <w:pPr>
        <w:ind w:firstLine="426"/>
        <w:jc w:val="both"/>
        <w:rPr>
          <w:rFonts w:asciiTheme="minorHAnsi" w:hAnsiTheme="minorHAnsi"/>
          <w:szCs w:val="24"/>
        </w:rPr>
      </w:pPr>
    </w:p>
    <w:p w14:paraId="4A5F78F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Este atrevimiento de desenmascarar la realidad tal como es, es apreciada aún como la determinación de lo verdaderamente importante conocer: las costumbres de los hombres y sus pasiones e intereses reales. “Escribe Francisco Bacon: “Hay que agradecer a Maquiavelo y a los escritores  de su clase el que digan abiertamente y sin disimulación lo que los hombres tienen costumbre de </w:t>
      </w:r>
      <w:r w:rsidRPr="000D3432">
        <w:rPr>
          <w:rFonts w:asciiTheme="minorHAnsi" w:hAnsiTheme="minorHAnsi"/>
          <w:szCs w:val="24"/>
        </w:rPr>
        <w:lastRenderedPageBreak/>
        <w:t>hacer y no lo que deben hacer.” En el Renacimiento se descubre y estudia al hombre como un ser con intereses, pasiones y ambiciones concretas”</w:t>
      </w:r>
      <w:r w:rsidRPr="000D3432">
        <w:rPr>
          <w:rStyle w:val="Refdenotaalpie"/>
          <w:rFonts w:asciiTheme="minorHAnsi" w:hAnsiTheme="minorHAnsi"/>
          <w:sz w:val="24"/>
          <w:szCs w:val="24"/>
          <w:vertAlign w:val="superscript"/>
        </w:rPr>
        <w:footnoteReference w:id="284"/>
      </w:r>
    </w:p>
    <w:p w14:paraId="4BB02625" w14:textId="77777777" w:rsidR="001925CE" w:rsidRPr="000D3432" w:rsidRDefault="001925CE" w:rsidP="00A95498">
      <w:pPr>
        <w:ind w:firstLine="426"/>
        <w:jc w:val="both"/>
        <w:rPr>
          <w:rFonts w:asciiTheme="minorHAnsi" w:hAnsiTheme="minorHAnsi"/>
          <w:szCs w:val="24"/>
        </w:rPr>
      </w:pPr>
    </w:p>
    <w:p w14:paraId="3FB43CC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empirismo, es decir aquella que fundamenta sus conocimientos en la experiencia toma fuerza. El cómo son y no el cómo deben ser las cosas, se asentúa como lo más importante. La relación de fuerzas entre hombre y Estado pueden ser apreciadas. La imposición del Derecho por razones de Estado -“Razón de Estado” forjada por Maquiavelo</w:t>
      </w:r>
      <w:r w:rsidRPr="000D3432">
        <w:rPr>
          <w:rStyle w:val="Refdenotaalpie"/>
          <w:rFonts w:asciiTheme="minorHAnsi" w:hAnsiTheme="minorHAnsi"/>
          <w:sz w:val="24"/>
          <w:szCs w:val="24"/>
          <w:vertAlign w:val="superscript"/>
        </w:rPr>
        <w:footnoteReference w:id="285"/>
      </w:r>
      <w:r w:rsidRPr="000D3432">
        <w:rPr>
          <w:rFonts w:asciiTheme="minorHAnsi" w:hAnsiTheme="minorHAnsi"/>
          <w:szCs w:val="24"/>
        </w:rPr>
        <w:t>-, para conseguir evitar el mal es el nuevo fundamento esencial en la teoría de Maquiavelo.“La posición extremista en este sentido es el empirismo a ultranza de Nicolás Maquiavelo (1469-1527). Para él, lo importante es saber cómo actúan los hombres y no cómo deberían actuar. El hombre y el Estado no son más que un mecanismo de fuerzas, cuyos elementos en juego son las pasiones humanas. La utilidad política debería absorber sin escrúpulos toda consideración de carácter moral; se debe imponer el Derecho por temor hasta lograr que los súbditos “se abstengan, más por necesidad que por voluntad, de obrar mal”. La fórmula de Maquiavelo apunta más a una sociología de las fuerzas políticas que a una Política entendida en la forma tradicional.”</w:t>
      </w:r>
      <w:r w:rsidRPr="000D3432">
        <w:rPr>
          <w:rStyle w:val="Refdenotaalpie"/>
          <w:rFonts w:asciiTheme="minorHAnsi" w:hAnsiTheme="minorHAnsi"/>
          <w:sz w:val="24"/>
          <w:szCs w:val="24"/>
          <w:vertAlign w:val="superscript"/>
        </w:rPr>
        <w:footnoteReference w:id="286"/>
      </w:r>
      <w:r w:rsidRPr="000D3432">
        <w:rPr>
          <w:rFonts w:asciiTheme="minorHAnsi" w:hAnsiTheme="minorHAnsi"/>
          <w:szCs w:val="24"/>
        </w:rPr>
        <w:t xml:space="preserve"> No obstante “Nicolás Maquiavelo, al considerar la conducta social como una mecánica del juego de las pasiones humanas, se coloca de lleno en una posición empírica. En verdad, su realismo es bastante limitado: se reduce a una psicología política que no conoce otros móviles que los utilitarios. No sólo omite el estudio de los móviles de carácter espiritual -como la justicia y los ideales religiosos-, sino que desconoce la influencia, en las decisiones políticas, de los fenómenos económicos y de las condiciones geográficas.”</w:t>
      </w:r>
      <w:r w:rsidRPr="000D3432">
        <w:rPr>
          <w:rStyle w:val="Refdenotaalpie"/>
          <w:rFonts w:asciiTheme="minorHAnsi" w:hAnsiTheme="minorHAnsi"/>
          <w:sz w:val="24"/>
          <w:szCs w:val="24"/>
          <w:vertAlign w:val="superscript"/>
        </w:rPr>
        <w:footnoteReference w:id="287"/>
      </w:r>
    </w:p>
    <w:p w14:paraId="008D3268" w14:textId="77777777" w:rsidR="001925CE" w:rsidRPr="000D3432" w:rsidRDefault="001925CE" w:rsidP="00A95498">
      <w:pPr>
        <w:ind w:firstLine="426"/>
        <w:jc w:val="both"/>
        <w:rPr>
          <w:rFonts w:asciiTheme="minorHAnsi" w:hAnsiTheme="minorHAnsi"/>
          <w:szCs w:val="24"/>
        </w:rPr>
      </w:pPr>
    </w:p>
    <w:p w14:paraId="43D3808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hay también algo trascedental en la concepción que se va imponiendo desde Maquiavelo: la crítica de la concepción del Derecho como lo justo, y se  toma en cuenta que el Derecho puede ser una especie de relación de fuerzas políticas.</w:t>
      </w:r>
    </w:p>
    <w:p w14:paraId="23F645C3"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“...durante el Renacimiento y aun después sigue predominando la concepción del Derecho como lo justo. Pero es durante el Renacimiento cuando por primera vez se critica tal concepción: para Maquiavelo el Derecho es un hecho resultante de la mecánica del juego de fuerzas políticas.”</w:t>
      </w:r>
      <w:r w:rsidRPr="000D3432">
        <w:rPr>
          <w:rStyle w:val="Refdenotaalpie"/>
          <w:rFonts w:asciiTheme="minorHAnsi" w:hAnsiTheme="minorHAnsi"/>
          <w:sz w:val="24"/>
          <w:szCs w:val="24"/>
          <w:vertAlign w:val="superscript"/>
        </w:rPr>
        <w:footnoteReference w:id="288"/>
      </w:r>
    </w:p>
    <w:p w14:paraId="39DF07CE" w14:textId="77777777" w:rsidR="001925CE" w:rsidRPr="000D3432" w:rsidRDefault="001925CE" w:rsidP="00A95498">
      <w:pPr>
        <w:pStyle w:val="Level2"/>
        <w:tabs>
          <w:tab w:val="left" w:pos="-1440"/>
        </w:tabs>
        <w:ind w:left="-22" w:firstLine="0"/>
        <w:jc w:val="both"/>
        <w:rPr>
          <w:rFonts w:asciiTheme="minorHAnsi" w:hAnsiTheme="minorHAnsi"/>
          <w:b/>
          <w:szCs w:val="24"/>
        </w:rPr>
      </w:pPr>
    </w:p>
    <w:p w14:paraId="3C3B4BFE" w14:textId="77777777" w:rsidR="001925CE" w:rsidRPr="000D3432" w:rsidRDefault="001925CE" w:rsidP="00A95498">
      <w:pPr>
        <w:pStyle w:val="Level2"/>
        <w:tabs>
          <w:tab w:val="left" w:pos="-1440"/>
        </w:tabs>
        <w:ind w:left="-22" w:firstLine="0"/>
        <w:jc w:val="both"/>
        <w:rPr>
          <w:rFonts w:asciiTheme="minorHAnsi" w:hAnsiTheme="minorHAnsi"/>
          <w:szCs w:val="24"/>
        </w:rPr>
      </w:pPr>
      <w:r w:rsidRPr="000D3432">
        <w:rPr>
          <w:rFonts w:asciiTheme="minorHAnsi" w:hAnsiTheme="minorHAnsi"/>
          <w:b/>
          <w:szCs w:val="24"/>
        </w:rPr>
        <w:t>e.- Hobbes:</w:t>
      </w:r>
      <w:r w:rsidRPr="000D3432">
        <w:rPr>
          <w:rFonts w:asciiTheme="minorHAnsi" w:hAnsiTheme="minorHAnsi"/>
          <w:szCs w:val="24"/>
        </w:rPr>
        <w:t>(1588-1679)</w:t>
      </w:r>
    </w:p>
    <w:p w14:paraId="49DF272A" w14:textId="77777777" w:rsidR="001925CE" w:rsidRPr="000D3432" w:rsidRDefault="001925CE" w:rsidP="00A95498">
      <w:pPr>
        <w:pStyle w:val="Level2"/>
        <w:tabs>
          <w:tab w:val="left" w:pos="-1440"/>
        </w:tabs>
        <w:ind w:left="-22" w:firstLine="0"/>
        <w:jc w:val="both"/>
        <w:rPr>
          <w:rFonts w:asciiTheme="minorHAnsi" w:hAnsiTheme="minorHAnsi"/>
          <w:szCs w:val="24"/>
        </w:rPr>
      </w:pPr>
    </w:p>
    <w:p w14:paraId="10EE5293" w14:textId="77777777" w:rsidR="001925CE" w:rsidRPr="000D3432" w:rsidRDefault="001925CE" w:rsidP="00A95498">
      <w:pPr>
        <w:pStyle w:val="Level2"/>
        <w:tabs>
          <w:tab w:val="left" w:pos="-1440"/>
        </w:tabs>
        <w:ind w:left="-22" w:firstLine="0"/>
        <w:jc w:val="both"/>
        <w:rPr>
          <w:rFonts w:asciiTheme="minorHAnsi" w:hAnsiTheme="minorHAnsi"/>
          <w:szCs w:val="24"/>
        </w:rPr>
      </w:pPr>
      <w:r w:rsidRPr="000D3432">
        <w:rPr>
          <w:rFonts w:asciiTheme="minorHAnsi" w:hAnsiTheme="minorHAnsi"/>
          <w:szCs w:val="24"/>
        </w:rPr>
        <w:tab/>
      </w:r>
      <w:r w:rsidRPr="000D3432">
        <w:rPr>
          <w:rFonts w:asciiTheme="minorHAnsi" w:hAnsiTheme="minorHAnsi"/>
          <w:szCs w:val="24"/>
        </w:rPr>
        <w:tab/>
        <w:t>O El Derecho como mandato del soberano, (Friedrich).</w:t>
      </w:r>
    </w:p>
    <w:p w14:paraId="21E27C7D" w14:textId="77777777" w:rsidR="001925CE" w:rsidRPr="000D3432" w:rsidRDefault="001925CE" w:rsidP="00A95498">
      <w:pPr>
        <w:ind w:firstLine="426"/>
        <w:jc w:val="both"/>
        <w:rPr>
          <w:rFonts w:asciiTheme="minorHAnsi" w:hAnsiTheme="minorHAnsi"/>
          <w:szCs w:val="24"/>
        </w:rPr>
      </w:pPr>
    </w:p>
    <w:p w14:paraId="08CE8BE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Thomas Hobbes es un filósofo inglés, ingenioso y atrevido. Y su filosofía ha trascendido a través de su famoso libro El Leviatan</w:t>
      </w:r>
      <w:r w:rsidRPr="000D3432">
        <w:rPr>
          <w:rStyle w:val="Refdenotaalpie"/>
          <w:rFonts w:asciiTheme="minorHAnsi" w:hAnsiTheme="minorHAnsi"/>
          <w:sz w:val="24"/>
          <w:szCs w:val="24"/>
          <w:vertAlign w:val="superscript"/>
        </w:rPr>
        <w:footnoteReference w:id="289"/>
      </w:r>
      <w:r w:rsidRPr="000D3432">
        <w:rPr>
          <w:rFonts w:asciiTheme="minorHAnsi" w:hAnsiTheme="minorHAnsi"/>
          <w:szCs w:val="24"/>
        </w:rPr>
        <w:t xml:space="preserve">, en el que explica la </w:t>
      </w:r>
      <w:r w:rsidRPr="000D3432">
        <w:rPr>
          <w:rFonts w:asciiTheme="minorHAnsi" w:hAnsiTheme="minorHAnsi"/>
          <w:szCs w:val="24"/>
        </w:rPr>
        <w:lastRenderedPageBreak/>
        <w:t xml:space="preserve">naturaleza malvada y egoísta del hombre: “Homo homini lupus” (el hombre es lobo para el hombre), y la teoría de que este Leviatán representaría al Estado soberano, todo poderoso. </w:t>
      </w:r>
    </w:p>
    <w:p w14:paraId="76D9AAC7"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“Hobbes parte de la igualdad entre todos los hombres. Cree que todos aspiran a lo mismo; y cuando no lo logran, sobreviene la enemistad y el odio; el que no consigue lo que apetece, desconfía del otro y, para precaverse lo ataca. De ahí la concepción pesimista del hombre que tiene Hobbes; homo hominis lupus, el hombre es un lobo para el hombre.”</w:t>
      </w:r>
      <w:r w:rsidRPr="000D3432">
        <w:rPr>
          <w:rStyle w:val="Refdenotaalpie"/>
          <w:rFonts w:asciiTheme="minorHAnsi" w:hAnsiTheme="minorHAnsi"/>
          <w:sz w:val="24"/>
          <w:szCs w:val="24"/>
          <w:vertAlign w:val="superscript"/>
        </w:rPr>
        <w:footnoteReference w:id="290"/>
      </w:r>
    </w:p>
    <w:p w14:paraId="1779854A" w14:textId="77777777" w:rsidR="001925CE" w:rsidRPr="000D3432" w:rsidRDefault="001925CE" w:rsidP="00A95498">
      <w:pPr>
        <w:ind w:firstLine="426"/>
        <w:jc w:val="both"/>
        <w:rPr>
          <w:rFonts w:asciiTheme="minorHAnsi" w:hAnsiTheme="minorHAnsi"/>
          <w:szCs w:val="24"/>
        </w:rPr>
      </w:pPr>
    </w:p>
    <w:p w14:paraId="2BFB181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Además, la situación natural del hombre es su condición de perpetuo estado de lucha, de guerra contra todos. El estado natural es el de guerra general en el que no tienen cabida las nociones de justicia e injusticia, de error y de derecho. Esta disposición natural orienta su comportamiento pesimista y desconfiado, por lo que el estado natural del hombre sería el ataque. Sólo que el hombre no puede estar en permanente guerra, se da cuenta que esto no le conviene, y decide, a costa de su libertad, hacer un pacto con todos para obtener la seguridad jurídica de la que requiere para poder vivir; de lo contrario, en un estado de guerra, la destrucción sería eminente y fatal. Es por esto que el hombre intenta sustituir su estado natural por el estado civil, transfiriendo su derecho al Estado. Este derecho será la libertad que el hombre tenía para hacer cuanto pueda y quiera. El hombre trasfiere este poder, derecho al soberano, al Estado. </w:t>
      </w:r>
    </w:p>
    <w:p w14:paraId="5AD6EFC8"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“Al despojarse los hombres de su poder, lo asume íntegramente el Estado, que manda sin limitación; es una máquina poderosa, un monstruo que devora a los individuos y ante el cual no hay ninguna otra instancia.”</w:t>
      </w:r>
      <w:r w:rsidRPr="000D3432">
        <w:rPr>
          <w:rStyle w:val="Refdenotaalpie"/>
          <w:rFonts w:asciiTheme="minorHAnsi" w:hAnsiTheme="minorHAnsi"/>
          <w:sz w:val="24"/>
          <w:szCs w:val="24"/>
          <w:vertAlign w:val="superscript"/>
        </w:rPr>
        <w:footnoteReference w:id="291"/>
      </w:r>
    </w:p>
    <w:p w14:paraId="02B9C0EC" w14:textId="77777777" w:rsidR="001925CE" w:rsidRPr="000D3432" w:rsidRDefault="001925CE" w:rsidP="00A95498">
      <w:pPr>
        <w:ind w:firstLine="426"/>
        <w:jc w:val="both"/>
        <w:rPr>
          <w:rFonts w:asciiTheme="minorHAnsi" w:hAnsiTheme="minorHAnsi"/>
          <w:szCs w:val="24"/>
        </w:rPr>
      </w:pPr>
    </w:p>
    <w:p w14:paraId="2B2ADB7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Al ser el hombre malo por naturaleza, y egoísta, sólo a través de una fuerza superior se puede establecer un vínculo o contrato de sumisión y alienación que haga al hombre vivir en sociedad. Resulta que el soberano ha nacido del convenio, contrato de los hombres, por lo cual el poder de este Estado es absoluto, puesto que los hombres han cedido su poder. Este Estado soberano, con absoluto poder, no es más que la solución a la condición de la naturaleza negativa, malosa, egoísta, del hombre, que al ceder al Estado su poder, intenta desprenderse de las ambiciones y deseos individuales.</w:t>
      </w:r>
    </w:p>
    <w:p w14:paraId="2632A493"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"La solución consiste en deponer las ambiciones y deseos individuales, y delegarlos en un ser superior. De este modo, donaremos a este ser superior una parte de nuestra voluntad; daremos autoridad para decidir por nosotros al  Estado y el Estado será cual esa bestia enorme llamada Leviatán."</w:t>
      </w:r>
      <w:r w:rsidRPr="000D3432">
        <w:rPr>
          <w:rStyle w:val="Refdenotaalpie"/>
          <w:rFonts w:asciiTheme="minorHAnsi" w:hAnsiTheme="minorHAnsi"/>
          <w:sz w:val="24"/>
          <w:szCs w:val="24"/>
          <w:vertAlign w:val="superscript"/>
        </w:rPr>
        <w:footnoteReference w:id="292"/>
      </w:r>
      <w:r w:rsidRPr="000D3432">
        <w:rPr>
          <w:rFonts w:asciiTheme="minorHAnsi" w:hAnsiTheme="minorHAnsi"/>
          <w:sz w:val="24"/>
          <w:szCs w:val="24"/>
        </w:rPr>
        <w:t>.</w:t>
      </w:r>
    </w:p>
    <w:p w14:paraId="7FE0704B" w14:textId="77777777" w:rsidR="001925CE" w:rsidRPr="000D3432" w:rsidRDefault="001925CE" w:rsidP="00A95498">
      <w:pPr>
        <w:ind w:firstLine="426"/>
        <w:jc w:val="both"/>
        <w:rPr>
          <w:rFonts w:asciiTheme="minorHAnsi" w:hAnsiTheme="minorHAnsi"/>
          <w:szCs w:val="24"/>
        </w:rPr>
      </w:pPr>
    </w:p>
    <w:p w14:paraId="6040E5B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Estado de Thomas Hobbes es absoluto, lo decide todo. Tiene atributos sobre la conducta de los demás encargados a su gobierno. Cualquier oposición a </w:t>
      </w:r>
      <w:r w:rsidRPr="000D3432">
        <w:rPr>
          <w:rFonts w:asciiTheme="minorHAnsi" w:hAnsiTheme="minorHAnsi"/>
          <w:szCs w:val="24"/>
        </w:rPr>
        <w:lastRenderedPageBreak/>
        <w:t>ello será nulo.</w:t>
      </w:r>
    </w:p>
    <w:p w14:paraId="34BA13C5"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Estado de Hobbes lo decide todo; no solo la política, sino también la religión; si esta no está reconocida por él, no es más que superstición.”</w:t>
      </w:r>
      <w:r w:rsidRPr="000D3432">
        <w:rPr>
          <w:rStyle w:val="Refdenotaalpie"/>
          <w:rFonts w:asciiTheme="minorHAnsi" w:hAnsiTheme="minorHAnsi"/>
          <w:sz w:val="24"/>
          <w:szCs w:val="24"/>
          <w:vertAlign w:val="superscript"/>
        </w:rPr>
        <w:footnoteReference w:id="293"/>
      </w:r>
    </w:p>
    <w:p w14:paraId="6195486D" w14:textId="77777777" w:rsidR="001925CE" w:rsidRPr="000D3432" w:rsidRDefault="001925CE" w:rsidP="00A95498">
      <w:pPr>
        <w:ind w:firstLine="426"/>
        <w:jc w:val="both"/>
        <w:rPr>
          <w:rFonts w:asciiTheme="minorHAnsi" w:hAnsiTheme="minorHAnsi"/>
          <w:szCs w:val="24"/>
        </w:rPr>
      </w:pPr>
    </w:p>
    <w:p w14:paraId="370871F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cuanto al poder del Estado Hobbes afirmaba conocer las estipulaciones del contrato social y sostenía que los derechos del individuo habían sido total e irrevocablemente cedidos al Estado u “Hombre Artificial”.</w:t>
      </w:r>
    </w:p>
    <w:p w14:paraId="5A08C794" w14:textId="77777777" w:rsidR="001925CE" w:rsidRPr="000D3432" w:rsidRDefault="001925CE" w:rsidP="00A95498">
      <w:pPr>
        <w:ind w:firstLine="426"/>
        <w:jc w:val="both"/>
        <w:rPr>
          <w:rFonts w:asciiTheme="minorHAnsi" w:hAnsiTheme="minorHAnsi"/>
          <w:szCs w:val="24"/>
        </w:rPr>
      </w:pPr>
    </w:p>
    <w:p w14:paraId="1DDD511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reinado absoluto del Estado tenía su fundamento en la seguridad; ésta resultaba imprescindible para la supervivencia de los hombres que de otra manera se anularían, hasta extinguirse. “El presupuesto es que “la seguridad del pueblo es la ley suprema” y que ésta se logrará mejor con un gobierno absoluto que declare las soluciones definitivas e inapelables a los problemas de la justicia.”</w:t>
      </w:r>
      <w:r w:rsidRPr="000D3432">
        <w:rPr>
          <w:rStyle w:val="Refdenotaalpie"/>
          <w:rFonts w:asciiTheme="minorHAnsi" w:hAnsiTheme="minorHAnsi"/>
          <w:sz w:val="24"/>
          <w:szCs w:val="24"/>
          <w:vertAlign w:val="superscript"/>
        </w:rPr>
        <w:footnoteReference w:id="294"/>
      </w:r>
    </w:p>
    <w:p w14:paraId="4E7D5891" w14:textId="77777777" w:rsidR="001925CE" w:rsidRPr="000D3432" w:rsidRDefault="001925CE" w:rsidP="00A95498">
      <w:pPr>
        <w:ind w:firstLine="426"/>
        <w:jc w:val="both"/>
        <w:rPr>
          <w:rFonts w:asciiTheme="minorHAnsi" w:hAnsiTheme="minorHAnsi"/>
          <w:szCs w:val="24"/>
        </w:rPr>
      </w:pPr>
    </w:p>
    <w:p w14:paraId="39BB91C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el Sistema</w:t>
      </w:r>
      <w:r w:rsidRPr="000D3432">
        <w:rPr>
          <w:rStyle w:val="Refdenotaalpie"/>
          <w:rFonts w:asciiTheme="minorHAnsi" w:hAnsiTheme="minorHAnsi"/>
          <w:sz w:val="24"/>
          <w:szCs w:val="24"/>
          <w:vertAlign w:val="superscript"/>
        </w:rPr>
        <w:footnoteReference w:id="295"/>
      </w:r>
      <w:r w:rsidRPr="000D3432">
        <w:rPr>
          <w:rFonts w:asciiTheme="minorHAnsi" w:hAnsiTheme="minorHAnsi"/>
          <w:szCs w:val="24"/>
        </w:rPr>
        <w:t xml:space="preserve"> de Hobbes, éste predicaba a todos los súbditos la obediencia a sus gobernantes. Como dijimos esto tenía sus bases en la seguridad. Hobbes no advierte que puede haber otra vía más perfecta, que es digamos, moderna: “la de aceptar el régimen establecido pero subordinando la aceptación al respeto de los derechos individuales. Es la alternativa de un régimen constitucional...”</w:t>
      </w:r>
      <w:r w:rsidRPr="000D3432">
        <w:rPr>
          <w:rStyle w:val="Refdenotaalpie"/>
          <w:rFonts w:asciiTheme="minorHAnsi" w:hAnsiTheme="minorHAnsi"/>
          <w:sz w:val="24"/>
          <w:szCs w:val="24"/>
          <w:vertAlign w:val="superscript"/>
        </w:rPr>
        <w:footnoteReference w:id="296"/>
      </w:r>
    </w:p>
    <w:p w14:paraId="6BD3AC92" w14:textId="77777777" w:rsidR="001925CE" w:rsidRPr="000D3432" w:rsidRDefault="001925CE" w:rsidP="00A95498">
      <w:pPr>
        <w:ind w:firstLine="426"/>
        <w:jc w:val="both"/>
        <w:rPr>
          <w:rFonts w:asciiTheme="minorHAnsi" w:hAnsiTheme="minorHAnsi"/>
          <w:szCs w:val="24"/>
        </w:rPr>
      </w:pPr>
    </w:p>
    <w:p w14:paraId="329048D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Hobbes, no habla de ninguna otra alternativa que la de la subordinación absoluta al soberano, tanto así que Friedrich escribía que la filosofía jurídica de Hobbes era marcadamente positivista, puesto que no reconoce más fuente del derecho que la voluntad del soberano</w:t>
      </w:r>
      <w:r w:rsidRPr="000D3432">
        <w:rPr>
          <w:rStyle w:val="Refdenotaalpie"/>
          <w:rFonts w:asciiTheme="minorHAnsi" w:hAnsiTheme="minorHAnsi"/>
          <w:sz w:val="24"/>
          <w:szCs w:val="24"/>
          <w:vertAlign w:val="superscript"/>
        </w:rPr>
        <w:footnoteReference w:id="297"/>
      </w:r>
      <w:r w:rsidRPr="000D3432">
        <w:rPr>
          <w:rFonts w:asciiTheme="minorHAnsi" w:hAnsiTheme="minorHAnsi"/>
          <w:szCs w:val="24"/>
        </w:rPr>
        <w:t xml:space="preserve">. Ahora bien, estas normas emanadas de la voluntad del soberano, que pueden ser reglas prudentes, son válidas sólo por </w:t>
      </w:r>
      <w:r w:rsidRPr="000D3432">
        <w:rPr>
          <w:rFonts w:asciiTheme="minorHAnsi" w:hAnsiTheme="minorHAnsi"/>
          <w:szCs w:val="24"/>
        </w:rPr>
        <w:lastRenderedPageBreak/>
        <w:t>la voluntad del soberano. Las normas “deben su validez legal, exclusivamente, a la voluntad del soberano, pues “las leyes de la naturaleza (tales como las de justicia, equidad, modestia, piedad y, en suma, la de haz a otros lo que quieras que hagan para ti) son, por sí mismas, cuando no existe el temor a un determinado poder que motive su observancia, contrarias a nuestras pasiones naturales, las cuales nos inducen a la parcialidad, al orgullo, a la venganza y a cosas semejantes”</w:t>
      </w:r>
      <w:r w:rsidRPr="000D3432">
        <w:rPr>
          <w:rStyle w:val="Refdenotaalpie"/>
          <w:rFonts w:asciiTheme="minorHAnsi" w:hAnsiTheme="minorHAnsi"/>
          <w:sz w:val="24"/>
          <w:szCs w:val="24"/>
          <w:vertAlign w:val="superscript"/>
        </w:rPr>
        <w:footnoteReference w:id="298"/>
      </w:r>
      <w:r w:rsidRPr="000D3432">
        <w:rPr>
          <w:rFonts w:asciiTheme="minorHAnsi" w:hAnsiTheme="minorHAnsi"/>
          <w:szCs w:val="24"/>
        </w:rPr>
        <w:t>. Por lo cual se prueba la conveniencia de la existencia del soberano, que nos libre de ese impulso primario de nuestra naturaleza. De lo contrario, si se diera libertad, e independencia, el hombre se fiará de sí mismo, y utilizará su propia fuerza, esto puede conllevar a un ambiente en donde lo imperante será la ley de la selva, es decir la ley del mas fuerte. Es decir que hay en el orden social la necesidad de la existencia de un poder coercitivo, y que sólo a través del miedo al castigo podrá amoldar sus conductas y controlar su estado natural, “...debe existir “un poder coercitivo que obligue a los hombres a cumplir sus compromisos por temor a un castigo, tanto o más que por el beneficio que esperen lograr con el quebrantamiento de los mismos”. En este contexto, Hobbes insiste en que tales reglas se llaman impropiamente leyes, porque, para hablar con precisión, “la ley, propiamente, es la palabra de quien por derecho tiene mando sobre los demás”</w:t>
      </w:r>
      <w:r w:rsidRPr="000D3432">
        <w:rPr>
          <w:rStyle w:val="Refdenotaalpie"/>
          <w:rFonts w:asciiTheme="minorHAnsi" w:hAnsiTheme="minorHAnsi"/>
          <w:sz w:val="24"/>
          <w:szCs w:val="24"/>
          <w:vertAlign w:val="superscript"/>
        </w:rPr>
        <w:footnoteReference w:id="299"/>
      </w:r>
      <w:r w:rsidRPr="000D3432">
        <w:rPr>
          <w:rFonts w:asciiTheme="minorHAnsi" w:hAnsiTheme="minorHAnsi"/>
          <w:szCs w:val="24"/>
        </w:rPr>
        <w:t>. Hobbes, hace esta en concordancia con su teoría política; para él, la ley es válida sólo si viene del poder de un soberano, de la declaración de este. De lo contrario no sería ley. “En otras palabras, toda ley adquiere validez sólo cuando un gobierno, con poder para ordenar, las declara válidas. En su estado natural, ni la ley ni la justicia tienen significado alguno. “Donde no hay poder común, la ley no existe: donde no hay ley, no hay justicia”.</w:t>
      </w:r>
      <w:r w:rsidRPr="000D3432">
        <w:rPr>
          <w:rStyle w:val="Refdenotaalpie"/>
          <w:rFonts w:asciiTheme="minorHAnsi" w:hAnsiTheme="minorHAnsi"/>
          <w:sz w:val="24"/>
          <w:szCs w:val="24"/>
          <w:vertAlign w:val="superscript"/>
        </w:rPr>
        <w:footnoteReference w:id="300"/>
      </w:r>
    </w:p>
    <w:p w14:paraId="64480872" w14:textId="77777777" w:rsidR="001925CE" w:rsidRPr="000D3432" w:rsidRDefault="001925CE" w:rsidP="00A95498">
      <w:pPr>
        <w:ind w:firstLine="426"/>
        <w:jc w:val="both"/>
        <w:rPr>
          <w:rFonts w:asciiTheme="minorHAnsi" w:hAnsiTheme="minorHAnsi"/>
          <w:szCs w:val="24"/>
        </w:rPr>
      </w:pPr>
    </w:p>
    <w:p w14:paraId="3A78E62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Hobbes el hombre está en permanente,  natural, incesante afán de poder. Todos los otros bienes se reducirán, luego, al poder. Pero este afán de poder, en el estado de naturaleza crea un ambiente de guerra, por lo que el hombre cede totalmente su poder al soberano y lo obedece en todo, con una sola excepción -dice Hobbes-, que es la que opone el hombre amenazado de muerte por el Soberano. Es en este caso, que el hombre tiene derecho a oponer resistencia a la voluntad del soberano, y entonces, el hombre habrá vuelto a l estado de naturaleza. El estado de subordinación ha sido reconocido sólo por la utilidad de paz y orden que asegura la supervivencia de los hombres. Por lo que el Derecho instituido, implantado por el soberano, es sustancialmente un orden jurídico relacionado con la utilidad de la paz y la seguridad públicas</w:t>
      </w:r>
      <w:r w:rsidRPr="000D3432">
        <w:rPr>
          <w:rStyle w:val="Refdenotaalpie"/>
          <w:rFonts w:asciiTheme="minorHAnsi" w:hAnsiTheme="minorHAnsi"/>
          <w:sz w:val="24"/>
          <w:szCs w:val="24"/>
          <w:vertAlign w:val="superscript"/>
        </w:rPr>
        <w:footnoteReference w:id="301"/>
      </w:r>
    </w:p>
    <w:p w14:paraId="4B22B08D" w14:textId="77777777" w:rsidR="001925CE" w:rsidRPr="000D3432" w:rsidRDefault="001925CE" w:rsidP="00A95498">
      <w:pPr>
        <w:ind w:firstLine="426"/>
        <w:jc w:val="both"/>
        <w:rPr>
          <w:rFonts w:asciiTheme="minorHAnsi" w:hAnsiTheme="minorHAnsi"/>
          <w:szCs w:val="24"/>
        </w:rPr>
      </w:pPr>
    </w:p>
    <w:p w14:paraId="0CDBDC2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Juez, en una primera perspectiva, ha sido visto por Hobbes como un sobordinado del soberano, que no puede atentar contra este. El Derecho no saldría de la operación jurisprudencial de los jueces, sino del mandato del Soberano, no obstante le da al juez una potestad de interpretar la ley natural, pero el creador del derecho, para él, es el ser artificial, es decir el Estado, “...por lo que respecta a la razón artificial de la ley. Hobbes cree que uno puede </w:t>
      </w:r>
      <w:r w:rsidRPr="000D3432">
        <w:rPr>
          <w:rFonts w:asciiTheme="minorHAnsi" w:hAnsiTheme="minorHAnsi"/>
          <w:szCs w:val="24"/>
        </w:rPr>
        <w:lastRenderedPageBreak/>
        <w:t>estudiar largos años y, a pesar de ello, seguir en error. Y si las bases son erróneas, las conclusiones que se saquen serán erróneas también. Por consiguiente, no es la jurisprudencia o sabiduría de los jueces, lo que realmente es creador del derecho, sino la razón de este ser artificial, la mancomunidad que encuentra su expresión representativa en las órdenes del soberano.”</w:t>
      </w:r>
      <w:r w:rsidRPr="000D3432">
        <w:rPr>
          <w:rStyle w:val="Refdenotaalpie"/>
          <w:rFonts w:asciiTheme="minorHAnsi" w:hAnsiTheme="minorHAnsi"/>
          <w:sz w:val="24"/>
          <w:szCs w:val="24"/>
          <w:vertAlign w:val="superscript"/>
        </w:rPr>
        <w:footnoteReference w:id="302"/>
      </w:r>
    </w:p>
    <w:p w14:paraId="69999038" w14:textId="77777777" w:rsidR="001925CE" w:rsidRPr="000D3432" w:rsidRDefault="001925CE" w:rsidP="00A95498">
      <w:pPr>
        <w:ind w:firstLine="426"/>
        <w:jc w:val="both"/>
        <w:rPr>
          <w:rFonts w:asciiTheme="minorHAnsi" w:hAnsiTheme="minorHAnsi"/>
          <w:szCs w:val="24"/>
        </w:rPr>
      </w:pPr>
    </w:p>
    <w:p w14:paraId="433E9C3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Estado representa ese mal necesario que debe existir para salir del estado de guerra que es el que dispone el estado natural del hombre, el Estado no es ninguna institución que surja del propio fin del hombre para ayudarle a alcanzar su perfección sino un simple medio para dominar las pasiones que perturban la paz social</w:t>
      </w:r>
      <w:r w:rsidRPr="000D3432">
        <w:rPr>
          <w:rStyle w:val="Refdenotaalpie"/>
          <w:rFonts w:asciiTheme="minorHAnsi" w:hAnsiTheme="minorHAnsi"/>
          <w:sz w:val="24"/>
          <w:szCs w:val="24"/>
          <w:vertAlign w:val="superscript"/>
        </w:rPr>
        <w:footnoteReference w:id="303"/>
      </w:r>
    </w:p>
    <w:p w14:paraId="53FAFA90" w14:textId="77777777" w:rsidR="001925CE" w:rsidRPr="000D3432" w:rsidRDefault="001925CE" w:rsidP="00A95498">
      <w:pPr>
        <w:ind w:firstLine="426"/>
        <w:jc w:val="both"/>
        <w:rPr>
          <w:rFonts w:asciiTheme="minorHAnsi" w:hAnsiTheme="minorHAnsi"/>
          <w:szCs w:val="24"/>
        </w:rPr>
      </w:pPr>
    </w:p>
    <w:p w14:paraId="5E6B3C5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último Hobbes cree que el conocimiento se funda en la experiencia, en lo empírico, así que pone atención a la instrucción del hombre para confrontar la realidad.</w:t>
      </w:r>
    </w:p>
    <w:p w14:paraId="52F6506F" w14:textId="77777777" w:rsidR="001925CE" w:rsidRPr="000D3432" w:rsidRDefault="001925CE" w:rsidP="00A95498">
      <w:pPr>
        <w:jc w:val="both"/>
        <w:rPr>
          <w:rFonts w:asciiTheme="minorHAnsi" w:hAnsiTheme="minorHAnsi"/>
          <w:szCs w:val="24"/>
        </w:rPr>
      </w:pPr>
    </w:p>
    <w:p w14:paraId="4E789E12"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f.- Locke</w:t>
      </w:r>
      <w:r w:rsidRPr="000D3432">
        <w:rPr>
          <w:rStyle w:val="Refdenotaalpie"/>
          <w:rFonts w:asciiTheme="minorHAnsi" w:hAnsiTheme="minorHAnsi"/>
          <w:b/>
          <w:sz w:val="24"/>
          <w:szCs w:val="24"/>
          <w:vertAlign w:val="superscript"/>
        </w:rPr>
        <w:footnoteReference w:id="304"/>
      </w:r>
      <w:r w:rsidRPr="000D3432">
        <w:rPr>
          <w:rFonts w:asciiTheme="minorHAnsi" w:hAnsiTheme="minorHAnsi"/>
          <w:szCs w:val="24"/>
        </w:rPr>
        <w:t>(1632-1704)</w:t>
      </w:r>
    </w:p>
    <w:p w14:paraId="0454FA06" w14:textId="77777777" w:rsidR="001925CE" w:rsidRPr="000D3432" w:rsidRDefault="001925CE" w:rsidP="00A95498">
      <w:pPr>
        <w:ind w:firstLine="425"/>
        <w:jc w:val="both"/>
        <w:rPr>
          <w:rFonts w:asciiTheme="minorHAnsi" w:hAnsiTheme="minorHAnsi"/>
          <w:szCs w:val="24"/>
        </w:rPr>
      </w:pPr>
    </w:p>
    <w:p w14:paraId="4B0877B8"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O “El Derecho como fundamento de la Constitución (Locke- Montesquieu)”. (Friedrich.</w:t>
      </w:r>
    </w:p>
    <w:p w14:paraId="1EE5A8E2" w14:textId="77777777" w:rsidR="001925CE" w:rsidRPr="000D3432" w:rsidRDefault="001925CE" w:rsidP="00A95498">
      <w:pPr>
        <w:ind w:firstLine="426"/>
        <w:jc w:val="both"/>
        <w:rPr>
          <w:rFonts w:asciiTheme="minorHAnsi" w:hAnsiTheme="minorHAnsi"/>
          <w:szCs w:val="24"/>
        </w:rPr>
      </w:pPr>
    </w:p>
    <w:p w14:paraId="6B8CB42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Para Mariano Grondona Locke es quien representa al padre del Liberalismo. En este pensador se expresa una nueva concepción del poder y por ende del Derecho. ¿Donde está el origen del Poder? ¿En la Iglesia -lo divino-, en la naturaleza -como lo propone Aristóteles-? Locke, tomando el contrato social de Hobbes, dice que el poder, su origen está en cada hombre. ¿Se humaniza el poder? ¿se socializa? mejor, se hace consciente en cada persona. Todos tenemos algún poder, y todos intervenimos de alguna manera en la construcción del Derecho. </w:t>
      </w:r>
    </w:p>
    <w:p w14:paraId="0FE90688" w14:textId="77777777" w:rsidR="001925CE" w:rsidRPr="000D3432" w:rsidRDefault="001925CE" w:rsidP="00A95498">
      <w:pPr>
        <w:ind w:firstLine="426"/>
        <w:jc w:val="both"/>
        <w:rPr>
          <w:rFonts w:asciiTheme="minorHAnsi" w:hAnsiTheme="minorHAnsi"/>
          <w:szCs w:val="24"/>
        </w:rPr>
      </w:pPr>
    </w:p>
    <w:p w14:paraId="79AC3D5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poder deja de tener un origen místico, religioso o de la naturaleza, y se centra en el individuo, "el origen del poder somos nosotros mismos", "Tu tienes tanto poder como yo te he dado". Locke plantea el paso de una Monarquía absoluta a una Monarquía parlamentaria, plantea una revolución. El poder perdería su carácter exclusivo y hereditario para convertirse en general. ¿qué significa esto? Que los orígenes divino y por naturaleza del Poder son derrumbados. </w:t>
      </w:r>
    </w:p>
    <w:p w14:paraId="5FB9F358" w14:textId="77777777" w:rsidR="001925CE" w:rsidRPr="000D3432" w:rsidRDefault="001925CE" w:rsidP="00A95498">
      <w:pPr>
        <w:ind w:firstLine="426"/>
        <w:jc w:val="both"/>
        <w:rPr>
          <w:rFonts w:asciiTheme="minorHAnsi" w:hAnsiTheme="minorHAnsi"/>
          <w:szCs w:val="24"/>
        </w:rPr>
      </w:pPr>
    </w:p>
    <w:p w14:paraId="7BB94E6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Desde la concepción de Locke, el poder proviene de los propios individuos, que con el objeto de tener paz y seguridad ceden parte de su poder para convivir mejor, "Ya no hay elementos religiosos ni despóticos en el poder. Lo </w:t>
      </w:r>
      <w:r w:rsidRPr="000D3432">
        <w:rPr>
          <w:rFonts w:asciiTheme="minorHAnsi" w:hAnsiTheme="minorHAnsi"/>
          <w:szCs w:val="24"/>
        </w:rPr>
        <w:lastRenderedPageBreak/>
        <w:t>que hay es el derecho de cada hombre, que cede libremente cierto poder a un gobierno para que garantice la vida en sociedad"</w:t>
      </w:r>
      <w:r w:rsidRPr="000D3432">
        <w:rPr>
          <w:rStyle w:val="Refdenotaalpie"/>
          <w:rFonts w:asciiTheme="minorHAnsi" w:hAnsiTheme="minorHAnsi"/>
          <w:sz w:val="24"/>
          <w:szCs w:val="24"/>
          <w:vertAlign w:val="superscript"/>
        </w:rPr>
        <w:footnoteReference w:id="305"/>
      </w:r>
      <w:r w:rsidRPr="000D3432">
        <w:rPr>
          <w:rFonts w:asciiTheme="minorHAnsi" w:hAnsiTheme="minorHAnsi"/>
          <w:szCs w:val="24"/>
        </w:rPr>
        <w:t>.</w:t>
      </w:r>
    </w:p>
    <w:p w14:paraId="0F01EB03" w14:textId="77777777" w:rsidR="001925CE" w:rsidRPr="000D3432" w:rsidRDefault="001925CE" w:rsidP="00A95498">
      <w:pPr>
        <w:ind w:firstLine="426"/>
        <w:jc w:val="both"/>
        <w:rPr>
          <w:rFonts w:asciiTheme="minorHAnsi" w:hAnsiTheme="minorHAnsi"/>
          <w:szCs w:val="24"/>
        </w:rPr>
      </w:pPr>
    </w:p>
    <w:p w14:paraId="57A1960C"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Locke trata la división de los poderes que había sido planteada ya por Montesquieu</w:t>
      </w:r>
      <w:r w:rsidRPr="000D3432">
        <w:rPr>
          <w:rStyle w:val="Refdenotaalpie"/>
          <w:rFonts w:asciiTheme="minorHAnsi" w:hAnsiTheme="minorHAnsi"/>
          <w:sz w:val="24"/>
          <w:szCs w:val="24"/>
          <w:vertAlign w:val="superscript"/>
        </w:rPr>
        <w:footnoteReference w:id="306"/>
      </w:r>
      <w:r w:rsidRPr="000D3432">
        <w:rPr>
          <w:rFonts w:asciiTheme="minorHAnsi" w:hAnsiTheme="minorHAnsi"/>
          <w:szCs w:val="24"/>
        </w:rPr>
        <w:t>. Cree en Dios y en la propiedad. Cree que Dios nos dio la tierra a todos colectivamente, pero entonces ¿cómo existe la propiedad privada? Locke cree también en la legitimidad de la propiedad privada, y la fundamenta explicando que la extensión de la propiedad, es decir añadir su valor agregado a algo por mérito del trabajo, hace que ese algo extendido nos pertenezca. La propiedad viene a ser, entonces, el producto de nuestro trabajo. Eso cree Locke. A diferencia de Aristóteles que condenó toda propiedad que excediera los límites de lo necesario. La moneda por lo tanto pervierte  al hombre porque permite la acumulación de la riqueza, el hombre empieza a vivir para lo que tiene, por lo tanto pervierte lo natural. Locke no cree que el acto de acumular riquezas sea malo, pero la creación de la moneda y su consecuencia tienen una serie de fenómenos. La acumulación de riqueza por ser bienes no perecibles hacen indefinida la posesión, propiedad y la desigualdad  funciona en ese mecanismo de acumulación, sólo que la gente misma ha creado ese sistema. Al aceptar la creación de la moneda se crea también la desigualdad conscientemente y tácitamente admitida.</w:t>
      </w:r>
    </w:p>
    <w:p w14:paraId="6D0640E5" w14:textId="77777777" w:rsidR="001925CE" w:rsidRPr="000D3432" w:rsidRDefault="001925CE" w:rsidP="00A95498">
      <w:pPr>
        <w:ind w:firstLine="426"/>
        <w:jc w:val="both"/>
        <w:rPr>
          <w:rFonts w:asciiTheme="minorHAnsi" w:hAnsiTheme="minorHAnsi"/>
          <w:szCs w:val="24"/>
        </w:rPr>
      </w:pPr>
    </w:p>
    <w:p w14:paraId="23F478A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Otra preocupación de este filósofo fue cuál era el origen del conocimiento humano, por que sabe que de acuerdo a lo que conocemos y cómo lo conocemos debemos o vamos a actuar. Es nuestra concepción del mundo lo que determina nuestra conducta. Escribe un libro llamado "Ensayo sobre el conocimiento humano", donde se pregunta: ¿cómo obtiene el conocimiento el ser humano? El responde, contradiciendo a Descartes, que el conocimiento necesariamente tiene que pasar por los sentidos, que nos dan una primera impresión, visión; luego, después de repetidas experiencias nos formaremos conceptos de las cosas. Es decir que los sentidos no son instrumentos inmediatos, sino que son instrumentos mediatos.</w:t>
      </w:r>
    </w:p>
    <w:p w14:paraId="74C60C1D" w14:textId="77777777" w:rsidR="001925CE" w:rsidRPr="000D3432" w:rsidRDefault="001925CE" w:rsidP="00A95498">
      <w:pPr>
        <w:ind w:firstLine="426"/>
        <w:jc w:val="both"/>
        <w:rPr>
          <w:rFonts w:asciiTheme="minorHAnsi" w:hAnsiTheme="minorHAnsi"/>
          <w:szCs w:val="24"/>
        </w:rPr>
      </w:pPr>
    </w:p>
    <w:p w14:paraId="6CCBA62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Locke era un inglés liberal, que quería aclarar ciertas dudas: la de los derechos naturales del hombre, el poder y su división, su origen, la libertad, la riqueza, el origen de los conocimientos, el Estado, el poder, etc.</w:t>
      </w:r>
    </w:p>
    <w:p w14:paraId="5BB1018D" w14:textId="77777777" w:rsidR="001925CE" w:rsidRPr="000D3432" w:rsidRDefault="001925CE" w:rsidP="00A95498">
      <w:pPr>
        <w:ind w:firstLine="426"/>
        <w:jc w:val="both"/>
        <w:rPr>
          <w:rFonts w:asciiTheme="minorHAnsi" w:hAnsiTheme="minorHAnsi"/>
          <w:szCs w:val="24"/>
        </w:rPr>
      </w:pPr>
    </w:p>
    <w:p w14:paraId="309555A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Una de sus teorías consistía en que el hombre a fin de evitarse problemas y para preservar sus intereses, propiedades, había cedido parte de su libertad, de sus derechos para ponerlos en manos del Estado, del gobierno. El individuo en mérito a esta cesión había firmado un contrato con todos los demás para aceptar ciertas reglas de convivencia. El hombre busca su beneficio, es egoísta e individual, pero como quiere conservar sus propiedades decide egoístamente, </w:t>
      </w:r>
      <w:r w:rsidRPr="000D3432">
        <w:rPr>
          <w:rFonts w:asciiTheme="minorHAnsi" w:hAnsiTheme="minorHAnsi"/>
          <w:szCs w:val="24"/>
        </w:rPr>
        <w:lastRenderedPageBreak/>
        <w:t xml:space="preserve">ceder parte de su  propiedad, de su derecho, al Estado, para que éste lo  proteja; es así que el individuo le da al Estado el monopolio de castigar. Pero como advierte el peligro que supone la monopolización del poder cree en la división de poderes  para controlar este poder cedido al Estado. La validez del Estado tiene que pasar por un mecanismo  más: la aceptación de los individuos. Cada individuo debe dar su consentimiento para que lo gobiernen, esto es a través de las votaciones. Ya no cree en un solo poder divino, sino en su poder. Y así acepta la tiranía de la mayoría. </w:t>
      </w:r>
    </w:p>
    <w:p w14:paraId="6C04339F" w14:textId="77777777" w:rsidR="001925CE" w:rsidRPr="000D3432" w:rsidRDefault="001925CE" w:rsidP="00A95498">
      <w:pPr>
        <w:ind w:firstLine="426"/>
        <w:jc w:val="both"/>
        <w:rPr>
          <w:rFonts w:asciiTheme="minorHAnsi" w:hAnsiTheme="minorHAnsi"/>
          <w:szCs w:val="24"/>
        </w:rPr>
      </w:pPr>
    </w:p>
    <w:p w14:paraId="783D44E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Derecho del otro es sólo aquel que tú le has cedido, plantea Locke. Cree en los Derechos naturales del hombre que el Estado no crea sino reconoce, los cuales son: los derechos a la libertad, al trabajo, a la propiedad, etc.</w:t>
      </w:r>
    </w:p>
    <w:p w14:paraId="618A6D7F" w14:textId="77777777" w:rsidR="001925CE" w:rsidRPr="000D3432" w:rsidRDefault="001925CE" w:rsidP="00A95498">
      <w:pPr>
        <w:ind w:firstLine="426"/>
        <w:jc w:val="both"/>
        <w:rPr>
          <w:rFonts w:asciiTheme="minorHAnsi" w:hAnsiTheme="minorHAnsi"/>
          <w:szCs w:val="24"/>
        </w:rPr>
      </w:pPr>
    </w:p>
    <w:p w14:paraId="169797E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Admite la desigualdad de los hombres, que se ha derivado de la aceptación del dinero, que produce acumulación limitada de la riqueza, pero siempre y cuando no afecte a los demás. </w:t>
      </w:r>
    </w:p>
    <w:p w14:paraId="50AB2892" w14:textId="77777777" w:rsidR="001925CE" w:rsidRPr="000D3432" w:rsidRDefault="001925CE" w:rsidP="00A95498">
      <w:pPr>
        <w:ind w:firstLine="426"/>
        <w:jc w:val="both"/>
        <w:rPr>
          <w:rFonts w:asciiTheme="minorHAnsi" w:hAnsiTheme="minorHAnsi"/>
          <w:szCs w:val="24"/>
        </w:rPr>
      </w:pPr>
    </w:p>
    <w:p w14:paraId="514056F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Este es Locke, que rompe con toda la tradición Monárquica absoluta para creer en una Monarquía parlamentaria. Piensa que el egoísmo es el eje motor del crecimiento individual y -por extensión- crecimiento colectivo. Proyecta la división de poderes, perfila un Estado protector de los bienes colectivos, afirma y respeta la igualdad de sexos, es tolerante y lucha porque la sociedad se conforme de acuerdo a un contrato social.</w:t>
      </w:r>
    </w:p>
    <w:p w14:paraId="2C54E0C1" w14:textId="77777777" w:rsidR="001925CE" w:rsidRPr="000D3432" w:rsidRDefault="001925CE" w:rsidP="00A95498">
      <w:pPr>
        <w:ind w:firstLine="426"/>
        <w:jc w:val="both"/>
        <w:rPr>
          <w:rFonts w:asciiTheme="minorHAnsi" w:hAnsiTheme="minorHAnsi"/>
          <w:szCs w:val="24"/>
        </w:rPr>
      </w:pPr>
    </w:p>
    <w:p w14:paraId="4F3F073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Locke, nos dejó con algunos conceptos liberales como  que el poder proviene de cada uno. El Estado sólo podrá hacer aquellas cosas para la que le hemos dado poder, si excede en sus funciones estará rebelándose, volviendo a la guerra a la sociedad y se tendrá que reprimirlo, etc.</w:t>
      </w:r>
    </w:p>
    <w:p w14:paraId="40054856" w14:textId="77777777" w:rsidR="001925CE" w:rsidRPr="000D3432" w:rsidRDefault="001925CE" w:rsidP="00A95498">
      <w:pPr>
        <w:ind w:firstLine="426"/>
        <w:jc w:val="both"/>
        <w:rPr>
          <w:rFonts w:asciiTheme="minorHAnsi" w:hAnsiTheme="minorHAnsi"/>
          <w:szCs w:val="24"/>
        </w:rPr>
      </w:pPr>
    </w:p>
    <w:p w14:paraId="25B4E64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Locke toma el planteamiento del contrato de Hobbes, pero a diferencia de éste, no acepta el dominio absoluto del soberano sobre los ciudadanos. Los hombres al suscribir el contrato se reservaron ciertos derechos fundamentales, como el derecho a la vida, a la libertad, a la propiedad. El Estado no es absoluto, y que da en el centro el poder legislativo, “Locke situa al poder legislativo en el centro: es el poder supremo y decisivo, el ejercicio del cual determina toda cuestión de importancia.”</w:t>
      </w:r>
      <w:r w:rsidRPr="000D3432">
        <w:rPr>
          <w:rStyle w:val="Refdenotaalpie"/>
          <w:rFonts w:asciiTheme="minorHAnsi" w:hAnsiTheme="minorHAnsi"/>
          <w:sz w:val="24"/>
          <w:szCs w:val="24"/>
          <w:vertAlign w:val="superscript"/>
        </w:rPr>
        <w:footnoteReference w:id="307"/>
      </w:r>
      <w:r w:rsidRPr="000D3432">
        <w:rPr>
          <w:rFonts w:asciiTheme="minorHAnsi" w:hAnsiTheme="minorHAnsi"/>
          <w:szCs w:val="24"/>
        </w:rPr>
        <w:t xml:space="preserve">. El lugar de la soberanía se ha asentado el poder constituyente: </w:t>
      </w:r>
    </w:p>
    <w:p w14:paraId="27F3263C"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“...la filosofía jurídica de Locke está conformada por la idea de una legislación positiva, resultado de las decisiones de la voluntad. Din embargo, esta legislación encaja en un derecho constitucional al que se da una interpretación jurídica apositiva haciendo que provenga de la voluntad del pueblo. El lugar de la soberanía está ocupado por un poder constituyente, como fuerza legitimadora en la cual se funda el orden constitucional.”</w:t>
      </w:r>
      <w:r w:rsidRPr="000D3432">
        <w:rPr>
          <w:rStyle w:val="Refdenotaalpie"/>
          <w:rFonts w:asciiTheme="minorHAnsi" w:hAnsiTheme="minorHAnsi"/>
          <w:sz w:val="24"/>
          <w:szCs w:val="24"/>
          <w:vertAlign w:val="superscript"/>
        </w:rPr>
        <w:footnoteReference w:id="308"/>
      </w:r>
    </w:p>
    <w:p w14:paraId="360E899D" w14:textId="77777777" w:rsidR="001925CE" w:rsidRPr="000D3432" w:rsidRDefault="001925CE" w:rsidP="00A95498">
      <w:pPr>
        <w:ind w:firstLine="426"/>
        <w:jc w:val="both"/>
        <w:rPr>
          <w:rFonts w:asciiTheme="minorHAnsi" w:hAnsiTheme="minorHAnsi"/>
          <w:szCs w:val="24"/>
        </w:rPr>
      </w:pPr>
    </w:p>
    <w:p w14:paraId="66C2204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En la época en que vivió Locke, había ya habido intentos de regular el poder de los soberanos a través de Cartas Magnas y otras actas. Pero Fue con Locke que con sus teorías filosóficas sobre los derechos del hombre, en su Tratado sobre el Gobierno Civil</w:t>
      </w:r>
      <w:r w:rsidRPr="000D3432">
        <w:rPr>
          <w:rStyle w:val="Refdenotaalpie"/>
          <w:rFonts w:asciiTheme="minorHAnsi" w:hAnsiTheme="minorHAnsi"/>
          <w:sz w:val="24"/>
          <w:szCs w:val="24"/>
          <w:vertAlign w:val="superscript"/>
        </w:rPr>
        <w:footnoteReference w:id="309"/>
      </w:r>
      <w:r w:rsidRPr="000D3432">
        <w:rPr>
          <w:rFonts w:asciiTheme="minorHAnsi" w:hAnsiTheme="minorHAnsi"/>
          <w:szCs w:val="24"/>
        </w:rPr>
        <w:t>, expone que el paso del estado de naturaleza al de sociedad se da por intermedio no de un pacto entre los individuos y el soberano, sino por un contrato entre los individuos. En este pacto, se da el consentimiento para dar la potestad de gobernar. El Derecho del soberano queda limitado, “..la autoridad política queda limitada por los derechos individuales, tales como el derecho a la aplicación estricta e igual de las leyes, el principio de justicia, la prohibición de impuestos abusivos, etc.</w:t>
      </w:r>
      <w:r w:rsidRPr="000D3432">
        <w:rPr>
          <w:rStyle w:val="Refdenotaalpie"/>
          <w:rFonts w:asciiTheme="minorHAnsi" w:hAnsiTheme="minorHAnsi"/>
          <w:sz w:val="24"/>
          <w:szCs w:val="24"/>
          <w:vertAlign w:val="superscript"/>
        </w:rPr>
        <w:footnoteReference w:id="310"/>
      </w:r>
    </w:p>
    <w:p w14:paraId="405C3DBF" w14:textId="77777777" w:rsidR="001925CE" w:rsidRPr="000D3432" w:rsidRDefault="001925CE" w:rsidP="00A95498">
      <w:pPr>
        <w:jc w:val="both"/>
        <w:rPr>
          <w:rFonts w:asciiTheme="minorHAnsi" w:hAnsiTheme="minorHAnsi"/>
          <w:szCs w:val="24"/>
        </w:rPr>
      </w:pPr>
    </w:p>
    <w:p w14:paraId="2DB9A3F3"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 xml:space="preserve">g.- Rousseau </w:t>
      </w:r>
      <w:r w:rsidRPr="000D3432">
        <w:rPr>
          <w:rFonts w:asciiTheme="minorHAnsi" w:hAnsiTheme="minorHAnsi"/>
          <w:szCs w:val="24"/>
        </w:rPr>
        <w:t>(1712-1778)</w:t>
      </w:r>
    </w:p>
    <w:p w14:paraId="45D379C5" w14:textId="77777777" w:rsidR="001925CE" w:rsidRPr="000D3432" w:rsidRDefault="001925CE" w:rsidP="00A95498">
      <w:pPr>
        <w:ind w:firstLine="425"/>
        <w:jc w:val="both"/>
        <w:rPr>
          <w:rFonts w:asciiTheme="minorHAnsi" w:hAnsiTheme="minorHAnsi"/>
          <w:szCs w:val="24"/>
        </w:rPr>
      </w:pPr>
    </w:p>
    <w:p w14:paraId="5CF341E6"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O “El Derecho como expresión de la voluntad general” (Friedrich)</w:t>
      </w:r>
    </w:p>
    <w:p w14:paraId="7B33EB65" w14:textId="77777777" w:rsidR="001925CE" w:rsidRPr="000D3432" w:rsidRDefault="001925CE" w:rsidP="00A95498">
      <w:pPr>
        <w:ind w:firstLine="426"/>
        <w:jc w:val="both"/>
        <w:rPr>
          <w:rFonts w:asciiTheme="minorHAnsi" w:hAnsiTheme="minorHAnsi"/>
          <w:szCs w:val="24"/>
        </w:rPr>
      </w:pPr>
    </w:p>
    <w:p w14:paraId="11DA6F8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Rousseau</w:t>
      </w:r>
      <w:r w:rsidRPr="000D3432">
        <w:rPr>
          <w:rStyle w:val="Refdenotaalpie"/>
          <w:rFonts w:asciiTheme="minorHAnsi" w:hAnsiTheme="minorHAnsi"/>
          <w:sz w:val="24"/>
          <w:szCs w:val="24"/>
          <w:vertAlign w:val="superscript"/>
        </w:rPr>
        <w:footnoteReference w:id="311"/>
      </w:r>
      <w:r w:rsidRPr="000D3432">
        <w:rPr>
          <w:rFonts w:asciiTheme="minorHAnsi" w:hAnsiTheme="minorHAnsi"/>
          <w:szCs w:val="24"/>
        </w:rPr>
        <w:t xml:space="preserve"> fue un escritor, filósofo tardío, parece que empezó a escribir recién a los 32 años. Su influencia fue tan marcada que incluso Robespierre tenía bajo su almohada el libro "El Emilio"</w:t>
      </w:r>
      <w:r w:rsidRPr="000D3432">
        <w:rPr>
          <w:rStyle w:val="Refdenotaalpie"/>
          <w:rFonts w:asciiTheme="minorHAnsi" w:hAnsiTheme="minorHAnsi"/>
          <w:sz w:val="24"/>
          <w:szCs w:val="24"/>
          <w:vertAlign w:val="superscript"/>
        </w:rPr>
        <w:footnoteReference w:id="312"/>
      </w:r>
      <w:r w:rsidRPr="000D3432">
        <w:rPr>
          <w:rFonts w:asciiTheme="minorHAnsi" w:hAnsiTheme="minorHAnsi"/>
          <w:szCs w:val="24"/>
        </w:rPr>
        <w:t>. Dicen sus "Confesiones"</w:t>
      </w:r>
      <w:r w:rsidRPr="000D3432">
        <w:rPr>
          <w:rStyle w:val="Refdenotaalpie"/>
          <w:rFonts w:asciiTheme="minorHAnsi" w:hAnsiTheme="minorHAnsi"/>
          <w:sz w:val="24"/>
          <w:szCs w:val="24"/>
          <w:vertAlign w:val="superscript"/>
        </w:rPr>
        <w:footnoteReference w:id="313"/>
      </w:r>
      <w:r w:rsidRPr="000D3432">
        <w:rPr>
          <w:rFonts w:asciiTheme="minorHAnsi" w:hAnsiTheme="minorHAnsi"/>
          <w:szCs w:val="24"/>
        </w:rPr>
        <w:t xml:space="preserve"> que trabajaba en una Notaría, del cual lo botaron. Le gustaban las matemáticas,  caminar, componer operetas -aduciéndose compositor y maestro de música-, etc. </w:t>
      </w:r>
    </w:p>
    <w:p w14:paraId="03F5BFB4" w14:textId="77777777" w:rsidR="001925CE" w:rsidRPr="000D3432" w:rsidRDefault="001925CE" w:rsidP="00A95498">
      <w:pPr>
        <w:ind w:firstLine="426"/>
        <w:jc w:val="both"/>
        <w:rPr>
          <w:rFonts w:asciiTheme="minorHAnsi" w:hAnsiTheme="minorHAnsi"/>
          <w:szCs w:val="24"/>
        </w:rPr>
      </w:pPr>
    </w:p>
    <w:p w14:paraId="05C8033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uno de sus mayores aportes al pensamiento moderno fue su libro El Contrato Social</w:t>
      </w:r>
      <w:r w:rsidRPr="000D3432">
        <w:rPr>
          <w:rStyle w:val="Refdenotaalpie"/>
          <w:rFonts w:asciiTheme="minorHAnsi" w:hAnsiTheme="minorHAnsi"/>
          <w:sz w:val="24"/>
          <w:szCs w:val="24"/>
          <w:vertAlign w:val="superscript"/>
        </w:rPr>
        <w:footnoteReference w:id="314"/>
      </w:r>
      <w:r w:rsidRPr="000D3432">
        <w:rPr>
          <w:rFonts w:asciiTheme="minorHAnsi" w:hAnsiTheme="minorHAnsi"/>
          <w:szCs w:val="24"/>
        </w:rPr>
        <w:t>, donde afirmaba que el mejor sistema de gobierno sólo podía provenir de un "contrato social", a través del cual las gentes cederían parte de su libertad para que el Estado los gobierne, pero el Estado les devolvería su libertad y sus derechos a través de normas  que los ciudadanos hubieran otorgado el poder de dar.</w:t>
      </w:r>
    </w:p>
    <w:p w14:paraId="652FBF2D" w14:textId="77777777" w:rsidR="001925CE" w:rsidRPr="000D3432" w:rsidRDefault="001925CE" w:rsidP="00A95498">
      <w:pPr>
        <w:ind w:firstLine="426"/>
        <w:jc w:val="both"/>
        <w:rPr>
          <w:rFonts w:asciiTheme="minorHAnsi" w:hAnsiTheme="minorHAnsi"/>
          <w:szCs w:val="24"/>
        </w:rPr>
      </w:pPr>
    </w:p>
    <w:p w14:paraId="73C600A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El planteamiento fundamental de Rousseau es el siguiente: "El hombre nace bueno, pero la sociedad lo corrompe". El problema así planteado, proponía un imperativo primario: ¿Qué debería hacerse para mantener al hombre en ese </w:t>
      </w:r>
      <w:r w:rsidRPr="000D3432">
        <w:rPr>
          <w:rFonts w:asciiTheme="minorHAnsi" w:hAnsiTheme="minorHAnsi"/>
          <w:szCs w:val="24"/>
        </w:rPr>
        <w:lastRenderedPageBreak/>
        <w:t>estado? Rousseau respondía: Educarlo. Desarrollar el estado natural del hombre. Empezando por enseñarle al hombre la vida, la naturaleza y luego mas tarde a los 15 años promedio se le podría introducir en los libros; primero era necesario hacerles conocer la vida para luego hablarles de ello, "La idea de Rousseau era poner al niño en contacto directo con la vida, con la naturaleza, antes de llevarlo a concebir ideas acerca de la vida y de la naturaleza"</w:t>
      </w:r>
    </w:p>
    <w:p w14:paraId="0E1408AC" w14:textId="77777777" w:rsidR="001925CE" w:rsidRPr="000D3432" w:rsidRDefault="001925CE" w:rsidP="00A95498">
      <w:pPr>
        <w:ind w:firstLine="426"/>
        <w:jc w:val="both"/>
        <w:rPr>
          <w:rFonts w:asciiTheme="minorHAnsi" w:hAnsiTheme="minorHAnsi"/>
          <w:szCs w:val="24"/>
        </w:rPr>
      </w:pPr>
    </w:p>
    <w:p w14:paraId="319D67A8"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Propone que los hombres sean lo que puedan ser y no lo que la sociedad les impone ser. El hombre se desarrollará mejor si sigue sus instintos naturales y podrá ser feliz "Cada cual, según Rousseau, debe llegar a ser lo que puede ser. Para tal fin, los padres y maestros no deben manipularlos, sino ayudarlos a crecer."</w:t>
      </w:r>
      <w:r w:rsidRPr="000D3432">
        <w:rPr>
          <w:rStyle w:val="Refdenotaalpie"/>
          <w:rFonts w:asciiTheme="minorHAnsi" w:hAnsiTheme="minorHAnsi"/>
          <w:sz w:val="24"/>
          <w:szCs w:val="24"/>
          <w:vertAlign w:val="superscript"/>
        </w:rPr>
        <w:footnoteReference w:id="315"/>
      </w:r>
      <w:r w:rsidRPr="000D3432">
        <w:rPr>
          <w:rFonts w:asciiTheme="minorHAnsi" w:hAnsiTheme="minorHAnsi"/>
          <w:szCs w:val="24"/>
        </w:rPr>
        <w:t>.</w:t>
      </w:r>
    </w:p>
    <w:p w14:paraId="7E9E6235" w14:textId="77777777" w:rsidR="001925CE" w:rsidRPr="000D3432" w:rsidRDefault="001925CE" w:rsidP="00A95498">
      <w:pPr>
        <w:ind w:firstLine="426"/>
        <w:jc w:val="both"/>
        <w:rPr>
          <w:rFonts w:asciiTheme="minorHAnsi" w:hAnsiTheme="minorHAnsi"/>
          <w:szCs w:val="24"/>
        </w:rPr>
      </w:pPr>
    </w:p>
    <w:p w14:paraId="1D2A84B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Rousseau piensa que el hombre ha nacido libre, pero en su condición natural, es decir de hombre sin normas y reglas, no podría conducirse y supervivir, puesto que en el orden natural el más fuerte sería el triunfador. Explicando la teoría de Rousseau, Clude Du Pasquier escribe:</w:t>
      </w:r>
    </w:p>
    <w:p w14:paraId="033224E5"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hombre ha nacido libre, pero el estado de naturaleza no podría ser mantenido, pues ello sería el triunfo del más fuerte. Para su protección mutua los hombres están obligados a asociarse. Pero ¿cómo? El problema consiste en “hallar una forma de asociación que defienda y proteja con toda la fuerza común la persona y los bienes de cada asociado y por la cual, cada uno, uniéndose a todos, no obedezca, sin embargo, más que a sí mismo y quede tan libre como antes”.”</w:t>
      </w:r>
      <w:r w:rsidRPr="000D3432">
        <w:rPr>
          <w:rStyle w:val="Refdenotaalpie"/>
          <w:rFonts w:asciiTheme="minorHAnsi" w:hAnsiTheme="minorHAnsi"/>
          <w:sz w:val="24"/>
          <w:szCs w:val="24"/>
          <w:vertAlign w:val="superscript"/>
        </w:rPr>
        <w:footnoteReference w:id="316"/>
      </w:r>
      <w:r w:rsidRPr="000D3432">
        <w:rPr>
          <w:rFonts w:asciiTheme="minorHAnsi" w:hAnsiTheme="minorHAnsi"/>
          <w:sz w:val="24"/>
          <w:szCs w:val="24"/>
        </w:rPr>
        <w:tab/>
      </w:r>
    </w:p>
    <w:p w14:paraId="35BE1273" w14:textId="77777777" w:rsidR="001925CE" w:rsidRPr="000D3432" w:rsidRDefault="001925CE" w:rsidP="00A95498">
      <w:pPr>
        <w:ind w:firstLine="426"/>
        <w:jc w:val="both"/>
        <w:rPr>
          <w:rFonts w:asciiTheme="minorHAnsi" w:hAnsiTheme="minorHAnsi"/>
          <w:szCs w:val="24"/>
        </w:rPr>
      </w:pPr>
    </w:p>
    <w:p w14:paraId="57D6948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Esta forma es a través del Contrato Social, que permitirá a los hombres depender de sí mismo, pero a la vez otorgar poder a un Estado soberano que se encargue de proteger los derechos de los ciudadanos. El Estado formado tendrá como fin el bien común. Hay que cumplir, además, con la voluntad general, que será el sustento de la formación y conservación del Estado. El Derecho positivo está dirigido a realizar automáticamente la utilidad pública. El Estado tiene poder absoluto sobre el individuo, pero el individuo sólo ha cedido la parte de su derecho que interesa a la comunidad, que es en beneficio del bien común.</w:t>
      </w:r>
    </w:p>
    <w:p w14:paraId="5E0CEC36" w14:textId="77777777" w:rsidR="001925CE" w:rsidRPr="000D3432" w:rsidRDefault="001925CE" w:rsidP="00A95498">
      <w:pPr>
        <w:ind w:firstLine="426"/>
        <w:jc w:val="both"/>
        <w:rPr>
          <w:rFonts w:asciiTheme="minorHAnsi" w:hAnsiTheme="minorHAnsi"/>
          <w:szCs w:val="24"/>
        </w:rPr>
      </w:pPr>
    </w:p>
    <w:p w14:paraId="30CEC66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Rousseau explica que el hombre en un principio, en el estado de naturaleza, vivía libre y era bueno, pero con la civilización se corrompe dicho estado natural. Al imponerse los hombres fuertes sobre los débiles y cercar sus tierras, expresando su posesión, se dio inicio a la propiedad y a la infelicidad. Es el inicio de la desigualdad. Para remediar estos males, era preciso retornar al estado de naturaleza, como ya lo dijimos, pero como no es posible, establece un medio que garantice la seguridad de todos, este es el Contrato Social, como ya también lo dijimos. Este sin embargo fue una afirmación de la necesidad racional de ordenar jurídicamente a los hombres. Es esta la razón de ser del Estado. La ley, es por su parte, la expresión de la voluntad general, no un mandato arbitrario. Y los mandatos arbitrarios no son legítimos, puesto que no se fundamentan en la </w:t>
      </w:r>
      <w:r w:rsidRPr="000D3432">
        <w:rPr>
          <w:rFonts w:asciiTheme="minorHAnsi" w:hAnsiTheme="minorHAnsi"/>
          <w:szCs w:val="24"/>
        </w:rPr>
        <w:lastRenderedPageBreak/>
        <w:t>voluntad general, que se expresa a través de la ley. La importancia y relevancia de la ley, se desprende de la teoría de que el sometimiento de los hombres a las leyes, hace a los hombres libres, por ser estas leyes sólo manifestaciones de la voluntad general.</w:t>
      </w:r>
      <w:r w:rsidRPr="000D3432">
        <w:rPr>
          <w:rStyle w:val="Refdenotaalpie"/>
          <w:rFonts w:asciiTheme="minorHAnsi" w:hAnsiTheme="minorHAnsi"/>
          <w:sz w:val="24"/>
          <w:szCs w:val="24"/>
          <w:vertAlign w:val="superscript"/>
        </w:rPr>
        <w:footnoteReference w:id="317"/>
      </w:r>
      <w:r w:rsidRPr="000D3432">
        <w:rPr>
          <w:rFonts w:asciiTheme="minorHAnsi" w:hAnsiTheme="minorHAnsi"/>
          <w:szCs w:val="24"/>
        </w:rPr>
        <w:tab/>
      </w:r>
    </w:p>
    <w:p w14:paraId="079E681D" w14:textId="77777777" w:rsidR="001925CE" w:rsidRPr="000D3432" w:rsidRDefault="001925CE" w:rsidP="00A95498">
      <w:pPr>
        <w:ind w:firstLine="426"/>
        <w:jc w:val="both"/>
        <w:rPr>
          <w:rFonts w:asciiTheme="minorHAnsi" w:hAnsiTheme="minorHAnsi"/>
          <w:szCs w:val="24"/>
        </w:rPr>
      </w:pPr>
    </w:p>
    <w:p w14:paraId="630CDC5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Por otro lado, pero sobre el mismo tema, Rousseau sostiene la teoría de que el progreso ha desviado al hombre de sus primarios instintos naturales (de ser un hombre bueno por naturaleza), así: </w:t>
      </w:r>
    </w:p>
    <w:p w14:paraId="7F6D5A67"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 “En 1750 publica el Discurso sobre las ciencias y las artes, premiado por la Academia de Dijón. Sostiene en él que el progreso no ha mejorado a los hombres (tesis contraria a la del enciclopedismo); por el contrario, ha corrompido las costumbres, estimulando el egoísmo y la injusticia social.”</w:t>
      </w:r>
      <w:r w:rsidRPr="000D3432">
        <w:rPr>
          <w:rStyle w:val="Refdenotaalpie"/>
          <w:rFonts w:asciiTheme="minorHAnsi" w:hAnsiTheme="minorHAnsi"/>
          <w:sz w:val="24"/>
          <w:szCs w:val="24"/>
          <w:vertAlign w:val="superscript"/>
        </w:rPr>
        <w:footnoteReference w:id="318"/>
      </w:r>
    </w:p>
    <w:p w14:paraId="21322418" w14:textId="77777777" w:rsidR="001925CE" w:rsidRPr="000D3432" w:rsidRDefault="001925CE" w:rsidP="00A95498">
      <w:pPr>
        <w:ind w:firstLine="426"/>
        <w:jc w:val="both"/>
        <w:rPr>
          <w:rFonts w:asciiTheme="minorHAnsi" w:hAnsiTheme="minorHAnsi"/>
          <w:szCs w:val="24"/>
        </w:rPr>
      </w:pPr>
    </w:p>
    <w:p w14:paraId="1B9F7E2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Rousseau el Derecho es el centro de la vida social, y piensa que una sociedad sin leyes no es, en último análisis, una verdadera comunidad.</w:t>
      </w:r>
      <w:r w:rsidRPr="000D3432">
        <w:rPr>
          <w:rStyle w:val="Refdenotaalpie"/>
          <w:rFonts w:asciiTheme="minorHAnsi" w:hAnsiTheme="minorHAnsi"/>
          <w:sz w:val="24"/>
          <w:szCs w:val="24"/>
          <w:vertAlign w:val="superscript"/>
        </w:rPr>
        <w:footnoteReference w:id="319"/>
      </w:r>
    </w:p>
    <w:p w14:paraId="50B7FC1B" w14:textId="77777777" w:rsidR="001925CE" w:rsidRPr="000D3432" w:rsidRDefault="001925CE" w:rsidP="00A95498">
      <w:pPr>
        <w:jc w:val="both"/>
        <w:rPr>
          <w:rFonts w:asciiTheme="minorHAnsi" w:hAnsiTheme="minorHAnsi"/>
          <w:szCs w:val="24"/>
        </w:rPr>
      </w:pPr>
    </w:p>
    <w:p w14:paraId="3D4F7266"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h.- Hume</w:t>
      </w:r>
      <w:r w:rsidRPr="000D3432">
        <w:rPr>
          <w:rFonts w:asciiTheme="minorHAnsi" w:hAnsiTheme="minorHAnsi"/>
          <w:szCs w:val="24"/>
        </w:rPr>
        <w:t xml:space="preserve"> (1711-1776)</w:t>
      </w:r>
    </w:p>
    <w:p w14:paraId="2BE47DAF" w14:textId="77777777" w:rsidR="001925CE" w:rsidRPr="000D3432" w:rsidRDefault="001925CE" w:rsidP="00A95498">
      <w:pPr>
        <w:ind w:firstLine="426"/>
        <w:jc w:val="both"/>
        <w:rPr>
          <w:rFonts w:asciiTheme="minorHAnsi" w:hAnsiTheme="minorHAnsi"/>
          <w:szCs w:val="24"/>
        </w:rPr>
      </w:pPr>
    </w:p>
    <w:p w14:paraId="77B6791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Hume</w:t>
      </w:r>
      <w:r w:rsidRPr="000D3432">
        <w:rPr>
          <w:rStyle w:val="Refdenotaalpie"/>
          <w:rFonts w:asciiTheme="minorHAnsi" w:hAnsiTheme="minorHAnsi"/>
          <w:sz w:val="24"/>
          <w:szCs w:val="24"/>
          <w:vertAlign w:val="superscript"/>
        </w:rPr>
        <w:footnoteReference w:id="320"/>
      </w:r>
      <w:r w:rsidRPr="000D3432">
        <w:rPr>
          <w:rFonts w:asciiTheme="minorHAnsi" w:hAnsiTheme="minorHAnsi"/>
          <w:szCs w:val="24"/>
        </w:rPr>
        <w:t xml:space="preserve"> está considerado dentro de la corriente Empirista, junto con Berkeley y otros. Es quien más influye en un pensador clave para el pensamiento jurídico Enmanuel Kant.</w:t>
      </w:r>
      <w:r w:rsidRPr="000D3432">
        <w:rPr>
          <w:rStyle w:val="Refdenotaalpie"/>
          <w:rFonts w:asciiTheme="minorHAnsi" w:hAnsiTheme="minorHAnsi"/>
          <w:sz w:val="24"/>
          <w:szCs w:val="24"/>
          <w:vertAlign w:val="superscript"/>
        </w:rPr>
        <w:footnoteReference w:id="321"/>
      </w:r>
      <w:r w:rsidRPr="000D3432">
        <w:rPr>
          <w:rFonts w:asciiTheme="minorHAnsi" w:hAnsiTheme="minorHAnsi"/>
          <w:szCs w:val="24"/>
        </w:rPr>
        <w:t>.</w:t>
      </w:r>
    </w:p>
    <w:p w14:paraId="2E5145DF" w14:textId="77777777" w:rsidR="001925CE" w:rsidRPr="000D3432" w:rsidRDefault="001925CE" w:rsidP="00A95498">
      <w:pPr>
        <w:ind w:firstLine="426"/>
        <w:jc w:val="both"/>
        <w:rPr>
          <w:rFonts w:asciiTheme="minorHAnsi" w:hAnsiTheme="minorHAnsi"/>
          <w:szCs w:val="24"/>
        </w:rPr>
      </w:pPr>
    </w:p>
    <w:p w14:paraId="7EF24B0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Hume, que vivió en el tiempo de la Ilustración. no cree en la validez de la causalidad. Explicando esto, Villoro escribe: “De igual manera nos equivocamos si atribuimos al orden de las cosas la idea de la causalidad: entre las cosas no hay más relaciones que las de contigüedad y sucesión, y lo que llamamos “causa” no es más que “un objeto, seguido de otro, de tal suerte que los objetos similares al primero van seguidos por los objetos similares al segundo”;... “todos nuestros razonamientos relativos a las causas y a los efectos se derivan del hábito” La costumbre cuelga la ilusión de necesidad a lo que no son más que meras sucesiones de acontecimientos.”</w:t>
      </w:r>
      <w:r w:rsidRPr="000D3432">
        <w:rPr>
          <w:rStyle w:val="Refdenotaalpie"/>
          <w:rFonts w:asciiTheme="minorHAnsi" w:hAnsiTheme="minorHAnsi"/>
          <w:sz w:val="24"/>
          <w:szCs w:val="24"/>
          <w:vertAlign w:val="superscript"/>
        </w:rPr>
        <w:footnoteReference w:id="322"/>
      </w:r>
      <w:r w:rsidRPr="000D3432">
        <w:rPr>
          <w:rFonts w:asciiTheme="minorHAnsi" w:hAnsiTheme="minorHAnsi"/>
          <w:szCs w:val="24"/>
        </w:rPr>
        <w:t xml:space="preserve">. </w:t>
      </w:r>
    </w:p>
    <w:p w14:paraId="3036707E" w14:textId="77777777" w:rsidR="001925CE" w:rsidRPr="000D3432" w:rsidRDefault="001925CE" w:rsidP="00A95498">
      <w:pPr>
        <w:ind w:firstLine="426"/>
        <w:jc w:val="both"/>
        <w:rPr>
          <w:rFonts w:asciiTheme="minorHAnsi" w:hAnsiTheme="minorHAnsi"/>
          <w:szCs w:val="24"/>
        </w:rPr>
      </w:pPr>
    </w:p>
    <w:p w14:paraId="338656EF"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Agrega a sus dudas, este pensador, la de la existencia de la Libertad. No cree en ella. Para él no existe libertad, y, otra vez -según Villoro- explica, “No existe la libertad, porque, para poder escoger entre dos o más altenativas, sería necesario que existiera alguien, una mente, que escogiera, y ya hemos visto que la mente </w:t>
      </w:r>
      <w:r w:rsidRPr="000D3432">
        <w:rPr>
          <w:rFonts w:asciiTheme="minorHAnsi" w:hAnsiTheme="minorHAnsi"/>
          <w:szCs w:val="24"/>
        </w:rPr>
        <w:lastRenderedPageBreak/>
        <w:t>no es más que una sucesión de estados mentales;  lo que llamamos “libertad” no es más que “un poder de actuar o no actuar de acuerdo con las determinaciones de la voluntad”, poder que consiste, no en decidir internamente (pues no hay quién decida), sino en no estar obstaculizado externamente como lo están los prisioneros en cadenas.”</w:t>
      </w:r>
      <w:r w:rsidRPr="000D3432">
        <w:rPr>
          <w:rStyle w:val="Refdenotaalpie"/>
          <w:rFonts w:asciiTheme="minorHAnsi" w:hAnsiTheme="minorHAnsi"/>
          <w:sz w:val="24"/>
          <w:szCs w:val="24"/>
          <w:vertAlign w:val="superscript"/>
        </w:rPr>
        <w:footnoteReference w:id="323"/>
      </w:r>
    </w:p>
    <w:p w14:paraId="43C1DB67" w14:textId="77777777" w:rsidR="001925CE" w:rsidRPr="000D3432" w:rsidRDefault="001925CE" w:rsidP="00A95498">
      <w:pPr>
        <w:ind w:firstLine="426"/>
        <w:jc w:val="both"/>
        <w:rPr>
          <w:rFonts w:asciiTheme="minorHAnsi" w:hAnsiTheme="minorHAnsi"/>
          <w:szCs w:val="24"/>
        </w:rPr>
      </w:pPr>
    </w:p>
    <w:p w14:paraId="7F0ACA5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Hume cree que todo eso, la libertad y la cuasalidad, sólo son ficciones creadas por la mente humana para ordenar el mundo. Ficciones que se asocian al hábito y a la rutina.</w:t>
      </w:r>
      <w:r w:rsidRPr="000D3432">
        <w:rPr>
          <w:rStyle w:val="Refdenotaalpie"/>
          <w:rFonts w:asciiTheme="minorHAnsi" w:hAnsiTheme="minorHAnsi"/>
          <w:sz w:val="24"/>
          <w:szCs w:val="24"/>
          <w:vertAlign w:val="superscript"/>
        </w:rPr>
        <w:footnoteReference w:id="324"/>
      </w:r>
      <w:r w:rsidRPr="000D3432">
        <w:rPr>
          <w:rFonts w:asciiTheme="minorHAnsi" w:hAnsiTheme="minorHAnsi"/>
          <w:szCs w:val="24"/>
        </w:rPr>
        <w:t>.</w:t>
      </w:r>
    </w:p>
    <w:p w14:paraId="5C0085B4" w14:textId="77777777" w:rsidR="001925CE" w:rsidRPr="000D3432" w:rsidRDefault="001925CE" w:rsidP="00A95498">
      <w:pPr>
        <w:ind w:firstLine="426"/>
        <w:jc w:val="both"/>
        <w:rPr>
          <w:rFonts w:asciiTheme="minorHAnsi" w:hAnsiTheme="minorHAnsi"/>
          <w:szCs w:val="24"/>
        </w:rPr>
      </w:pPr>
    </w:p>
    <w:p w14:paraId="1B16230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Hume considera necesario ordenar los conceptos y pensamientos que fueron confusos y que habían quedado viejos, obsoletos. ¿cuál es su propósito? Llegar a las percepciones inmediatas de la vida, las reglas de conducta deben salir de la praxis, de la vida cotidiana, no contrarias a ellas.</w:t>
      </w:r>
    </w:p>
    <w:p w14:paraId="3B4ABF2D" w14:textId="77777777" w:rsidR="001925CE" w:rsidRPr="000D3432" w:rsidRDefault="001925CE" w:rsidP="00A95498">
      <w:pPr>
        <w:ind w:firstLine="426"/>
        <w:jc w:val="both"/>
        <w:rPr>
          <w:rFonts w:asciiTheme="minorHAnsi" w:hAnsiTheme="minorHAnsi"/>
          <w:szCs w:val="24"/>
        </w:rPr>
      </w:pPr>
    </w:p>
    <w:p w14:paraId="3D94EFF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A este agnóstico pensador el orden de las ideas y pensamientos es lo que le preocupa. Se revela contra el pensamiento racionalista que supone a la razón como la que se encarga de distinguir entre el bien y el mal. El dice que no es así, que la razón no decide qué es bueno o malo, sino son los sentimientos. No somos solo razón, además sentimos, es el motor que nos hace ayudar a los demás y concederles una nueva oportunidad.</w:t>
      </w:r>
    </w:p>
    <w:p w14:paraId="15C60583" w14:textId="77777777" w:rsidR="001925CE" w:rsidRPr="000D3432" w:rsidRDefault="001925CE" w:rsidP="00A95498">
      <w:pPr>
        <w:ind w:firstLine="426"/>
        <w:jc w:val="both"/>
        <w:rPr>
          <w:rFonts w:asciiTheme="minorHAnsi" w:hAnsiTheme="minorHAnsi"/>
          <w:szCs w:val="24"/>
        </w:rPr>
      </w:pPr>
    </w:p>
    <w:p w14:paraId="68CE29F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este sentido, el Derecho no podría ser solo positivo, sino visto dentro de una perspectiva diferente, más abierta y real. </w:t>
      </w:r>
    </w:p>
    <w:p w14:paraId="482CA51F" w14:textId="77777777" w:rsidR="001925CE" w:rsidRPr="000D3432" w:rsidRDefault="001925CE" w:rsidP="00A95498">
      <w:pPr>
        <w:jc w:val="both"/>
        <w:rPr>
          <w:rFonts w:asciiTheme="minorHAnsi" w:hAnsiTheme="minorHAnsi"/>
          <w:szCs w:val="24"/>
        </w:rPr>
      </w:pPr>
    </w:p>
    <w:p w14:paraId="73C77F88"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i.- Kant</w:t>
      </w:r>
      <w:r w:rsidRPr="000D3432">
        <w:rPr>
          <w:rFonts w:asciiTheme="minorHAnsi" w:hAnsiTheme="minorHAnsi"/>
          <w:szCs w:val="24"/>
        </w:rPr>
        <w:t xml:space="preserve"> (1724-1804)</w:t>
      </w:r>
    </w:p>
    <w:p w14:paraId="47748C7A" w14:textId="77777777" w:rsidR="001925CE" w:rsidRPr="000D3432" w:rsidRDefault="001925CE" w:rsidP="00A95498">
      <w:pPr>
        <w:ind w:firstLine="425"/>
        <w:jc w:val="both"/>
        <w:rPr>
          <w:rFonts w:asciiTheme="minorHAnsi" w:hAnsiTheme="minorHAnsi"/>
          <w:szCs w:val="24"/>
        </w:rPr>
      </w:pPr>
    </w:p>
    <w:p w14:paraId="5D3DF8C3"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O “El Derecho como expresión de la voluntad general” (Friedrich).</w:t>
      </w:r>
    </w:p>
    <w:p w14:paraId="2D7D45E1" w14:textId="77777777" w:rsidR="001925CE" w:rsidRPr="000D3432" w:rsidRDefault="001925CE" w:rsidP="00A95498">
      <w:pPr>
        <w:ind w:firstLine="426"/>
        <w:jc w:val="both"/>
        <w:rPr>
          <w:rFonts w:asciiTheme="minorHAnsi" w:hAnsiTheme="minorHAnsi"/>
          <w:szCs w:val="24"/>
        </w:rPr>
      </w:pPr>
    </w:p>
    <w:p w14:paraId="39EE97F0"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El pensamiento jurídico de Kant</w:t>
      </w:r>
      <w:r w:rsidRPr="000D3432">
        <w:rPr>
          <w:rStyle w:val="Refdenotaalpie"/>
          <w:rFonts w:asciiTheme="minorHAnsi" w:hAnsiTheme="minorHAnsi"/>
          <w:sz w:val="24"/>
          <w:szCs w:val="24"/>
          <w:vertAlign w:val="superscript"/>
        </w:rPr>
        <w:footnoteReference w:id="325"/>
      </w:r>
      <w:r w:rsidRPr="000D3432">
        <w:rPr>
          <w:rFonts w:asciiTheme="minorHAnsi" w:hAnsiTheme="minorHAnsi"/>
          <w:szCs w:val="24"/>
        </w:rPr>
        <w:t xml:space="preserve"> es de transcendental importancia para la evolución del Derecho, "Entre Aristóteles y nosotros se encuentra el pensamiento de Kant" explica Trazegnies. Este pensamiento kantiano dejó una fuerte influencia en el Derecho. Kant fue un filósofo</w:t>
      </w:r>
      <w:r w:rsidRPr="000D3432">
        <w:rPr>
          <w:rStyle w:val="Refdenotaalpie"/>
          <w:rFonts w:asciiTheme="minorHAnsi" w:hAnsiTheme="minorHAnsi"/>
          <w:sz w:val="24"/>
          <w:szCs w:val="24"/>
          <w:vertAlign w:val="superscript"/>
        </w:rPr>
        <w:footnoteReference w:id="326"/>
      </w:r>
      <w:r w:rsidRPr="000D3432">
        <w:rPr>
          <w:rFonts w:asciiTheme="minorHAnsi" w:hAnsiTheme="minorHAnsi"/>
          <w:szCs w:val="24"/>
        </w:rPr>
        <w:t xml:space="preserve"> profesional, hijo de un </w:t>
      </w:r>
      <w:r w:rsidRPr="000D3432">
        <w:rPr>
          <w:rFonts w:asciiTheme="minorHAnsi" w:hAnsiTheme="minorHAnsi"/>
          <w:szCs w:val="24"/>
        </w:rPr>
        <w:lastRenderedPageBreak/>
        <w:t xml:space="preserve">guarnicionero y su ambición era más bien la de un apacible sujeto dedicado a sus libros y a la maestría. </w:t>
      </w:r>
    </w:p>
    <w:p w14:paraId="1147ABCE" w14:textId="77777777" w:rsidR="001925CE" w:rsidRPr="000D3432" w:rsidRDefault="001925CE" w:rsidP="00A95498">
      <w:pPr>
        <w:ind w:firstLine="426"/>
        <w:jc w:val="both"/>
        <w:rPr>
          <w:rFonts w:asciiTheme="minorHAnsi" w:hAnsiTheme="minorHAnsi"/>
          <w:szCs w:val="24"/>
        </w:rPr>
      </w:pPr>
    </w:p>
    <w:p w14:paraId="0596BA9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¿Qué piensa Kant? El cree que tanto la razón</w:t>
      </w:r>
      <w:r w:rsidRPr="000D3432">
        <w:rPr>
          <w:rStyle w:val="Refdenotaalpie"/>
          <w:rFonts w:asciiTheme="minorHAnsi" w:hAnsiTheme="minorHAnsi"/>
          <w:sz w:val="24"/>
          <w:szCs w:val="24"/>
          <w:vertAlign w:val="superscript"/>
        </w:rPr>
        <w:footnoteReference w:id="327"/>
      </w:r>
      <w:r w:rsidRPr="000D3432">
        <w:rPr>
          <w:rFonts w:asciiTheme="minorHAnsi" w:hAnsiTheme="minorHAnsi"/>
          <w:szCs w:val="24"/>
        </w:rPr>
        <w:t xml:space="preserve"> y las percepciones (los sentidos) tienen validez pero también equivocaciones.</w:t>
      </w:r>
    </w:p>
    <w:p w14:paraId="02818BB4" w14:textId="77777777" w:rsidR="001925CE" w:rsidRPr="000D3432" w:rsidRDefault="001925CE" w:rsidP="00A95498">
      <w:pPr>
        <w:ind w:firstLine="426"/>
        <w:jc w:val="both"/>
        <w:rPr>
          <w:rFonts w:asciiTheme="minorHAnsi" w:hAnsiTheme="minorHAnsi"/>
          <w:szCs w:val="24"/>
        </w:rPr>
      </w:pPr>
    </w:p>
    <w:p w14:paraId="3ED91F2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Kant cree que todos tenemos la capacidad de razonar "razón práctica" que en cada momento nos dirá lo que está bien y lo que está mal. De ahí que la capacidad de distinguir el bien del mal sean para él algo innato. Y nos propone que "siempre debes actuar del modo que al mismo tiempo desees que la regla según la cual actúas pueda convertirse en una ley general"</w:t>
      </w:r>
    </w:p>
    <w:p w14:paraId="2A8C0B4F" w14:textId="77777777" w:rsidR="001925CE" w:rsidRPr="000D3432" w:rsidRDefault="001925CE" w:rsidP="00A95498">
      <w:pPr>
        <w:ind w:firstLine="426"/>
        <w:jc w:val="both"/>
        <w:rPr>
          <w:rFonts w:asciiTheme="minorHAnsi" w:hAnsiTheme="minorHAnsi"/>
          <w:szCs w:val="24"/>
        </w:rPr>
      </w:pPr>
    </w:p>
    <w:p w14:paraId="599AA9C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Kant escribe varias obras que se inician con la palabra "crítica", de la razón pura, de la razón práctica, del juicio. El entiende que todo el pensamiento anterior partía de ideas absolutas y postula que hay que dudar hasta de los fundamentos de lo cognoscitivo. En sus obras trata sobre la verdad, el bien ético y la belleza. Parece advertir que las ciencias avanzan  descubriendo su ritmo, es por este método que pretende descubrir el pensar jurídico. </w:t>
      </w:r>
    </w:p>
    <w:p w14:paraId="1D6FBCC4" w14:textId="77777777" w:rsidR="001925CE" w:rsidRPr="000D3432" w:rsidRDefault="001925CE" w:rsidP="00A95498">
      <w:pPr>
        <w:ind w:firstLine="426"/>
        <w:jc w:val="both"/>
        <w:rPr>
          <w:rFonts w:asciiTheme="minorHAnsi" w:hAnsiTheme="minorHAnsi"/>
          <w:szCs w:val="24"/>
        </w:rPr>
      </w:pPr>
    </w:p>
    <w:p w14:paraId="62A968A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Su teoría sobre el bien y el mal se deciden por imperativos categóricos, "Kant diseñó una ética formal o formalista. Eso significa que no daba recetas, no decía qué es bueno hacer y qué es malo. No aseguraba que hallaríamos un bien ulterior si obrábamos de acuerdo con el deber. Lo  bueno y lo malo se deciden, según la ética Kantiana, por la regla que llamó el imperativo categórico</w:t>
      </w:r>
      <w:r w:rsidRPr="000D3432">
        <w:rPr>
          <w:rStyle w:val="Refdenotaalpie"/>
          <w:rFonts w:asciiTheme="minorHAnsi" w:hAnsiTheme="minorHAnsi"/>
          <w:sz w:val="24"/>
          <w:szCs w:val="24"/>
          <w:vertAlign w:val="superscript"/>
        </w:rPr>
        <w:footnoteReference w:id="328"/>
      </w:r>
      <w:r w:rsidRPr="000D3432">
        <w:rPr>
          <w:rFonts w:asciiTheme="minorHAnsi" w:hAnsiTheme="minorHAnsi"/>
          <w:szCs w:val="24"/>
        </w:rPr>
        <w:t xml:space="preserve">. "Categórico" significa in-condicionado. El imperativo condicionado es </w:t>
      </w:r>
      <w:r w:rsidRPr="000D3432">
        <w:rPr>
          <w:rFonts w:asciiTheme="minorHAnsi" w:hAnsiTheme="minorHAnsi"/>
          <w:szCs w:val="24"/>
        </w:rPr>
        <w:lastRenderedPageBreak/>
        <w:t>hipotético"</w:t>
      </w:r>
      <w:r w:rsidRPr="000D3432">
        <w:rPr>
          <w:rStyle w:val="Refdenotaalpie"/>
          <w:rFonts w:asciiTheme="minorHAnsi" w:hAnsiTheme="minorHAnsi"/>
          <w:sz w:val="24"/>
          <w:szCs w:val="24"/>
          <w:vertAlign w:val="superscript"/>
        </w:rPr>
        <w:footnoteReference w:id="329"/>
      </w:r>
      <w:r w:rsidRPr="000D3432">
        <w:rPr>
          <w:rFonts w:asciiTheme="minorHAnsi" w:hAnsiTheme="minorHAnsi"/>
          <w:szCs w:val="24"/>
        </w:rPr>
        <w:t>. Este pensador piensa que lo categórico es hacer las cosas, no por sentido de conveniencia o condición: "Yo te hago este favor a cambio de...". El imperativo categórico supo hacer las cosas sin ninguna condición, por el simple placer que te produce hacer algo. El imperativo condicionado, se expresa según terminología "por condición".</w:t>
      </w:r>
    </w:p>
    <w:p w14:paraId="182059AF" w14:textId="77777777" w:rsidR="001925CE" w:rsidRPr="000D3432" w:rsidRDefault="001925CE" w:rsidP="00A95498">
      <w:pPr>
        <w:ind w:firstLine="426"/>
        <w:jc w:val="both"/>
        <w:rPr>
          <w:rFonts w:asciiTheme="minorHAnsi" w:hAnsiTheme="minorHAnsi"/>
          <w:szCs w:val="24"/>
        </w:rPr>
      </w:pPr>
    </w:p>
    <w:p w14:paraId="2C1D5CF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Para Kant las consecuencias no tienen  que representar al acto querido. Lo importante es la intención, no el resultado. El bien no está en los hechos aposterioris, sino en la voluntad.</w:t>
      </w:r>
    </w:p>
    <w:p w14:paraId="7D83AFF7"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Bien está en la voluntad, responderá Kant. Si la voluntad se somete puramente al imperativo categórico, aunque luego la acción le salga mal, sigue siendo ética. Lo ético es, pues independiente de las consecuencias y de los condicionamientos exteriores"</w:t>
      </w:r>
      <w:r w:rsidRPr="000D3432">
        <w:rPr>
          <w:rStyle w:val="Refdenotaalpie"/>
          <w:rFonts w:asciiTheme="minorHAnsi" w:hAnsiTheme="minorHAnsi"/>
          <w:sz w:val="24"/>
          <w:szCs w:val="24"/>
          <w:vertAlign w:val="superscript"/>
        </w:rPr>
        <w:footnoteReference w:id="330"/>
      </w:r>
    </w:p>
    <w:p w14:paraId="400280D4" w14:textId="77777777" w:rsidR="001925CE" w:rsidRPr="000D3432" w:rsidRDefault="001925CE" w:rsidP="00A95498">
      <w:pPr>
        <w:ind w:firstLine="426"/>
        <w:jc w:val="both"/>
        <w:rPr>
          <w:rFonts w:asciiTheme="minorHAnsi" w:hAnsiTheme="minorHAnsi"/>
          <w:szCs w:val="24"/>
        </w:rPr>
      </w:pPr>
    </w:p>
    <w:p w14:paraId="3B1526A6"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este orden de cosas el Estado no puede limitar su función a la protección de la libertad de los individuos, sino que tiene que realizar el bien común. Este será su principal función. Sin embargo el sistema Kantiano, no realiza una operación integral respecto de ciertos elementos culturales y costumbristas de la sociedad. Hay entonces observaciones al pensamiento Kantiano, por ejemplo,"para Ahrens el sistema Kantiano es demasiado abstracto en su generalidad y descuida los elementos que están en la cultura y en las costumbres de un pueblo. El rol del Estado no puede limitarse a proteger la libertad de los ciudadanos, sino que tiene que realizar el Bien"</w:t>
      </w:r>
      <w:r w:rsidRPr="000D3432">
        <w:rPr>
          <w:rStyle w:val="Refdenotaalpie"/>
          <w:rFonts w:asciiTheme="minorHAnsi" w:hAnsiTheme="minorHAnsi"/>
          <w:sz w:val="24"/>
          <w:szCs w:val="24"/>
          <w:vertAlign w:val="superscript"/>
        </w:rPr>
        <w:footnoteReference w:id="331"/>
      </w:r>
      <w:r w:rsidRPr="000D3432">
        <w:rPr>
          <w:rStyle w:val="Refdenotaalpie"/>
          <w:rFonts w:asciiTheme="minorHAnsi" w:hAnsiTheme="minorHAnsi"/>
          <w:sz w:val="24"/>
          <w:szCs w:val="24"/>
          <w:vertAlign w:val="superscript"/>
        </w:rPr>
        <w:footnoteReference w:id="332"/>
      </w:r>
      <w:r w:rsidRPr="000D3432">
        <w:rPr>
          <w:rFonts w:asciiTheme="minorHAnsi" w:hAnsiTheme="minorHAnsi"/>
          <w:szCs w:val="24"/>
        </w:rPr>
        <w:t>.</w:t>
      </w:r>
    </w:p>
    <w:p w14:paraId="35787BC8" w14:textId="77777777" w:rsidR="001925CE" w:rsidRPr="000D3432" w:rsidRDefault="001925CE" w:rsidP="00A95498">
      <w:pPr>
        <w:ind w:firstLine="426"/>
        <w:jc w:val="both"/>
        <w:rPr>
          <w:rFonts w:asciiTheme="minorHAnsi" w:hAnsiTheme="minorHAnsi"/>
          <w:szCs w:val="24"/>
        </w:rPr>
      </w:pPr>
    </w:p>
    <w:p w14:paraId="6A317A7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José Silva Santistevan, expositor de la línea liberal "admira a Kant y considera que su doctrina "ejerció la más benéfica influencia en las reformas sociales del último siglo y del presente, y puede considerarse como la madre del liberalismo".</w:t>
      </w:r>
      <w:r w:rsidRPr="000D3432">
        <w:rPr>
          <w:rStyle w:val="Refdenotaalpie"/>
          <w:rFonts w:asciiTheme="minorHAnsi" w:hAnsiTheme="minorHAnsi"/>
          <w:sz w:val="24"/>
          <w:szCs w:val="24"/>
          <w:vertAlign w:val="superscript"/>
        </w:rPr>
        <w:footnoteReference w:id="333"/>
      </w:r>
      <w:r w:rsidRPr="000D3432">
        <w:rPr>
          <w:rFonts w:asciiTheme="minorHAnsi" w:hAnsiTheme="minorHAnsi"/>
          <w:szCs w:val="24"/>
        </w:rPr>
        <w:t xml:space="preserve"> Sin embargo Silva Santistevan no se deja enceguecer por su admiración a Kant y observa que las grandes aberraciones del liberalismo se deben también a Kant.</w:t>
      </w:r>
    </w:p>
    <w:p w14:paraId="073382F8" w14:textId="77777777" w:rsidR="001925CE" w:rsidRPr="000D3432" w:rsidRDefault="001925CE" w:rsidP="00A95498">
      <w:pPr>
        <w:ind w:firstLine="426"/>
        <w:jc w:val="both"/>
        <w:rPr>
          <w:rFonts w:asciiTheme="minorHAnsi" w:hAnsiTheme="minorHAnsi"/>
          <w:szCs w:val="24"/>
        </w:rPr>
      </w:pPr>
    </w:p>
    <w:p w14:paraId="5E341AD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Volviendo al tema jurídico, diremos que el pensamiento positivista jurídico, tiene en este autor uno de sus influyentes,"Kant representa una puerta de acceso al positivismo jurídico. Sin embargo, Kant constituye también una de sus puertas de salida"</w:t>
      </w:r>
      <w:r w:rsidRPr="000D3432">
        <w:rPr>
          <w:rStyle w:val="Refdenotaalpie"/>
          <w:rFonts w:asciiTheme="minorHAnsi" w:hAnsiTheme="minorHAnsi"/>
          <w:sz w:val="24"/>
          <w:szCs w:val="24"/>
          <w:vertAlign w:val="superscript"/>
        </w:rPr>
        <w:footnoteReference w:id="334"/>
      </w:r>
      <w:r w:rsidRPr="000D3432">
        <w:rPr>
          <w:rFonts w:asciiTheme="minorHAnsi" w:hAnsiTheme="minorHAnsi"/>
          <w:szCs w:val="24"/>
        </w:rPr>
        <w:t>.</w:t>
      </w:r>
    </w:p>
    <w:p w14:paraId="0FF78806" w14:textId="77777777" w:rsidR="001925CE" w:rsidRPr="000D3432" w:rsidRDefault="001925CE" w:rsidP="00A95498">
      <w:pPr>
        <w:ind w:firstLine="426"/>
        <w:jc w:val="both"/>
        <w:rPr>
          <w:rFonts w:asciiTheme="minorHAnsi" w:hAnsiTheme="minorHAnsi"/>
          <w:szCs w:val="24"/>
        </w:rPr>
      </w:pPr>
    </w:p>
    <w:p w14:paraId="262A0BB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el orden del Derecho civil, la familia, mejor dicho la idea de la familia se afirma en este pensador. Siendo así que más allá de eso, "Kant es un miembro prominente de la "familia": sus planteamientos serán utilizados por sus continuadores para estructurar una versión muy inteligente del liberalismo. Pero su posición -así como la de su inspirador político Rousseau- es muy difícil. </w:t>
      </w:r>
      <w:r w:rsidRPr="000D3432">
        <w:rPr>
          <w:rFonts w:asciiTheme="minorHAnsi" w:hAnsiTheme="minorHAnsi"/>
          <w:szCs w:val="24"/>
        </w:rPr>
        <w:lastRenderedPageBreak/>
        <w:t>Aun cuando Kant y Rousseau son miembros de la familia, ponen en cuestión todos los valores familiares; sus fundamentaciones muchas veces parecen dudas antes que defensas de la filosofía liberal."</w:t>
      </w:r>
      <w:r w:rsidRPr="000D3432">
        <w:rPr>
          <w:rStyle w:val="Refdenotaalpie"/>
          <w:rFonts w:asciiTheme="minorHAnsi" w:hAnsiTheme="minorHAnsi"/>
          <w:sz w:val="24"/>
          <w:szCs w:val="24"/>
          <w:vertAlign w:val="superscript"/>
        </w:rPr>
        <w:footnoteReference w:id="335"/>
      </w:r>
    </w:p>
    <w:p w14:paraId="360F8A60" w14:textId="77777777" w:rsidR="001925CE" w:rsidRPr="000D3432" w:rsidRDefault="001925CE" w:rsidP="00A95498">
      <w:pPr>
        <w:ind w:firstLine="426"/>
        <w:jc w:val="both"/>
        <w:rPr>
          <w:rFonts w:asciiTheme="minorHAnsi" w:hAnsiTheme="minorHAnsi"/>
          <w:szCs w:val="24"/>
        </w:rPr>
      </w:pPr>
    </w:p>
    <w:p w14:paraId="0D3C4F22"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Kant cree que el proceso mental más idóneo para avanzar, progresar es el </w:t>
      </w:r>
      <w:r w:rsidRPr="000D3432">
        <w:rPr>
          <w:rFonts w:asciiTheme="minorHAnsi" w:hAnsiTheme="minorHAnsi"/>
          <w:b/>
          <w:szCs w:val="24"/>
        </w:rPr>
        <w:t xml:space="preserve">estudio crítico </w:t>
      </w:r>
      <w:r w:rsidRPr="000D3432">
        <w:rPr>
          <w:rFonts w:asciiTheme="minorHAnsi" w:hAnsiTheme="minorHAnsi"/>
          <w:szCs w:val="24"/>
        </w:rPr>
        <w:t>de nuestras facultades cognoscitivas. Descubrir el pensar jurídico.</w:t>
      </w:r>
    </w:p>
    <w:p w14:paraId="5DB47F0D"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"hay que descubrir el pensar jurídico, en cuanto diferente de otros modos de pensar o de conocer y en particular en cuanto diferente de la moral"</w:t>
      </w:r>
      <w:r w:rsidRPr="000D3432">
        <w:rPr>
          <w:rStyle w:val="Refdenotaalpie"/>
          <w:rFonts w:asciiTheme="minorHAnsi" w:hAnsiTheme="minorHAnsi"/>
          <w:sz w:val="24"/>
          <w:szCs w:val="24"/>
          <w:vertAlign w:val="superscript"/>
        </w:rPr>
        <w:footnoteReference w:id="336"/>
      </w:r>
      <w:r w:rsidRPr="000D3432">
        <w:rPr>
          <w:rFonts w:asciiTheme="minorHAnsi" w:hAnsiTheme="minorHAnsi"/>
          <w:sz w:val="24"/>
          <w:szCs w:val="24"/>
        </w:rPr>
        <w:t>.</w:t>
      </w:r>
    </w:p>
    <w:p w14:paraId="707AFC4C" w14:textId="77777777" w:rsidR="001925CE" w:rsidRPr="000D3432" w:rsidRDefault="001925CE" w:rsidP="00A95498">
      <w:pPr>
        <w:ind w:left="720" w:firstLine="426"/>
        <w:jc w:val="both"/>
        <w:rPr>
          <w:rFonts w:asciiTheme="minorHAnsi" w:hAnsiTheme="minorHAnsi"/>
          <w:szCs w:val="24"/>
        </w:rPr>
      </w:pPr>
    </w:p>
    <w:p w14:paraId="392DE300" w14:textId="77777777" w:rsidR="001925CE" w:rsidRPr="000D3432" w:rsidRDefault="001925CE" w:rsidP="00A95498">
      <w:pPr>
        <w:ind w:left="720" w:firstLine="426"/>
        <w:jc w:val="both"/>
        <w:rPr>
          <w:rFonts w:asciiTheme="minorHAnsi" w:hAnsiTheme="minorHAnsi"/>
          <w:szCs w:val="24"/>
        </w:rPr>
      </w:pPr>
      <w:r w:rsidRPr="000D3432">
        <w:rPr>
          <w:rFonts w:asciiTheme="minorHAnsi" w:hAnsiTheme="minorHAnsi"/>
          <w:szCs w:val="24"/>
        </w:rPr>
        <w:t>Además, Kant cree que el Derecho es una ciencia del "deber ser"</w:t>
      </w:r>
    </w:p>
    <w:p w14:paraId="306A465A" w14:textId="77777777" w:rsidR="001925CE" w:rsidRPr="000D3432" w:rsidRDefault="001925CE" w:rsidP="00A95498">
      <w:pPr>
        <w:ind w:firstLine="426"/>
        <w:jc w:val="both"/>
        <w:rPr>
          <w:rFonts w:asciiTheme="minorHAnsi" w:hAnsiTheme="minorHAnsi"/>
          <w:szCs w:val="24"/>
        </w:rPr>
      </w:pPr>
    </w:p>
    <w:p w14:paraId="7819ABE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Una de sus máximas centrales que convienen a la dirección jurídica social, y que a la vez revelan el pensar jurídico en Kant es: </w:t>
      </w:r>
      <w:r w:rsidRPr="000D3432">
        <w:rPr>
          <w:rFonts w:asciiTheme="minorHAnsi" w:hAnsiTheme="minorHAnsi"/>
          <w:b/>
          <w:szCs w:val="24"/>
        </w:rPr>
        <w:t>"obra de modo que la razón de tu acción pueda ser erigida en ley universal"</w:t>
      </w:r>
      <w:r w:rsidRPr="000D3432">
        <w:rPr>
          <w:rFonts w:asciiTheme="minorHAnsi" w:hAnsiTheme="minorHAnsi"/>
          <w:szCs w:val="24"/>
        </w:rPr>
        <w:t>. Esto es un acto generalizante y abstracto. Alude que cada persona debe ser tratada como "un fin" y no un como un “medio”, es decir que somos nosotros mismos el fin.</w:t>
      </w:r>
    </w:p>
    <w:p w14:paraId="0BE3D7FE" w14:textId="77777777" w:rsidR="001925CE" w:rsidRPr="000D3432" w:rsidRDefault="001925CE" w:rsidP="00A95498">
      <w:pPr>
        <w:ind w:firstLine="426"/>
        <w:jc w:val="both"/>
        <w:rPr>
          <w:rFonts w:asciiTheme="minorHAnsi" w:hAnsiTheme="minorHAnsi"/>
          <w:szCs w:val="24"/>
        </w:rPr>
      </w:pPr>
    </w:p>
    <w:p w14:paraId="3EE1EB7D"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En el campo cognoscitivo Kant se  hace una pregunta: ¿cómo se puede saber? ¿cómo es posible una historia a priori? Y responde: "cuando el profeta hace y organiza él mismo los hechos que predice"; luego da un ejemplo cómo los judíos podían pronosticar la decadencia de su tiempo, de los políticos y dice: "Nuestros políticos dentro del radio de su influencia hacen lo mismo (osea fabricar la historia a priori) y son igualmente felices en su pronósticos. Dicen que hay que tomar a los hombres tal como son y no como los ignorantes presuntuosos o los soñadores bien intencionados imaginan que debieran ser. Pero en lugar de cómo son, mas bien deberían decir: lo que hemos hecho de ellos por medio de una injusta coacción de pérfidas maquinaciones sugeridas al gobierno"</w:t>
      </w:r>
      <w:r w:rsidRPr="000D3432">
        <w:rPr>
          <w:rStyle w:val="Refdenotaalpie"/>
          <w:rFonts w:asciiTheme="minorHAnsi" w:hAnsiTheme="minorHAnsi"/>
          <w:sz w:val="24"/>
          <w:szCs w:val="24"/>
          <w:vertAlign w:val="superscript"/>
        </w:rPr>
        <w:footnoteReference w:id="337"/>
      </w:r>
      <w:r w:rsidRPr="000D3432">
        <w:rPr>
          <w:rFonts w:asciiTheme="minorHAnsi" w:hAnsiTheme="minorHAnsi"/>
          <w:szCs w:val="24"/>
        </w:rPr>
        <w:t xml:space="preserve">. </w:t>
      </w:r>
    </w:p>
    <w:p w14:paraId="7C13E76F" w14:textId="77777777" w:rsidR="001925CE" w:rsidRPr="000D3432" w:rsidRDefault="001925CE" w:rsidP="00A95498">
      <w:pPr>
        <w:ind w:firstLine="426"/>
        <w:jc w:val="both"/>
        <w:rPr>
          <w:rFonts w:asciiTheme="minorHAnsi" w:hAnsiTheme="minorHAnsi"/>
          <w:szCs w:val="24"/>
        </w:rPr>
      </w:pPr>
    </w:p>
    <w:p w14:paraId="22A2830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otro párrafo alude al problema del bien y el mal en el hombre. No es algo que podemos predecir, no es algo innato. El progreso no podemos predecirlo con certeza, </w:t>
      </w:r>
    </w:p>
    <w:p w14:paraId="4F89D7E5"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"Si se pudiera atribuir al hombre una voluntad innata e invariablemente buena, aunque limitada, podría predecir con certeza este progreso de su especie hacia lo mejor; pues este progreso se referiría a una circunstancia que él mismo puede producir. Pero existiendo la mezcla del bien y del mal en nuestras disposiciones en una medida que ignoramos, él mismo no sabe qué resultado puede aguardar"</w:t>
      </w:r>
      <w:r w:rsidRPr="000D3432">
        <w:rPr>
          <w:rStyle w:val="Refdenotaalpie"/>
          <w:rFonts w:asciiTheme="minorHAnsi" w:hAnsiTheme="minorHAnsi"/>
          <w:sz w:val="24"/>
          <w:szCs w:val="24"/>
          <w:vertAlign w:val="superscript"/>
        </w:rPr>
        <w:footnoteReference w:id="338"/>
      </w:r>
    </w:p>
    <w:p w14:paraId="762C4E0B" w14:textId="77777777" w:rsidR="001925CE" w:rsidRPr="000D3432" w:rsidRDefault="001925CE" w:rsidP="00A95498">
      <w:pPr>
        <w:ind w:firstLine="426"/>
        <w:jc w:val="both"/>
        <w:rPr>
          <w:rFonts w:asciiTheme="minorHAnsi" w:hAnsiTheme="minorHAnsi"/>
          <w:szCs w:val="24"/>
        </w:rPr>
      </w:pPr>
    </w:p>
    <w:p w14:paraId="1CBB04B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Hace una observación sobre el Estado y su evolución progresista,</w:t>
      </w:r>
    </w:p>
    <w:p w14:paraId="4DB1B388"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"También sería necesario que, de cuando en cuando, el Estado se retomase así mismo y, empleando la evolución en lugar de la </w:t>
      </w:r>
      <w:r w:rsidRPr="000D3432">
        <w:rPr>
          <w:rFonts w:asciiTheme="minorHAnsi" w:hAnsiTheme="minorHAnsi"/>
          <w:sz w:val="24"/>
          <w:szCs w:val="24"/>
        </w:rPr>
        <w:lastRenderedPageBreak/>
        <w:t>revolución, progresara constantemente hacia lo mejor."</w:t>
      </w:r>
      <w:r w:rsidRPr="000D3432">
        <w:rPr>
          <w:rStyle w:val="Refdenotaalpie"/>
          <w:rFonts w:asciiTheme="minorHAnsi" w:hAnsiTheme="minorHAnsi"/>
          <w:sz w:val="24"/>
          <w:szCs w:val="24"/>
          <w:vertAlign w:val="superscript"/>
        </w:rPr>
        <w:footnoteReference w:id="339"/>
      </w:r>
    </w:p>
    <w:p w14:paraId="35413F53" w14:textId="77777777" w:rsidR="001925CE" w:rsidRPr="000D3432" w:rsidRDefault="001925CE" w:rsidP="00A95498">
      <w:pPr>
        <w:ind w:firstLine="426"/>
        <w:jc w:val="both"/>
        <w:rPr>
          <w:rFonts w:asciiTheme="minorHAnsi" w:hAnsiTheme="minorHAnsi"/>
          <w:szCs w:val="24"/>
        </w:rPr>
      </w:pPr>
    </w:p>
    <w:p w14:paraId="2327219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Por otro lado Kant demostró la esencia de la ley de causalidad para todo pensar ordenado.</w:t>
      </w:r>
      <w:r w:rsidRPr="000D3432">
        <w:rPr>
          <w:rStyle w:val="Refdenotaalpie"/>
          <w:rFonts w:asciiTheme="minorHAnsi" w:hAnsiTheme="minorHAnsi"/>
          <w:sz w:val="24"/>
          <w:szCs w:val="24"/>
          <w:vertAlign w:val="superscript"/>
        </w:rPr>
        <w:footnoteReference w:id="340"/>
      </w:r>
      <w:r w:rsidRPr="000D3432">
        <w:rPr>
          <w:rFonts w:asciiTheme="minorHAnsi" w:hAnsiTheme="minorHAnsi"/>
          <w:szCs w:val="24"/>
        </w:rPr>
        <w:t>.</w:t>
      </w:r>
    </w:p>
    <w:p w14:paraId="2F40F19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Kant expresa su concepción del Derecho de la siguiente manera:</w:t>
      </w:r>
    </w:p>
    <w:p w14:paraId="698186EC"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Derecho es el conjunto de condiciones bajo las cuales se puede armonizar el arbitrio de otro según una ley general de la libertad"</w:t>
      </w:r>
      <w:r w:rsidRPr="000D3432">
        <w:rPr>
          <w:rStyle w:val="Refdenotaalpie"/>
          <w:rFonts w:asciiTheme="minorHAnsi" w:hAnsiTheme="minorHAnsi"/>
          <w:sz w:val="24"/>
          <w:szCs w:val="24"/>
          <w:vertAlign w:val="superscript"/>
        </w:rPr>
        <w:footnoteReference w:id="341"/>
      </w:r>
      <w:r w:rsidRPr="000D3432">
        <w:rPr>
          <w:rFonts w:asciiTheme="minorHAnsi" w:hAnsiTheme="minorHAnsi"/>
          <w:sz w:val="24"/>
          <w:szCs w:val="24"/>
        </w:rPr>
        <w:t>.</w:t>
      </w:r>
    </w:p>
    <w:p w14:paraId="2921EDBE" w14:textId="77777777" w:rsidR="001925CE" w:rsidRPr="000D3432" w:rsidRDefault="001925CE" w:rsidP="00A95498">
      <w:pPr>
        <w:ind w:firstLine="426"/>
        <w:jc w:val="both"/>
        <w:rPr>
          <w:rFonts w:asciiTheme="minorHAnsi" w:hAnsiTheme="minorHAnsi"/>
          <w:szCs w:val="24"/>
        </w:rPr>
      </w:pPr>
    </w:p>
    <w:p w14:paraId="15AA5BF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 esta forma "el campo de la ciencia jurídica se reduce al estudio de las leyes positivas". Parece llegar a la conclusión de que el "Derecho es la norma positiva impuesta por la fuerza, y desde afuera, por los poderes públicos.”</w:t>
      </w:r>
    </w:p>
    <w:p w14:paraId="43976A60" w14:textId="77777777" w:rsidR="001925CE" w:rsidRPr="000D3432" w:rsidRDefault="001925CE" w:rsidP="00A95498">
      <w:pPr>
        <w:ind w:firstLine="426"/>
        <w:jc w:val="both"/>
        <w:rPr>
          <w:rFonts w:asciiTheme="minorHAnsi" w:hAnsiTheme="minorHAnsi"/>
          <w:szCs w:val="24"/>
        </w:rPr>
      </w:pPr>
    </w:p>
    <w:p w14:paraId="22D8B59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Desde otro enfoque, el subjetivo, Kant hace la observación de la existencia de un derecho ya existente, inherente al ser humano, y de un derecho adquirido,</w:t>
      </w:r>
    </w:p>
    <w:p w14:paraId="6EBA93ED"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 “Desde el punto de vista subjetivo, es decir considerado el derecho “como facultad moral de obligar a los demás”, Kant distingue asimismo el derecho innato, que cada uno tiene de la naturaleza y que se resume en la libertad y el derecho adquirido, que resulta de un acto jurídico.”</w:t>
      </w:r>
      <w:r w:rsidRPr="000D3432">
        <w:rPr>
          <w:rStyle w:val="Refdenotaalpie"/>
          <w:rFonts w:asciiTheme="minorHAnsi" w:hAnsiTheme="minorHAnsi"/>
          <w:sz w:val="24"/>
          <w:szCs w:val="24"/>
          <w:vertAlign w:val="superscript"/>
        </w:rPr>
        <w:footnoteReference w:id="342"/>
      </w:r>
    </w:p>
    <w:p w14:paraId="06C9EEE6" w14:textId="77777777" w:rsidR="001925CE" w:rsidRPr="000D3432" w:rsidRDefault="001925CE" w:rsidP="00A95498">
      <w:pPr>
        <w:ind w:firstLine="426"/>
        <w:jc w:val="both"/>
        <w:rPr>
          <w:rFonts w:asciiTheme="minorHAnsi" w:hAnsiTheme="minorHAnsi"/>
          <w:szCs w:val="24"/>
        </w:rPr>
      </w:pPr>
    </w:p>
    <w:p w14:paraId="0BDEB484"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Kant, hace, por último, una conceptualización del Derecho, que lo define desde el derecho natural y escribe que “El derecho, y por él hay que entender el derecho natural, es una acomodación racional de la libertad del sujeto con la de los demás; Kant lo define como “el conjunto de condiciones por las cuales el libre arbitrio del uno puede acordarse con el del otro, según una ley general de libertad”</w:t>
      </w:r>
      <w:r w:rsidRPr="000D3432">
        <w:rPr>
          <w:rStyle w:val="Refdenotaalpie"/>
          <w:rFonts w:asciiTheme="minorHAnsi" w:hAnsiTheme="minorHAnsi"/>
          <w:sz w:val="24"/>
          <w:szCs w:val="24"/>
          <w:vertAlign w:val="superscript"/>
        </w:rPr>
        <w:footnoteReference w:id="343"/>
      </w:r>
    </w:p>
    <w:p w14:paraId="79BFDFF3" w14:textId="77777777" w:rsidR="001925CE" w:rsidRPr="000D3432" w:rsidRDefault="001925CE" w:rsidP="00A95498">
      <w:pPr>
        <w:ind w:firstLine="426"/>
        <w:jc w:val="both"/>
        <w:rPr>
          <w:rFonts w:asciiTheme="minorHAnsi" w:hAnsiTheme="minorHAnsi"/>
          <w:szCs w:val="24"/>
        </w:rPr>
      </w:pPr>
    </w:p>
    <w:p w14:paraId="50FF6FB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además la coacción, como elemento característico del Derecho es puesto en relevancia, “Kant ha puesto igualmente de relieve el elemento coacción que caracteriza al derecho.”</w:t>
      </w:r>
      <w:r w:rsidRPr="000D3432">
        <w:rPr>
          <w:rStyle w:val="Refdenotaalpie"/>
          <w:rFonts w:asciiTheme="minorHAnsi" w:hAnsiTheme="minorHAnsi"/>
          <w:sz w:val="24"/>
          <w:szCs w:val="24"/>
          <w:vertAlign w:val="superscript"/>
        </w:rPr>
        <w:footnoteReference w:id="344"/>
      </w:r>
    </w:p>
    <w:p w14:paraId="726E158C" w14:textId="77777777" w:rsidR="001925CE" w:rsidRPr="000D3432" w:rsidRDefault="001925CE" w:rsidP="00A95498">
      <w:pPr>
        <w:ind w:firstLine="426"/>
        <w:jc w:val="both"/>
        <w:rPr>
          <w:rFonts w:asciiTheme="minorHAnsi" w:hAnsiTheme="minorHAnsi"/>
          <w:szCs w:val="24"/>
        </w:rPr>
      </w:pPr>
    </w:p>
    <w:p w14:paraId="043D9A0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Hay también en Kant un trascendental concepto, el de la libertad, esta libertad que hace al hombre un fin en sí mismo,  “... la importancia que reconoce Kant al elemento de libertad y su idea de que el hombre es “un fin en sí”, le dan una cierta orientación.”</w:t>
      </w:r>
      <w:r w:rsidRPr="000D3432">
        <w:rPr>
          <w:rStyle w:val="Refdenotaalpie"/>
          <w:rFonts w:asciiTheme="minorHAnsi" w:hAnsiTheme="minorHAnsi"/>
          <w:sz w:val="24"/>
          <w:szCs w:val="24"/>
          <w:vertAlign w:val="superscript"/>
        </w:rPr>
        <w:footnoteReference w:id="345"/>
      </w:r>
      <w:r w:rsidRPr="000D3432">
        <w:rPr>
          <w:rFonts w:asciiTheme="minorHAnsi" w:hAnsiTheme="minorHAnsi"/>
          <w:szCs w:val="24"/>
        </w:rPr>
        <w:t>. El hombre como un fin en si, es ya un elemento constitutivo de la modernidad. El hombre, es tomado como centro, y no como complemento. La posición es de dentro para afuera. Y la exaltación del hombre como creador de toda concepción jurídica esboza una de las bases de la modernidad.</w:t>
      </w:r>
    </w:p>
    <w:p w14:paraId="4A4B46FA"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 xml:space="preserve">En relación a la distinción que existe del Derecho Natural del Derecho Positivo Kant expresa que “Son naturales las reglas que la razón reconoce a </w:t>
      </w:r>
      <w:r w:rsidRPr="000D3432">
        <w:rPr>
          <w:rFonts w:asciiTheme="minorHAnsi" w:hAnsiTheme="minorHAnsi"/>
          <w:szCs w:val="24"/>
        </w:rPr>
        <w:lastRenderedPageBreak/>
        <w:t>priori, aún en ausencia de toda legislación exterior; son positivas las que emanan de un legislador.”</w:t>
      </w:r>
      <w:r w:rsidRPr="000D3432">
        <w:rPr>
          <w:rStyle w:val="Refdenotaalpie"/>
          <w:rFonts w:asciiTheme="minorHAnsi" w:hAnsiTheme="minorHAnsi"/>
          <w:sz w:val="24"/>
          <w:szCs w:val="24"/>
          <w:vertAlign w:val="superscript"/>
        </w:rPr>
        <w:footnoteReference w:id="346"/>
      </w:r>
    </w:p>
    <w:p w14:paraId="44EEBA63" w14:textId="77777777" w:rsidR="001925CE" w:rsidRPr="000D3432" w:rsidRDefault="001925CE" w:rsidP="00A95498">
      <w:pPr>
        <w:ind w:firstLine="426"/>
        <w:jc w:val="both"/>
        <w:rPr>
          <w:rFonts w:asciiTheme="minorHAnsi" w:hAnsiTheme="minorHAnsi"/>
          <w:szCs w:val="24"/>
        </w:rPr>
      </w:pPr>
    </w:p>
    <w:p w14:paraId="15715271"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Tomando como referencia a Villoro, éste nos explica que Kant habría podido tomar dos caminos: el de la Crítica de la Razón Pura, “Kant podía construir su concepto del Derecho sobre el camino trazado en la Crítica de la Razón Pura. Para ello debía considerar al Derecho como un echo perteneciente al reino del ser, un hecho que hay que explicar de acuerdo con los esquemas a priori del pensar jurídico. Es el camino del formalismo lógico, que tiene por meta la distinción del pensar jurídico de todo otro modo de pensar”</w:t>
      </w:r>
      <w:r w:rsidRPr="000D3432">
        <w:rPr>
          <w:rStyle w:val="Refdenotaalpie"/>
          <w:rFonts w:asciiTheme="minorHAnsi" w:hAnsiTheme="minorHAnsi"/>
          <w:sz w:val="24"/>
          <w:szCs w:val="24"/>
          <w:vertAlign w:val="superscript"/>
        </w:rPr>
        <w:footnoteReference w:id="347"/>
      </w:r>
    </w:p>
    <w:p w14:paraId="377470CC" w14:textId="77777777" w:rsidR="001925CE" w:rsidRPr="000D3432" w:rsidRDefault="001925CE" w:rsidP="00A95498">
      <w:pPr>
        <w:ind w:firstLine="426"/>
        <w:jc w:val="both"/>
        <w:rPr>
          <w:rFonts w:asciiTheme="minorHAnsi" w:hAnsiTheme="minorHAnsi"/>
          <w:szCs w:val="24"/>
        </w:rPr>
      </w:pPr>
    </w:p>
    <w:p w14:paraId="09182159"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también podía seguir el camino que se proponía por la Crítica de la Razón Práctica, que “...consistiría en ver en el Derecho sólo un deber ser. (...) No sólo se trataba de distinguir entre el pensar jurídico y otros tipos de pensar, sino de comprobar esa diferencia en la diversidad de los postulados del deber ser”</w:t>
      </w:r>
      <w:r w:rsidRPr="000D3432">
        <w:rPr>
          <w:rStyle w:val="Refdenotaalpie"/>
          <w:rFonts w:asciiTheme="minorHAnsi" w:hAnsiTheme="minorHAnsi"/>
          <w:sz w:val="24"/>
          <w:szCs w:val="24"/>
          <w:vertAlign w:val="superscript"/>
        </w:rPr>
        <w:footnoteReference w:id="348"/>
      </w:r>
      <w:r w:rsidRPr="000D3432">
        <w:rPr>
          <w:rFonts w:asciiTheme="minorHAnsi" w:hAnsiTheme="minorHAnsi"/>
          <w:szCs w:val="24"/>
        </w:rPr>
        <w:t>.</w:t>
      </w:r>
    </w:p>
    <w:p w14:paraId="7DC401A2" w14:textId="77777777" w:rsidR="001925CE" w:rsidRPr="000D3432" w:rsidRDefault="001925CE" w:rsidP="00A95498">
      <w:pPr>
        <w:ind w:firstLine="426"/>
        <w:jc w:val="both"/>
        <w:rPr>
          <w:rFonts w:asciiTheme="minorHAnsi" w:hAnsiTheme="minorHAnsi"/>
          <w:szCs w:val="24"/>
        </w:rPr>
      </w:pPr>
    </w:p>
    <w:p w14:paraId="637FADCB"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Parece ser que no logró consolidar su pretensión, puesto que se muestra vacilante e inseguro.</w:t>
      </w:r>
    </w:p>
    <w:p w14:paraId="343B2E05" w14:textId="77777777" w:rsidR="001925CE" w:rsidRPr="000D3432" w:rsidRDefault="001925CE" w:rsidP="00A95498">
      <w:pPr>
        <w:ind w:firstLine="426"/>
        <w:jc w:val="both"/>
        <w:rPr>
          <w:rFonts w:asciiTheme="minorHAnsi" w:hAnsiTheme="minorHAnsi"/>
          <w:szCs w:val="24"/>
        </w:rPr>
      </w:pPr>
    </w:p>
    <w:p w14:paraId="5D615785"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Kant quería salvar la libertad del hombre de las guerras del Estado, esto fue a consecuencia de Rousseau, que hizo cambiar la hegemonía del concepto de la inteligencia al de la libertad. Fue por Rousseau que Kant empieza a creer como prioridades elevadas a la libertad y a la moralidad, y su concepto del Derecho se orienta hacia aquellas valoraciones, con la clara distancia que deja entre moral y Derecho.</w:t>
      </w:r>
    </w:p>
    <w:p w14:paraId="7A67841F"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 “En defensa de la libertad, Kant se esfuerza en convencernos que el Derecho es una especie de la Ética en sentido amplio, que pertenece al reino del deber ser y que es formulado a priori por la Razón Práctica. De allí el principio general o ley universal del Derecho, que Kant resume así: “Obra exteriormente de modo que el libre uso de tu arbitrio pudea conciliarse con la libertad de todos según una ley universal.”.”</w:t>
      </w:r>
      <w:r w:rsidRPr="000D3432">
        <w:rPr>
          <w:rStyle w:val="Refdenotaalpie"/>
          <w:rFonts w:asciiTheme="minorHAnsi" w:hAnsiTheme="minorHAnsi"/>
          <w:sz w:val="24"/>
          <w:szCs w:val="24"/>
          <w:vertAlign w:val="superscript"/>
        </w:rPr>
        <w:footnoteReference w:id="349"/>
      </w:r>
    </w:p>
    <w:p w14:paraId="70448E4C" w14:textId="77777777" w:rsidR="001925CE" w:rsidRPr="000D3432" w:rsidRDefault="001925CE" w:rsidP="00A95498">
      <w:pPr>
        <w:ind w:firstLine="426"/>
        <w:jc w:val="both"/>
        <w:rPr>
          <w:rFonts w:asciiTheme="minorHAnsi" w:hAnsiTheme="minorHAnsi"/>
          <w:szCs w:val="24"/>
        </w:rPr>
      </w:pPr>
    </w:p>
    <w:p w14:paraId="1113EF53"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Pero, además, haciendo una distinción entre el pensar jurídico y el pensar ético, se llegará a que “el Derecho, además de ser externo, “está unido a la facultad de coacción”, de suerte que “el Derecho estricto puede ser representado también como la posibilidad de una coacción recíproca general coincidente con la libertad de todos, según leyes universales”.”</w:t>
      </w:r>
      <w:r w:rsidRPr="000D3432">
        <w:rPr>
          <w:rStyle w:val="Refdenotaalpie"/>
          <w:rFonts w:asciiTheme="minorHAnsi" w:hAnsiTheme="minorHAnsi"/>
          <w:sz w:val="24"/>
          <w:szCs w:val="24"/>
          <w:vertAlign w:val="superscript"/>
        </w:rPr>
        <w:footnoteReference w:id="350"/>
      </w:r>
    </w:p>
    <w:p w14:paraId="44D1046A" w14:textId="77777777" w:rsidR="001925CE" w:rsidRPr="000D3432" w:rsidRDefault="001925CE" w:rsidP="00A95498">
      <w:pPr>
        <w:ind w:firstLine="426"/>
        <w:jc w:val="both"/>
        <w:rPr>
          <w:rFonts w:asciiTheme="minorHAnsi" w:hAnsiTheme="minorHAnsi"/>
          <w:szCs w:val="24"/>
        </w:rPr>
      </w:pPr>
    </w:p>
    <w:p w14:paraId="21A3385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t>No obstante hay que mencionar que hay en Kant una consideración del Derecho Natural como orientador del Derecho Positivo, y que el legislador puede usar de la razón para llegar al descubrimiento de un Derecho justo.</w:t>
      </w:r>
    </w:p>
    <w:p w14:paraId="0DB62A2B" w14:textId="77777777" w:rsidR="001925CE" w:rsidRPr="000D3432" w:rsidRDefault="001925CE" w:rsidP="00A95498">
      <w:pPr>
        <w:ind w:firstLine="426"/>
        <w:jc w:val="both"/>
        <w:rPr>
          <w:rFonts w:asciiTheme="minorHAnsi" w:hAnsiTheme="minorHAnsi"/>
          <w:szCs w:val="24"/>
        </w:rPr>
      </w:pPr>
    </w:p>
    <w:p w14:paraId="207C7A0E" w14:textId="77777777" w:rsidR="001925CE" w:rsidRPr="000D3432" w:rsidRDefault="001925CE" w:rsidP="00A95498">
      <w:pPr>
        <w:ind w:firstLine="426"/>
        <w:jc w:val="both"/>
        <w:rPr>
          <w:rFonts w:asciiTheme="minorHAnsi" w:hAnsiTheme="minorHAnsi"/>
          <w:szCs w:val="24"/>
        </w:rPr>
      </w:pPr>
      <w:r w:rsidRPr="000D3432">
        <w:rPr>
          <w:rFonts w:asciiTheme="minorHAnsi" w:hAnsiTheme="minorHAnsi"/>
          <w:szCs w:val="24"/>
        </w:rPr>
        <w:lastRenderedPageBreak/>
        <w:t>Por lo concerniente a la distinción, y distancia que hace Kant del Derecho y la Moral, estos son los criterios que usa para tal distinción según Villoro:</w:t>
      </w:r>
    </w:p>
    <w:p w14:paraId="62633B08" w14:textId="77777777" w:rsidR="001925CE" w:rsidRPr="000D3432" w:rsidRDefault="001925CE" w:rsidP="00A95498">
      <w:pPr>
        <w:pStyle w:val="Parafffo"/>
        <w:spacing w:line="240" w:lineRule="auto"/>
        <w:ind w:left="1134" w:hanging="283"/>
        <w:rPr>
          <w:rFonts w:asciiTheme="minorHAnsi" w:hAnsiTheme="minorHAnsi"/>
          <w:sz w:val="24"/>
          <w:szCs w:val="24"/>
        </w:rPr>
      </w:pPr>
      <w:r w:rsidRPr="000D3432">
        <w:rPr>
          <w:rFonts w:asciiTheme="minorHAnsi" w:hAnsiTheme="minorHAnsi"/>
          <w:sz w:val="24"/>
          <w:szCs w:val="24"/>
        </w:rPr>
        <w:t>“1)El Derecho pertenece al reino del ser. “El Derecho se ocucpa sólo del mundo físico, esto es, el efecto extrínseco del obrar. En cambio, la Moral pertenece al deber ser. (...)</w:t>
      </w:r>
    </w:p>
    <w:p w14:paraId="13DC9AD8" w14:textId="77777777" w:rsidR="001925CE" w:rsidRPr="000D3432" w:rsidRDefault="001925CE" w:rsidP="00A95498">
      <w:pPr>
        <w:pStyle w:val="Parafffo"/>
        <w:spacing w:line="240" w:lineRule="auto"/>
        <w:ind w:left="1134" w:hanging="283"/>
        <w:rPr>
          <w:rFonts w:asciiTheme="minorHAnsi" w:hAnsiTheme="minorHAnsi"/>
          <w:sz w:val="24"/>
          <w:szCs w:val="24"/>
        </w:rPr>
      </w:pPr>
      <w:r w:rsidRPr="000D3432">
        <w:rPr>
          <w:rFonts w:asciiTheme="minorHAnsi" w:hAnsiTheme="minorHAnsi"/>
          <w:sz w:val="24"/>
          <w:szCs w:val="24"/>
        </w:rPr>
        <w:t>2) El Derecho es externo, en tanto que la Moral es interna. (...)</w:t>
      </w:r>
    </w:p>
    <w:p w14:paraId="112D0A64" w14:textId="77777777" w:rsidR="001925CE" w:rsidRPr="000D3432" w:rsidRDefault="001925CE" w:rsidP="00A95498">
      <w:pPr>
        <w:pStyle w:val="Parafffo"/>
        <w:spacing w:line="240" w:lineRule="auto"/>
        <w:ind w:left="1134" w:hanging="283"/>
        <w:rPr>
          <w:rFonts w:asciiTheme="minorHAnsi" w:hAnsiTheme="minorHAnsi"/>
          <w:sz w:val="24"/>
          <w:szCs w:val="24"/>
        </w:rPr>
      </w:pPr>
      <w:r w:rsidRPr="000D3432">
        <w:rPr>
          <w:rFonts w:asciiTheme="minorHAnsi" w:hAnsiTheme="minorHAnsi"/>
          <w:sz w:val="24"/>
          <w:szCs w:val="24"/>
        </w:rPr>
        <w:t>3) El Derecho se reduce al Derecho Positivo. (...)</w:t>
      </w:r>
    </w:p>
    <w:p w14:paraId="07F46178" w14:textId="77777777" w:rsidR="001925CE" w:rsidRPr="000D3432" w:rsidRDefault="001925CE" w:rsidP="00A95498">
      <w:pPr>
        <w:pStyle w:val="Parafffo"/>
        <w:spacing w:line="240" w:lineRule="auto"/>
        <w:ind w:left="1134" w:hanging="283"/>
        <w:rPr>
          <w:rFonts w:asciiTheme="minorHAnsi" w:hAnsiTheme="minorHAnsi"/>
          <w:sz w:val="24"/>
          <w:szCs w:val="24"/>
        </w:rPr>
      </w:pPr>
      <w:r w:rsidRPr="000D3432">
        <w:rPr>
          <w:rFonts w:asciiTheme="minorHAnsi" w:hAnsiTheme="minorHAnsi"/>
          <w:sz w:val="24"/>
          <w:szCs w:val="24"/>
        </w:rPr>
        <w:t>4) El Derecho es heterónomo, por oposición a la Moral que es autónoma.(...)</w:t>
      </w:r>
    </w:p>
    <w:p w14:paraId="454BE27B" w14:textId="77777777" w:rsidR="001925CE" w:rsidRPr="000D3432" w:rsidRDefault="001925CE" w:rsidP="00A95498">
      <w:pPr>
        <w:pStyle w:val="Parafffo"/>
        <w:spacing w:line="240" w:lineRule="auto"/>
        <w:ind w:left="1134" w:hanging="283"/>
        <w:rPr>
          <w:rFonts w:asciiTheme="minorHAnsi" w:hAnsiTheme="minorHAnsi"/>
          <w:sz w:val="24"/>
          <w:szCs w:val="24"/>
        </w:rPr>
      </w:pPr>
      <w:r w:rsidRPr="000D3432">
        <w:rPr>
          <w:rFonts w:asciiTheme="minorHAnsi" w:hAnsiTheme="minorHAnsi"/>
          <w:sz w:val="24"/>
          <w:szCs w:val="24"/>
        </w:rPr>
        <w:t>5) El Derecho, a diferencia de la Moral, es esencialmente coercitivo.”</w:t>
      </w:r>
      <w:r w:rsidRPr="000D3432">
        <w:rPr>
          <w:rStyle w:val="Refdenotaalpie"/>
          <w:rFonts w:asciiTheme="minorHAnsi" w:hAnsiTheme="minorHAnsi"/>
          <w:sz w:val="24"/>
          <w:szCs w:val="24"/>
          <w:vertAlign w:val="superscript"/>
        </w:rPr>
        <w:footnoteReference w:id="351"/>
      </w:r>
    </w:p>
    <w:p w14:paraId="0B3C50C5" w14:textId="77777777" w:rsidR="001925CE" w:rsidRPr="000D3432" w:rsidRDefault="001925CE" w:rsidP="00A95498">
      <w:pPr>
        <w:tabs>
          <w:tab w:val="left" w:pos="-1440"/>
        </w:tabs>
        <w:ind w:firstLine="426"/>
        <w:jc w:val="both"/>
        <w:rPr>
          <w:rFonts w:asciiTheme="minorHAnsi" w:hAnsiTheme="minorHAnsi"/>
          <w:szCs w:val="24"/>
        </w:rPr>
      </w:pPr>
    </w:p>
    <w:p w14:paraId="23F33F01"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Esta intención de diferenciar el Derecho de la Moral es trascendental en la filosofía Kantiana, puesto que influye determinantemente en la concepción del Derecho posterior.</w:t>
      </w:r>
    </w:p>
    <w:p w14:paraId="45C4CDFF" w14:textId="77777777" w:rsidR="001925CE" w:rsidRPr="000D3432" w:rsidRDefault="001925CE" w:rsidP="00A95498">
      <w:pPr>
        <w:tabs>
          <w:tab w:val="left" w:pos="-1440"/>
        </w:tabs>
        <w:ind w:firstLine="426"/>
        <w:jc w:val="both"/>
        <w:rPr>
          <w:rFonts w:asciiTheme="minorHAnsi" w:hAnsiTheme="minorHAnsi"/>
          <w:szCs w:val="24"/>
        </w:rPr>
      </w:pPr>
    </w:p>
    <w:p w14:paraId="2A1F982A"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Otro esfuerzo, fallido, en Kant es el de querer construir y fundar el Derecho sobre la conciencia del hombre. La teoría de Kant tiene, sin embargo, algunas críticas, “Según Kant, el Derecho se refiere sólo al aspecto del obrar, esto es, debe considerar tan sólo si una acción se ha cumplido o no, prescindiendo de los motivos que la han determinado. Esta concepción mecánica del Derecho, que por otra parte no es nueva (recuérdese la teoría de Thomasius), resulta insostenible, porque el Derecho no prescinde totalmente de los motivos. Se puede observar que si Kant hubiese sido jurista, se habría dado cuenta de la importancia y del alcance del animus en todas las ramas del Derecho, y se habría abstenido de fundar la distinción entre Moral y Derecho sobre aquellas premisas. Si bien el Derecho observa una cierta laxitud en cuanto a las motivaciones, esto no significa que deje de considerar en absoluto el elemento psíquico. No sería posible una valoración jurídica de acto alguno sin desembocar en cierto modo en los motivos.”</w:t>
      </w:r>
      <w:r w:rsidRPr="000D3432">
        <w:rPr>
          <w:rStyle w:val="Refdenotaalpie"/>
          <w:rFonts w:asciiTheme="minorHAnsi" w:hAnsiTheme="minorHAnsi"/>
          <w:sz w:val="24"/>
          <w:szCs w:val="24"/>
          <w:vertAlign w:val="superscript"/>
        </w:rPr>
        <w:footnoteReference w:id="352"/>
      </w:r>
    </w:p>
    <w:p w14:paraId="191D45A6" w14:textId="77777777" w:rsidR="001925CE" w:rsidRPr="000D3432" w:rsidRDefault="001925CE" w:rsidP="00A95498">
      <w:pPr>
        <w:tabs>
          <w:tab w:val="left" w:pos="-1440"/>
        </w:tabs>
        <w:ind w:firstLine="426"/>
        <w:jc w:val="both"/>
        <w:rPr>
          <w:rFonts w:asciiTheme="minorHAnsi" w:hAnsiTheme="minorHAnsi"/>
          <w:szCs w:val="24"/>
        </w:rPr>
      </w:pPr>
    </w:p>
    <w:p w14:paraId="1305A23C"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último, siguiendo aún a Villoro, expondremos el hecho de que Kant fue decisivo en la nueva concepción que se tendría sobre el Derecho, y el sentido que se direccionaba para configurarlo, por ejemplo, la Distinción entre Moral y Derecho, el principio de la libertad como eje del planteamiento jurídico, la formulación de la razón para conseguir llegar a cierta justicia, etc, “El liberalismo del siglo XIX se alimenta de ideas kantianas: separación de Moral y Derecho, primacía del individuo acompañada del desconocimiento del bien común, culto racionalista de las leyes.”</w:t>
      </w:r>
      <w:r w:rsidRPr="000D3432">
        <w:rPr>
          <w:rStyle w:val="Refdenotaalpie"/>
          <w:rFonts w:asciiTheme="minorHAnsi" w:hAnsiTheme="minorHAnsi"/>
          <w:sz w:val="24"/>
          <w:szCs w:val="24"/>
          <w:vertAlign w:val="superscript"/>
        </w:rPr>
        <w:footnoteReference w:id="353"/>
      </w:r>
    </w:p>
    <w:p w14:paraId="5A2DA2B9" w14:textId="77777777" w:rsidR="001925CE" w:rsidRPr="000D3432" w:rsidRDefault="001925CE" w:rsidP="00A95498">
      <w:pPr>
        <w:tabs>
          <w:tab w:val="left" w:pos="-1440"/>
        </w:tabs>
        <w:jc w:val="both"/>
        <w:rPr>
          <w:rFonts w:asciiTheme="minorHAnsi" w:hAnsiTheme="minorHAnsi"/>
          <w:szCs w:val="24"/>
        </w:rPr>
      </w:pPr>
    </w:p>
    <w:p w14:paraId="23C885A0" w14:textId="77777777" w:rsidR="001925CE" w:rsidRPr="000D3432" w:rsidRDefault="001925CE" w:rsidP="00A95498">
      <w:pPr>
        <w:tabs>
          <w:tab w:val="left" w:pos="-1440"/>
        </w:tabs>
        <w:jc w:val="both"/>
        <w:rPr>
          <w:rFonts w:asciiTheme="minorHAnsi" w:hAnsiTheme="minorHAnsi"/>
          <w:szCs w:val="24"/>
        </w:rPr>
      </w:pPr>
      <w:r w:rsidRPr="000D3432">
        <w:rPr>
          <w:rFonts w:asciiTheme="minorHAnsi" w:hAnsiTheme="minorHAnsi"/>
          <w:b/>
          <w:szCs w:val="24"/>
        </w:rPr>
        <w:t>j.- Hegel</w:t>
      </w:r>
    </w:p>
    <w:p w14:paraId="5EBB0C9C" w14:textId="77777777" w:rsidR="001925CE" w:rsidRPr="000D3432" w:rsidRDefault="001925CE" w:rsidP="00A95498">
      <w:pPr>
        <w:tabs>
          <w:tab w:val="left" w:pos="-1440"/>
        </w:tabs>
        <w:ind w:firstLine="426"/>
        <w:jc w:val="both"/>
        <w:rPr>
          <w:rFonts w:asciiTheme="minorHAnsi" w:hAnsiTheme="minorHAnsi"/>
          <w:szCs w:val="24"/>
        </w:rPr>
      </w:pPr>
    </w:p>
    <w:p w14:paraId="48DFB36F"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O “El Derecho como expresión del Espíritu” (Friedrich).</w:t>
      </w:r>
    </w:p>
    <w:p w14:paraId="48F37F57" w14:textId="77777777" w:rsidR="001925CE" w:rsidRPr="000D3432" w:rsidRDefault="001925CE" w:rsidP="00A95498">
      <w:pPr>
        <w:tabs>
          <w:tab w:val="left" w:pos="-1440"/>
        </w:tabs>
        <w:ind w:firstLine="426"/>
        <w:jc w:val="both"/>
        <w:rPr>
          <w:rFonts w:asciiTheme="minorHAnsi" w:hAnsiTheme="minorHAnsi"/>
          <w:szCs w:val="24"/>
        </w:rPr>
      </w:pPr>
    </w:p>
    <w:p w14:paraId="40691A87"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Hegel</w:t>
      </w:r>
      <w:r w:rsidRPr="000D3432">
        <w:rPr>
          <w:rStyle w:val="Refdenotaalpie"/>
          <w:rFonts w:asciiTheme="minorHAnsi" w:hAnsiTheme="minorHAnsi"/>
          <w:sz w:val="24"/>
          <w:szCs w:val="24"/>
          <w:vertAlign w:val="superscript"/>
        </w:rPr>
        <w:footnoteReference w:id="354"/>
      </w:r>
      <w:r w:rsidRPr="000D3432">
        <w:rPr>
          <w:rFonts w:asciiTheme="minorHAnsi" w:hAnsiTheme="minorHAnsi"/>
          <w:szCs w:val="24"/>
        </w:rPr>
        <w:t xml:space="preserve"> pensaba que "la verdad es subjetiva"; que la verdad es obtenida </w:t>
      </w:r>
      <w:r w:rsidRPr="000D3432">
        <w:rPr>
          <w:rFonts w:asciiTheme="minorHAnsi" w:hAnsiTheme="minorHAnsi"/>
          <w:szCs w:val="24"/>
        </w:rPr>
        <w:lastRenderedPageBreak/>
        <w:t>por la razón humana. Hegel sabía la función que habían tenido anteriores filósofos. Todos ellos -Descartes, Spinoza, Hume, Kant, etc- habían buscado y creído encontrar o pronunciarse  sobre las "condiciones eternas del conocimiento", que el hombre mutua las bases de su conocimiento de acuerdo a la época, etc. "Hegel opinó que eso era imposible. Pensaba que la base del conocimiento humano varía de generación en generación. No existe ninguna "verdad eterna". No existe ninguna "razón eterna". El único punto fijo al que puede agarrarse el filósofo es la propia historia"</w:t>
      </w:r>
      <w:r w:rsidRPr="000D3432">
        <w:rPr>
          <w:rStyle w:val="Refdenotaalpie"/>
          <w:rFonts w:asciiTheme="minorHAnsi" w:hAnsiTheme="minorHAnsi"/>
          <w:sz w:val="24"/>
          <w:szCs w:val="24"/>
          <w:vertAlign w:val="superscript"/>
        </w:rPr>
        <w:footnoteReference w:id="355"/>
      </w:r>
      <w:r w:rsidRPr="000D3432">
        <w:rPr>
          <w:rFonts w:asciiTheme="minorHAnsi" w:hAnsiTheme="minorHAnsi"/>
          <w:szCs w:val="24"/>
        </w:rPr>
        <w:t>, expresaba.</w:t>
      </w:r>
    </w:p>
    <w:p w14:paraId="1B2B726E" w14:textId="77777777" w:rsidR="001925CE" w:rsidRPr="000D3432" w:rsidRDefault="001925CE" w:rsidP="00A95498">
      <w:pPr>
        <w:tabs>
          <w:tab w:val="left" w:pos="-1440"/>
        </w:tabs>
        <w:ind w:firstLine="426"/>
        <w:jc w:val="both"/>
        <w:rPr>
          <w:rFonts w:asciiTheme="minorHAnsi" w:hAnsiTheme="minorHAnsi"/>
          <w:szCs w:val="24"/>
        </w:rPr>
      </w:pPr>
    </w:p>
    <w:p w14:paraId="6CD1A114"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¿Qué le hacía pensar así? Hegel pensaba en un punto fijo de la historia, el pasado, que es a su parecer lo único que tenemos, "Lo único que tenemos es lo que hemos perdido" dice Borges.</w:t>
      </w:r>
    </w:p>
    <w:p w14:paraId="411D622B" w14:textId="77777777" w:rsidR="001925CE" w:rsidRPr="000D3432" w:rsidRDefault="001925CE" w:rsidP="00A95498">
      <w:pPr>
        <w:tabs>
          <w:tab w:val="left" w:pos="-1440"/>
        </w:tabs>
        <w:ind w:firstLine="426"/>
        <w:jc w:val="both"/>
        <w:rPr>
          <w:rFonts w:asciiTheme="minorHAnsi" w:hAnsiTheme="minorHAnsi"/>
          <w:szCs w:val="24"/>
        </w:rPr>
      </w:pPr>
    </w:p>
    <w:p w14:paraId="1F4BE6A9"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Hegel cree en el movimiento, en que nada es eterno; todo el tiempo, la eternidad se da en ese momento, son solo horas, minutos, segundos, cada segundo es su eternidad, todo está en  movimiento, todos los pensamientos son ciertos en diversos tiempos, nunca eternamente. </w:t>
      </w:r>
    </w:p>
    <w:p w14:paraId="3DDCAF78"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"Todos los pensamientos que vienen "manando" de las tradiciones de personas que han vivido antes que tú, y las condiciones materiales que rigen en tu propia época, contribuyen a determinar tu manera de pensar. Por lo tanto, no puedes afirmar que una determinada idea sea correcta para siempre. Pero puede ser correcta en la época y el lugar en que te encuentras."</w:t>
      </w:r>
      <w:r w:rsidRPr="000D3432">
        <w:rPr>
          <w:rStyle w:val="Refdenotaalpie"/>
          <w:rFonts w:asciiTheme="minorHAnsi" w:hAnsiTheme="minorHAnsi"/>
          <w:sz w:val="24"/>
          <w:szCs w:val="24"/>
          <w:vertAlign w:val="superscript"/>
        </w:rPr>
        <w:footnoteReference w:id="356"/>
      </w:r>
    </w:p>
    <w:p w14:paraId="564472C6" w14:textId="77777777" w:rsidR="001925CE" w:rsidRPr="000D3432" w:rsidRDefault="001925CE" w:rsidP="00A95498">
      <w:pPr>
        <w:tabs>
          <w:tab w:val="left" w:pos="-1440"/>
        </w:tabs>
        <w:ind w:firstLine="426"/>
        <w:jc w:val="both"/>
        <w:rPr>
          <w:rFonts w:asciiTheme="minorHAnsi" w:hAnsiTheme="minorHAnsi"/>
          <w:szCs w:val="24"/>
        </w:rPr>
      </w:pPr>
    </w:p>
    <w:p w14:paraId="1AF3EA27"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Era la historia la que podría determinar los conceptos morales, "sólo se puede ser bueno o malo en relación con un contexto histórico". Y es sólo a través de la historia que se puede trabajar con estos elementos. </w:t>
      </w:r>
    </w:p>
    <w:p w14:paraId="1A6A93F1" w14:textId="77777777" w:rsidR="001925CE" w:rsidRPr="000D3432" w:rsidRDefault="001925CE" w:rsidP="00A95498">
      <w:pPr>
        <w:tabs>
          <w:tab w:val="left" w:pos="-1440"/>
        </w:tabs>
        <w:ind w:firstLine="426"/>
        <w:jc w:val="both"/>
        <w:rPr>
          <w:rFonts w:asciiTheme="minorHAnsi" w:hAnsiTheme="minorHAnsi"/>
          <w:szCs w:val="24"/>
        </w:rPr>
      </w:pPr>
    </w:p>
    <w:p w14:paraId="05BA39C1"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Hegel entendió a la razón como un proceso, un elemento en constante dinamismo, evolución. Y la verdad es también un proceso histórico, "Hegel señaló que la razón es algo dinámico, por no decir un proceso. Y la "verdad" es ese proceso en sí. Por que no existe ningún criterio fuera del propio proceso histórico que pueda decidir lo que es lo más "verdadero" o más "razonable"</w:t>
      </w:r>
      <w:r w:rsidRPr="000D3432">
        <w:rPr>
          <w:rStyle w:val="Refdenotaalpie"/>
          <w:rFonts w:asciiTheme="minorHAnsi" w:hAnsiTheme="minorHAnsi"/>
          <w:sz w:val="24"/>
          <w:szCs w:val="24"/>
          <w:vertAlign w:val="superscript"/>
        </w:rPr>
        <w:footnoteReference w:id="357"/>
      </w:r>
      <w:r w:rsidRPr="000D3432">
        <w:rPr>
          <w:rFonts w:asciiTheme="minorHAnsi" w:hAnsiTheme="minorHAnsi"/>
          <w:szCs w:val="24"/>
        </w:rPr>
        <w:t>, es decir que no hay nada eterno, cierto o verdadero eternamente; las verdades se ubican en el tiempo y se quedan embrocados en partes del tiempo; la realidad es así dialéctica, "Si la realidad es dialéctica, también lo es el método de Hegel. La dialéctica enseña en efecto, que nada es; todo está siendo, y ser es contradecir un ser anterior y ser el túnel que conduce a un nuevo ser posterior"</w:t>
      </w:r>
      <w:r w:rsidRPr="000D3432">
        <w:rPr>
          <w:rStyle w:val="Refdenotaalpie"/>
          <w:rFonts w:asciiTheme="minorHAnsi" w:hAnsiTheme="minorHAnsi"/>
          <w:sz w:val="24"/>
          <w:szCs w:val="24"/>
          <w:vertAlign w:val="superscript"/>
        </w:rPr>
        <w:footnoteReference w:id="358"/>
      </w:r>
      <w:r w:rsidRPr="000D3432">
        <w:rPr>
          <w:rFonts w:asciiTheme="minorHAnsi" w:hAnsiTheme="minorHAnsi"/>
          <w:szCs w:val="24"/>
        </w:rPr>
        <w:t>, Por lo cual  la razón resulta siendo progresiva, el conocimiento del hombre está en un dinamismo continuo, progresivo.Hegel ha observado la evolución dialéctica de las contradicciones de las ideas y las sugiere afirmativas y negativas.</w:t>
      </w:r>
    </w:p>
    <w:p w14:paraId="5446533D" w14:textId="77777777" w:rsidR="001925CE" w:rsidRPr="000D3432" w:rsidRDefault="001925CE" w:rsidP="00A95498">
      <w:pPr>
        <w:tabs>
          <w:tab w:val="left" w:pos="-1440"/>
        </w:tabs>
        <w:ind w:firstLine="426"/>
        <w:jc w:val="both"/>
        <w:rPr>
          <w:rFonts w:asciiTheme="minorHAnsi" w:hAnsiTheme="minorHAnsi"/>
          <w:szCs w:val="24"/>
        </w:rPr>
      </w:pPr>
    </w:p>
    <w:p w14:paraId="28F438DB"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lastRenderedPageBreak/>
        <w:t>Hegel cree en el avance que se produce por efecto de la historia. La historia permite percibir, percatarse de la evolución humana. De esa larga cadena de reflexiones.</w:t>
      </w:r>
    </w:p>
    <w:p w14:paraId="3C360067" w14:textId="77777777" w:rsidR="001925CE" w:rsidRPr="000D3432" w:rsidRDefault="001925CE" w:rsidP="00A95498">
      <w:pPr>
        <w:tabs>
          <w:tab w:val="left" w:pos="-1440"/>
        </w:tabs>
        <w:ind w:firstLine="426"/>
        <w:jc w:val="both"/>
        <w:rPr>
          <w:rFonts w:asciiTheme="minorHAnsi" w:hAnsiTheme="minorHAnsi"/>
          <w:szCs w:val="24"/>
        </w:rPr>
      </w:pPr>
    </w:p>
    <w:p w14:paraId="7EBA36E5"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Los efectos que hunden al hombre en el estado deplorable, se debe a las pasiones, parece explicar, entonces lo mejor sería despojarse de las pasiones, del sí mismo.</w:t>
      </w:r>
    </w:p>
    <w:p w14:paraId="48D8FA55" w14:textId="77777777" w:rsidR="001925CE" w:rsidRPr="000D3432" w:rsidRDefault="001925CE" w:rsidP="00A95498">
      <w:pPr>
        <w:tabs>
          <w:tab w:val="left" w:pos="-1440"/>
        </w:tabs>
        <w:ind w:firstLine="426"/>
        <w:jc w:val="both"/>
        <w:rPr>
          <w:rFonts w:asciiTheme="minorHAnsi" w:hAnsiTheme="minorHAnsi"/>
          <w:szCs w:val="24"/>
        </w:rPr>
      </w:pPr>
    </w:p>
    <w:p w14:paraId="4708748E"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otro lado la dialéctica tiene un efecto afirmativo, creador, "La contradicción desarrolla el ser, no lo anula; lo hace crecer." dice Barylko "Crecer es negar lo anterior a favor del futuro" "la filosofía cumple la función de reflejar su tiempo, en ser conciencia  de los valores vigentes y de las modalidades que el espíritu toma de cada época".</w:t>
      </w:r>
    </w:p>
    <w:p w14:paraId="2A6C5815" w14:textId="77777777" w:rsidR="001925CE" w:rsidRPr="000D3432" w:rsidRDefault="001925CE" w:rsidP="00A95498">
      <w:pPr>
        <w:tabs>
          <w:tab w:val="left" w:pos="-1440"/>
        </w:tabs>
        <w:ind w:firstLine="426"/>
        <w:jc w:val="both"/>
        <w:rPr>
          <w:rFonts w:asciiTheme="minorHAnsi" w:hAnsiTheme="minorHAnsi"/>
          <w:szCs w:val="24"/>
        </w:rPr>
      </w:pPr>
    </w:p>
    <w:p w14:paraId="197BF812"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La Dialéctica es el método que Hegel plantea. Así describe que el asunto de la negación y la negación de la negación, se convierte en una especie de triada que tendría su fundamento en la historia. A estos tres puntos de despegue los llama "Tesis", "Antítesis" y "Síntesis". La Tesis es la afirmación de algo; la Antítesis la negación de la Tesis, y la Síntesis la negación y afirmación de la Tesis y Antítesis. Era un ciclo que se repetía incesantemente. Este sería el método como la historia evolucionaría. Así la realidad se presenta contradictoria, pero esto no lo niega, sino que la empuja a avanzar, "La razón de Hegel es una razón dinámica. La realidad está llena de contradicciones y por lo tanto también una descripción de la realidad tendrá que estar llena de contradicciones"</w:t>
      </w:r>
      <w:r w:rsidRPr="000D3432">
        <w:rPr>
          <w:rStyle w:val="Refdenotaalpie"/>
          <w:rFonts w:asciiTheme="minorHAnsi" w:hAnsiTheme="minorHAnsi"/>
          <w:sz w:val="24"/>
          <w:szCs w:val="24"/>
          <w:vertAlign w:val="superscript"/>
        </w:rPr>
        <w:footnoteReference w:id="359"/>
      </w:r>
      <w:r w:rsidRPr="000D3432">
        <w:rPr>
          <w:rFonts w:asciiTheme="minorHAnsi" w:hAnsiTheme="minorHAnsi"/>
          <w:szCs w:val="24"/>
        </w:rPr>
        <w:t>.</w:t>
      </w:r>
    </w:p>
    <w:p w14:paraId="43E8873B" w14:textId="77777777" w:rsidR="001925CE" w:rsidRPr="000D3432" w:rsidRDefault="001925CE" w:rsidP="00A95498">
      <w:pPr>
        <w:tabs>
          <w:tab w:val="left" w:pos="-1440"/>
        </w:tabs>
        <w:ind w:firstLine="426"/>
        <w:jc w:val="both"/>
        <w:rPr>
          <w:rFonts w:asciiTheme="minorHAnsi" w:hAnsiTheme="minorHAnsi"/>
          <w:szCs w:val="24"/>
        </w:rPr>
      </w:pPr>
    </w:p>
    <w:p w14:paraId="4A98C138"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otro lado la importancia del Estado no se limita en individualidades, sino en generalizaciones, "Según Hegel el Estado es algo "más" que cada ciudadano. Es incluso más que la suma de todos los ciudadanos. Según Hegel no es posible, por lo tanto, "darse de baja en la sociedad"</w:t>
      </w:r>
      <w:r w:rsidRPr="000D3432">
        <w:rPr>
          <w:rStyle w:val="Refdenotaalpie"/>
          <w:rFonts w:asciiTheme="minorHAnsi" w:hAnsiTheme="minorHAnsi"/>
          <w:sz w:val="24"/>
          <w:szCs w:val="24"/>
          <w:vertAlign w:val="superscript"/>
        </w:rPr>
        <w:footnoteReference w:id="360"/>
      </w:r>
    </w:p>
    <w:p w14:paraId="61395290" w14:textId="77777777" w:rsidR="001925CE" w:rsidRPr="000D3432" w:rsidRDefault="001925CE" w:rsidP="00A95498">
      <w:pPr>
        <w:tabs>
          <w:tab w:val="left" w:pos="-1440"/>
        </w:tabs>
        <w:ind w:firstLine="426"/>
        <w:jc w:val="both"/>
        <w:rPr>
          <w:rFonts w:asciiTheme="minorHAnsi" w:hAnsiTheme="minorHAnsi"/>
          <w:szCs w:val="24"/>
        </w:rPr>
      </w:pPr>
    </w:p>
    <w:p w14:paraId="6F215A9E"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Hegel considera al Derecho dentro  del marco de la moral, y su filosofía del Derecho es contraria a la de Kant.</w:t>
      </w:r>
    </w:p>
    <w:p w14:paraId="6D9E4659"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"El derecho es, pues, para Hegel, el medio por el cual la libertad resulta posible, ya que proporciona a la ley el orden dentro del cual puede actuar, y es esto lo que le da significado"</w:t>
      </w:r>
      <w:r w:rsidRPr="000D3432">
        <w:rPr>
          <w:rStyle w:val="Refdenotaalpie"/>
          <w:rFonts w:asciiTheme="minorHAnsi" w:hAnsiTheme="minorHAnsi"/>
          <w:sz w:val="24"/>
          <w:szCs w:val="24"/>
          <w:vertAlign w:val="superscript"/>
        </w:rPr>
        <w:footnoteReference w:id="361"/>
      </w:r>
      <w:r w:rsidRPr="000D3432">
        <w:rPr>
          <w:rFonts w:asciiTheme="minorHAnsi" w:hAnsiTheme="minorHAnsi"/>
          <w:sz w:val="24"/>
          <w:szCs w:val="24"/>
        </w:rPr>
        <w:t>.</w:t>
      </w:r>
    </w:p>
    <w:p w14:paraId="6BFDB459" w14:textId="77777777" w:rsidR="001925CE" w:rsidRPr="000D3432" w:rsidRDefault="001925CE" w:rsidP="00A95498">
      <w:pPr>
        <w:tabs>
          <w:tab w:val="left" w:pos="-1440"/>
        </w:tabs>
        <w:ind w:firstLine="426"/>
        <w:jc w:val="both"/>
        <w:rPr>
          <w:rFonts w:asciiTheme="minorHAnsi" w:hAnsiTheme="minorHAnsi"/>
          <w:szCs w:val="24"/>
        </w:rPr>
      </w:pPr>
    </w:p>
    <w:p w14:paraId="7EFCA972"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El eje sería el Estado y ya no la libertad.</w:t>
      </w:r>
    </w:p>
    <w:p w14:paraId="3DFD8901"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“Tomando una posición contraria a Kant, Hegel coloca el eje del derecho no ya en la libertad humana sino en el Estado. Negándose a diferenciar lo racional y lo real, ...”</w:t>
      </w:r>
      <w:r w:rsidRPr="000D3432">
        <w:rPr>
          <w:rStyle w:val="Refdenotaalpie"/>
          <w:rFonts w:asciiTheme="minorHAnsi" w:hAnsiTheme="minorHAnsi"/>
          <w:sz w:val="24"/>
          <w:szCs w:val="24"/>
          <w:vertAlign w:val="superscript"/>
        </w:rPr>
        <w:footnoteReference w:id="362"/>
      </w:r>
    </w:p>
    <w:p w14:paraId="427DB851" w14:textId="77777777" w:rsidR="001925CE" w:rsidRPr="000D3432" w:rsidRDefault="001925CE" w:rsidP="00A95498">
      <w:pPr>
        <w:tabs>
          <w:tab w:val="left" w:pos="-1440"/>
        </w:tabs>
        <w:ind w:firstLine="426"/>
        <w:jc w:val="both"/>
        <w:rPr>
          <w:rFonts w:asciiTheme="minorHAnsi" w:hAnsiTheme="minorHAnsi"/>
          <w:szCs w:val="24"/>
        </w:rPr>
      </w:pPr>
    </w:p>
    <w:p w14:paraId="6C14C3CE"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esta concepción el Estado tendría una función y fuerza civilizadora. Esta sería su misión principal. El estado se apoya en la voluntad de poder.</w:t>
      </w:r>
    </w:p>
    <w:p w14:paraId="73A8A181" w14:textId="77777777" w:rsidR="001925CE" w:rsidRPr="000D3432" w:rsidRDefault="001925CE" w:rsidP="00A95498">
      <w:pPr>
        <w:tabs>
          <w:tab w:val="left" w:pos="-1440"/>
        </w:tabs>
        <w:jc w:val="both"/>
        <w:rPr>
          <w:rFonts w:asciiTheme="minorHAnsi" w:hAnsiTheme="minorHAnsi"/>
          <w:szCs w:val="24"/>
        </w:rPr>
      </w:pPr>
    </w:p>
    <w:p w14:paraId="2748D2D1" w14:textId="77777777" w:rsidR="001925CE" w:rsidRPr="000D3432" w:rsidRDefault="001925CE" w:rsidP="00A95498">
      <w:pPr>
        <w:tabs>
          <w:tab w:val="left" w:pos="-1440"/>
        </w:tabs>
        <w:jc w:val="both"/>
        <w:rPr>
          <w:rFonts w:asciiTheme="minorHAnsi" w:hAnsiTheme="minorHAnsi"/>
          <w:b/>
          <w:szCs w:val="24"/>
        </w:rPr>
      </w:pPr>
      <w:r w:rsidRPr="000D3432">
        <w:rPr>
          <w:rFonts w:asciiTheme="minorHAnsi" w:hAnsiTheme="minorHAnsi"/>
          <w:b/>
          <w:szCs w:val="24"/>
        </w:rPr>
        <w:lastRenderedPageBreak/>
        <w:t>k.- Marx</w:t>
      </w:r>
    </w:p>
    <w:p w14:paraId="2FCC66A1" w14:textId="77777777" w:rsidR="001925CE" w:rsidRPr="000D3432" w:rsidRDefault="001925CE" w:rsidP="00A95498">
      <w:pPr>
        <w:tabs>
          <w:tab w:val="left" w:pos="-1440"/>
        </w:tabs>
        <w:jc w:val="both"/>
        <w:rPr>
          <w:rFonts w:asciiTheme="minorHAnsi" w:hAnsiTheme="minorHAnsi"/>
          <w:szCs w:val="24"/>
        </w:rPr>
      </w:pPr>
    </w:p>
    <w:p w14:paraId="4F8A0C00" w14:textId="77777777" w:rsidR="001925CE" w:rsidRPr="000D3432" w:rsidRDefault="001925CE" w:rsidP="00A95498">
      <w:pPr>
        <w:tabs>
          <w:tab w:val="left" w:pos="-1440"/>
        </w:tabs>
        <w:jc w:val="both"/>
        <w:rPr>
          <w:rFonts w:asciiTheme="minorHAnsi" w:hAnsiTheme="minorHAnsi"/>
          <w:b/>
          <w:szCs w:val="24"/>
        </w:rPr>
      </w:pPr>
      <w:r w:rsidRPr="000D3432">
        <w:rPr>
          <w:rFonts w:asciiTheme="minorHAnsi" w:hAnsiTheme="minorHAnsi"/>
          <w:szCs w:val="24"/>
        </w:rPr>
        <w:tab/>
        <w:t>O “El Derecho como ideología de clase” (Friedrich).</w:t>
      </w:r>
    </w:p>
    <w:p w14:paraId="7DFB29D9" w14:textId="77777777" w:rsidR="001925CE" w:rsidRPr="000D3432" w:rsidRDefault="001925CE" w:rsidP="00A95498">
      <w:pPr>
        <w:pStyle w:val="Parafffo"/>
        <w:spacing w:line="240" w:lineRule="auto"/>
        <w:ind w:left="2832"/>
        <w:rPr>
          <w:rFonts w:asciiTheme="minorHAnsi" w:hAnsiTheme="minorHAnsi"/>
          <w:sz w:val="24"/>
          <w:szCs w:val="24"/>
        </w:rPr>
      </w:pPr>
      <w:r w:rsidRPr="000D3432">
        <w:rPr>
          <w:rFonts w:asciiTheme="minorHAnsi" w:hAnsiTheme="minorHAnsi"/>
          <w:sz w:val="24"/>
          <w:szCs w:val="24"/>
        </w:rPr>
        <w:t>“El Derecho es la voluntad de la clase dominante erigida en ley”.</w:t>
      </w:r>
    </w:p>
    <w:p w14:paraId="27815F79" w14:textId="77777777" w:rsidR="001925CE" w:rsidRPr="000D3432" w:rsidRDefault="001925CE" w:rsidP="00A95498">
      <w:pPr>
        <w:tabs>
          <w:tab w:val="left" w:pos="-1440"/>
        </w:tabs>
        <w:ind w:firstLine="426"/>
        <w:jc w:val="both"/>
        <w:rPr>
          <w:rFonts w:asciiTheme="minorHAnsi" w:hAnsiTheme="minorHAnsi"/>
          <w:szCs w:val="24"/>
        </w:rPr>
      </w:pPr>
    </w:p>
    <w:p w14:paraId="29385F54"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Mucho se ha hablado de él, pero la historia lo ha absorbido y relegado al pasado, con la anulación de la teoría del Estado Socialista, como fin último de la historia.</w:t>
      </w:r>
      <w:r w:rsidRPr="000D3432">
        <w:rPr>
          <w:rStyle w:val="Refdenotaalpie"/>
          <w:rFonts w:asciiTheme="minorHAnsi" w:hAnsiTheme="minorHAnsi"/>
          <w:sz w:val="24"/>
          <w:szCs w:val="24"/>
          <w:vertAlign w:val="superscript"/>
        </w:rPr>
        <w:footnoteReference w:id="363"/>
      </w:r>
      <w:r w:rsidRPr="000D3432">
        <w:rPr>
          <w:rFonts w:asciiTheme="minorHAnsi" w:hAnsiTheme="minorHAnsi"/>
          <w:szCs w:val="24"/>
        </w:rPr>
        <w:t>. Sin embargo muchos han hablado de la humanidad</w:t>
      </w:r>
      <w:r w:rsidRPr="000D3432">
        <w:rPr>
          <w:rStyle w:val="Refdenotaalpie"/>
          <w:rFonts w:asciiTheme="minorHAnsi" w:hAnsiTheme="minorHAnsi"/>
          <w:sz w:val="24"/>
          <w:szCs w:val="24"/>
          <w:vertAlign w:val="superscript"/>
        </w:rPr>
        <w:footnoteReference w:id="364"/>
      </w:r>
      <w:r w:rsidRPr="000D3432">
        <w:rPr>
          <w:rFonts w:asciiTheme="minorHAnsi" w:hAnsiTheme="minorHAnsi"/>
          <w:szCs w:val="24"/>
        </w:rPr>
        <w:t xml:space="preserve"> que poseía este filósofo, y todos concuerdan en que fue un gran hombre que revolucionó el concepto del mundo y de las relaciones sociales y jurídicas.</w:t>
      </w:r>
    </w:p>
    <w:p w14:paraId="72ADE018" w14:textId="77777777" w:rsidR="001925CE" w:rsidRPr="000D3432" w:rsidRDefault="001925CE" w:rsidP="00A95498">
      <w:pPr>
        <w:tabs>
          <w:tab w:val="left" w:pos="-1440"/>
        </w:tabs>
        <w:ind w:firstLine="426"/>
        <w:jc w:val="both"/>
        <w:rPr>
          <w:rFonts w:asciiTheme="minorHAnsi" w:hAnsiTheme="minorHAnsi"/>
          <w:szCs w:val="24"/>
        </w:rPr>
      </w:pPr>
    </w:p>
    <w:p w14:paraId="137AFCF8"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Marx fue un ídolo, un mito. Una gran esperanza de los pobres por dejar de ser, una gran utopía, un gran hombre pero al mismo tiempo un gran ingenuo. Pensaba en la comunidad de los hombres. Planteaba la teoría de la plusvalía</w:t>
      </w:r>
      <w:r w:rsidRPr="000D3432">
        <w:rPr>
          <w:rStyle w:val="Refdenotaalpie"/>
          <w:rFonts w:asciiTheme="minorHAnsi" w:hAnsiTheme="minorHAnsi"/>
          <w:sz w:val="24"/>
          <w:szCs w:val="24"/>
          <w:vertAlign w:val="superscript"/>
        </w:rPr>
        <w:footnoteReference w:id="365"/>
      </w:r>
      <w:r w:rsidRPr="000D3432">
        <w:rPr>
          <w:rFonts w:asciiTheme="minorHAnsi" w:hAnsiTheme="minorHAnsi"/>
          <w:szCs w:val="24"/>
        </w:rPr>
        <w:t>. Creía que  los trabajadores eran explotados y tenía razón; creía en la repartición igualitaria de la riqueza y en que el capital debería ser mejor distribuido, pensaba que la fuerza de trabajo añadía al producto un nuevo valor, y esto haría merecedor de un nuevo sistema de repartición de la riqueza, a través del trabajo. Ese era Marx, un gran ingenuo que creía en la igualdad, y en la buena voluntad de los hombres.</w:t>
      </w:r>
    </w:p>
    <w:p w14:paraId="7047807F" w14:textId="77777777" w:rsidR="001925CE" w:rsidRPr="000D3432" w:rsidRDefault="001925CE" w:rsidP="00A95498">
      <w:pPr>
        <w:tabs>
          <w:tab w:val="left" w:pos="-1440"/>
        </w:tabs>
        <w:ind w:firstLine="426"/>
        <w:jc w:val="both"/>
        <w:rPr>
          <w:rFonts w:asciiTheme="minorHAnsi" w:hAnsiTheme="minorHAnsi"/>
          <w:szCs w:val="24"/>
        </w:rPr>
      </w:pPr>
    </w:p>
    <w:p w14:paraId="02197024"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Marx tomó como punto de partida a Hegel, pero contradijo su teoría del "Espíritu universal", el idealismo Hegeliano.  Era hora de hacer algo más al respecto del mundo, la desigualdad no podía continuar. Era necesario cambiar al mundo y no sólo interpretarlo como hacen los filósofos, de varios modos</w:t>
      </w:r>
      <w:r w:rsidRPr="000D3432">
        <w:rPr>
          <w:rStyle w:val="Refdenotaalpie"/>
          <w:rFonts w:asciiTheme="minorHAnsi" w:hAnsiTheme="minorHAnsi"/>
          <w:sz w:val="24"/>
          <w:szCs w:val="24"/>
          <w:vertAlign w:val="superscript"/>
        </w:rPr>
        <w:footnoteReference w:id="366"/>
      </w:r>
      <w:r w:rsidRPr="000D3432">
        <w:rPr>
          <w:rFonts w:asciiTheme="minorHAnsi" w:hAnsiTheme="minorHAnsi"/>
          <w:szCs w:val="24"/>
        </w:rPr>
        <w:t>. Marx se ocupa de la historia, sociología y economía, que son para él lo más importante y necesario para entender el mundo y cambiarlo. Escribió mucho, y su obra principal se denomina "El Capital" del cual la juventud pasada hablaba con vehemencia.</w:t>
      </w:r>
      <w:r w:rsidRPr="000D3432">
        <w:rPr>
          <w:rStyle w:val="Refdenotaalpie"/>
          <w:rFonts w:asciiTheme="minorHAnsi" w:hAnsiTheme="minorHAnsi"/>
          <w:sz w:val="24"/>
          <w:szCs w:val="24"/>
          <w:vertAlign w:val="superscript"/>
        </w:rPr>
        <w:footnoteReference w:id="367"/>
      </w:r>
    </w:p>
    <w:p w14:paraId="24EFCD0D" w14:textId="77777777" w:rsidR="001925CE" w:rsidRPr="000D3432" w:rsidRDefault="001925CE" w:rsidP="00A95498">
      <w:pPr>
        <w:tabs>
          <w:tab w:val="left" w:pos="-1440"/>
        </w:tabs>
        <w:ind w:firstLine="426"/>
        <w:jc w:val="both"/>
        <w:rPr>
          <w:rFonts w:asciiTheme="minorHAnsi" w:hAnsiTheme="minorHAnsi"/>
          <w:szCs w:val="24"/>
        </w:rPr>
      </w:pPr>
    </w:p>
    <w:p w14:paraId="1E9A3981"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Sin embargo el Marxismo estaba más allá de Marx "De Marx se dice que se convirtió en marxista a mediados de 1840, pero más tarde también tuvo a veces necesidad de señalar que no era marxista."</w:t>
      </w:r>
      <w:r w:rsidRPr="000D3432">
        <w:rPr>
          <w:rStyle w:val="Refdenotaalpie"/>
          <w:rFonts w:asciiTheme="minorHAnsi" w:hAnsiTheme="minorHAnsi"/>
          <w:sz w:val="24"/>
          <w:szCs w:val="24"/>
          <w:vertAlign w:val="superscript"/>
        </w:rPr>
        <w:footnoteReference w:id="368"/>
      </w:r>
      <w:r w:rsidRPr="000D3432">
        <w:rPr>
          <w:rFonts w:asciiTheme="minorHAnsi" w:hAnsiTheme="minorHAnsi"/>
          <w:szCs w:val="24"/>
        </w:rPr>
        <w:t>.</w:t>
      </w:r>
    </w:p>
    <w:p w14:paraId="1D9CC2D0" w14:textId="77777777" w:rsidR="001925CE" w:rsidRPr="000D3432" w:rsidRDefault="001925CE" w:rsidP="00A95498">
      <w:pPr>
        <w:tabs>
          <w:tab w:val="left" w:pos="-1440"/>
        </w:tabs>
        <w:ind w:firstLine="426"/>
        <w:jc w:val="both"/>
        <w:rPr>
          <w:rFonts w:asciiTheme="minorHAnsi" w:hAnsiTheme="minorHAnsi"/>
          <w:szCs w:val="24"/>
        </w:rPr>
      </w:pPr>
    </w:p>
    <w:p w14:paraId="21EA5AD7"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Marx pensaba que las condiciones materiales de la sociedad son en gran </w:t>
      </w:r>
      <w:r w:rsidRPr="000D3432">
        <w:rPr>
          <w:rFonts w:asciiTheme="minorHAnsi" w:hAnsiTheme="minorHAnsi"/>
          <w:szCs w:val="24"/>
        </w:rPr>
        <w:lastRenderedPageBreak/>
        <w:t>medida las que deciden cómo pensamos. El creía que los cambios eran creados por las condiciones materiales que empujaban a crear las nuevas condiciones espirituales, lo contrario de Hegel el cual pensaba que el espíritu universal empujaba a las condiciones materiales.</w:t>
      </w:r>
    </w:p>
    <w:p w14:paraId="36ABA334" w14:textId="77777777" w:rsidR="001925CE" w:rsidRPr="000D3432" w:rsidRDefault="001925CE" w:rsidP="00A95498">
      <w:pPr>
        <w:tabs>
          <w:tab w:val="left" w:pos="-1440"/>
        </w:tabs>
        <w:ind w:firstLine="426"/>
        <w:jc w:val="both"/>
        <w:rPr>
          <w:rFonts w:asciiTheme="minorHAnsi" w:hAnsiTheme="minorHAnsi"/>
          <w:szCs w:val="24"/>
        </w:rPr>
      </w:pPr>
    </w:p>
    <w:p w14:paraId="71A0C519"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Marx inicia lo que luego se llamará la Sociología del conocimiento que consistía en que todo lo dicta la sociedad, los intereses de dominio.</w:t>
      </w:r>
    </w:p>
    <w:p w14:paraId="3FB64DAA"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"Todo lo dicta la sociedad. La sociedad produce el conocimiento que más le conviene, es decir, que más le conviene a la clase que gobierna y que domina esa sociedad. Para Marx todo conocimiento tiene una finalidad que no es  la verdad, sino el cuidado de los intereses de la sociedad. Los intereses de quienes dominan en la sociedad."</w:t>
      </w:r>
      <w:r w:rsidRPr="000D3432">
        <w:rPr>
          <w:rStyle w:val="Refdenotaalpie"/>
          <w:rFonts w:asciiTheme="minorHAnsi" w:hAnsiTheme="minorHAnsi"/>
          <w:sz w:val="24"/>
          <w:szCs w:val="24"/>
          <w:vertAlign w:val="superscript"/>
        </w:rPr>
        <w:footnoteReference w:id="369"/>
      </w:r>
      <w:r w:rsidRPr="000D3432">
        <w:rPr>
          <w:rFonts w:asciiTheme="minorHAnsi" w:hAnsiTheme="minorHAnsi"/>
          <w:sz w:val="24"/>
          <w:szCs w:val="24"/>
        </w:rPr>
        <w:t>.</w:t>
      </w:r>
    </w:p>
    <w:p w14:paraId="4FCE36B8" w14:textId="77777777" w:rsidR="001925CE" w:rsidRPr="000D3432" w:rsidRDefault="001925CE" w:rsidP="00A95498">
      <w:pPr>
        <w:tabs>
          <w:tab w:val="left" w:pos="-1440"/>
        </w:tabs>
        <w:ind w:firstLine="426"/>
        <w:jc w:val="both"/>
        <w:rPr>
          <w:rFonts w:asciiTheme="minorHAnsi" w:hAnsiTheme="minorHAnsi"/>
          <w:szCs w:val="24"/>
        </w:rPr>
      </w:pPr>
    </w:p>
    <w:p w14:paraId="35160105"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Entiende más o menos así la consecuencia histórica de su tiempo, según IsaiahBerlin: "El orden burgués ha creado el proletariado, el cual es a la vez su heredero y su verdugo. Logró destruir el poder de todas las formas rivales de organización -la aristocracia, los pequeños artesanos y caudillos-, pero no puede destruir al proletariado porque éste le es necesario para su propia existencia, constituye una parte orgánica de su sistema y es así el gran ejército de los desposeídos a quienes, en el mismo acto de explotarlos, inevitablemente disciplina y organiza. Cuanto más internacional se torna el capitalismo -y a medida que se expande se hace inevitablemente más internacional-, tanto más vasta y más internacional es la escala en que automáticamente organiza a los trabajadores cuya unión y solidaridad eventualmente lo echará  por tierra". </w:t>
      </w:r>
    </w:p>
    <w:p w14:paraId="2831DDEE" w14:textId="77777777" w:rsidR="001925CE" w:rsidRPr="000D3432" w:rsidRDefault="001925CE" w:rsidP="00A95498">
      <w:pPr>
        <w:tabs>
          <w:tab w:val="left" w:pos="-1440"/>
        </w:tabs>
        <w:ind w:firstLine="426"/>
        <w:jc w:val="both"/>
        <w:rPr>
          <w:rFonts w:asciiTheme="minorHAnsi" w:hAnsiTheme="minorHAnsi"/>
          <w:szCs w:val="24"/>
        </w:rPr>
      </w:pPr>
    </w:p>
    <w:p w14:paraId="1C1BC762"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Cree que la evolución se dará así: la sociedad burguesa al crear al proletariado y organizarlo para sus fines, resultará volteado por este último, que se rebelará y será el gobierno del proletariado.</w:t>
      </w:r>
    </w:p>
    <w:p w14:paraId="70BCBEDC" w14:textId="77777777" w:rsidR="001925CE" w:rsidRPr="000D3432" w:rsidRDefault="001925CE" w:rsidP="00A95498">
      <w:pPr>
        <w:tabs>
          <w:tab w:val="left" w:pos="-1440"/>
        </w:tabs>
        <w:ind w:firstLine="426"/>
        <w:jc w:val="both"/>
        <w:rPr>
          <w:rFonts w:asciiTheme="minorHAnsi" w:hAnsiTheme="minorHAnsi"/>
          <w:szCs w:val="24"/>
        </w:rPr>
      </w:pPr>
    </w:p>
    <w:p w14:paraId="13F2E9F9"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Marx llamó base de la sociedad a las condiciones materiales económicas y sociales de la sociedad; y super estructura de la sociedad a cómo se piensa, clase de instituciones políticas que se tienen, leyes, religión, moral, arte, filosofía, ciencia, "Marx reconoce que hay una relación recíproca o "dialéctica" entre la base y la supraestructura, y por eso decimos que es un materialista dialéctico"</w:t>
      </w:r>
      <w:r w:rsidRPr="000D3432">
        <w:rPr>
          <w:rStyle w:val="Refdenotaalpie"/>
          <w:rFonts w:asciiTheme="minorHAnsi" w:hAnsiTheme="minorHAnsi"/>
          <w:sz w:val="24"/>
          <w:szCs w:val="24"/>
          <w:vertAlign w:val="superscript"/>
        </w:rPr>
        <w:footnoteReference w:id="370"/>
      </w:r>
      <w:r w:rsidRPr="000D3432">
        <w:rPr>
          <w:rFonts w:asciiTheme="minorHAnsi" w:hAnsiTheme="minorHAnsi"/>
          <w:szCs w:val="24"/>
        </w:rPr>
        <w:t>.</w:t>
      </w:r>
    </w:p>
    <w:p w14:paraId="6906A63C" w14:textId="77777777" w:rsidR="001925CE" w:rsidRPr="000D3432" w:rsidRDefault="001925CE" w:rsidP="00A95498">
      <w:pPr>
        <w:tabs>
          <w:tab w:val="left" w:pos="-1440"/>
        </w:tabs>
        <w:ind w:firstLine="426"/>
        <w:jc w:val="both"/>
        <w:rPr>
          <w:rFonts w:asciiTheme="minorHAnsi" w:hAnsiTheme="minorHAnsi"/>
          <w:szCs w:val="24"/>
        </w:rPr>
      </w:pPr>
    </w:p>
    <w:p w14:paraId="3F242F27"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Entendía que lo que es bueno o malo está determinado por la clase dominante de la sociedad, y que el trabajo contribuía no solo a la producción sino a formar la naturaleza del hombre, existe una relación recíproca entre el cómo trabajamos y nuestra conciencia.</w:t>
      </w:r>
    </w:p>
    <w:p w14:paraId="6A31BF76" w14:textId="77777777" w:rsidR="001925CE" w:rsidRPr="000D3432" w:rsidRDefault="001925CE" w:rsidP="00A95498">
      <w:pPr>
        <w:tabs>
          <w:tab w:val="left" w:pos="-1440"/>
        </w:tabs>
        <w:ind w:firstLine="426"/>
        <w:jc w:val="both"/>
        <w:rPr>
          <w:rFonts w:asciiTheme="minorHAnsi" w:hAnsiTheme="minorHAnsi"/>
          <w:szCs w:val="24"/>
        </w:rPr>
      </w:pPr>
    </w:p>
    <w:p w14:paraId="118AF8F9"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La forma de trabajo en ese tiempo era tan grave como ahora pero más descarada, la paga escasa, los hombres tenían que trabajar doce horas o más, las mujeres que acababan de dar a luz trabajan en algunos lugares, parte de la paga era en aguardiente barato, las mujeres se veían obligadas a prostituirse, etc.</w:t>
      </w:r>
    </w:p>
    <w:p w14:paraId="1B7E198A" w14:textId="77777777" w:rsidR="001925CE" w:rsidRPr="000D3432" w:rsidRDefault="001925CE" w:rsidP="00A95498">
      <w:pPr>
        <w:tabs>
          <w:tab w:val="left" w:pos="-1440"/>
        </w:tabs>
        <w:ind w:firstLine="426"/>
        <w:jc w:val="both"/>
        <w:rPr>
          <w:rFonts w:asciiTheme="minorHAnsi" w:hAnsiTheme="minorHAnsi"/>
          <w:szCs w:val="24"/>
        </w:rPr>
      </w:pPr>
    </w:p>
    <w:p w14:paraId="4FA675A2"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Pese a esto Marx creía en una sociedad sin clases, o comunismo, después de una dictadura del proletariado, en donde los medios de producción serían de todos, del pueblo, allí rendirán según su capacidad y recibirán según su necesidad.</w:t>
      </w:r>
    </w:p>
    <w:p w14:paraId="3FFBB206" w14:textId="77777777" w:rsidR="001925CE" w:rsidRPr="000D3432" w:rsidRDefault="001925CE" w:rsidP="00A95498">
      <w:pPr>
        <w:tabs>
          <w:tab w:val="left" w:pos="-1440"/>
        </w:tabs>
        <w:ind w:firstLine="426"/>
        <w:jc w:val="both"/>
        <w:rPr>
          <w:rFonts w:asciiTheme="minorHAnsi" w:hAnsiTheme="minorHAnsi"/>
          <w:szCs w:val="24"/>
        </w:rPr>
      </w:pPr>
    </w:p>
    <w:p w14:paraId="35E978C8"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Después de Marx el movimiento socialista se dividió; por un lado, en la parte de Europa occidental estaba instalándose la social democracia, que creía en un acercamiento pacífico al socialismo. Por otro lado el Leninismo, que abarca Europa oriental, Asia y África que creían que la revolución sería la que combatiría la división de clases.</w:t>
      </w:r>
    </w:p>
    <w:p w14:paraId="58CB5A03" w14:textId="77777777" w:rsidR="001925CE" w:rsidRPr="000D3432" w:rsidRDefault="001925CE" w:rsidP="00A95498">
      <w:pPr>
        <w:tabs>
          <w:tab w:val="left" w:pos="-1440"/>
        </w:tabs>
        <w:ind w:firstLine="426"/>
        <w:jc w:val="both"/>
        <w:rPr>
          <w:rFonts w:asciiTheme="minorHAnsi" w:hAnsiTheme="minorHAnsi"/>
          <w:szCs w:val="24"/>
        </w:rPr>
      </w:pPr>
    </w:p>
    <w:p w14:paraId="0C48F844"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otro lado, "La alienación" del proletariado, era para Marx un problema a resolver; piensa que el proletariado al trabajar tanto y hacer tantas cosas que no son para el, sufre una especie de frustración, trabaja demasiado para otros y es infeliz.</w:t>
      </w:r>
    </w:p>
    <w:p w14:paraId="6668EDA4" w14:textId="77777777" w:rsidR="001925CE" w:rsidRPr="000D3432" w:rsidRDefault="001925CE" w:rsidP="00A95498">
      <w:pPr>
        <w:tabs>
          <w:tab w:val="left" w:pos="-1440"/>
        </w:tabs>
        <w:ind w:firstLine="426"/>
        <w:jc w:val="both"/>
        <w:rPr>
          <w:rFonts w:asciiTheme="minorHAnsi" w:hAnsiTheme="minorHAnsi"/>
          <w:szCs w:val="24"/>
        </w:rPr>
      </w:pPr>
    </w:p>
    <w:p w14:paraId="62719B78"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Con Marx se aclara o se pone en alto relieve el concepto del proletariado y los derechos que debería tener, no que tiene, sino que debería tener. Aquellos que sólo  tienen su fuerza de trabajo que no tienen capital, pero que se tienen a sí mismos como fuerza de trabajo con el proletariado. Así que para variar esto afirma que "sólo el cambio de la sociedad producirá nuevos hombres. El liberalismo considera que sólo el cambio de los individuos producirá una nueva sociedad" </w:t>
      </w:r>
      <w:r w:rsidRPr="000D3432">
        <w:rPr>
          <w:rStyle w:val="Refdenotaalpie"/>
          <w:rFonts w:asciiTheme="minorHAnsi" w:hAnsiTheme="minorHAnsi"/>
          <w:sz w:val="24"/>
          <w:szCs w:val="24"/>
          <w:vertAlign w:val="superscript"/>
        </w:rPr>
        <w:footnoteReference w:id="371"/>
      </w:r>
      <w:r w:rsidRPr="000D3432">
        <w:rPr>
          <w:rFonts w:asciiTheme="minorHAnsi" w:hAnsiTheme="minorHAnsi"/>
          <w:szCs w:val="24"/>
        </w:rPr>
        <w:t>.</w:t>
      </w:r>
    </w:p>
    <w:p w14:paraId="3B664434" w14:textId="77777777" w:rsidR="001925CE" w:rsidRPr="000D3432" w:rsidRDefault="001925CE" w:rsidP="00A95498">
      <w:pPr>
        <w:tabs>
          <w:tab w:val="left" w:pos="-1440"/>
        </w:tabs>
        <w:ind w:firstLine="426"/>
        <w:jc w:val="both"/>
        <w:rPr>
          <w:rFonts w:asciiTheme="minorHAnsi" w:hAnsiTheme="minorHAnsi"/>
          <w:szCs w:val="24"/>
        </w:rPr>
      </w:pPr>
    </w:p>
    <w:p w14:paraId="5D535129"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otro lado este filósofo no creía en la religión y pensaba que sólo servía para adormecer a las masas, concentrándolas en Dios y el otro mundo, alejándolas de la realidad. El hombre se encuentra en un estado conformista. Además Marx cree que es indispensable la desaparición de las clases sociales, y que el Derecho era una cuestión de intereses.</w:t>
      </w:r>
    </w:p>
    <w:p w14:paraId="605D7CAA"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el derecho no se orienta hacia la idea de justicia, sino que es un medio de dominación y un instrumento de los explotadores, que lo emplean en interés de su clase"</w:t>
      </w:r>
    </w:p>
    <w:p w14:paraId="7D847FBD" w14:textId="77777777" w:rsidR="001925CE" w:rsidRPr="000D3432" w:rsidRDefault="001925CE" w:rsidP="00A95498">
      <w:pPr>
        <w:tabs>
          <w:tab w:val="left" w:pos="-1440"/>
        </w:tabs>
        <w:ind w:firstLine="426"/>
        <w:jc w:val="both"/>
        <w:rPr>
          <w:rFonts w:asciiTheme="minorHAnsi" w:hAnsiTheme="minorHAnsi"/>
          <w:szCs w:val="24"/>
        </w:rPr>
      </w:pPr>
    </w:p>
    <w:p w14:paraId="5F256AC6"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otro lado, hay una teoría sobre la eliminación, o muerte del Derecho, que planteaba Marx, en esta argumentación se pone a flote el hecho del "... orden jurídico como un instrumento de opresión, de sojuzgamiento, de represión de la espontaneidad del ser humano. El derecho es desde este punto de vista, un freno, un impedimento al libre y necesariamente armónico desarrollo del hombre; constituye una fuerza exterior a éste que lo coarta, un poder extraño que lo aprisiona, haciéndolo servir a algo que no es él mismo. Si tal es la condición del derecho, es evidente que debe ser eliminado o, cuando menos, transformado radicalmente, suprimiendo los caracteres que lo convierten en instrumento de opresión externa y ajena al hombre mismo.</w:t>
      </w:r>
    </w:p>
    <w:p w14:paraId="397E042C" w14:textId="77777777" w:rsidR="001925CE" w:rsidRPr="000D3432" w:rsidRDefault="001925CE" w:rsidP="00A95498">
      <w:pPr>
        <w:tabs>
          <w:tab w:val="left" w:pos="-1440"/>
        </w:tabs>
        <w:ind w:firstLine="426"/>
        <w:jc w:val="both"/>
        <w:rPr>
          <w:rFonts w:asciiTheme="minorHAnsi" w:hAnsiTheme="minorHAnsi"/>
          <w:szCs w:val="24"/>
        </w:rPr>
      </w:pPr>
    </w:p>
    <w:p w14:paraId="3272E872"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Esta doctrina, que tiene su máxima expresión en la doctrina marxista de la </w:t>
      </w:r>
      <w:r w:rsidRPr="000D3432">
        <w:rPr>
          <w:rFonts w:asciiTheme="minorHAnsi" w:hAnsiTheme="minorHAnsi"/>
          <w:szCs w:val="24"/>
        </w:rPr>
        <w:lastRenderedPageBreak/>
        <w:t>extinción del derecho.”</w:t>
      </w:r>
      <w:r w:rsidRPr="000D3432">
        <w:rPr>
          <w:rStyle w:val="Refdenotaalpie"/>
          <w:rFonts w:asciiTheme="minorHAnsi" w:hAnsiTheme="minorHAnsi"/>
          <w:sz w:val="24"/>
          <w:szCs w:val="24"/>
          <w:vertAlign w:val="superscript"/>
        </w:rPr>
        <w:footnoteReference w:id="372"/>
      </w:r>
    </w:p>
    <w:p w14:paraId="7D4C3CCB" w14:textId="77777777" w:rsidR="001925CE" w:rsidRPr="000D3432" w:rsidRDefault="001925CE" w:rsidP="00A95498">
      <w:pPr>
        <w:tabs>
          <w:tab w:val="left" w:pos="-1440"/>
        </w:tabs>
        <w:ind w:firstLine="426"/>
        <w:jc w:val="both"/>
        <w:rPr>
          <w:rFonts w:asciiTheme="minorHAnsi" w:hAnsiTheme="minorHAnsi"/>
          <w:szCs w:val="24"/>
        </w:rPr>
      </w:pPr>
    </w:p>
    <w:p w14:paraId="70C540B6"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Claude Du Pasquier explicándonos la concepción del Derecho de Marx,  escribe: “En Alemania, la doctrina de Karl Marx y Engel es conocida bajo el nombre de concepción materialista de la historia y de la sociedad: es la estructura económica, han enseñado, que constituye la base real, la infraestructura de la sociedad, mientras que el derecho y la filosofía pertenecen a la superestructura. En otros términos, sólo lo económico es determinante, el derecho no es más que la resultante; en la sociedad burguesa, el derecho es el medio por el cual la clase poseedora mantiene su dominación sobre la clase obrera...”</w:t>
      </w:r>
      <w:r w:rsidRPr="000D3432">
        <w:rPr>
          <w:rStyle w:val="Refdenotaalpie"/>
          <w:rFonts w:asciiTheme="minorHAnsi" w:hAnsiTheme="minorHAnsi"/>
          <w:sz w:val="24"/>
          <w:szCs w:val="24"/>
          <w:vertAlign w:val="superscript"/>
        </w:rPr>
        <w:footnoteReference w:id="373"/>
      </w:r>
    </w:p>
    <w:p w14:paraId="5A5087D1" w14:textId="77777777" w:rsidR="001925CE" w:rsidRPr="000D3432" w:rsidRDefault="001925CE" w:rsidP="00A95498">
      <w:pPr>
        <w:tabs>
          <w:tab w:val="left" w:pos="-1440"/>
        </w:tabs>
        <w:ind w:firstLine="426"/>
        <w:jc w:val="both"/>
        <w:rPr>
          <w:rFonts w:asciiTheme="minorHAnsi" w:hAnsiTheme="minorHAnsi"/>
          <w:szCs w:val="24"/>
        </w:rPr>
      </w:pPr>
    </w:p>
    <w:p w14:paraId="5E7746F3"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En este contexto el Estado pierde fuerza, no tiene prestigio ni autoridad. La fuerza coercitiva será nula o supérflua.</w:t>
      </w:r>
    </w:p>
    <w:p w14:paraId="20E9B2F1" w14:textId="77777777" w:rsidR="001925CE" w:rsidRPr="000D3432" w:rsidRDefault="001925CE" w:rsidP="00A95498">
      <w:pPr>
        <w:tabs>
          <w:tab w:val="left" w:pos="-1440"/>
        </w:tabs>
        <w:ind w:firstLine="426"/>
        <w:jc w:val="both"/>
        <w:rPr>
          <w:rFonts w:asciiTheme="minorHAnsi" w:hAnsiTheme="minorHAnsi"/>
          <w:szCs w:val="24"/>
        </w:rPr>
      </w:pPr>
    </w:p>
    <w:p w14:paraId="40829926"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Por último, para Karl Marx “El Derecho es la expresión de esta voluntad condicionada por los intereses comunes. Es precisamente la lucha de individuos independientes y de sus voluntades, los cuales son necesariamente egoístas en su conducta respecto de los otros, lo que hace la auto-limitación a través del Derecho y de las regulaciones o también la auto-limitación en casos excepcionales y el mantenimiento de sus intereses en general...”</w:t>
      </w:r>
      <w:r w:rsidRPr="000D3432">
        <w:rPr>
          <w:rStyle w:val="Refdenotaalpie"/>
          <w:rFonts w:asciiTheme="minorHAnsi" w:hAnsiTheme="minorHAnsi"/>
          <w:sz w:val="24"/>
          <w:szCs w:val="24"/>
          <w:vertAlign w:val="superscript"/>
        </w:rPr>
        <w:footnoteReference w:id="374"/>
      </w:r>
    </w:p>
    <w:p w14:paraId="6D3A1939" w14:textId="77777777" w:rsidR="001925CE" w:rsidRPr="000D3432" w:rsidRDefault="001925CE" w:rsidP="00A95498">
      <w:pPr>
        <w:tabs>
          <w:tab w:val="left" w:pos="-1440"/>
        </w:tabs>
        <w:ind w:firstLine="426"/>
        <w:jc w:val="both"/>
        <w:rPr>
          <w:rFonts w:asciiTheme="minorHAnsi" w:hAnsiTheme="minorHAnsi"/>
          <w:szCs w:val="24"/>
        </w:rPr>
      </w:pPr>
    </w:p>
    <w:p w14:paraId="68E6986A"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En la misma línea, Marx plantea que el Delito, así como el Derecho no es un capricho,“El delito -esto es, la lucha de un individuo aislado contra las condiciones dominantes- no es el producto del simple capricho”</w:t>
      </w:r>
      <w:r w:rsidRPr="000D3432">
        <w:rPr>
          <w:rStyle w:val="Refdenotaalpie"/>
          <w:rFonts w:asciiTheme="minorHAnsi" w:hAnsiTheme="minorHAnsi"/>
          <w:sz w:val="24"/>
          <w:szCs w:val="24"/>
          <w:vertAlign w:val="superscript"/>
        </w:rPr>
        <w:footnoteReference w:id="375"/>
      </w:r>
      <w:r w:rsidRPr="000D3432">
        <w:rPr>
          <w:rFonts w:asciiTheme="minorHAnsi" w:hAnsiTheme="minorHAnsi"/>
          <w:szCs w:val="24"/>
        </w:rPr>
        <w:t>, sino el resultado de las circunstancias sociales, de las condiciones sociales de la vida, por lo que se debería aplicar otro sistema de regular el control de los delitos, no a través del sistema penal, de represión individual, sino de cambio de las condiciones y circunstancias sociales, es decir anulando los factores social económicos que engendran el delito, “...en vez de castigar a los individuos por sus delitos, debemos más bien destruir las condiciones sociales que engendran el delito y dar a cada individuo la amplitud que necesita dentro de la sociedad para desarrollar su vida. Si el hombre es formado por las circunstancias, estas circunstancias deben a su vez ser humanamente formadas.”</w:t>
      </w:r>
      <w:r w:rsidRPr="000D3432">
        <w:rPr>
          <w:rStyle w:val="Refdenotaalpie"/>
          <w:rFonts w:asciiTheme="minorHAnsi" w:hAnsiTheme="minorHAnsi"/>
          <w:sz w:val="24"/>
          <w:szCs w:val="24"/>
          <w:vertAlign w:val="superscript"/>
        </w:rPr>
        <w:footnoteReference w:id="376"/>
      </w:r>
    </w:p>
    <w:p w14:paraId="71720C52" w14:textId="77777777" w:rsidR="001925CE" w:rsidRPr="000D3432" w:rsidRDefault="001925CE" w:rsidP="00A95498">
      <w:pPr>
        <w:tabs>
          <w:tab w:val="left" w:pos="-1440"/>
        </w:tabs>
        <w:ind w:firstLine="426"/>
        <w:jc w:val="both"/>
        <w:rPr>
          <w:rFonts w:asciiTheme="minorHAnsi" w:hAnsiTheme="minorHAnsi"/>
          <w:szCs w:val="24"/>
        </w:rPr>
      </w:pPr>
    </w:p>
    <w:p w14:paraId="3F4FA29F"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Según explica Melquiades Castillo, para Marx “El Derecho sigue la evolución de la estructura económica de la sociedad. Toda forma de producción origina sus propias relaciones jurídicas. Cuando la estructura de la sociedad cambia, el Derecho se transforma y encuentra en la Ley su mejor expresión... El derecho que predomina en cada sociedad fija ante todo las relacines de propiedad... Derecho y economía se influyen mutuamente.”</w:t>
      </w:r>
      <w:r w:rsidRPr="000D3432">
        <w:rPr>
          <w:rStyle w:val="Refdenotaalpie"/>
          <w:rFonts w:asciiTheme="minorHAnsi" w:hAnsiTheme="minorHAnsi"/>
          <w:sz w:val="24"/>
          <w:szCs w:val="24"/>
          <w:vertAlign w:val="superscript"/>
        </w:rPr>
        <w:footnoteReference w:id="377"/>
      </w:r>
    </w:p>
    <w:p w14:paraId="6D1E78EA" w14:textId="77777777" w:rsidR="001925CE" w:rsidRPr="000D3432" w:rsidRDefault="001925CE" w:rsidP="00A95498">
      <w:pPr>
        <w:tabs>
          <w:tab w:val="left" w:pos="-1440"/>
        </w:tabs>
        <w:jc w:val="both"/>
        <w:rPr>
          <w:rFonts w:asciiTheme="minorHAnsi" w:hAnsiTheme="minorHAnsi"/>
          <w:b/>
          <w:szCs w:val="24"/>
        </w:rPr>
      </w:pPr>
    </w:p>
    <w:p w14:paraId="451189F7" w14:textId="77777777" w:rsidR="001925CE" w:rsidRPr="000D3432" w:rsidRDefault="001925CE" w:rsidP="00A95498">
      <w:pPr>
        <w:tabs>
          <w:tab w:val="left" w:pos="-1440"/>
        </w:tabs>
        <w:jc w:val="both"/>
        <w:rPr>
          <w:rFonts w:asciiTheme="minorHAnsi" w:hAnsiTheme="minorHAnsi"/>
          <w:szCs w:val="24"/>
        </w:rPr>
      </w:pPr>
      <w:r w:rsidRPr="000D3432">
        <w:rPr>
          <w:rFonts w:asciiTheme="minorHAnsi" w:hAnsiTheme="minorHAnsi"/>
          <w:b/>
          <w:szCs w:val="24"/>
        </w:rPr>
        <w:t>l.- Kelsen</w:t>
      </w:r>
      <w:r w:rsidRPr="000D3432">
        <w:rPr>
          <w:rFonts w:asciiTheme="minorHAnsi" w:hAnsiTheme="minorHAnsi"/>
          <w:szCs w:val="24"/>
        </w:rPr>
        <w:t xml:space="preserve"> (1881-1973)</w:t>
      </w:r>
    </w:p>
    <w:p w14:paraId="4CE6A45E" w14:textId="77777777" w:rsidR="001925CE" w:rsidRPr="000D3432" w:rsidRDefault="001925CE" w:rsidP="00A95498">
      <w:pPr>
        <w:tabs>
          <w:tab w:val="left" w:pos="-1440"/>
        </w:tabs>
        <w:jc w:val="both"/>
        <w:rPr>
          <w:rFonts w:asciiTheme="minorHAnsi" w:hAnsiTheme="minorHAnsi"/>
          <w:szCs w:val="24"/>
        </w:rPr>
      </w:pPr>
    </w:p>
    <w:p w14:paraId="473C899B" w14:textId="77777777" w:rsidR="001925CE" w:rsidRPr="000D3432" w:rsidRDefault="001925CE" w:rsidP="00A95498">
      <w:pPr>
        <w:tabs>
          <w:tab w:val="left" w:pos="-1440"/>
        </w:tabs>
        <w:jc w:val="both"/>
        <w:rPr>
          <w:rFonts w:asciiTheme="minorHAnsi" w:hAnsiTheme="minorHAnsi"/>
          <w:b/>
          <w:szCs w:val="24"/>
        </w:rPr>
      </w:pPr>
      <w:r w:rsidRPr="000D3432">
        <w:rPr>
          <w:rFonts w:asciiTheme="minorHAnsi" w:hAnsiTheme="minorHAnsi"/>
          <w:szCs w:val="24"/>
        </w:rPr>
        <w:tab/>
        <w:t>O “El Derecho como expresión de la norma positiva”</w:t>
      </w:r>
    </w:p>
    <w:p w14:paraId="7877E8E1" w14:textId="77777777" w:rsidR="001925CE" w:rsidRPr="000D3432" w:rsidRDefault="001925CE" w:rsidP="00A95498">
      <w:pPr>
        <w:tabs>
          <w:tab w:val="left" w:pos="-1440"/>
        </w:tabs>
        <w:ind w:firstLine="426"/>
        <w:jc w:val="both"/>
        <w:rPr>
          <w:rFonts w:asciiTheme="minorHAnsi" w:hAnsiTheme="minorHAnsi"/>
          <w:szCs w:val="24"/>
        </w:rPr>
      </w:pPr>
    </w:p>
    <w:p w14:paraId="2B2DFD52"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Nació en Praga, era de raza judía, estudia y se doctora en Derecho. Fue redactor de la Constitución Federal Austriaca de 1920. Es objeto de persecución racista por los nazis en 1933. Llega a los Estados Unidos de Norteamérica en 1940 donde fue profesor.</w:t>
      </w:r>
      <w:r w:rsidRPr="000D3432">
        <w:rPr>
          <w:rStyle w:val="Refdenotaalpie"/>
          <w:rFonts w:asciiTheme="minorHAnsi" w:hAnsiTheme="minorHAnsi"/>
          <w:sz w:val="24"/>
          <w:szCs w:val="24"/>
          <w:vertAlign w:val="superscript"/>
        </w:rPr>
        <w:footnoteReference w:id="378"/>
      </w:r>
    </w:p>
    <w:p w14:paraId="1E5BF6C0" w14:textId="77777777" w:rsidR="001925CE" w:rsidRPr="000D3432" w:rsidRDefault="001925CE" w:rsidP="00A95498">
      <w:pPr>
        <w:tabs>
          <w:tab w:val="left" w:pos="-1440"/>
        </w:tabs>
        <w:ind w:firstLine="426"/>
        <w:jc w:val="both"/>
        <w:rPr>
          <w:rFonts w:asciiTheme="minorHAnsi" w:hAnsiTheme="minorHAnsi"/>
          <w:szCs w:val="24"/>
        </w:rPr>
      </w:pPr>
    </w:p>
    <w:p w14:paraId="4915F3EC"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Kelsen escribe, entre otras obras, la Teoría Pura del Derecho, desarrollando tres presupuestos a partir de esto: el primer presupuesto es “constituir una ciencia que tenga por único objeto al Derecho e ignore todo lo que no responda estrictamente a su definición”</w:t>
      </w:r>
      <w:r w:rsidRPr="000D3432">
        <w:rPr>
          <w:rStyle w:val="Refdenotaalpie"/>
          <w:rFonts w:asciiTheme="minorHAnsi" w:hAnsiTheme="minorHAnsi"/>
          <w:sz w:val="24"/>
          <w:szCs w:val="24"/>
          <w:vertAlign w:val="superscript"/>
        </w:rPr>
        <w:footnoteReference w:id="379"/>
      </w:r>
      <w:r w:rsidRPr="000D3432">
        <w:rPr>
          <w:rFonts w:asciiTheme="minorHAnsi" w:hAnsiTheme="minorHAnsi"/>
          <w:szCs w:val="24"/>
        </w:rPr>
        <w:t>. Esto explica la separación del Derecho de todo objeto y método de conocimiento que no sea el mismo Derecho, es decir, de la Moral, de la Psicología, etc. El segundo presupuesto es que por “Derecho hay que entender exclusivamente el Derecho Positivo”. El tercer presupuesto se expone cuando “se propone estudiar tan sólo las normas jurídicas.” “Con estos tres presupuestos, arrastrado por el temor de las contaminaciones, Kelsen reduce el Derecho a una lógica formal jurídica, centrada toda ella en el estudio de la norma jurídica.”</w:t>
      </w:r>
      <w:r w:rsidRPr="000D3432">
        <w:rPr>
          <w:rStyle w:val="Refdenotaalpie"/>
          <w:rFonts w:asciiTheme="minorHAnsi" w:hAnsiTheme="minorHAnsi"/>
          <w:sz w:val="24"/>
          <w:szCs w:val="24"/>
          <w:vertAlign w:val="superscript"/>
        </w:rPr>
        <w:footnoteReference w:id="380"/>
      </w:r>
    </w:p>
    <w:p w14:paraId="6A3B8C35" w14:textId="77777777" w:rsidR="001925CE" w:rsidRPr="000D3432" w:rsidRDefault="001925CE" w:rsidP="00A95498">
      <w:pPr>
        <w:tabs>
          <w:tab w:val="left" w:pos="-1440"/>
        </w:tabs>
        <w:ind w:firstLine="426"/>
        <w:jc w:val="both"/>
        <w:rPr>
          <w:rFonts w:asciiTheme="minorHAnsi" w:hAnsiTheme="minorHAnsi"/>
          <w:szCs w:val="24"/>
        </w:rPr>
      </w:pPr>
    </w:p>
    <w:p w14:paraId="097EC78A"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El objeto fundamental del estudio del Derecho serán, por lo tanto las normas, todo lo demás sería metajurídico. </w:t>
      </w:r>
    </w:p>
    <w:p w14:paraId="5FB9BD64" w14:textId="77777777" w:rsidR="001925CE" w:rsidRPr="000D3432" w:rsidRDefault="001925CE" w:rsidP="00A95498">
      <w:pPr>
        <w:tabs>
          <w:tab w:val="left" w:pos="-1440"/>
        </w:tabs>
        <w:ind w:firstLine="426"/>
        <w:jc w:val="both"/>
        <w:rPr>
          <w:rFonts w:asciiTheme="minorHAnsi" w:hAnsiTheme="minorHAnsi"/>
          <w:szCs w:val="24"/>
        </w:rPr>
      </w:pPr>
    </w:p>
    <w:p w14:paraId="73A3915F"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La clarificación de que el Derecho sería una ciencia normativa y no una ciencia de la naturaleza, sería otro de las aspectos fundamentales del pensamiento jurídico de Kelsen, “La ciencia del Derecho es una ciencia normativa y no una ciencia de la naturaleza”. Esto significa que no se interesa por la conducta humana en sí misma, sino únicamente por el orden normativo que la regula. Estudiará la norma -la relación lógica- que atribuye a un presupuesto jurídico un efecto jurídico, pero el “contenido” de esa norma será “metajurídico”.”</w:t>
      </w:r>
      <w:r w:rsidRPr="000D3432">
        <w:rPr>
          <w:rStyle w:val="Refdenotaalpie"/>
          <w:rFonts w:asciiTheme="minorHAnsi" w:hAnsiTheme="minorHAnsi"/>
          <w:sz w:val="24"/>
          <w:szCs w:val="24"/>
          <w:vertAlign w:val="superscript"/>
        </w:rPr>
        <w:footnoteReference w:id="381"/>
      </w:r>
    </w:p>
    <w:p w14:paraId="650CE6DD" w14:textId="77777777" w:rsidR="001925CE" w:rsidRPr="000D3432" w:rsidRDefault="001925CE" w:rsidP="00A95498">
      <w:pPr>
        <w:tabs>
          <w:tab w:val="left" w:pos="-1440"/>
        </w:tabs>
        <w:ind w:firstLine="426"/>
        <w:jc w:val="both"/>
        <w:rPr>
          <w:rFonts w:asciiTheme="minorHAnsi" w:hAnsiTheme="minorHAnsi"/>
          <w:szCs w:val="24"/>
        </w:rPr>
      </w:pPr>
    </w:p>
    <w:p w14:paraId="3B01A824"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El método Kelseniano se preocupa más por la relación lógica, que por el acto en sí. “Al jurista sólo le corresponde comprobar si se han realizado los presupuestos jurídico del mencionado artículo..”</w:t>
      </w:r>
      <w:r w:rsidRPr="000D3432">
        <w:rPr>
          <w:rStyle w:val="Refdenotaalpie"/>
          <w:rFonts w:asciiTheme="minorHAnsi" w:hAnsiTheme="minorHAnsi"/>
          <w:sz w:val="24"/>
          <w:szCs w:val="24"/>
          <w:vertAlign w:val="superscript"/>
        </w:rPr>
        <w:footnoteReference w:id="382"/>
      </w:r>
      <w:r w:rsidRPr="000D3432">
        <w:rPr>
          <w:rFonts w:asciiTheme="minorHAnsi" w:hAnsiTheme="minorHAnsi"/>
          <w:szCs w:val="24"/>
        </w:rPr>
        <w:t xml:space="preserve"> Todo interesa sólo en relación con la expresión o configuración de un presupuesto lógico. </w:t>
      </w:r>
    </w:p>
    <w:p w14:paraId="499C5095" w14:textId="77777777" w:rsidR="001925CE" w:rsidRPr="000D3432" w:rsidRDefault="001925CE" w:rsidP="00A95498">
      <w:pPr>
        <w:tabs>
          <w:tab w:val="left" w:pos="-1440"/>
        </w:tabs>
        <w:ind w:firstLine="426"/>
        <w:jc w:val="both"/>
        <w:rPr>
          <w:rFonts w:asciiTheme="minorHAnsi" w:hAnsiTheme="minorHAnsi"/>
          <w:szCs w:val="24"/>
        </w:rPr>
      </w:pPr>
    </w:p>
    <w:p w14:paraId="0CCC465D" w14:textId="77777777" w:rsidR="001925CE" w:rsidRPr="000D3432" w:rsidRDefault="001925CE"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El Derecho tiene como finalidad provocar conductas humanas socialmente deseables, que obtendrá mediante la coacción. </w:t>
      </w:r>
    </w:p>
    <w:p w14:paraId="13B41649" w14:textId="77777777" w:rsidR="001925CE" w:rsidRPr="000D3432" w:rsidRDefault="001925CE" w:rsidP="00A95498">
      <w:pPr>
        <w:pStyle w:val="Parafffo"/>
        <w:spacing w:line="240" w:lineRule="auto"/>
        <w:rPr>
          <w:rFonts w:asciiTheme="minorHAnsi" w:hAnsiTheme="minorHAnsi"/>
          <w:sz w:val="24"/>
          <w:szCs w:val="24"/>
        </w:rPr>
      </w:pPr>
      <w:r w:rsidRPr="000D3432">
        <w:rPr>
          <w:rFonts w:asciiTheme="minorHAnsi" w:hAnsiTheme="minorHAnsi"/>
          <w:sz w:val="24"/>
          <w:szCs w:val="24"/>
        </w:rPr>
        <w:t xml:space="preserve">“El Derecho no es sino una específica técnica social, por medio de la cual </w:t>
      </w:r>
      <w:r w:rsidRPr="000D3432">
        <w:rPr>
          <w:rFonts w:asciiTheme="minorHAnsi" w:hAnsiTheme="minorHAnsi"/>
          <w:sz w:val="24"/>
          <w:szCs w:val="24"/>
        </w:rPr>
        <w:lastRenderedPageBreak/>
        <w:t>es posible obtener una conducta humana deseable. (...) El fin, el contenido, están al margen de la esencia del Derecho, son metajurídico. (...) Derecho,... es ciencia de medios (...), el Derecho es solamente un sistema de normas a las cuales los hombres prestan o no conformidad. (...) El Derecho no se pronuncia sobre el valor moral, sociológico o político ... Es un orden lógico formal, “un conjunto de normas” (...) El Derecho será entonces un sistema coactivo de normas escalonadas en graduación jerárquica, en la que cada una funda su validez en la anterior hasta llegar a una ley suprema o norma fundamental, la Constitución, que sirve de base de juridicidad a todo el edificio.”</w:t>
      </w:r>
      <w:r w:rsidRPr="000D3432">
        <w:rPr>
          <w:rStyle w:val="Refdenotaalpie"/>
          <w:rFonts w:asciiTheme="minorHAnsi" w:hAnsiTheme="minorHAnsi"/>
          <w:sz w:val="24"/>
          <w:szCs w:val="24"/>
          <w:vertAlign w:val="superscript"/>
        </w:rPr>
        <w:footnoteReference w:id="383"/>
      </w:r>
    </w:p>
    <w:p w14:paraId="7EC7A058" w14:textId="77777777" w:rsidR="001925CE" w:rsidRPr="000D3432" w:rsidRDefault="001925CE" w:rsidP="00A95498">
      <w:pPr>
        <w:pStyle w:val="Level1"/>
        <w:tabs>
          <w:tab w:val="left" w:pos="-1440"/>
        </w:tabs>
        <w:jc w:val="both"/>
        <w:rPr>
          <w:rFonts w:asciiTheme="minorHAnsi" w:hAnsiTheme="minorHAnsi"/>
          <w:b/>
          <w:i/>
          <w:smallCaps/>
          <w:szCs w:val="24"/>
        </w:rPr>
      </w:pPr>
    </w:p>
    <w:p w14:paraId="4B5F4827" w14:textId="77777777" w:rsidR="001925CE" w:rsidRPr="000D3432" w:rsidRDefault="001925CE" w:rsidP="00A95498">
      <w:pPr>
        <w:pStyle w:val="Level1"/>
        <w:tabs>
          <w:tab w:val="left" w:pos="-1440"/>
        </w:tabs>
        <w:jc w:val="both"/>
        <w:rPr>
          <w:rFonts w:asciiTheme="minorHAnsi" w:hAnsiTheme="minorHAnsi"/>
          <w:b/>
          <w:i/>
          <w:szCs w:val="24"/>
        </w:rPr>
      </w:pPr>
      <w:r w:rsidRPr="000D3432">
        <w:rPr>
          <w:rFonts w:asciiTheme="minorHAnsi" w:hAnsiTheme="minorHAnsi"/>
          <w:b/>
          <w:i/>
          <w:smallCaps/>
          <w:szCs w:val="24"/>
        </w:rPr>
        <w:t>3.- Pensamiento Postmoderno</w:t>
      </w:r>
    </w:p>
    <w:p w14:paraId="215FE77F" w14:textId="77777777" w:rsidR="001925CE" w:rsidRPr="000D3432" w:rsidRDefault="001925CE" w:rsidP="00A95498">
      <w:pPr>
        <w:pStyle w:val="Level1"/>
        <w:tabs>
          <w:tab w:val="left" w:pos="-1440"/>
        </w:tabs>
        <w:jc w:val="both"/>
        <w:rPr>
          <w:rFonts w:asciiTheme="minorHAnsi" w:hAnsiTheme="minorHAnsi"/>
          <w:b/>
          <w:szCs w:val="24"/>
        </w:rPr>
      </w:pPr>
    </w:p>
    <w:p w14:paraId="7740B91E" w14:textId="77777777" w:rsidR="001925CE" w:rsidRPr="000D3432" w:rsidRDefault="001925CE" w:rsidP="00A95498">
      <w:pPr>
        <w:pStyle w:val="Level1"/>
        <w:tabs>
          <w:tab w:val="left" w:pos="-1440"/>
        </w:tabs>
        <w:jc w:val="both"/>
        <w:rPr>
          <w:rFonts w:asciiTheme="minorHAnsi" w:hAnsiTheme="minorHAnsi"/>
          <w:b/>
          <w:szCs w:val="24"/>
        </w:rPr>
      </w:pPr>
      <w:r w:rsidRPr="000D3432">
        <w:rPr>
          <w:rFonts w:asciiTheme="minorHAnsi" w:hAnsiTheme="minorHAnsi"/>
          <w:b/>
          <w:szCs w:val="24"/>
        </w:rPr>
        <w:t>a.-  Nietzsche</w:t>
      </w:r>
    </w:p>
    <w:p w14:paraId="090AA6C4" w14:textId="77777777" w:rsidR="001925CE" w:rsidRPr="000D3432" w:rsidRDefault="001925CE" w:rsidP="00A95498">
      <w:pPr>
        <w:pStyle w:val="Level1"/>
        <w:tabs>
          <w:tab w:val="left" w:pos="-1440"/>
        </w:tabs>
        <w:jc w:val="both"/>
        <w:rPr>
          <w:rFonts w:asciiTheme="minorHAnsi" w:hAnsiTheme="minorHAnsi"/>
          <w:szCs w:val="24"/>
        </w:rPr>
      </w:pPr>
      <w:r w:rsidRPr="000D3432">
        <w:rPr>
          <w:rFonts w:asciiTheme="minorHAnsi" w:hAnsiTheme="minorHAnsi"/>
          <w:szCs w:val="24"/>
        </w:rPr>
        <w:tab/>
        <w:t>O “El Derecho como voluntad de poder”.</w:t>
      </w:r>
    </w:p>
    <w:p w14:paraId="78AC7235" w14:textId="77777777" w:rsidR="001925CE" w:rsidRPr="000D3432" w:rsidRDefault="001925CE" w:rsidP="00677266">
      <w:pPr>
        <w:tabs>
          <w:tab w:val="left" w:pos="-1440"/>
        </w:tabs>
        <w:jc w:val="both"/>
        <w:rPr>
          <w:rFonts w:asciiTheme="minorHAnsi" w:hAnsiTheme="minorHAnsi"/>
          <w:szCs w:val="24"/>
        </w:rPr>
      </w:pPr>
    </w:p>
    <w:p w14:paraId="7290EB31" w14:textId="77777777" w:rsidR="00677266" w:rsidRPr="000D3432" w:rsidRDefault="00677266" w:rsidP="00677266">
      <w:pPr>
        <w:tabs>
          <w:tab w:val="left" w:pos="-1440"/>
        </w:tabs>
        <w:jc w:val="both"/>
        <w:rPr>
          <w:rFonts w:asciiTheme="minorHAnsi" w:hAnsiTheme="minorHAnsi"/>
          <w:szCs w:val="24"/>
        </w:rPr>
      </w:pPr>
    </w:p>
    <w:p w14:paraId="3C9BA971" w14:textId="77777777" w:rsidR="00677266" w:rsidRPr="000D3432" w:rsidRDefault="00677266" w:rsidP="00677266">
      <w:pPr>
        <w:tabs>
          <w:tab w:val="left" w:pos="-1440"/>
        </w:tabs>
        <w:jc w:val="both"/>
        <w:rPr>
          <w:rFonts w:asciiTheme="minorHAnsi" w:hAnsiTheme="minorHAnsi"/>
          <w:szCs w:val="24"/>
        </w:rPr>
      </w:pPr>
    </w:p>
    <w:p w14:paraId="3AC02A98" w14:textId="77777777" w:rsidR="00677266" w:rsidRPr="000D3432" w:rsidRDefault="00677266" w:rsidP="00677266">
      <w:pPr>
        <w:tabs>
          <w:tab w:val="left" w:pos="-1440"/>
        </w:tabs>
        <w:jc w:val="both"/>
        <w:rPr>
          <w:rFonts w:asciiTheme="minorHAnsi" w:hAnsiTheme="minorHAnsi"/>
          <w:szCs w:val="24"/>
        </w:rPr>
      </w:pPr>
    </w:p>
    <w:p w14:paraId="792EDB30" w14:textId="77777777" w:rsidR="00677266" w:rsidRPr="000D3432" w:rsidRDefault="00677266" w:rsidP="00677266">
      <w:pPr>
        <w:tabs>
          <w:tab w:val="left" w:pos="-1440"/>
        </w:tabs>
        <w:jc w:val="both"/>
        <w:rPr>
          <w:rFonts w:asciiTheme="minorHAnsi" w:hAnsiTheme="minorHAnsi"/>
          <w:szCs w:val="24"/>
        </w:rPr>
      </w:pPr>
    </w:p>
    <w:p w14:paraId="159BB5B4" w14:textId="77777777" w:rsidR="00677266" w:rsidRPr="000D3432" w:rsidRDefault="00677266" w:rsidP="00677266">
      <w:pPr>
        <w:tabs>
          <w:tab w:val="left" w:pos="-1440"/>
        </w:tabs>
        <w:jc w:val="both"/>
        <w:rPr>
          <w:rFonts w:asciiTheme="minorHAnsi" w:hAnsiTheme="minorHAnsi"/>
          <w:szCs w:val="24"/>
        </w:rPr>
      </w:pPr>
    </w:p>
    <w:p w14:paraId="11967836" w14:textId="77777777" w:rsidR="00677266" w:rsidRPr="000D3432" w:rsidRDefault="00677266" w:rsidP="00677266">
      <w:pPr>
        <w:tabs>
          <w:tab w:val="left" w:pos="-1440"/>
        </w:tabs>
        <w:jc w:val="both"/>
        <w:rPr>
          <w:rFonts w:asciiTheme="minorHAnsi" w:hAnsiTheme="minorHAnsi"/>
          <w:szCs w:val="24"/>
        </w:rPr>
      </w:pPr>
    </w:p>
    <w:p w14:paraId="74A4CB16" w14:textId="77777777" w:rsidR="00677266" w:rsidRPr="000D3432" w:rsidRDefault="00677266" w:rsidP="00677266">
      <w:pPr>
        <w:pStyle w:val="NormalWeb"/>
        <w:spacing w:before="0" w:beforeAutospacing="0" w:after="0" w:afterAutospacing="0"/>
        <w:jc w:val="center"/>
        <w:rPr>
          <w:rStyle w:val="Textoennegrita"/>
          <w:rFonts w:asciiTheme="minorHAnsi" w:hAnsiTheme="minorHAnsi"/>
          <w:color w:val="000000"/>
        </w:rPr>
      </w:pPr>
      <w:r w:rsidRPr="000D3432">
        <w:rPr>
          <w:rStyle w:val="Textoennegrita"/>
          <w:rFonts w:asciiTheme="minorHAnsi" w:hAnsiTheme="minorHAnsi"/>
          <w:color w:val="000000"/>
        </w:rPr>
        <w:t>NIETZSCHE, EL FILÓSOFO PÓSTUMO</w:t>
      </w:r>
    </w:p>
    <w:p w14:paraId="71100CEA"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0FCC6C04"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Solitario, incomprendido, confuso, genial, destructivo, resentido, ¿consentido?, iconoclasta, nihilista, arisco, sin manada, rechazado, subestimado, glorificado. Nietzsche se ha convertido en el más grande filósofo póstumo de estos tiempos, tanto que sus frases resuenan incluso en series de televisión (primigenio libro virtual anterior al internet), donde enarbolan sus frases como “lo que no me mata me hace más fuerte”. ¿Lunático?, con sífilis (dicen a cuento de chisme que lo contrajo en su primera visita a un burdel, y que fue precisamente por esto que se convirtió en un genio), enamorado de una cascivana discreta, cazadora de genios, Lou Salomé, que lo rechazó y que es conocida principalmente por esa inconclusa relación amorosa unidimensional del filósofo humano demasiado humano. Dicen que amaba la música de Wagner, a quien luego también repudió, y que ha tenido, póstumamente, seguidores extremadamente antagónicos, como un Hitler que empuñaba como arma de guerra la idea del superhombre (Nietzsche pensaba que el hombre era un puente entre el mono y el superhombre, que había que superar), o aquellos discípulos o filósofos de la libertad, más sólidos y confiables con su obra, como Michel Foucault (extraordinario filósofo francés homosexual que murió de sida). Su obra más poética fue “Así habló Zarathustra”, en el cual lleva sus cenizas a la montaña, y luego de diez años baja al llano a difundir su verdad: “que el hombre debe ser superado, que no quiere cargar cadáveres sino tener compañeros en su andar, que es difícil romper con el matrimonio pero preferible cuando éste –el matrimonio- nos ha quebrado previamente, etc....”. Sus otros libros son construcciones de sentencias encíclicas, aforismos (ligeramente parecidas a las escritas por el filósofo emperador Marco Aurelio), diatribas, contra la modernidad, la contranaturaleza, el platonismo, las ideas cristianas (escribió un potente, pagano y ¿blasfemo? libro: “El Anticristo”, que postulaba la idea de “la muerte de Dios”,  espléndidamente explicada por Fernando de Trazegnies en uno de sus textos, ¿acaso en su libro “Pensando Insolentemente”, o en el discurso de agradecimiento por haber obtenido el premio a la innovación?).</w:t>
      </w:r>
    </w:p>
    <w:p w14:paraId="3058846F"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4EDD6BE4" w14:textId="77777777" w:rsidR="00677266" w:rsidRPr="000D3432" w:rsidRDefault="00677266" w:rsidP="00677266">
      <w:pPr>
        <w:pStyle w:val="NormalWeb"/>
        <w:spacing w:before="0" w:beforeAutospacing="0" w:after="0" w:afterAutospacing="0"/>
        <w:jc w:val="both"/>
        <w:rPr>
          <w:rFonts w:asciiTheme="minorHAnsi" w:hAnsiTheme="minorHAnsi"/>
          <w:color w:val="555555"/>
        </w:rPr>
      </w:pPr>
      <w:r w:rsidRPr="000D3432">
        <w:rPr>
          <w:rFonts w:asciiTheme="minorHAnsi" w:hAnsiTheme="minorHAnsi"/>
          <w:color w:val="000000"/>
        </w:rPr>
        <w:t>Las pioneras luces que tuve sobre Nietzsche fueron gracias a un personaje ideológicamente concentrado en él, docente de una universidad sureña, Filósofo del Derecho, con fama de asiduo fumador de marihuana sólo para potenciar su pensamiento, escritura y discurso (Dicen que fumaba antes de dar clases, escribir o dar una charla o conferencia). Todos sabían que fumaba, pero todos sabían también que no era comercializador de dicha droga, pues no sólo nunca tuvo talante para ser comerciante, sino que siempre tuvo un espíritu noble, libertario, y jamás destructivo o delictivo; sin embargo, cuando se trasladó al ¿país? cultivador del enigmático Misti, fue apresado y encarcelado por comercializador de droga (marihuana), cuando todos sabían que aquel filósofo, que incluso se perdía al caminar, y andaba como distraído del mundo, jamás hubiera –aunque quisiera-, por su desorden, sus ideas libertarias,  y su ineptitud comercial, ser un comerciante de drogas. Más tarde lo liberaron justamente y es un ser humano que quedará siempre en la historia de la Filosofía del Derecho.</w:t>
      </w:r>
    </w:p>
    <w:p w14:paraId="1F80F44E"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En la anterior universidad sureña le intuían un extranjero, por ser diferente, envidia e incomprensión. En clases de Introducción al Derecho, nos hacía leer textos sobre Derecho, Filosofía, Política, etc., usando siempre a autores como Nietzsche, Foucault, Isahiam Berlin, Fernando de Trazegnies, Marcial Rubio, y otros afines. Los alumnos pensábamos que aquello era una especie de estafa, porque parecía improvisar nuestra educación, que se reducía a lectura de libros, en forma incongruente, pero no inconsistente; sin embargo siempre decía cosas interesantes, y al menos nos hacía pensar y no sólo copiar o memorizar autores, libros, procedimientos. Aquel docente tenía a Friedrich Nietzsche de cabecera, y se impregnó tanto en su ser que incluso –muy provincianamente- le puso de nombre a su primera hija el título de un libro de Nietzsche. Al rededor de dicho profesor se arremolinaban alumnos discípulos que profesaban o gustaban –correcta o equívocamente- de la filosofía, la literatura y todas las artes. Algunos de aquellos niños, adolescentes, jóvenes estudiantes de derecho, usaban a Nietzsche, y cuanto autor pudieran, para vencer sus complejos y trasladarlos a los demás, esgrimiendo bárbaramente que los demás eran inferiores por no leer libros –cincuenta libros por lo menos-. Ellos usaban los libros para llenar su espaciosa vanidad. Y es que en este caso la lectura de libros los estaban convirtiendo en unos snob. En ese medio, Nietzsche se convirtió en una especie de autor de culto, en el nuevo dios (curioso que proclamador de la muerte de Dios, se había erigido en un nuevo dios, incluso a su pesar y póstumamente). Nietzsche era el filósofo al que no se podía rebatir, y con el que, usando sus frases, se podía hacer alarde de “inteligente”. Y fue allí que conocí a Nietzsche, como un autor de culto, al que no entendía, y al que leía por la  novedad de saberlo filósofo.</w:t>
      </w:r>
    </w:p>
    <w:p w14:paraId="31290C15"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0EC160DE"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En ese tiempo leí muchos de sus libros, y hasta su obra, “El Anticristo”, con la consciencia paranoica de creerme autor de pecado capital. Fue en esos espacios temporales en el que pude conocer la mediocridad que puede generarse a partir de una malformada idea de cultura y de culto, puesto que conocí a alumnos de derecho, profesores de literatura, gente cultivada, etc., que tenían la gracia de presagiarse cultos, inteligentes, leídos, vanguardistas, diferentes, que soslayaban la noticia que tenían libros suculentos, imperdibles, indispensables para todo amante de la cultura (como aquellos de Nietzsche, Fujuyama, Foucault, Guilles Deleuze, Shopenhauer, etc., que eran difíciles de conseguir o eran muy caros para adquirirse por unos pobres estudiantes de derecho –y es que no había todavía internet-) y que luego nunca prestaban, escondiéndolos, haciéndose los difíciles e interesantes y jugando a hacernos saborear el deseo de lo imposible. De ese tiempo y hechos me quedó grabado la insanía que era vivir rodeado de gente snob, estúpida, superficial, apetecida groseramente por la posesión de libros, y no por la vida misma, desesperados por tener la “propiedad” de un objeto –con muchos pensamientos, pero al cabo objeto- antes que la propiedad –inajenable- de la amistad, de las relaciones humanas; gente alucinada por ser diferente, de comprar y atesorar para ser diferentes, para ser mejor, y convertirse exactamente en unos patanes del saber. Creo que los libros prestados se deben devolver, pero no creo que un libro sea más importante que una persona, un amigo, un colega. Pero esa era una historia de pobres, pues estoy seguro que si hubiéramos sido niños ricos jamás nos habrían interesado la filosofía, el derecho, u otras disciplinas para pobres, porque quienes íbamos a la universidad, en aquella parte del sur, intentábamos comprar nuestro peaje para dejar de ser lo que éramos, de clase media para abajo. Sin embargo, una persona inteligente sabe que no se necesita de la universidad para lograr el éxito en la vida, y ni siquiera la vanidad de saberse profesional es suficiente recompensa por escuchar un grupo de genios que te enseñan que la vida se ha hecho de reglas que tenemos indefectiblemente que cumplir o aprender a romper sin ser descubierto por ello. La universidad, creo, es un lugar para mediocres, o te deja en la mediocridad si es que no logras entender que todo el sistema está estructurado para hacerte perder el tiempo y para concebirte como un producto de comercio, una mercancía, con la que agenciarse de dinero, mientras millones de datos se suministran justificados en la absoluta necesidad del saber. Si bien la universidad es un lugar muy interesante, creo que su constitución, al menos en nuestro medio, responde a un programa de subvención y de lucro, que oculta una cosa importante: el desperdicio del tiempo en muchas cosas que no necesitamos o que podemos aprender por nuestra propia cuenta. La universidad nos inmiscuye en la paradoja de pagar para que nos hagan perder el tiempo, y el convencimiento que estamos en lo correcto, que ir contra lo contrario es ser estúpido, inculto o ignorante. Y mientras uno se prepara para la vida profesional, se van cinco, seis, diez años universitarios, intentado llegar recién a la puerta de salida, o de inicio de nuestra vida profesional y laboral, mientras que otros once años han sido ya malgastados en la primaria y secundaria, absurdamente, y del que nos es casi imposible actualmente salir. Pero este –el de la universidad- es un asunto que trataré en otro texto, que llamaré talvez, “La importancia de no ir a la universidad”.</w:t>
      </w:r>
    </w:p>
    <w:p w14:paraId="2BADD2F5"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4682BE38"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Muchas horas leyendo a Nietzsche pasé, y no aprendí nada, sino sólo a admirar el sonido de las frases al leerlas en voz alta, o a ironizar sobre el sentido vigente de la vida, o a mentalizar que todo estaba errado en la sociedad. Mucho no hizo Nietzsche por mi. No me volvió un superhombre, ni me hizo más inteligente, ni más sabio, y menos me hizo millonario. Pero Nietzsche parece si haberle servido a muchos otros, los que han transformado el mundo, y lo han ido reconduciendo por el nuevo saber, dejando o fundamentando en sus hipótesis el olvido de conductas, instituciones primitivas, triviales, contranaturales, y formando la nueva modernidad de nuestra sociedad, rebatiendo los errores de la propia constitución social, cristiana, política, creando nuevos estilos y modelos de vida política, económica, jurídica.</w:t>
      </w:r>
    </w:p>
    <w:p w14:paraId="20C8538C"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4039D63C"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Recuerdo a un docente de otra universidad nacional sureña, un intelectual leído, patán, acomplejado y snob, que decía, como si fuera la más grande de las cosas descubierta, que no había encontrado en Nietzsche ni una pizca de economía. ¡Imbécil!, pensaba yo, y ¿qué eran sus sentencias, aforismos, todo su discurso? Una especie de economía, síntesis, elección y selección de los recursos escasos para vivir. Todo en Nietzsche es economía, economiza palabras, economiza tiempo, economiza estructura, porque su libro es la selección y administración de los recursos escasos, de aquello que no se ve. Nietzsche hacía economía de las cosas absurdas de la vida, y las deshacía, etc.</w:t>
      </w:r>
    </w:p>
    <w:p w14:paraId="05DC945E"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7A348215" w14:textId="77777777" w:rsidR="00677266" w:rsidRPr="000D3432" w:rsidRDefault="00677266" w:rsidP="00677266">
      <w:pPr>
        <w:pStyle w:val="NormalWeb"/>
        <w:spacing w:before="0" w:beforeAutospacing="0" w:after="0" w:afterAutospacing="0"/>
        <w:jc w:val="both"/>
        <w:rPr>
          <w:rFonts w:asciiTheme="minorHAnsi" w:hAnsiTheme="minorHAnsi"/>
          <w:color w:val="555555"/>
        </w:rPr>
      </w:pPr>
      <w:r w:rsidRPr="000D3432">
        <w:rPr>
          <w:rFonts w:asciiTheme="minorHAnsi" w:hAnsiTheme="minorHAnsi"/>
          <w:color w:val="000000"/>
        </w:rPr>
        <w:t>Puedo, no obstante, confesar que la influencia de Nietzsche en mí sólo fue visual, ligera, superficial, mediocre, lineal; así, hubo un tiempo en el que sólo dibujaba su rostro de perfil, que era tomado de la portada de alguno de sus libros. Ensayaba trazos con lapicero para no tener la opción de borrar lo dibujado, para evitar el error, para enfrentarme con el lienzo en el primer, segundo y último trazo, para aprender a no equivocarme. Fue tantas veces que lo dibujé que su rostro de perfil se quedó en mi memoria –que es altamente volátil- y podía dibujarlo ya sin ver la foto de su retrato. Sin embargo, nunca me gustaron sus esponjosos bigotes, ni su mirada filosófica, ni la postura de su mano como apoyo de su mentón, su cabello tirado hacia atrás; nunca me gustó que hubiera aceptado el rechazo de una Lou Salomé, como quien sufre una derrota y no una victoria –como el siempre parecía presagiar con la historia de lucha contra su enfermedad-; nunca me gustó que adoraran a Nietzsche como quien adora a un dios. Sólo una cosa agradó a mis caprichosos sentidos, que se le considerara un filósofo póstumo; y es que la palabra póstumo tiene algo de delirio, algo de dialéctico, contradictoria con la muerte, algo de encanto y glorificante, algo de lírico y no trágico ni mediocre; la palabra póstumo lo hacía un vencedor. También me gustaron los títulos de sus libros: “El ocaso de los ídolos”, “El Anticristo”, “Humano demasiado Humano”, “Más allá del bien y del mal”, “Aurora”, “Gaya Ciencia”. Para mí bastaban esos títulos para concebir el resto del libro.</w:t>
      </w:r>
    </w:p>
    <w:p w14:paraId="4B6F58B6" w14:textId="77777777" w:rsidR="00677266" w:rsidRPr="000D3432" w:rsidRDefault="00677266" w:rsidP="00677266">
      <w:pPr>
        <w:pStyle w:val="NormalWeb"/>
        <w:spacing w:before="0" w:beforeAutospacing="0" w:after="0" w:afterAutospacing="0"/>
        <w:jc w:val="both"/>
        <w:rPr>
          <w:rFonts w:asciiTheme="minorHAnsi" w:hAnsiTheme="minorHAnsi"/>
          <w:color w:val="555555"/>
        </w:rPr>
      </w:pPr>
      <w:r w:rsidRPr="000D3432">
        <w:rPr>
          <w:rFonts w:asciiTheme="minorHAnsi" w:hAnsiTheme="minorHAnsi"/>
          <w:color w:val="555555"/>
        </w:rPr>
        <w:t> </w:t>
      </w:r>
    </w:p>
    <w:p w14:paraId="09AB2C57" w14:textId="77777777" w:rsidR="00677266" w:rsidRPr="000D3432" w:rsidRDefault="00677266" w:rsidP="00677266">
      <w:pPr>
        <w:pStyle w:val="NormalWeb"/>
        <w:spacing w:before="0" w:beforeAutospacing="0" w:after="0" w:afterAutospacing="0"/>
        <w:jc w:val="both"/>
        <w:rPr>
          <w:rStyle w:val="Textoennegrita"/>
          <w:rFonts w:asciiTheme="minorHAnsi" w:hAnsiTheme="minorHAnsi"/>
          <w:color w:val="000000"/>
        </w:rPr>
      </w:pPr>
      <w:r w:rsidRPr="000D3432">
        <w:rPr>
          <w:rStyle w:val="Textoennegrita"/>
          <w:rFonts w:asciiTheme="minorHAnsi" w:hAnsiTheme="minorHAnsi"/>
          <w:color w:val="000000"/>
        </w:rPr>
        <w:t>Nietzsche o “El Derecho como voluntad de poder”</w:t>
      </w:r>
    </w:p>
    <w:p w14:paraId="06D0C081"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1175BF80"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Sigmund Freud pensaba que todo el movimiento humano tenía su centro en el sexo. El sexo tiene una variante, el acto reproductivo, que es la primigenia ruta hacia la inmortalidad, además de un placer. Pero el sexo si bien explica el porqué del movimiento o la conducta humana, no es exclusiva o única, no explica todas las conductas; pues el ser humano se mueve por otras cosas o motivos, por necesidad de vida (alimentos, vestido, sexo, pensamiento, etc.), o la necesidad de poder, la voluntad de poder. Esta parecería ser la proposición nietzscheana. Todo se mueve por la voluntad de poder, expone como proposición filosófica fundamental</w:t>
      </w:r>
      <w:bookmarkStart w:id="39" w:name="_ftnref1"/>
      <w:r w:rsidRPr="000D3432">
        <w:rPr>
          <w:rFonts w:asciiTheme="minorHAnsi" w:hAnsiTheme="minorHAnsi"/>
          <w:color w:val="555555"/>
        </w:rPr>
        <w:fldChar w:fldCharType="begin"/>
      </w:r>
      <w:r w:rsidRPr="000D3432">
        <w:rPr>
          <w:rFonts w:asciiTheme="minorHAnsi" w:hAnsiTheme="minorHAnsi"/>
          <w:color w:val="555555"/>
        </w:rPr>
        <w:instrText xml:space="preserve"> HYPERLINK "http://columna-az.webnode.es/" \l "_ftn1" \o "" </w:instrText>
      </w:r>
      <w:r w:rsidRPr="000D3432">
        <w:rPr>
          <w:rFonts w:asciiTheme="minorHAnsi" w:hAnsiTheme="minorHAnsi"/>
          <w:color w:val="555555"/>
        </w:rPr>
      </w:r>
      <w:r w:rsidRPr="000D3432">
        <w:rPr>
          <w:rFonts w:asciiTheme="minorHAnsi" w:hAnsiTheme="minorHAnsi"/>
          <w:color w:val="555555"/>
        </w:rPr>
        <w:fldChar w:fldCharType="separate"/>
      </w:r>
      <w:r w:rsidRPr="000D3432">
        <w:rPr>
          <w:rStyle w:val="Hipervnculo"/>
          <w:rFonts w:asciiTheme="minorHAnsi" w:eastAsiaTheme="majorEastAsia" w:hAnsiTheme="minorHAnsi"/>
          <w:color w:val="000000"/>
          <w:shd w:val="clear" w:color="auto" w:fill="FFFFFF"/>
        </w:rPr>
        <w:t>[1]</w:t>
      </w:r>
      <w:r w:rsidRPr="000D3432">
        <w:rPr>
          <w:rFonts w:asciiTheme="minorHAnsi" w:hAnsiTheme="minorHAnsi"/>
          <w:color w:val="555555"/>
        </w:rPr>
        <w:fldChar w:fldCharType="end"/>
      </w:r>
      <w:bookmarkEnd w:id="39"/>
      <w:r w:rsidRPr="000D3432">
        <w:rPr>
          <w:rFonts w:asciiTheme="minorHAnsi" w:hAnsiTheme="minorHAnsi"/>
          <w:color w:val="000000"/>
        </w:rPr>
        <w:t>: y propone repensar lo pensado, volver a pensar lo que ya se pensó, porque –para su genial intuición- “todo está de cabeza”, y hasta la idea de un Dios  y un paraíso más allá de la tierra –vendida por el cristianismo a costa de la salvación eterna- habría desterrado al ser humano al postmorten, a la vida después de muerto, y no al ahora de nuestra vida, y por lo cual el ser humano vivía siempre atormentado por el más allá y olvidaba disfrutar y confrontar su vida terrenal. Frente a dichas nociones Nietzsche advierte que debe abandonarse la idea del más allá y centrarnos más en el mundo actual, en el mundo terrenal. Nietzsche no parece creer en la verdad divina, pues a la concepción de que “la verdad radica en dios”, responde que ya no importa Dios, que éste ha muerto, que la verdad divina no es cierta y por lo tal no importa, puesto que “no vivimos por y para la verdad. La verdad es la ilusión que creamos para sustentar el deseo, la pasión y la voluntad de poder”</w:t>
      </w:r>
      <w:bookmarkStart w:id="40" w:name="_ftnref2"/>
      <w:r w:rsidRPr="000D3432">
        <w:rPr>
          <w:rFonts w:asciiTheme="minorHAnsi" w:hAnsiTheme="minorHAnsi"/>
          <w:color w:val="555555"/>
        </w:rPr>
        <w:fldChar w:fldCharType="begin"/>
      </w:r>
      <w:r w:rsidRPr="000D3432">
        <w:rPr>
          <w:rFonts w:asciiTheme="minorHAnsi" w:hAnsiTheme="minorHAnsi"/>
          <w:color w:val="555555"/>
        </w:rPr>
        <w:instrText xml:space="preserve"> HYPERLINK "http://columna-az.webnode.es/" \l "_ftn2" \o "" </w:instrText>
      </w:r>
      <w:r w:rsidRPr="000D3432">
        <w:rPr>
          <w:rFonts w:asciiTheme="minorHAnsi" w:hAnsiTheme="minorHAnsi"/>
          <w:color w:val="555555"/>
        </w:rPr>
      </w:r>
      <w:r w:rsidRPr="000D3432">
        <w:rPr>
          <w:rFonts w:asciiTheme="minorHAnsi" w:hAnsiTheme="minorHAnsi"/>
          <w:color w:val="555555"/>
        </w:rPr>
        <w:fldChar w:fldCharType="separate"/>
      </w:r>
      <w:r w:rsidRPr="000D3432">
        <w:rPr>
          <w:rStyle w:val="Hipervnculo"/>
          <w:rFonts w:asciiTheme="minorHAnsi" w:eastAsiaTheme="majorEastAsia" w:hAnsiTheme="minorHAnsi"/>
          <w:color w:val="000000"/>
          <w:shd w:val="clear" w:color="auto" w:fill="FFFFFF"/>
        </w:rPr>
        <w:t>[2]</w:t>
      </w:r>
      <w:r w:rsidRPr="000D3432">
        <w:rPr>
          <w:rFonts w:asciiTheme="minorHAnsi" w:hAnsiTheme="minorHAnsi"/>
          <w:color w:val="555555"/>
        </w:rPr>
        <w:fldChar w:fldCharType="end"/>
      </w:r>
      <w:bookmarkEnd w:id="40"/>
      <w:r w:rsidRPr="000D3432">
        <w:rPr>
          <w:rFonts w:asciiTheme="minorHAnsi" w:hAnsiTheme="minorHAnsi"/>
          <w:color w:val="000000"/>
        </w:rPr>
        <w:t>. Así, el más grande valor no sería ya Dios, sino el hombre, el ser humano, y, pregona con esta hipótesis, empezar a trabajar entonces en el hombre para llegar al superhombre, porque “el hombre es sólo un puente entre el animal y el superhombre”. Así, Nietzsche proclama la independencia, la libertad del hombre de todas las cosas, instituciones, ideas, sentimientos a los que se halla atado, para construirse su propio mundo a partir de su voluntad de poder.</w:t>
      </w:r>
    </w:p>
    <w:p w14:paraId="6D405289"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57AB4515" w14:textId="77777777" w:rsidR="00677266" w:rsidRPr="000D3432" w:rsidRDefault="00677266" w:rsidP="00677266">
      <w:pPr>
        <w:pStyle w:val="NormalWeb"/>
        <w:spacing w:before="0" w:beforeAutospacing="0" w:after="0" w:afterAutospacing="0"/>
        <w:jc w:val="both"/>
        <w:rPr>
          <w:rFonts w:asciiTheme="minorHAnsi" w:hAnsiTheme="minorHAnsi"/>
          <w:color w:val="555555"/>
        </w:rPr>
      </w:pPr>
      <w:r w:rsidRPr="000D3432">
        <w:rPr>
          <w:rFonts w:asciiTheme="minorHAnsi" w:hAnsiTheme="minorHAnsi"/>
          <w:color w:val="000000"/>
        </w:rPr>
        <w:t>Para Foucault, Nietzsche hace una análisis de la doble ruptura del poder divino con el poder humano, es esta tradición occidental, donde el poder emanaba de la divinidad. Nietzsche habla de la muerte de Dios como el fundamento de conocimiento. Antes, en época del reinado de Dios como origen de toda verdad, “Dios era el sentido del mundo, el garante de las instituciones políticas, el respaldo de la autoridad, el insobornable sancionador -premio y castigo- de la moral, creador, mantenedor, rescatador de la dignidad del hombre, que sin embargo frente a Él no era nada.”</w:t>
      </w:r>
      <w:bookmarkStart w:id="41" w:name="_ftnref3"/>
      <w:r w:rsidRPr="000D3432">
        <w:rPr>
          <w:rFonts w:asciiTheme="minorHAnsi" w:hAnsiTheme="minorHAnsi"/>
          <w:color w:val="555555"/>
        </w:rPr>
        <w:fldChar w:fldCharType="begin"/>
      </w:r>
      <w:r w:rsidRPr="000D3432">
        <w:rPr>
          <w:rFonts w:asciiTheme="minorHAnsi" w:hAnsiTheme="minorHAnsi"/>
          <w:color w:val="555555"/>
        </w:rPr>
        <w:instrText xml:space="preserve"> HYPERLINK "http://columna-az.webnode.es/" \l "_ftn3" \o "" </w:instrText>
      </w:r>
      <w:r w:rsidRPr="000D3432">
        <w:rPr>
          <w:rFonts w:asciiTheme="minorHAnsi" w:hAnsiTheme="minorHAnsi"/>
          <w:color w:val="555555"/>
        </w:rPr>
      </w:r>
      <w:r w:rsidRPr="000D3432">
        <w:rPr>
          <w:rFonts w:asciiTheme="minorHAnsi" w:hAnsiTheme="minorHAnsi"/>
          <w:color w:val="555555"/>
        </w:rPr>
        <w:fldChar w:fldCharType="separate"/>
      </w:r>
      <w:r w:rsidRPr="000D3432">
        <w:rPr>
          <w:rStyle w:val="Hipervnculo"/>
          <w:rFonts w:asciiTheme="minorHAnsi" w:eastAsiaTheme="majorEastAsia" w:hAnsiTheme="minorHAnsi"/>
          <w:color w:val="000000"/>
          <w:shd w:val="clear" w:color="auto" w:fill="FFFFFF"/>
        </w:rPr>
        <w:t>[3]</w:t>
      </w:r>
      <w:r w:rsidRPr="000D3432">
        <w:rPr>
          <w:rFonts w:asciiTheme="minorHAnsi" w:hAnsiTheme="minorHAnsi"/>
          <w:color w:val="555555"/>
        </w:rPr>
        <w:fldChar w:fldCharType="end"/>
      </w:r>
      <w:bookmarkEnd w:id="41"/>
    </w:p>
    <w:p w14:paraId="60862572"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1557790F" w14:textId="77777777" w:rsidR="00677266" w:rsidRPr="000D3432" w:rsidRDefault="00677266" w:rsidP="00677266">
      <w:pPr>
        <w:pStyle w:val="NormalWeb"/>
        <w:spacing w:before="0" w:beforeAutospacing="0" w:after="0" w:afterAutospacing="0"/>
        <w:jc w:val="both"/>
        <w:rPr>
          <w:rFonts w:asciiTheme="minorHAnsi" w:hAnsiTheme="minorHAnsi"/>
          <w:color w:val="555555"/>
        </w:rPr>
      </w:pPr>
      <w:r w:rsidRPr="000D3432">
        <w:rPr>
          <w:rFonts w:asciiTheme="minorHAnsi" w:hAnsiTheme="minorHAnsi"/>
          <w:color w:val="000000"/>
        </w:rPr>
        <w:t>El concepto del mundo y de sus relaciones social-jurídicas va a ser trastocado, sufre un efecto de choque, aunque el vacío que deja la muerte de Dios sigue con sólidas instituciones de orden y providencia, “Murió Dios, pero su hueco quedó repleto de sólidas instituciones que seguían dispensando Orden y providencia,...”</w:t>
      </w:r>
      <w:bookmarkStart w:id="42" w:name="_ftnref4"/>
      <w:r w:rsidRPr="000D3432">
        <w:rPr>
          <w:rFonts w:asciiTheme="minorHAnsi" w:hAnsiTheme="minorHAnsi"/>
          <w:color w:val="555555"/>
        </w:rPr>
        <w:fldChar w:fldCharType="begin"/>
      </w:r>
      <w:r w:rsidRPr="000D3432">
        <w:rPr>
          <w:rFonts w:asciiTheme="minorHAnsi" w:hAnsiTheme="minorHAnsi"/>
          <w:color w:val="555555"/>
        </w:rPr>
        <w:instrText xml:space="preserve"> HYPERLINK "http://columna-az.webnode.es/" \l "_ftn4" \o "" </w:instrText>
      </w:r>
      <w:r w:rsidRPr="000D3432">
        <w:rPr>
          <w:rFonts w:asciiTheme="minorHAnsi" w:hAnsiTheme="minorHAnsi"/>
          <w:color w:val="555555"/>
        </w:rPr>
      </w:r>
      <w:r w:rsidRPr="000D3432">
        <w:rPr>
          <w:rFonts w:asciiTheme="minorHAnsi" w:hAnsiTheme="minorHAnsi"/>
          <w:color w:val="555555"/>
        </w:rPr>
        <w:fldChar w:fldCharType="separate"/>
      </w:r>
      <w:r w:rsidRPr="000D3432">
        <w:rPr>
          <w:rStyle w:val="Hipervnculo"/>
          <w:rFonts w:asciiTheme="minorHAnsi" w:eastAsiaTheme="majorEastAsia" w:hAnsiTheme="minorHAnsi"/>
          <w:color w:val="000000"/>
        </w:rPr>
        <w:t>[4]</w:t>
      </w:r>
      <w:r w:rsidRPr="000D3432">
        <w:rPr>
          <w:rFonts w:asciiTheme="minorHAnsi" w:hAnsiTheme="minorHAnsi"/>
          <w:color w:val="555555"/>
        </w:rPr>
        <w:fldChar w:fldCharType="end"/>
      </w:r>
      <w:bookmarkEnd w:id="42"/>
      <w:r w:rsidRPr="000D3432">
        <w:rPr>
          <w:rFonts w:asciiTheme="minorHAnsi" w:hAnsiTheme="minorHAnsi"/>
          <w:color w:val="000000"/>
        </w:rPr>
        <w:t>. No obstante esto, las cosas ya no tendrían el mismo sentido, había nacido una nueva forma de asumir el mundo. El hombre tendría que encontrar su verdad, y la independencia de la religión era prominente. Las cosas seguirían marchando del modo en que venían sucediendo, pero desde otro enfoque, como camufladas, ocultas, “el Poder, la Gramática, la Lógica, la Física, la Moral, el Derecho, las Cosas, las Personas, todo continúo marchando tras la desaparición de Aquel en cuyo Nombre todo había sido fundado, pero con cierto azoro indefinible, como con cierta vergüenza y perplejidad por haberle sobrevivido”</w:t>
      </w:r>
      <w:bookmarkStart w:id="43" w:name="_ftnref5"/>
      <w:r w:rsidRPr="000D3432">
        <w:rPr>
          <w:rFonts w:asciiTheme="minorHAnsi" w:hAnsiTheme="minorHAnsi"/>
          <w:color w:val="555555"/>
        </w:rPr>
        <w:fldChar w:fldCharType="begin"/>
      </w:r>
      <w:r w:rsidRPr="000D3432">
        <w:rPr>
          <w:rFonts w:asciiTheme="minorHAnsi" w:hAnsiTheme="minorHAnsi"/>
          <w:color w:val="555555"/>
        </w:rPr>
        <w:instrText xml:space="preserve"> HYPERLINK "http://columna-az.webnode.es/" \l "_ftn5" \o "" </w:instrText>
      </w:r>
      <w:r w:rsidRPr="000D3432">
        <w:rPr>
          <w:rFonts w:asciiTheme="minorHAnsi" w:hAnsiTheme="minorHAnsi"/>
          <w:color w:val="555555"/>
        </w:rPr>
      </w:r>
      <w:r w:rsidRPr="000D3432">
        <w:rPr>
          <w:rFonts w:asciiTheme="minorHAnsi" w:hAnsiTheme="minorHAnsi"/>
          <w:color w:val="555555"/>
        </w:rPr>
        <w:fldChar w:fldCharType="separate"/>
      </w:r>
      <w:r w:rsidRPr="000D3432">
        <w:rPr>
          <w:rStyle w:val="Hipervnculo"/>
          <w:rFonts w:asciiTheme="minorHAnsi" w:eastAsiaTheme="majorEastAsia" w:hAnsiTheme="minorHAnsi"/>
          <w:color w:val="000000"/>
        </w:rPr>
        <w:t>[5]</w:t>
      </w:r>
      <w:r w:rsidRPr="000D3432">
        <w:rPr>
          <w:rFonts w:asciiTheme="minorHAnsi" w:hAnsiTheme="minorHAnsi"/>
          <w:color w:val="555555"/>
        </w:rPr>
        <w:fldChar w:fldCharType="end"/>
      </w:r>
      <w:bookmarkEnd w:id="43"/>
      <w:r w:rsidRPr="000D3432">
        <w:rPr>
          <w:rFonts w:asciiTheme="minorHAnsi" w:hAnsiTheme="minorHAnsi"/>
          <w:color w:val="000000"/>
        </w:rPr>
        <w:t>. Pero era necesario tener otro foco, que se reconociese como fundamento de la verdad, como instrumento para el conocimiento certero, y fue la razón a quién se le atribuyó este papel, “El nuevo foco Dispensador de Sentido, la nueva potencia significativa cuyo respaldo garantiza de entonces acá la organización de lo real es la Razón...”</w:t>
      </w:r>
      <w:bookmarkStart w:id="44" w:name="_ftnref6"/>
      <w:r w:rsidRPr="000D3432">
        <w:rPr>
          <w:rFonts w:asciiTheme="minorHAnsi" w:hAnsiTheme="minorHAnsi"/>
          <w:color w:val="555555"/>
        </w:rPr>
        <w:fldChar w:fldCharType="begin"/>
      </w:r>
      <w:r w:rsidRPr="000D3432">
        <w:rPr>
          <w:rFonts w:asciiTheme="minorHAnsi" w:hAnsiTheme="minorHAnsi"/>
          <w:color w:val="555555"/>
        </w:rPr>
        <w:instrText xml:space="preserve"> HYPERLINK "http://columna-az.webnode.es/" \l "_ftn6" \o "" </w:instrText>
      </w:r>
      <w:r w:rsidRPr="000D3432">
        <w:rPr>
          <w:rFonts w:asciiTheme="minorHAnsi" w:hAnsiTheme="minorHAnsi"/>
          <w:color w:val="555555"/>
        </w:rPr>
      </w:r>
      <w:r w:rsidRPr="000D3432">
        <w:rPr>
          <w:rFonts w:asciiTheme="minorHAnsi" w:hAnsiTheme="minorHAnsi"/>
          <w:color w:val="555555"/>
        </w:rPr>
        <w:fldChar w:fldCharType="separate"/>
      </w:r>
      <w:r w:rsidRPr="000D3432">
        <w:rPr>
          <w:rStyle w:val="Hipervnculo"/>
          <w:rFonts w:asciiTheme="minorHAnsi" w:eastAsiaTheme="majorEastAsia" w:hAnsiTheme="minorHAnsi"/>
          <w:color w:val="000000"/>
        </w:rPr>
        <w:t>[6]</w:t>
      </w:r>
      <w:r w:rsidRPr="000D3432">
        <w:rPr>
          <w:rFonts w:asciiTheme="minorHAnsi" w:hAnsiTheme="minorHAnsi"/>
          <w:color w:val="555555"/>
        </w:rPr>
        <w:fldChar w:fldCharType="end"/>
      </w:r>
      <w:bookmarkEnd w:id="44"/>
    </w:p>
    <w:p w14:paraId="57CBE47A"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440906B8" w14:textId="77777777" w:rsidR="00677266" w:rsidRPr="000D3432" w:rsidRDefault="00677266" w:rsidP="00677266">
      <w:pPr>
        <w:pStyle w:val="NormalWeb"/>
        <w:spacing w:before="0" w:beforeAutospacing="0" w:after="0" w:afterAutospacing="0"/>
        <w:jc w:val="both"/>
        <w:rPr>
          <w:rFonts w:asciiTheme="minorHAnsi" w:hAnsiTheme="minorHAnsi"/>
          <w:color w:val="555555"/>
        </w:rPr>
      </w:pPr>
      <w:r w:rsidRPr="000D3432">
        <w:rPr>
          <w:rFonts w:asciiTheme="minorHAnsi" w:hAnsiTheme="minorHAnsi"/>
          <w:color w:val="000000"/>
        </w:rPr>
        <w:t>La muerte de Dios, queda reducida a la destrucción de ciertos privilegios de la Iglesia revelada.</w:t>
      </w:r>
    </w:p>
    <w:p w14:paraId="295397FD"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La idea de la verdad es puesta en tela de juicio como generalidad. Si la verdad no es general y es subjetiva, entonces esta verdad es sólo mía y no sirve a nadie más, entonces ¿para qué intentar imponerla a los demás? No tiene sentido.</w:t>
      </w:r>
    </w:p>
    <w:p w14:paraId="06FA81E8"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53564F36"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Respecto de la moral, pensaba que pertenece a las masas, y es que la moral es generalizante, englobadora, afecta a todo lo que concierne a la sociedad. A lo que concluye que lo mejor es ser individual, hacer lo que está bien para nosotros, formarnos como individuos, no hacer lo que está bien para los demás, sino lo que nos hace bien a nosotros. Así plantea un nuevo concepto de lo bueno y malo: ¿Qué es lo bueno? Lo que te da poder, aumenta poder. Qué es lo malo? Lo que te resta poder.</w:t>
      </w:r>
    </w:p>
    <w:p w14:paraId="3129B1B8"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2793B749"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Nietzsche no cree en el bien común, lo que es bueno para tí no es bueno para mí, un bien no puede ser común.</w:t>
      </w:r>
    </w:p>
    <w:p w14:paraId="68EB4462"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24AB4DC7"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Este pensador critica la tradición socrática-platónica, es decir a toda la tradición occidental. Considera que el hombre ha adquirido un planteamiento antinatural y negador de los instintos vitales y que ha errado su concepto de vida. Para él Sócrates y Platón son los que tienen la culpa del origen de la civilización y filosofía cristiana.</w:t>
      </w:r>
    </w:p>
    <w:p w14:paraId="5AD38D87"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00E963C4"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La crítica que hace a la tradición socrática-platónica la hace desde tres perspectivas: el ámbito moral, el metafísico u ontológico, y el científico.</w:t>
      </w:r>
    </w:p>
    <w:p w14:paraId="14A50303"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19715566"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El ámbito moral: La concepción de que el orden moral es impuesto por un ente superior, por un ente exterior y extraño, revelación divina, etc., ha alejado a los hombres de la realidad, los ha expropiado de su condición vital de individuos independientes, y los ha sumido en la oscuridad de la espera del orden divino. Los movimientos y conductas del hombre, según la concepción platónica cristiana tienden a esperar el orden divino, la expresión exterior, no está en ellos sino en el más allá, “Nietzsche se centra sobre todo en las valoraciones que se hacen acerca de la realidad. Para éste, la filosofía platónica contiene una valoración antivital, puesto que los valores platónicos y cristianos se fundamentan en otro mundo, imponiendo un orden moral exterior y expropiando al hombre el derecho que tiene por naturaleza a generar y crear sus propios valores”.</w:t>
      </w:r>
    </w:p>
    <w:p w14:paraId="2BE5D7BA"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2B91B61A" w14:textId="77777777" w:rsidR="00677266" w:rsidRPr="000D3432" w:rsidRDefault="00677266" w:rsidP="00677266">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En el ámbito metafísico u ontológico: que explica el peligro existente entre lenguaje y conceptos, puesto que “la íntima unión entre los conceptos y el lenguaje se convierte en una arma engañosa del pensamiento”. </w:t>
      </w:r>
    </w:p>
    <w:p w14:paraId="1003D622" w14:textId="77777777" w:rsidR="00677266" w:rsidRPr="000D3432" w:rsidRDefault="00677266" w:rsidP="00677266">
      <w:pPr>
        <w:pStyle w:val="NormalWeb"/>
        <w:spacing w:before="0" w:beforeAutospacing="0" w:after="0" w:afterAutospacing="0"/>
        <w:jc w:val="both"/>
        <w:rPr>
          <w:rFonts w:asciiTheme="minorHAnsi" w:hAnsiTheme="minorHAnsi"/>
          <w:color w:val="555555"/>
        </w:rPr>
      </w:pPr>
    </w:p>
    <w:p w14:paraId="7E3A878A" w14:textId="77777777" w:rsidR="00677266" w:rsidRPr="000D3432" w:rsidRDefault="00677266" w:rsidP="00677266">
      <w:pPr>
        <w:pStyle w:val="NormalWeb"/>
        <w:spacing w:before="0" w:beforeAutospacing="0" w:after="0" w:afterAutospacing="0"/>
        <w:ind w:left="110"/>
        <w:jc w:val="both"/>
        <w:rPr>
          <w:rFonts w:asciiTheme="minorHAnsi" w:hAnsiTheme="minorHAnsi"/>
          <w:color w:val="000000"/>
        </w:rPr>
      </w:pPr>
      <w:r w:rsidRPr="000D3432">
        <w:rPr>
          <w:rFonts w:asciiTheme="minorHAnsi" w:hAnsiTheme="minorHAnsi"/>
          <w:color w:val="000000"/>
        </w:rPr>
        <w:t>En el ámbito científico: Nietzsche creyente de la naturaleza vital del hombre, realiza una crítica a las ciencias positivas y a la matematización de la realidad, porque cree que a través de la medición y cuantificación de la realidad no conocemos la verdad de las cosas, puesto que la verdad no es cantidad sino cualidad. Esto indica que el conocimiento científico no puede expresar absolutamente la realidad, el conocimiento científico no nos permite captar cualitativamente lo real. Por otro lado, cuando cuantificamos sólo descubrimos lo que nosotros hemos considerado, cantidades y números. Por lo tanto, las ciencias positivas no sirven para obtener la verdad. La ciencia se habría convertido en la sustituta de la religión, en la época moderna, y es un arma para someter al individuo.</w:t>
      </w:r>
    </w:p>
    <w:p w14:paraId="266EAFA2" w14:textId="2D0CAD1E" w:rsidR="00677266" w:rsidRPr="000D3432" w:rsidRDefault="00677266" w:rsidP="00677266">
      <w:pPr>
        <w:pStyle w:val="NormalWeb"/>
        <w:spacing w:before="0" w:beforeAutospacing="0" w:after="0" w:afterAutospacing="0"/>
        <w:ind w:left="110"/>
        <w:jc w:val="both"/>
        <w:rPr>
          <w:rFonts w:asciiTheme="minorHAnsi" w:hAnsiTheme="minorHAnsi"/>
          <w:color w:val="555555"/>
        </w:rPr>
      </w:pPr>
    </w:p>
    <w:p w14:paraId="548E5D79" w14:textId="77777777" w:rsidR="00677266" w:rsidRPr="000D3432" w:rsidRDefault="00677266" w:rsidP="00677266">
      <w:pPr>
        <w:tabs>
          <w:tab w:val="left" w:pos="-1440"/>
        </w:tabs>
        <w:jc w:val="both"/>
        <w:rPr>
          <w:rFonts w:asciiTheme="minorHAnsi" w:hAnsiTheme="minorHAnsi"/>
          <w:szCs w:val="24"/>
        </w:rPr>
      </w:pPr>
    </w:p>
    <w:p w14:paraId="7F54AAB2" w14:textId="77777777" w:rsidR="00677266" w:rsidRPr="000D3432" w:rsidRDefault="00677266" w:rsidP="00677266">
      <w:pPr>
        <w:tabs>
          <w:tab w:val="left" w:pos="-1440"/>
        </w:tabs>
        <w:jc w:val="both"/>
        <w:rPr>
          <w:rFonts w:asciiTheme="minorHAnsi" w:hAnsiTheme="minorHAnsi"/>
          <w:szCs w:val="24"/>
        </w:rPr>
      </w:pPr>
    </w:p>
    <w:p w14:paraId="7EAFBA31" w14:textId="77777777" w:rsidR="001925CE" w:rsidRPr="000D3432" w:rsidRDefault="001925CE" w:rsidP="00A95498">
      <w:pPr>
        <w:ind w:firstLine="426"/>
        <w:jc w:val="center"/>
        <w:rPr>
          <w:rFonts w:asciiTheme="minorHAnsi" w:hAnsiTheme="minorHAnsi"/>
          <w:color w:val="000000"/>
          <w:szCs w:val="24"/>
        </w:rPr>
      </w:pPr>
      <w:r w:rsidRPr="000D3432">
        <w:rPr>
          <w:rFonts w:asciiTheme="minorHAnsi" w:hAnsiTheme="minorHAnsi"/>
          <w:color w:val="000000"/>
          <w:szCs w:val="24"/>
        </w:rPr>
        <w:br w:type="page"/>
      </w:r>
    </w:p>
    <w:p w14:paraId="3686DF24" w14:textId="77777777" w:rsidR="001925CE" w:rsidRPr="000D3432" w:rsidRDefault="001925CE" w:rsidP="00A95498">
      <w:pPr>
        <w:ind w:firstLine="426"/>
        <w:jc w:val="center"/>
        <w:rPr>
          <w:rFonts w:asciiTheme="minorHAnsi" w:hAnsiTheme="minorHAnsi"/>
          <w:color w:val="000000"/>
          <w:szCs w:val="24"/>
        </w:rPr>
      </w:pPr>
    </w:p>
    <w:p w14:paraId="6F2B2CEF" w14:textId="77777777" w:rsidR="001925CE" w:rsidRPr="000D3432" w:rsidRDefault="001925CE" w:rsidP="00A95498">
      <w:pPr>
        <w:ind w:firstLine="426"/>
        <w:jc w:val="center"/>
        <w:rPr>
          <w:rFonts w:asciiTheme="minorHAnsi" w:hAnsiTheme="minorHAnsi"/>
          <w:color w:val="000000"/>
          <w:szCs w:val="24"/>
        </w:rPr>
      </w:pPr>
    </w:p>
    <w:p w14:paraId="6667CA41" w14:textId="77777777" w:rsidR="001925CE" w:rsidRPr="000D3432" w:rsidRDefault="001925CE" w:rsidP="00A95498">
      <w:pPr>
        <w:ind w:firstLine="426"/>
        <w:jc w:val="center"/>
        <w:rPr>
          <w:rFonts w:asciiTheme="minorHAnsi" w:hAnsiTheme="minorHAnsi"/>
          <w:color w:val="000000"/>
          <w:szCs w:val="24"/>
        </w:rPr>
      </w:pPr>
    </w:p>
    <w:p w14:paraId="36C6FC27" w14:textId="77777777" w:rsidR="001925CE" w:rsidRPr="000D3432" w:rsidRDefault="001925CE" w:rsidP="00A95498">
      <w:pPr>
        <w:ind w:firstLine="426"/>
        <w:jc w:val="center"/>
        <w:rPr>
          <w:rFonts w:asciiTheme="minorHAnsi" w:hAnsiTheme="minorHAnsi"/>
          <w:color w:val="000000"/>
          <w:szCs w:val="24"/>
        </w:rPr>
      </w:pPr>
    </w:p>
    <w:p w14:paraId="0AC42429" w14:textId="77777777" w:rsidR="001925CE" w:rsidRPr="000D3432" w:rsidRDefault="001925CE" w:rsidP="00A95498">
      <w:pPr>
        <w:jc w:val="center"/>
        <w:rPr>
          <w:rFonts w:asciiTheme="minorHAnsi" w:hAnsiTheme="minorHAnsi"/>
          <w:b/>
          <w:szCs w:val="24"/>
          <w:u w:val="single"/>
        </w:rPr>
      </w:pPr>
    </w:p>
    <w:p w14:paraId="21ABF105" w14:textId="77777777" w:rsidR="001925CE" w:rsidRPr="000D3432" w:rsidRDefault="001925CE" w:rsidP="00A95498">
      <w:pPr>
        <w:jc w:val="center"/>
        <w:rPr>
          <w:rFonts w:asciiTheme="minorHAnsi" w:hAnsiTheme="minorHAnsi"/>
          <w:b/>
          <w:szCs w:val="24"/>
          <w:u w:val="single"/>
        </w:rPr>
      </w:pPr>
    </w:p>
    <w:p w14:paraId="5C4A022A" w14:textId="77777777" w:rsidR="001925CE" w:rsidRPr="000D3432" w:rsidRDefault="001925CE" w:rsidP="00A95498">
      <w:pPr>
        <w:jc w:val="center"/>
        <w:rPr>
          <w:rFonts w:asciiTheme="minorHAnsi" w:hAnsiTheme="minorHAnsi"/>
          <w:b/>
          <w:szCs w:val="24"/>
          <w:u w:val="single"/>
        </w:rPr>
      </w:pPr>
    </w:p>
    <w:p w14:paraId="1E41EBB0" w14:textId="77777777" w:rsidR="001925CE" w:rsidRPr="000D3432" w:rsidRDefault="001925CE" w:rsidP="00A95498">
      <w:pPr>
        <w:jc w:val="center"/>
        <w:rPr>
          <w:rFonts w:asciiTheme="minorHAnsi" w:hAnsiTheme="minorHAnsi"/>
          <w:b/>
          <w:szCs w:val="24"/>
          <w:u w:val="single"/>
        </w:rPr>
      </w:pPr>
    </w:p>
    <w:p w14:paraId="61FB7E06" w14:textId="77777777" w:rsidR="001925CE" w:rsidRPr="000D3432" w:rsidRDefault="001925CE" w:rsidP="00A95498">
      <w:pPr>
        <w:jc w:val="center"/>
        <w:rPr>
          <w:rFonts w:asciiTheme="minorHAnsi" w:hAnsiTheme="minorHAnsi" w:cs="Arial"/>
          <w:b/>
          <w:szCs w:val="24"/>
          <w:u w:val="single"/>
        </w:rPr>
      </w:pPr>
      <w:r w:rsidRPr="000D3432">
        <w:rPr>
          <w:rFonts w:asciiTheme="minorHAnsi" w:hAnsiTheme="minorHAnsi" w:cs="Arial"/>
          <w:b/>
          <w:szCs w:val="24"/>
          <w:u w:val="single"/>
        </w:rPr>
        <w:t>CUARTO BLOQUE</w:t>
      </w:r>
    </w:p>
    <w:p w14:paraId="081EAA23"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LA DIALECTIVA DEL DERECHO</w:t>
      </w:r>
    </w:p>
    <w:p w14:paraId="1B71C128" w14:textId="77777777" w:rsidR="001925CE" w:rsidRPr="000D3432" w:rsidRDefault="001925CE" w:rsidP="00A95498">
      <w:pPr>
        <w:jc w:val="center"/>
        <w:rPr>
          <w:rFonts w:asciiTheme="minorHAnsi" w:hAnsiTheme="minorHAnsi" w:cs="Arial"/>
          <w:b/>
          <w:szCs w:val="24"/>
        </w:rPr>
      </w:pPr>
      <w:r w:rsidRPr="000D3432">
        <w:rPr>
          <w:rFonts w:asciiTheme="minorHAnsi" w:hAnsiTheme="minorHAnsi" w:cs="Arial"/>
          <w:b/>
          <w:szCs w:val="24"/>
        </w:rPr>
        <w:t>(El Almuerzo Desnudo…)</w:t>
      </w:r>
    </w:p>
    <w:p w14:paraId="760BD719" w14:textId="77777777" w:rsidR="001925CE" w:rsidRPr="000D3432" w:rsidRDefault="001925CE" w:rsidP="00A95498">
      <w:pPr>
        <w:jc w:val="both"/>
        <w:rPr>
          <w:rFonts w:asciiTheme="minorHAnsi" w:hAnsiTheme="minorHAnsi" w:cs="Arial"/>
          <w:b/>
          <w:szCs w:val="24"/>
        </w:rPr>
      </w:pPr>
    </w:p>
    <w:p w14:paraId="3F47C36E" w14:textId="77777777" w:rsidR="001925CE" w:rsidRPr="000D3432" w:rsidRDefault="001925CE" w:rsidP="00A95498">
      <w:pPr>
        <w:jc w:val="both"/>
        <w:rPr>
          <w:rFonts w:asciiTheme="minorHAnsi" w:hAnsiTheme="minorHAnsi" w:cs="Arial"/>
          <w:b/>
          <w:szCs w:val="24"/>
        </w:rPr>
      </w:pPr>
    </w:p>
    <w:p w14:paraId="0D643443" w14:textId="77777777" w:rsidR="001925CE" w:rsidRPr="000D3432" w:rsidRDefault="001925CE" w:rsidP="00A95498">
      <w:pPr>
        <w:ind w:firstLine="426"/>
        <w:jc w:val="center"/>
        <w:rPr>
          <w:rFonts w:asciiTheme="minorHAnsi" w:hAnsiTheme="minorHAnsi" w:cs="Arial"/>
          <w:color w:val="000000"/>
          <w:szCs w:val="24"/>
        </w:rPr>
      </w:pPr>
    </w:p>
    <w:p w14:paraId="5835997F" w14:textId="77777777" w:rsidR="001925CE" w:rsidRPr="000D3432" w:rsidRDefault="001925CE" w:rsidP="00A95498">
      <w:pPr>
        <w:ind w:firstLine="426"/>
        <w:jc w:val="center"/>
        <w:rPr>
          <w:rFonts w:asciiTheme="minorHAnsi" w:hAnsiTheme="minorHAnsi" w:cs="Arial"/>
          <w:color w:val="000000"/>
          <w:szCs w:val="24"/>
        </w:rPr>
      </w:pPr>
    </w:p>
    <w:p w14:paraId="1B4E8EF5" w14:textId="77777777" w:rsidR="001925CE" w:rsidRPr="000D3432" w:rsidRDefault="001925CE" w:rsidP="00A95498">
      <w:pPr>
        <w:jc w:val="both"/>
        <w:rPr>
          <w:rFonts w:asciiTheme="minorHAnsi" w:hAnsiTheme="minorHAnsi" w:cs="Arial"/>
          <w:b/>
          <w:szCs w:val="24"/>
        </w:rPr>
      </w:pPr>
    </w:p>
    <w:p w14:paraId="2FCEFD1C" w14:textId="77777777" w:rsidR="001925CE" w:rsidRPr="000D3432" w:rsidRDefault="001925CE" w:rsidP="00A95498">
      <w:pPr>
        <w:jc w:val="both"/>
        <w:rPr>
          <w:rFonts w:asciiTheme="minorHAnsi" w:hAnsiTheme="minorHAnsi" w:cs="Arial"/>
          <w:b/>
          <w:szCs w:val="24"/>
        </w:rPr>
      </w:pPr>
    </w:p>
    <w:p w14:paraId="32D0E62D" w14:textId="77777777" w:rsidR="001925CE" w:rsidRPr="000D3432" w:rsidRDefault="001925CE" w:rsidP="00A95498">
      <w:pPr>
        <w:jc w:val="both"/>
        <w:rPr>
          <w:rFonts w:asciiTheme="minorHAnsi" w:hAnsiTheme="minorHAnsi"/>
          <w:b/>
          <w:szCs w:val="24"/>
        </w:rPr>
      </w:pPr>
    </w:p>
    <w:p w14:paraId="131B1F5F" w14:textId="77777777" w:rsidR="001925CE" w:rsidRPr="000D3432" w:rsidRDefault="001925CE" w:rsidP="00A95498">
      <w:pPr>
        <w:jc w:val="both"/>
        <w:rPr>
          <w:rFonts w:asciiTheme="minorHAnsi" w:hAnsiTheme="minorHAnsi"/>
          <w:b/>
          <w:szCs w:val="24"/>
        </w:rPr>
      </w:pPr>
    </w:p>
    <w:p w14:paraId="128F3CE2" w14:textId="77777777" w:rsidR="001925CE" w:rsidRPr="000D3432" w:rsidRDefault="001925CE" w:rsidP="00A95498">
      <w:pPr>
        <w:jc w:val="both"/>
        <w:rPr>
          <w:rFonts w:asciiTheme="minorHAnsi" w:hAnsiTheme="minorHAnsi"/>
          <w:b/>
          <w:szCs w:val="24"/>
        </w:rPr>
      </w:pPr>
    </w:p>
    <w:p w14:paraId="1C1F5483" w14:textId="77777777" w:rsidR="001925CE" w:rsidRPr="000D3432" w:rsidRDefault="001925CE" w:rsidP="00A95498">
      <w:pPr>
        <w:jc w:val="both"/>
        <w:rPr>
          <w:rFonts w:asciiTheme="minorHAnsi" w:hAnsiTheme="minorHAnsi"/>
          <w:b/>
          <w:szCs w:val="24"/>
        </w:rPr>
      </w:pPr>
    </w:p>
    <w:p w14:paraId="78F9F815"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br w:type="page"/>
      </w:r>
    </w:p>
    <w:p w14:paraId="28AF3D4F" w14:textId="77777777" w:rsidR="001925CE" w:rsidRPr="000D3432" w:rsidRDefault="001925CE" w:rsidP="00A95498">
      <w:pPr>
        <w:jc w:val="both"/>
        <w:rPr>
          <w:rFonts w:asciiTheme="minorHAnsi" w:hAnsiTheme="minorHAnsi"/>
          <w:b/>
          <w:szCs w:val="24"/>
        </w:rPr>
      </w:pPr>
    </w:p>
    <w:p w14:paraId="65CFC6F4" w14:textId="77777777" w:rsidR="001925CE" w:rsidRPr="000D3432" w:rsidRDefault="001925CE" w:rsidP="00A95498">
      <w:pPr>
        <w:jc w:val="both"/>
        <w:rPr>
          <w:rFonts w:asciiTheme="minorHAnsi" w:hAnsiTheme="minorHAnsi"/>
          <w:b/>
          <w:szCs w:val="24"/>
        </w:rPr>
      </w:pPr>
    </w:p>
    <w:p w14:paraId="6F1074E0" w14:textId="77777777" w:rsidR="001925CE" w:rsidRPr="000D3432" w:rsidRDefault="001925CE" w:rsidP="00A95498">
      <w:pPr>
        <w:jc w:val="both"/>
        <w:rPr>
          <w:rFonts w:asciiTheme="minorHAnsi" w:hAnsiTheme="minorHAnsi"/>
          <w:b/>
          <w:szCs w:val="24"/>
        </w:rPr>
      </w:pPr>
    </w:p>
    <w:p w14:paraId="6560A757" w14:textId="77777777" w:rsidR="001925CE" w:rsidRPr="000D3432" w:rsidRDefault="001925CE" w:rsidP="00A95498">
      <w:pPr>
        <w:jc w:val="center"/>
        <w:rPr>
          <w:rFonts w:asciiTheme="minorHAnsi" w:hAnsiTheme="minorHAnsi"/>
          <w:b/>
          <w:szCs w:val="24"/>
          <w:u w:val="single"/>
        </w:rPr>
      </w:pPr>
    </w:p>
    <w:p w14:paraId="48009916" w14:textId="77777777" w:rsidR="001925CE" w:rsidRPr="000D3432" w:rsidRDefault="001925CE" w:rsidP="00A95498">
      <w:pPr>
        <w:jc w:val="center"/>
        <w:rPr>
          <w:rFonts w:asciiTheme="minorHAnsi" w:hAnsiTheme="minorHAnsi"/>
          <w:b/>
          <w:szCs w:val="24"/>
          <w:u w:val="single"/>
        </w:rPr>
      </w:pPr>
    </w:p>
    <w:p w14:paraId="59FDAAB8" w14:textId="77777777" w:rsidR="001925CE" w:rsidRPr="000D3432" w:rsidRDefault="001925CE" w:rsidP="00A95498">
      <w:pPr>
        <w:jc w:val="center"/>
        <w:rPr>
          <w:rFonts w:asciiTheme="minorHAnsi" w:hAnsiTheme="minorHAnsi"/>
          <w:b/>
          <w:szCs w:val="24"/>
          <w:u w:val="single"/>
        </w:rPr>
      </w:pPr>
    </w:p>
    <w:p w14:paraId="738B4ADA" w14:textId="77777777" w:rsidR="001925CE" w:rsidRPr="000D3432" w:rsidRDefault="001925CE" w:rsidP="00A95498">
      <w:pPr>
        <w:jc w:val="center"/>
        <w:rPr>
          <w:rFonts w:asciiTheme="minorHAnsi" w:hAnsiTheme="minorHAnsi"/>
          <w:b/>
          <w:szCs w:val="24"/>
          <w:u w:val="single"/>
        </w:rPr>
      </w:pPr>
    </w:p>
    <w:p w14:paraId="41C3909F" w14:textId="77777777" w:rsidR="001925CE" w:rsidRPr="000D3432" w:rsidRDefault="001925CE" w:rsidP="00A95498">
      <w:pPr>
        <w:jc w:val="center"/>
        <w:rPr>
          <w:rFonts w:asciiTheme="minorHAnsi" w:hAnsiTheme="minorHAnsi"/>
          <w:b/>
          <w:szCs w:val="24"/>
          <w:u w:val="single"/>
        </w:rPr>
      </w:pPr>
    </w:p>
    <w:p w14:paraId="068FEE52" w14:textId="77777777" w:rsidR="001925CE" w:rsidRPr="000D3432" w:rsidRDefault="001925CE" w:rsidP="00A95498">
      <w:pPr>
        <w:jc w:val="center"/>
        <w:rPr>
          <w:rFonts w:asciiTheme="minorHAnsi" w:hAnsiTheme="minorHAnsi"/>
          <w:b/>
          <w:szCs w:val="24"/>
          <w:u w:val="single"/>
        </w:rPr>
      </w:pPr>
    </w:p>
    <w:p w14:paraId="5AB66900" w14:textId="77777777" w:rsidR="001925CE" w:rsidRPr="000D3432" w:rsidRDefault="001925CE" w:rsidP="00A95498">
      <w:pPr>
        <w:jc w:val="center"/>
        <w:rPr>
          <w:rFonts w:asciiTheme="minorHAnsi" w:hAnsiTheme="minorHAnsi"/>
          <w:b/>
          <w:szCs w:val="24"/>
          <w:u w:val="single"/>
        </w:rPr>
      </w:pPr>
      <w:r w:rsidRPr="000D3432">
        <w:rPr>
          <w:rFonts w:asciiTheme="minorHAnsi" w:hAnsiTheme="minorHAnsi"/>
          <w:b/>
          <w:szCs w:val="24"/>
          <w:u w:val="single"/>
        </w:rPr>
        <w:t>CAPÍTULO I</w:t>
      </w:r>
    </w:p>
    <w:p w14:paraId="22E6FB18"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I.-EL CORPUS JURIS CIVILES DE JUSTINIANO</w:t>
      </w:r>
    </w:p>
    <w:p w14:paraId="123B963F" w14:textId="77777777" w:rsidR="001925CE" w:rsidRPr="000D3432" w:rsidRDefault="001925CE" w:rsidP="00A95498">
      <w:pPr>
        <w:jc w:val="center"/>
        <w:rPr>
          <w:rFonts w:asciiTheme="minorHAnsi" w:hAnsiTheme="minorHAnsi"/>
          <w:b/>
          <w:szCs w:val="24"/>
        </w:rPr>
      </w:pPr>
    </w:p>
    <w:p w14:paraId="12FFB027" w14:textId="77777777" w:rsidR="001925CE" w:rsidRPr="000D3432" w:rsidRDefault="001925CE" w:rsidP="00A95498">
      <w:pPr>
        <w:jc w:val="center"/>
        <w:rPr>
          <w:rFonts w:asciiTheme="minorHAnsi" w:hAnsiTheme="minorHAnsi"/>
          <w:b/>
          <w:szCs w:val="24"/>
        </w:rPr>
      </w:pPr>
    </w:p>
    <w:p w14:paraId="7672DBEA" w14:textId="77777777" w:rsidR="001925CE" w:rsidRPr="000D3432" w:rsidRDefault="001925CE" w:rsidP="00A95498">
      <w:pPr>
        <w:jc w:val="both"/>
        <w:rPr>
          <w:rFonts w:asciiTheme="minorHAnsi" w:hAnsiTheme="minorHAnsi"/>
          <w:b/>
          <w:smallCaps/>
          <w:szCs w:val="24"/>
        </w:rPr>
      </w:pPr>
    </w:p>
    <w:p w14:paraId="2F6BA768" w14:textId="77777777" w:rsidR="001925CE" w:rsidRPr="000D3432" w:rsidRDefault="001925CE" w:rsidP="00A95498">
      <w:pPr>
        <w:tabs>
          <w:tab w:val="left" w:pos="5067"/>
        </w:tabs>
        <w:jc w:val="both"/>
        <w:rPr>
          <w:rFonts w:asciiTheme="minorHAnsi" w:hAnsiTheme="minorHAnsi"/>
          <w:b/>
          <w:szCs w:val="24"/>
        </w:rPr>
      </w:pPr>
      <w:r w:rsidRPr="000D3432">
        <w:rPr>
          <w:rFonts w:asciiTheme="minorHAnsi" w:hAnsiTheme="minorHAnsi"/>
          <w:b/>
          <w:szCs w:val="24"/>
        </w:rPr>
        <w:t xml:space="preserve">I.- EL CORPUS JURIS CIVILIS </w:t>
      </w:r>
      <w:r w:rsidRPr="000D3432">
        <w:rPr>
          <w:rFonts w:asciiTheme="minorHAnsi" w:hAnsiTheme="minorHAnsi"/>
          <w:b/>
          <w:szCs w:val="24"/>
        </w:rPr>
        <w:tab/>
      </w:r>
    </w:p>
    <w:p w14:paraId="5002087D" w14:textId="77777777" w:rsidR="001925CE" w:rsidRPr="000D3432" w:rsidRDefault="001925CE" w:rsidP="00A95498">
      <w:pPr>
        <w:jc w:val="both"/>
        <w:rPr>
          <w:rFonts w:asciiTheme="minorHAnsi" w:hAnsiTheme="minorHAnsi"/>
          <w:b/>
          <w:szCs w:val="24"/>
        </w:rPr>
      </w:pPr>
    </w:p>
    <w:p w14:paraId="790C76B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Fue el Derecho Romano el que nos introdujo en una nueva forma de organización política jurídica. Centralización del orden, determinación de la certeza, a través de un nuevo instrumento, o al menos de un instrumento que sirvió, y sirve, como base para la regulación de las conductas de los seres humanos. Esa nueva forma, ese nuevo instrumento ha sido traducido en un hermoso y brillante texto de nombre tan sugerente como genial: El </w:t>
      </w:r>
      <w:r w:rsidRPr="000D3432">
        <w:rPr>
          <w:rFonts w:asciiTheme="minorHAnsi" w:hAnsiTheme="minorHAnsi"/>
          <w:i/>
          <w:szCs w:val="24"/>
        </w:rPr>
        <w:t>Corpus JurisCivilis</w:t>
      </w:r>
      <w:r w:rsidRPr="000D3432">
        <w:rPr>
          <w:rFonts w:asciiTheme="minorHAnsi" w:hAnsiTheme="minorHAnsi"/>
          <w:szCs w:val="24"/>
        </w:rPr>
        <w:t xml:space="preserve"> (El cuerpo jurídico civil). Y fue posible este fenomenal hecho, gracias a un gran hombre, ¿un dios?, un emperador: Justiniano</w:t>
      </w:r>
      <w:r w:rsidRPr="000D3432">
        <w:rPr>
          <w:rStyle w:val="Refdenotaalpie"/>
          <w:rFonts w:asciiTheme="minorHAnsi" w:hAnsiTheme="minorHAnsi"/>
          <w:sz w:val="24"/>
          <w:szCs w:val="24"/>
        </w:rPr>
        <w:footnoteReference w:id="384"/>
      </w:r>
      <w:r w:rsidRPr="000D3432">
        <w:rPr>
          <w:rFonts w:asciiTheme="minorHAnsi" w:hAnsiTheme="minorHAnsi"/>
          <w:szCs w:val="24"/>
        </w:rPr>
        <w:t>. Emperador, legislador, político, amante</w:t>
      </w:r>
      <w:r w:rsidRPr="000D3432">
        <w:rPr>
          <w:rStyle w:val="Refdenotaalpie"/>
          <w:rFonts w:asciiTheme="minorHAnsi" w:hAnsiTheme="minorHAnsi"/>
          <w:sz w:val="24"/>
          <w:szCs w:val="24"/>
        </w:rPr>
        <w:footnoteReference w:id="385"/>
      </w:r>
      <w:r w:rsidRPr="000D3432">
        <w:rPr>
          <w:rFonts w:asciiTheme="minorHAnsi" w:hAnsiTheme="minorHAnsi"/>
          <w:szCs w:val="24"/>
        </w:rPr>
        <w:t xml:space="preserve">, ¿liberal? </w:t>
      </w:r>
    </w:p>
    <w:p w14:paraId="6E33BD2C" w14:textId="77777777" w:rsidR="001925CE" w:rsidRPr="000D3432" w:rsidRDefault="001925CE" w:rsidP="00A95498">
      <w:pPr>
        <w:jc w:val="both"/>
        <w:rPr>
          <w:rFonts w:asciiTheme="minorHAnsi" w:hAnsiTheme="minorHAnsi"/>
          <w:szCs w:val="24"/>
        </w:rPr>
      </w:pPr>
    </w:p>
    <w:p w14:paraId="51ED27B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La compilación de Justiniano recibe el nombre de </w:t>
      </w:r>
      <w:r w:rsidRPr="000D3432">
        <w:rPr>
          <w:rFonts w:asciiTheme="minorHAnsi" w:hAnsiTheme="minorHAnsi"/>
          <w:i/>
          <w:szCs w:val="24"/>
        </w:rPr>
        <w:t>Corpus Iuris Civilis</w:t>
      </w:r>
      <w:r w:rsidRPr="000D3432">
        <w:rPr>
          <w:rFonts w:asciiTheme="minorHAnsi" w:hAnsiTheme="minorHAnsi"/>
          <w:szCs w:val="24"/>
        </w:rPr>
        <w:t xml:space="preserve"> de Dionisio Godofredo que hizo además una cuidadosa edición, al parecer de Arguello</w:t>
      </w:r>
      <w:r w:rsidRPr="000D3432">
        <w:rPr>
          <w:rStyle w:val="Refdenotaalpie"/>
          <w:rFonts w:asciiTheme="minorHAnsi" w:hAnsiTheme="minorHAnsi"/>
          <w:sz w:val="24"/>
          <w:szCs w:val="24"/>
        </w:rPr>
        <w:footnoteReference w:id="386"/>
      </w:r>
      <w:r w:rsidRPr="000D3432">
        <w:rPr>
          <w:rFonts w:asciiTheme="minorHAnsi" w:hAnsiTheme="minorHAnsi"/>
          <w:szCs w:val="24"/>
        </w:rPr>
        <w:t>.</w:t>
      </w:r>
    </w:p>
    <w:p w14:paraId="12194C28" w14:textId="77777777" w:rsidR="001925CE" w:rsidRPr="000D3432" w:rsidRDefault="001925CE" w:rsidP="00A95498">
      <w:pPr>
        <w:jc w:val="both"/>
        <w:rPr>
          <w:rFonts w:asciiTheme="minorHAnsi" w:hAnsiTheme="minorHAnsi"/>
          <w:szCs w:val="24"/>
        </w:rPr>
      </w:pPr>
    </w:p>
    <w:p w14:paraId="6F8B689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w:t>
      </w:r>
      <w:r w:rsidRPr="000D3432">
        <w:rPr>
          <w:rFonts w:asciiTheme="minorHAnsi" w:hAnsiTheme="minorHAnsi"/>
          <w:i/>
          <w:szCs w:val="24"/>
        </w:rPr>
        <w:t>Corpus Iuris Civilis</w:t>
      </w:r>
      <w:r w:rsidRPr="000D3432">
        <w:rPr>
          <w:rFonts w:asciiTheme="minorHAnsi" w:hAnsiTheme="minorHAnsi"/>
          <w:szCs w:val="24"/>
        </w:rPr>
        <w:t xml:space="preserve"> aparece mucho más tarde que las XII Tablas, Vidal Ramirez (autor que no nos gusta) citando a Puig Brutau indica que habrían trascurrido mil años desde la Ley de las XII hasta el </w:t>
      </w:r>
      <w:r w:rsidRPr="000D3432">
        <w:rPr>
          <w:rFonts w:asciiTheme="minorHAnsi" w:hAnsiTheme="minorHAnsi"/>
          <w:i/>
          <w:szCs w:val="24"/>
        </w:rPr>
        <w:t>Corpus Iuris Civilis</w:t>
      </w:r>
      <w:r w:rsidRPr="000D3432">
        <w:rPr>
          <w:rStyle w:val="Refdenotaalpie"/>
          <w:rFonts w:asciiTheme="minorHAnsi" w:hAnsiTheme="minorHAnsi"/>
          <w:i/>
          <w:sz w:val="24"/>
          <w:szCs w:val="24"/>
        </w:rPr>
        <w:footnoteReference w:id="387"/>
      </w:r>
      <w:r w:rsidRPr="000D3432">
        <w:rPr>
          <w:rFonts w:asciiTheme="minorHAnsi" w:hAnsiTheme="minorHAnsi"/>
          <w:szCs w:val="24"/>
        </w:rPr>
        <w:t>. Este último consta de cuatro partes</w:t>
      </w:r>
      <w:r w:rsidRPr="000D3432">
        <w:rPr>
          <w:rStyle w:val="Refdenotaalpie"/>
          <w:rFonts w:asciiTheme="minorHAnsi" w:hAnsiTheme="minorHAnsi"/>
          <w:sz w:val="24"/>
          <w:szCs w:val="24"/>
        </w:rPr>
        <w:footnoteReference w:id="388"/>
      </w:r>
      <w:r w:rsidRPr="000D3432">
        <w:rPr>
          <w:rFonts w:asciiTheme="minorHAnsi" w:hAnsiTheme="minorHAnsi"/>
          <w:szCs w:val="24"/>
        </w:rPr>
        <w:t>:</w:t>
      </w:r>
    </w:p>
    <w:p w14:paraId="5238E67D" w14:textId="77777777" w:rsidR="001925CE" w:rsidRPr="000D3432" w:rsidRDefault="001925CE" w:rsidP="00A95498">
      <w:pPr>
        <w:jc w:val="both"/>
        <w:rPr>
          <w:rFonts w:asciiTheme="minorHAnsi" w:hAnsiTheme="minorHAnsi"/>
          <w:szCs w:val="24"/>
        </w:rPr>
      </w:pPr>
    </w:p>
    <w:p w14:paraId="6BEF1DB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1.- </w:t>
      </w:r>
      <w:r w:rsidRPr="000D3432">
        <w:rPr>
          <w:rFonts w:asciiTheme="minorHAnsi" w:hAnsiTheme="minorHAnsi"/>
          <w:b/>
          <w:i/>
          <w:szCs w:val="24"/>
        </w:rPr>
        <w:t>Códex Iustinianus</w:t>
      </w:r>
      <w:r w:rsidRPr="000D3432">
        <w:rPr>
          <w:rFonts w:asciiTheme="minorHAnsi" w:hAnsiTheme="minorHAnsi"/>
          <w:szCs w:val="24"/>
        </w:rPr>
        <w:t>, llamada también Código, que es “una colección en doce libros de constituciones imperiales”. En la misma se encuentran normas sobre las fuentes del Derecho, sobre el oficio de los magistrados, las relaciones entre Iglesia y Estado, Derecho Privado en general, Derecho reales, Obligaciones, Contratos, Sucesiones enparticular, Derecho criminal, Derecho Administrativo y financiero.</w:t>
      </w:r>
    </w:p>
    <w:p w14:paraId="4F53697E" w14:textId="77777777" w:rsidR="001925CE" w:rsidRPr="000D3432" w:rsidRDefault="001925CE" w:rsidP="00A95498">
      <w:pPr>
        <w:jc w:val="both"/>
        <w:rPr>
          <w:rFonts w:asciiTheme="minorHAnsi" w:hAnsiTheme="minorHAnsi"/>
          <w:szCs w:val="24"/>
        </w:rPr>
      </w:pPr>
    </w:p>
    <w:p w14:paraId="4E02DE3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lastRenderedPageBreak/>
        <w:t xml:space="preserve">2.- </w:t>
      </w:r>
      <w:r w:rsidRPr="000D3432">
        <w:rPr>
          <w:rFonts w:asciiTheme="minorHAnsi" w:hAnsiTheme="minorHAnsi"/>
          <w:b/>
          <w:szCs w:val="24"/>
        </w:rPr>
        <w:t>El Digesto o Pandectas</w:t>
      </w:r>
      <w:r w:rsidRPr="000D3432">
        <w:rPr>
          <w:rStyle w:val="Refdenotaalpie"/>
          <w:rFonts w:asciiTheme="minorHAnsi" w:hAnsiTheme="minorHAnsi"/>
          <w:sz w:val="24"/>
          <w:szCs w:val="24"/>
        </w:rPr>
        <w:footnoteReference w:id="389"/>
      </w:r>
      <w:r w:rsidRPr="000D3432">
        <w:rPr>
          <w:rFonts w:asciiTheme="minorHAnsi" w:hAnsiTheme="minorHAnsi"/>
          <w:szCs w:val="24"/>
        </w:rPr>
        <w:t xml:space="preserve">, que es una “recopilación en cincuenta libros de la jurisprudencia”. El Digesto dícese venir del latín </w:t>
      </w:r>
      <w:r w:rsidRPr="000D3432">
        <w:rPr>
          <w:rFonts w:asciiTheme="minorHAnsi" w:hAnsiTheme="minorHAnsi"/>
          <w:i/>
          <w:szCs w:val="24"/>
        </w:rPr>
        <w:t>Digesta</w:t>
      </w:r>
      <w:r w:rsidRPr="000D3432">
        <w:rPr>
          <w:rFonts w:asciiTheme="minorHAnsi" w:hAnsiTheme="minorHAnsi"/>
          <w:szCs w:val="24"/>
        </w:rPr>
        <w:t xml:space="preserve">, “que significa distribución sistemática”. Y </w:t>
      </w:r>
      <w:r w:rsidRPr="000D3432">
        <w:rPr>
          <w:rFonts w:asciiTheme="minorHAnsi" w:hAnsiTheme="minorHAnsi"/>
          <w:i/>
          <w:szCs w:val="24"/>
        </w:rPr>
        <w:t>Pandectas</w:t>
      </w:r>
      <w:r w:rsidRPr="000D3432">
        <w:rPr>
          <w:rFonts w:asciiTheme="minorHAnsi" w:hAnsiTheme="minorHAnsi"/>
          <w:szCs w:val="24"/>
        </w:rPr>
        <w:t xml:space="preserve"> viene del griego </w:t>
      </w:r>
      <w:r w:rsidRPr="000D3432">
        <w:rPr>
          <w:rFonts w:asciiTheme="minorHAnsi" w:hAnsiTheme="minorHAnsi"/>
          <w:i/>
          <w:szCs w:val="24"/>
        </w:rPr>
        <w:t xml:space="preserve">pandectae, </w:t>
      </w:r>
      <w:r w:rsidRPr="000D3432">
        <w:rPr>
          <w:rFonts w:asciiTheme="minorHAnsi" w:hAnsiTheme="minorHAnsi"/>
          <w:szCs w:val="24"/>
        </w:rPr>
        <w:t xml:space="preserve">“que significa libros que contienen todo”. El Digesto es un hermoso texto, en donde se introduce como primeras concepciones al Derecho o Jurisprudencia, como el conocimiento de las cosas divinas y humanas; además habla de un derecho escrito y otro derecho no escrito. Cosa curiosa que nosotros -con el positivismo- estábamos olvidando eso, que el derecho es escrito y no escrito. A pesar que ya los romanos nos solucionaron el problema. “El </w:t>
      </w:r>
      <w:r w:rsidRPr="000D3432">
        <w:rPr>
          <w:rFonts w:asciiTheme="minorHAnsi" w:hAnsiTheme="minorHAnsi"/>
          <w:i/>
          <w:szCs w:val="24"/>
        </w:rPr>
        <w:t>Digesto o Pandectas</w:t>
      </w:r>
      <w:r w:rsidRPr="000D3432">
        <w:rPr>
          <w:rFonts w:asciiTheme="minorHAnsi" w:hAnsiTheme="minorHAnsi"/>
          <w:szCs w:val="24"/>
        </w:rPr>
        <w:t xml:space="preserve"> contiene las opiniones de los juristas que gozaron del </w:t>
      </w:r>
      <w:r w:rsidRPr="000D3432">
        <w:rPr>
          <w:rFonts w:asciiTheme="minorHAnsi" w:hAnsiTheme="minorHAnsi"/>
          <w:i/>
          <w:szCs w:val="24"/>
        </w:rPr>
        <w:t>iuspublicirespondendi</w:t>
      </w:r>
      <w:r w:rsidRPr="000D3432">
        <w:rPr>
          <w:rFonts w:asciiTheme="minorHAnsi" w:hAnsiTheme="minorHAnsi"/>
          <w:szCs w:val="24"/>
        </w:rPr>
        <w:t>, con algunas interpolaciones, esto es, de opiniones de juristas que no habían gozado de dicho privilegio. Pretendiendo ser un cuerpo de doctrina, contienen nociones generales sobre el Derecho y la Jurisdicción”</w:t>
      </w:r>
      <w:r w:rsidRPr="000D3432">
        <w:rPr>
          <w:rStyle w:val="Refdenotaalpie"/>
          <w:rFonts w:asciiTheme="minorHAnsi" w:hAnsiTheme="minorHAnsi"/>
          <w:sz w:val="24"/>
          <w:szCs w:val="24"/>
        </w:rPr>
        <w:footnoteReference w:id="390"/>
      </w:r>
      <w:r w:rsidRPr="000D3432">
        <w:rPr>
          <w:rFonts w:asciiTheme="minorHAnsi" w:hAnsiTheme="minorHAnsi"/>
          <w:szCs w:val="24"/>
        </w:rPr>
        <w:t>. Contiene además nociones sobre Acciones, contratos, garantías de cumplimiento, Derecho de Familia, Matrimonio, Dote, filiación, tutela; derecho de sucesiones, herencia, legados; Derechos reales, propiedad; Obligaciones; Delitos públicos y privados, penas, “reglas para la interpretación del Códex”</w:t>
      </w:r>
      <w:r w:rsidRPr="000D3432">
        <w:rPr>
          <w:rStyle w:val="Refdenotaalpie"/>
          <w:rFonts w:asciiTheme="minorHAnsi" w:hAnsiTheme="minorHAnsi"/>
          <w:sz w:val="24"/>
          <w:szCs w:val="24"/>
        </w:rPr>
        <w:footnoteReference w:id="391"/>
      </w:r>
    </w:p>
    <w:p w14:paraId="5F13BCD8" w14:textId="77777777" w:rsidR="001925CE" w:rsidRPr="000D3432" w:rsidRDefault="001925CE" w:rsidP="00A95498">
      <w:pPr>
        <w:jc w:val="both"/>
        <w:rPr>
          <w:rFonts w:asciiTheme="minorHAnsi" w:hAnsiTheme="minorHAnsi"/>
          <w:szCs w:val="24"/>
        </w:rPr>
      </w:pPr>
    </w:p>
    <w:p w14:paraId="134094A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3.- </w:t>
      </w:r>
      <w:r w:rsidRPr="000D3432">
        <w:rPr>
          <w:rFonts w:asciiTheme="minorHAnsi" w:hAnsiTheme="minorHAnsi"/>
          <w:b/>
          <w:szCs w:val="24"/>
        </w:rPr>
        <w:t>Las Institutas</w:t>
      </w:r>
      <w:r w:rsidRPr="000D3432">
        <w:rPr>
          <w:rStyle w:val="Refdenotaalpie"/>
          <w:rFonts w:asciiTheme="minorHAnsi" w:hAnsiTheme="minorHAnsi"/>
          <w:sz w:val="24"/>
          <w:szCs w:val="24"/>
        </w:rPr>
        <w:footnoteReference w:id="392"/>
      </w:r>
      <w:r w:rsidRPr="000D3432">
        <w:rPr>
          <w:rFonts w:asciiTheme="minorHAnsi" w:hAnsiTheme="minorHAnsi"/>
          <w:b/>
          <w:szCs w:val="24"/>
        </w:rPr>
        <w:t>,</w:t>
      </w:r>
      <w:r w:rsidRPr="000D3432">
        <w:rPr>
          <w:rFonts w:asciiTheme="minorHAnsi" w:hAnsiTheme="minorHAnsi"/>
          <w:szCs w:val="24"/>
        </w:rPr>
        <w:t xml:space="preserve"> que son “una exposición en cuatro libros de los principios elementales del Derecho”, y significa Instituciones. “Las </w:t>
      </w:r>
      <w:r w:rsidRPr="000D3432">
        <w:rPr>
          <w:rFonts w:asciiTheme="minorHAnsi" w:hAnsiTheme="minorHAnsi"/>
          <w:i/>
          <w:szCs w:val="24"/>
        </w:rPr>
        <w:t>Institutas</w:t>
      </w:r>
      <w:r w:rsidRPr="000D3432">
        <w:rPr>
          <w:rFonts w:asciiTheme="minorHAnsi" w:hAnsiTheme="minorHAnsi"/>
          <w:szCs w:val="24"/>
        </w:rPr>
        <w:t xml:space="preserve"> pretendieron ser un tratado elemental de Derecho.Resumieron las </w:t>
      </w:r>
      <w:r w:rsidRPr="000D3432">
        <w:rPr>
          <w:rFonts w:asciiTheme="minorHAnsi" w:hAnsiTheme="minorHAnsi"/>
          <w:i/>
          <w:szCs w:val="24"/>
        </w:rPr>
        <w:t>Pandectas</w:t>
      </w:r>
      <w:r w:rsidRPr="000D3432">
        <w:rPr>
          <w:rFonts w:asciiTheme="minorHAnsi" w:hAnsiTheme="minorHAnsi"/>
          <w:szCs w:val="24"/>
        </w:rPr>
        <w:t xml:space="preserve"> encuatro libros, tratando, respectivamente, del Derecho y su división”</w:t>
      </w:r>
      <w:r w:rsidRPr="000D3432">
        <w:rPr>
          <w:rStyle w:val="Refdenotaalpie"/>
          <w:rFonts w:asciiTheme="minorHAnsi" w:hAnsiTheme="minorHAnsi"/>
          <w:sz w:val="24"/>
          <w:szCs w:val="24"/>
        </w:rPr>
        <w:footnoteReference w:id="393"/>
      </w:r>
      <w:r w:rsidRPr="000D3432">
        <w:rPr>
          <w:rFonts w:asciiTheme="minorHAnsi" w:hAnsiTheme="minorHAnsi"/>
          <w:szCs w:val="24"/>
        </w:rPr>
        <w:t xml:space="preserve">. Trata de las personas, de las cosas, la división de éstas, de los modos de adquirir la propiedad, derechos reales, testamentos, medios de adquirir el dominio, principios de la sucesión </w:t>
      </w:r>
      <w:r w:rsidRPr="000D3432">
        <w:rPr>
          <w:rFonts w:asciiTheme="minorHAnsi" w:hAnsiTheme="minorHAnsi"/>
          <w:i/>
          <w:szCs w:val="24"/>
        </w:rPr>
        <w:t>ab intestato</w:t>
      </w:r>
      <w:r w:rsidRPr="000D3432">
        <w:rPr>
          <w:rFonts w:asciiTheme="minorHAnsi" w:hAnsiTheme="minorHAnsi"/>
          <w:szCs w:val="24"/>
        </w:rPr>
        <w:t>, obligaciones, contratos, acciones y comisión de delitos públicos</w:t>
      </w:r>
      <w:r w:rsidRPr="000D3432">
        <w:rPr>
          <w:rStyle w:val="Refdenotaalpie"/>
          <w:rFonts w:asciiTheme="minorHAnsi" w:hAnsiTheme="minorHAnsi"/>
          <w:sz w:val="24"/>
          <w:szCs w:val="24"/>
        </w:rPr>
        <w:footnoteReference w:id="394"/>
      </w:r>
      <w:r w:rsidRPr="000D3432">
        <w:rPr>
          <w:rFonts w:asciiTheme="minorHAnsi" w:hAnsiTheme="minorHAnsi"/>
          <w:szCs w:val="24"/>
        </w:rPr>
        <w:t>.</w:t>
      </w:r>
    </w:p>
    <w:p w14:paraId="2F93402E" w14:textId="77777777" w:rsidR="001925CE" w:rsidRPr="000D3432" w:rsidRDefault="001925CE" w:rsidP="00A95498">
      <w:pPr>
        <w:jc w:val="both"/>
        <w:rPr>
          <w:rFonts w:asciiTheme="minorHAnsi" w:hAnsiTheme="minorHAnsi"/>
          <w:szCs w:val="24"/>
        </w:rPr>
      </w:pPr>
    </w:p>
    <w:p w14:paraId="3F11EE1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4.- </w:t>
      </w:r>
      <w:r w:rsidRPr="000D3432">
        <w:rPr>
          <w:rFonts w:asciiTheme="minorHAnsi" w:hAnsiTheme="minorHAnsi"/>
          <w:b/>
          <w:szCs w:val="24"/>
        </w:rPr>
        <w:t>Novelas</w:t>
      </w:r>
      <w:r w:rsidRPr="000D3432">
        <w:rPr>
          <w:rFonts w:asciiTheme="minorHAnsi" w:hAnsiTheme="minorHAnsi"/>
          <w:szCs w:val="24"/>
        </w:rPr>
        <w:t xml:space="preserve">, que es “una colección de constituciones promulgadas por Justiniano después de la entrada en vigencia del </w:t>
      </w:r>
      <w:r w:rsidRPr="000D3432">
        <w:rPr>
          <w:rFonts w:asciiTheme="minorHAnsi" w:hAnsiTheme="minorHAnsi"/>
          <w:i/>
          <w:szCs w:val="24"/>
        </w:rPr>
        <w:t>Corpus</w:t>
      </w:r>
      <w:r w:rsidRPr="000D3432">
        <w:rPr>
          <w:rFonts w:asciiTheme="minorHAnsi" w:hAnsiTheme="minorHAnsi"/>
          <w:szCs w:val="24"/>
        </w:rPr>
        <w:t>”</w:t>
      </w:r>
      <w:r w:rsidRPr="000D3432">
        <w:rPr>
          <w:rStyle w:val="Refdenotaalpie"/>
          <w:rFonts w:asciiTheme="minorHAnsi" w:hAnsiTheme="minorHAnsi"/>
          <w:sz w:val="24"/>
          <w:szCs w:val="24"/>
        </w:rPr>
        <w:footnoteReference w:id="395"/>
      </w:r>
      <w:r w:rsidRPr="000D3432">
        <w:rPr>
          <w:rFonts w:asciiTheme="minorHAnsi" w:hAnsiTheme="minorHAnsi"/>
          <w:szCs w:val="24"/>
        </w:rPr>
        <w:t>. Son también compilaciones.</w:t>
      </w:r>
    </w:p>
    <w:p w14:paraId="2DE6D559" w14:textId="77777777" w:rsidR="001925CE" w:rsidRPr="000D3432" w:rsidRDefault="001925CE" w:rsidP="00A95498">
      <w:pPr>
        <w:jc w:val="both"/>
        <w:rPr>
          <w:rFonts w:asciiTheme="minorHAnsi" w:hAnsiTheme="minorHAnsi"/>
          <w:b/>
          <w:szCs w:val="24"/>
        </w:rPr>
      </w:pPr>
    </w:p>
    <w:p w14:paraId="0B9382A3" w14:textId="77777777" w:rsidR="001925CE" w:rsidRPr="000D3432" w:rsidRDefault="001925CE" w:rsidP="00A95498">
      <w:pPr>
        <w:jc w:val="both"/>
        <w:rPr>
          <w:rFonts w:asciiTheme="minorHAnsi" w:hAnsiTheme="minorHAnsi"/>
          <w:b/>
          <w:szCs w:val="24"/>
        </w:rPr>
      </w:pPr>
    </w:p>
    <w:p w14:paraId="35076FBF" w14:textId="77777777" w:rsidR="001925CE" w:rsidRPr="000D3432" w:rsidRDefault="001925CE" w:rsidP="00A95498">
      <w:pPr>
        <w:jc w:val="both"/>
        <w:rPr>
          <w:rFonts w:asciiTheme="minorHAnsi" w:hAnsiTheme="minorHAnsi"/>
          <w:smallCaps/>
          <w:szCs w:val="24"/>
        </w:rPr>
      </w:pPr>
      <w:r w:rsidRPr="000D3432">
        <w:rPr>
          <w:rFonts w:asciiTheme="minorHAnsi" w:hAnsiTheme="minorHAnsi"/>
          <w:b/>
          <w:smallCaps/>
          <w:szCs w:val="24"/>
        </w:rPr>
        <w:t>Los motivos de Justiniano</w:t>
      </w:r>
      <w:r w:rsidRPr="000D3432">
        <w:rPr>
          <w:rFonts w:asciiTheme="minorHAnsi" w:hAnsiTheme="minorHAnsi"/>
          <w:smallCaps/>
          <w:szCs w:val="24"/>
        </w:rPr>
        <w:t>:</w:t>
      </w:r>
    </w:p>
    <w:p w14:paraId="7956C5A1" w14:textId="77777777" w:rsidR="001925CE" w:rsidRPr="000D3432" w:rsidRDefault="001925CE" w:rsidP="00A95498">
      <w:pPr>
        <w:jc w:val="both"/>
        <w:rPr>
          <w:rFonts w:asciiTheme="minorHAnsi" w:hAnsiTheme="minorHAnsi"/>
          <w:szCs w:val="24"/>
        </w:rPr>
      </w:pPr>
    </w:p>
    <w:p w14:paraId="10E8AA20"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¿Porqué hizo Justiniano estas compilaciones? ¿Qué lo llevó a crear las bases de todo el Derecho occidental?</w:t>
      </w:r>
    </w:p>
    <w:p w14:paraId="48D3522F" w14:textId="77777777" w:rsidR="001925CE" w:rsidRPr="000D3432" w:rsidRDefault="001925CE" w:rsidP="00A95498">
      <w:pPr>
        <w:jc w:val="both"/>
        <w:rPr>
          <w:rFonts w:asciiTheme="minorHAnsi" w:hAnsiTheme="minorHAnsi"/>
          <w:szCs w:val="24"/>
        </w:rPr>
      </w:pPr>
    </w:p>
    <w:p w14:paraId="6E04B6A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Era el siglo VI, cuando el emperador romano Justiniano ordenó la gran recopilación. Y le encargó esta faena al jurista Triboniano, la preparación del histórico </w:t>
      </w:r>
      <w:r w:rsidRPr="000D3432">
        <w:rPr>
          <w:rFonts w:asciiTheme="minorHAnsi" w:hAnsiTheme="minorHAnsi"/>
          <w:i/>
          <w:szCs w:val="24"/>
        </w:rPr>
        <w:t>Corpus Iuris Civilis</w:t>
      </w:r>
      <w:r w:rsidRPr="000D3432">
        <w:rPr>
          <w:rFonts w:asciiTheme="minorHAnsi" w:hAnsiTheme="minorHAnsi"/>
          <w:szCs w:val="24"/>
        </w:rPr>
        <w:t>.</w:t>
      </w:r>
    </w:p>
    <w:p w14:paraId="45DF2B5C" w14:textId="77777777" w:rsidR="001925CE" w:rsidRPr="000D3432" w:rsidRDefault="001925CE" w:rsidP="00A95498">
      <w:pPr>
        <w:jc w:val="both"/>
        <w:rPr>
          <w:rFonts w:asciiTheme="minorHAnsi" w:hAnsiTheme="minorHAnsi"/>
          <w:szCs w:val="24"/>
        </w:rPr>
      </w:pPr>
    </w:p>
    <w:p w14:paraId="1D8F3F6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Y es Merryman</w:t>
      </w:r>
      <w:r w:rsidRPr="000D3432">
        <w:rPr>
          <w:rStyle w:val="Refdenotaalpie"/>
          <w:rFonts w:asciiTheme="minorHAnsi" w:hAnsiTheme="minorHAnsi"/>
          <w:sz w:val="24"/>
          <w:szCs w:val="24"/>
        </w:rPr>
        <w:footnoteReference w:id="396"/>
      </w:r>
      <w:r w:rsidRPr="000D3432">
        <w:rPr>
          <w:rFonts w:asciiTheme="minorHAnsi" w:hAnsiTheme="minorHAnsi"/>
          <w:szCs w:val="24"/>
        </w:rPr>
        <w:t xml:space="preserve"> quien expone los motivos que tuvo Justiniano para ordenar </w:t>
      </w:r>
      <w:r w:rsidRPr="000D3432">
        <w:rPr>
          <w:rFonts w:asciiTheme="minorHAnsi" w:hAnsiTheme="minorHAnsi"/>
          <w:szCs w:val="24"/>
        </w:rPr>
        <w:lastRenderedPageBreak/>
        <w:t>la extraordinaria compilación, que pasaremos a exponer y a citar:</w:t>
      </w:r>
    </w:p>
    <w:p w14:paraId="1B809AEE" w14:textId="77777777" w:rsidR="001925CE" w:rsidRPr="000D3432" w:rsidRDefault="001925CE" w:rsidP="00A95498">
      <w:pPr>
        <w:jc w:val="both"/>
        <w:rPr>
          <w:rFonts w:asciiTheme="minorHAnsi" w:hAnsiTheme="minorHAnsi"/>
          <w:szCs w:val="24"/>
        </w:rPr>
      </w:pPr>
    </w:p>
    <w:p w14:paraId="2FC452A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1 - “Era un reaccionario: consideraba decadente el derecho romano contemporáneo; trataba de rescatar el sistema legal romano de varios siglos de deterioro y devolverle su pureza y su grandeza de otros tiempos”</w:t>
      </w:r>
    </w:p>
    <w:p w14:paraId="19A2F735" w14:textId="77777777" w:rsidR="001925CE" w:rsidRPr="000D3432" w:rsidRDefault="001925CE" w:rsidP="00A95498">
      <w:pPr>
        <w:jc w:val="both"/>
        <w:rPr>
          <w:rFonts w:asciiTheme="minorHAnsi" w:hAnsiTheme="minorHAnsi"/>
          <w:szCs w:val="24"/>
        </w:rPr>
      </w:pPr>
    </w:p>
    <w:p w14:paraId="1BF2646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2.- “Era un codificador: la masa de materiales autorizados y semiautorizados se había vuelto tan grande e incluía tantos refinamientos y puntos de vista diferentes, que Justiniano estimó conveniente eliminar lo que estuviera errado o fuera oscuro o repetitivo; resolver conflictos y dudas y organizar lo que conviniera conservar en alguna forma sistemática. En particular le preocupaba a Justiniano el número, la extensión y la diversidad de los comentarios y tratados escritos por académicos legales (jurisconsultos). Trató de abolir la autoridad de quienes no fuesen los más grandes jurisconsultos del periodo clásico y hacer innecesaria la redacción de más comentarios y tratados.”</w:t>
      </w:r>
      <w:r w:rsidRPr="000D3432">
        <w:rPr>
          <w:rStyle w:val="Refdenotaalpie"/>
          <w:rFonts w:asciiTheme="minorHAnsi" w:hAnsiTheme="minorHAnsi"/>
          <w:sz w:val="24"/>
          <w:szCs w:val="24"/>
        </w:rPr>
        <w:footnoteReference w:id="397"/>
      </w:r>
    </w:p>
    <w:p w14:paraId="3D019296" w14:textId="77777777" w:rsidR="001925CE" w:rsidRPr="000D3432" w:rsidRDefault="001925CE" w:rsidP="00A95498">
      <w:pPr>
        <w:jc w:val="both"/>
        <w:rPr>
          <w:rFonts w:asciiTheme="minorHAnsi" w:hAnsiTheme="minorHAnsi"/>
          <w:szCs w:val="24"/>
        </w:rPr>
      </w:pPr>
    </w:p>
    <w:p w14:paraId="00616AEC" w14:textId="77777777" w:rsidR="001925CE" w:rsidRPr="000D3432" w:rsidRDefault="001925CE" w:rsidP="00A95498">
      <w:pPr>
        <w:rPr>
          <w:rFonts w:asciiTheme="minorHAnsi" w:hAnsiTheme="minorHAnsi"/>
          <w:szCs w:val="24"/>
          <w:lang w:val="es-MX"/>
        </w:rPr>
      </w:pPr>
      <w:r w:rsidRPr="000D3432">
        <w:rPr>
          <w:rFonts w:asciiTheme="minorHAnsi" w:hAnsiTheme="minorHAnsi"/>
          <w:b/>
          <w:szCs w:val="24"/>
          <w:lang w:val="es-MX"/>
        </w:rPr>
        <w:t>TEODORA SEGÚN PROCOPIO: DE CORTESANA A EMPERATRIZ</w:t>
      </w:r>
    </w:p>
    <w:p w14:paraId="344F9ED3" w14:textId="77777777" w:rsidR="001925CE" w:rsidRPr="000D3432" w:rsidRDefault="001925CE" w:rsidP="00A95498">
      <w:pPr>
        <w:jc w:val="both"/>
        <w:rPr>
          <w:rFonts w:asciiTheme="minorHAnsi" w:hAnsiTheme="minorHAnsi"/>
          <w:szCs w:val="24"/>
          <w:lang w:val="es-MX"/>
        </w:rPr>
      </w:pPr>
      <w:r w:rsidRPr="000D3432">
        <w:rPr>
          <w:rFonts w:asciiTheme="minorHAnsi" w:hAnsiTheme="minorHAnsi"/>
          <w:szCs w:val="24"/>
          <w:lang w:val="es-MX"/>
        </w:rPr>
        <w:t>(Este texto ha sido extraído de internet)</w:t>
      </w:r>
    </w:p>
    <w:p w14:paraId="6D8CDC3E" w14:textId="77777777" w:rsidR="001925CE" w:rsidRPr="000D3432" w:rsidRDefault="001925CE" w:rsidP="00A95498">
      <w:pPr>
        <w:jc w:val="both"/>
        <w:rPr>
          <w:rFonts w:asciiTheme="minorHAnsi" w:hAnsiTheme="minorHAnsi"/>
          <w:szCs w:val="24"/>
          <w:lang w:val="es-MX"/>
        </w:rPr>
      </w:pPr>
    </w:p>
    <w:p w14:paraId="4FEA2BB6" w14:textId="77777777" w:rsidR="001925CE" w:rsidRPr="000D3432" w:rsidRDefault="001925CE" w:rsidP="00A95498">
      <w:pPr>
        <w:jc w:val="both"/>
        <w:rPr>
          <w:rFonts w:asciiTheme="minorHAnsi" w:hAnsiTheme="minorHAnsi"/>
          <w:szCs w:val="24"/>
          <w:lang w:val="es-MX"/>
        </w:rPr>
      </w:pPr>
      <w:r w:rsidRPr="000D3432">
        <w:rPr>
          <w:rFonts w:asciiTheme="minorHAnsi" w:hAnsiTheme="minorHAnsi"/>
          <w:b/>
          <w:szCs w:val="24"/>
          <w:lang w:val="es-MX"/>
        </w:rPr>
        <w:t xml:space="preserve">Procopio de Cesarea (¿490?- 562) </w:t>
      </w:r>
      <w:r w:rsidRPr="000D3432">
        <w:rPr>
          <w:rFonts w:asciiTheme="minorHAnsi" w:hAnsiTheme="minorHAnsi"/>
          <w:szCs w:val="24"/>
          <w:lang w:val="es-MX"/>
        </w:rPr>
        <w:t>ha sido descrito como el último de los historiadores clásicos y el primero de los bizantinos. Su obra resulta fundamental para conocer losavatares del reinado de Justiniano (527-565) y de la sociedad bizantina de su tiempo. Secretario del general Belisario, y muy posiblemente prefecto de Constantinopla en 562-3, Procopio nos dejó un detallado relato en ocho libros de las guerras de reconquista en Occidente (</w:t>
      </w:r>
      <w:r w:rsidRPr="000D3432">
        <w:rPr>
          <w:rFonts w:asciiTheme="minorHAnsi" w:hAnsiTheme="minorHAnsi"/>
          <w:i/>
          <w:szCs w:val="24"/>
          <w:lang w:val="es-MX"/>
        </w:rPr>
        <w:t>Polemon</w:t>
      </w:r>
      <w:r w:rsidRPr="000D3432">
        <w:rPr>
          <w:rFonts w:asciiTheme="minorHAnsi" w:hAnsiTheme="minorHAnsi"/>
          <w:szCs w:val="24"/>
          <w:lang w:val="es-MX"/>
        </w:rPr>
        <w:t xml:space="preserve"> o </w:t>
      </w:r>
      <w:r w:rsidRPr="000D3432">
        <w:rPr>
          <w:rFonts w:asciiTheme="minorHAnsi" w:hAnsiTheme="minorHAnsi"/>
          <w:i/>
          <w:szCs w:val="24"/>
          <w:lang w:val="es-MX"/>
        </w:rPr>
        <w:t>Historia de las Guerras</w:t>
      </w:r>
      <w:r w:rsidRPr="000D3432">
        <w:rPr>
          <w:rFonts w:asciiTheme="minorHAnsi" w:hAnsiTheme="minorHAnsi"/>
          <w:szCs w:val="24"/>
          <w:lang w:val="es-MX"/>
        </w:rPr>
        <w:t xml:space="preserve">) y una brillante tratado en seis libros sobre la política de construcciones públicas de Justiniano titulado </w:t>
      </w:r>
      <w:r w:rsidRPr="000D3432">
        <w:rPr>
          <w:rFonts w:asciiTheme="minorHAnsi" w:hAnsiTheme="minorHAnsi"/>
          <w:i/>
          <w:szCs w:val="24"/>
          <w:lang w:val="es-MX"/>
        </w:rPr>
        <w:t>Peri Ktismaton</w:t>
      </w:r>
      <w:r w:rsidRPr="000D3432">
        <w:rPr>
          <w:rFonts w:asciiTheme="minorHAnsi" w:hAnsiTheme="minorHAnsi"/>
          <w:szCs w:val="24"/>
          <w:lang w:val="es-MX"/>
        </w:rPr>
        <w:t xml:space="preserve">o o </w:t>
      </w:r>
      <w:r w:rsidRPr="000D3432">
        <w:rPr>
          <w:rFonts w:asciiTheme="minorHAnsi" w:hAnsiTheme="minorHAnsi"/>
          <w:i/>
          <w:szCs w:val="24"/>
          <w:lang w:val="es-MX"/>
        </w:rPr>
        <w:t xml:space="preserve">Sobre las construcciones </w:t>
      </w:r>
      <w:r w:rsidRPr="000D3432">
        <w:rPr>
          <w:rFonts w:asciiTheme="minorHAnsi" w:hAnsiTheme="minorHAnsi"/>
          <w:szCs w:val="24"/>
          <w:lang w:val="es-MX"/>
        </w:rPr>
        <w:t xml:space="preserve">(561). Pero la más fascinante y peculiar de sus obras es la conocida como </w:t>
      </w:r>
      <w:r w:rsidRPr="000D3432">
        <w:rPr>
          <w:rFonts w:asciiTheme="minorHAnsi" w:hAnsiTheme="minorHAnsi"/>
          <w:i/>
          <w:szCs w:val="24"/>
          <w:lang w:val="es-MX"/>
        </w:rPr>
        <w:t xml:space="preserve">Anecdota </w:t>
      </w:r>
      <w:r w:rsidRPr="000D3432">
        <w:rPr>
          <w:rFonts w:asciiTheme="minorHAnsi" w:hAnsiTheme="minorHAnsi"/>
          <w:szCs w:val="24"/>
          <w:lang w:val="es-MX"/>
        </w:rPr>
        <w:t xml:space="preserve">o </w:t>
      </w:r>
      <w:r w:rsidRPr="000D3432">
        <w:rPr>
          <w:rFonts w:asciiTheme="minorHAnsi" w:hAnsiTheme="minorHAnsi"/>
          <w:i/>
          <w:szCs w:val="24"/>
          <w:lang w:val="es-MX"/>
        </w:rPr>
        <w:t>Historia Secreta</w:t>
      </w:r>
      <w:r w:rsidRPr="000D3432">
        <w:rPr>
          <w:rFonts w:asciiTheme="minorHAnsi" w:hAnsiTheme="minorHAnsi"/>
          <w:szCs w:val="24"/>
          <w:lang w:val="es-MX"/>
        </w:rPr>
        <w:t xml:space="preserve">, escrita con toda probabilidad hacia 550 y publicada después de su muerte. En </w:t>
      </w:r>
      <w:r w:rsidRPr="000D3432">
        <w:rPr>
          <w:rFonts w:asciiTheme="minorHAnsi" w:hAnsiTheme="minorHAnsi"/>
          <w:i/>
          <w:szCs w:val="24"/>
          <w:lang w:val="es-MX"/>
        </w:rPr>
        <w:t>Anecdota</w:t>
      </w:r>
      <w:r w:rsidRPr="000D3432">
        <w:rPr>
          <w:rFonts w:asciiTheme="minorHAnsi" w:hAnsiTheme="minorHAnsi"/>
          <w:szCs w:val="24"/>
          <w:lang w:val="es-MX"/>
        </w:rPr>
        <w:t xml:space="preserve">, Procopio lanza un descarnado ataque contra la imperial pareja que formaban Justiniano y Teodora, a los que acusa de todos los males que sufría el Imperio, y fue especialmente duro con la emperatriz, descrita como una ambiciosa ninfómana sin escrúpulos. </w:t>
      </w:r>
    </w:p>
    <w:p w14:paraId="659BC240" w14:textId="77777777" w:rsidR="001925CE" w:rsidRPr="000D3432" w:rsidRDefault="001925CE" w:rsidP="00A95498">
      <w:pPr>
        <w:jc w:val="both"/>
        <w:rPr>
          <w:rFonts w:asciiTheme="minorHAnsi" w:hAnsiTheme="minorHAnsi"/>
          <w:szCs w:val="24"/>
          <w:lang w:val="es-MX"/>
        </w:rPr>
      </w:pPr>
    </w:p>
    <w:p w14:paraId="237808FD" w14:textId="77777777" w:rsidR="001925CE" w:rsidRPr="000D3432" w:rsidRDefault="001925CE" w:rsidP="00A95498">
      <w:pPr>
        <w:jc w:val="both"/>
        <w:rPr>
          <w:rFonts w:asciiTheme="minorHAnsi" w:hAnsiTheme="minorHAnsi"/>
          <w:szCs w:val="24"/>
          <w:lang w:val="es-MX"/>
        </w:rPr>
      </w:pPr>
      <w:r w:rsidRPr="000D3432">
        <w:rPr>
          <w:rFonts w:asciiTheme="minorHAnsi" w:hAnsiTheme="minorHAnsi"/>
          <w:szCs w:val="24"/>
          <w:lang w:val="es-MX"/>
        </w:rPr>
        <w:t xml:space="preserve">Reproducimos a continuación la totalidad del capítulo IX y parte del X de </w:t>
      </w:r>
      <w:r w:rsidRPr="000D3432">
        <w:rPr>
          <w:rFonts w:asciiTheme="minorHAnsi" w:hAnsiTheme="minorHAnsi"/>
          <w:i/>
          <w:szCs w:val="24"/>
          <w:lang w:val="es-MX"/>
        </w:rPr>
        <w:t xml:space="preserve">Historia Secreta. </w:t>
      </w:r>
      <w:r w:rsidRPr="000D3432">
        <w:rPr>
          <w:rFonts w:asciiTheme="minorHAnsi" w:hAnsiTheme="minorHAnsi"/>
          <w:szCs w:val="24"/>
          <w:lang w:val="es-MX"/>
        </w:rPr>
        <w:t xml:space="preserve">Estos son, según Procopio, los oscuros y escandalosos orígenes de la emperatriz Teodora. </w:t>
      </w:r>
    </w:p>
    <w:p w14:paraId="4EFD8F6D" w14:textId="77777777" w:rsidR="001925CE" w:rsidRPr="000D3432" w:rsidRDefault="001925CE" w:rsidP="00A95498">
      <w:pPr>
        <w:jc w:val="both"/>
        <w:rPr>
          <w:rFonts w:asciiTheme="minorHAnsi" w:hAnsiTheme="minorHAnsi"/>
          <w:i/>
          <w:szCs w:val="24"/>
          <w:lang w:val="es-MX"/>
        </w:rPr>
      </w:pPr>
    </w:p>
    <w:p w14:paraId="7074274E" w14:textId="77777777" w:rsidR="001925CE" w:rsidRPr="000D3432" w:rsidRDefault="001925CE" w:rsidP="00A95498">
      <w:pPr>
        <w:jc w:val="both"/>
        <w:rPr>
          <w:rFonts w:asciiTheme="minorHAnsi" w:hAnsiTheme="minorHAnsi"/>
          <w:i/>
          <w:szCs w:val="24"/>
          <w:lang w:val="es-MX"/>
        </w:rPr>
      </w:pPr>
    </w:p>
    <w:p w14:paraId="3314CBF4" w14:textId="77777777" w:rsidR="001925CE" w:rsidRPr="000D3432" w:rsidRDefault="001925CE" w:rsidP="00A95498">
      <w:pPr>
        <w:jc w:val="both"/>
        <w:rPr>
          <w:rFonts w:asciiTheme="minorHAnsi" w:hAnsiTheme="minorHAnsi"/>
          <w:b/>
          <w:szCs w:val="24"/>
          <w:lang w:val="es-MX"/>
        </w:rPr>
      </w:pPr>
      <w:r w:rsidRPr="000D3432">
        <w:rPr>
          <w:rFonts w:asciiTheme="minorHAnsi" w:hAnsiTheme="minorHAnsi"/>
          <w:b/>
          <w:szCs w:val="24"/>
          <w:lang w:val="es-MX"/>
        </w:rPr>
        <w:t xml:space="preserve">DE CÓMO TEODORA, LA MÁS DEPRAVADA DE TODAS LAS CORTESANAS, GANÓ SU AMOR </w:t>
      </w:r>
    </w:p>
    <w:p w14:paraId="3FE129C8" w14:textId="77777777" w:rsidR="001925CE" w:rsidRPr="000D3432" w:rsidRDefault="001925CE" w:rsidP="00A95498">
      <w:pPr>
        <w:jc w:val="both"/>
        <w:rPr>
          <w:rFonts w:asciiTheme="minorHAnsi" w:hAnsiTheme="minorHAnsi"/>
          <w:szCs w:val="24"/>
          <w:lang w:val="es-MX"/>
        </w:rPr>
      </w:pPr>
    </w:p>
    <w:p w14:paraId="3C0CA4D7"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«[Justiniano] tomó una esposa de cuyos orígenes y oficio hablaré ahora, así como del modo en que, unida en matrimonio a este hombre, socavó hasta los cimientos el Imperio Romano. </w:t>
      </w:r>
    </w:p>
    <w:p w14:paraId="4C1C9503"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lastRenderedPageBreak/>
        <w:t xml:space="preserve">Acacio era el encargado de cuidar las bestias salvajes del circo de Constantinopla; pertenecía a la facción de los Verdes y era apodado “el guardián de los osos”. Este hombre, durante el reinado del emperador Anastasio, enfermó y murió dejando tres hijas: Comito, Teodora y Anastasia, de las cuales la mayor no tenía todavía siete años de edad. Su viuda tomó un segundo marido para que tomase a su cargo el cuidado de la familia y el oficio de Acacio. Pero Asterio, jefe de los Verdes, habiendo sido sobornado por otro, quiso que abandonaran el puesto y que lo ejerciera el que le dio el dinero. Y esto porque tenía la potestad de distribuir tales cargos a su antojo. </w:t>
      </w:r>
    </w:p>
    <w:p w14:paraId="7F8D63CF"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Entonces, cuando la madre vio al populacho reunido en el circo, puso unas guirnaldas de laurel en las cabezas y en las manos de sus hijas y las hizo sentarse en el suelo en actitud suplicante. Los Verdes contemplaron esta muda súplica con indiferencia, pero los Azules se sintieron impelidos a dar a la familia idéntico oficio, ya que su encargado de los animales acababa de morir. </w:t>
      </w:r>
    </w:p>
    <w:p w14:paraId="6E3B0697"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Cuando las niñas llegaron a la pubertad, su madre las hizo salir a la escena, puesto que todas ellas eran hermosas; mandó a las cuatro, pero no a todas al mismo tiempo, sino cuando le pareció que cada una había alcanzado una edad apropiada. Comito, de hecho, ya había llegado a ser una de las heteras </w:t>
      </w:r>
      <w:r w:rsidRPr="000D3432">
        <w:rPr>
          <w:rFonts w:asciiTheme="minorHAnsi" w:hAnsiTheme="minorHAnsi"/>
          <w:szCs w:val="24"/>
          <w:u w:val="single"/>
          <w:lang w:val="es-MX"/>
        </w:rPr>
        <w:t xml:space="preserve">[1] </w:t>
      </w:r>
      <w:r w:rsidRPr="000D3432">
        <w:rPr>
          <w:rFonts w:asciiTheme="minorHAnsi" w:hAnsiTheme="minorHAnsi"/>
          <w:szCs w:val="24"/>
          <w:lang w:val="es-MX"/>
        </w:rPr>
        <w:t xml:space="preserve">más famosas de aquellos días. </w:t>
      </w:r>
    </w:p>
    <w:p w14:paraId="6978BB93"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Teodora, la segunda en edad, vestida con una pequeña túnica con mangas, como las que suelen llevar las jóvenes esclavas, servía a Comito y solía seguirla cargando con una banqueta en la que su hermana predilecta se sentaba en las reuniones públicas. Entonces, Teodora era demasiado joven para conocer la normal relación de un hombre con una doncella, pero ya consentía con el antinatural comportamiento de los infames esclavos que, tras acompañar a sus amos al teatro, empleaban su tiempo libre en indignos actos. Y durante algún tiempo, ella conoció tales malos usos en un burdel. </w:t>
      </w:r>
      <w:r w:rsidRPr="000D3432">
        <w:rPr>
          <w:rFonts w:asciiTheme="minorHAnsi" w:hAnsiTheme="minorHAnsi"/>
          <w:szCs w:val="24"/>
          <w:u w:val="single"/>
          <w:lang w:val="es-MX"/>
        </w:rPr>
        <w:t>[2]</w:t>
      </w:r>
    </w:p>
    <w:p w14:paraId="57C0E5D2"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Pero tan pronto como alcanzó la adolescencia y estuvo lista para el mundo, su madre la hizo salir a escena. Enseguida se convirtió en una cortesana, tal y como los antiguos griegos solían llamar a las más vulgares furcias: ella no tocaba la flauta o el arpa, ni siquiera se preparó para la danza, sino que sólo entregaba su juventud a cualquiera que encontrase, en completo abandono. Sus favores incluían, por supuesto, a los actores en el teatro, y en sus espectáculos ella participaba en las más vulgares escenas de las comedias. Puesto que era graciosa y buena mimo</w:t>
      </w:r>
      <w:r w:rsidRPr="000D3432">
        <w:rPr>
          <w:rFonts w:asciiTheme="minorHAnsi" w:hAnsiTheme="minorHAnsi"/>
          <w:szCs w:val="24"/>
          <w:u w:val="single"/>
          <w:lang w:val="es-MX"/>
        </w:rPr>
        <w:t xml:space="preserve">[3], </w:t>
      </w:r>
      <w:r w:rsidRPr="000D3432">
        <w:rPr>
          <w:rFonts w:asciiTheme="minorHAnsi" w:hAnsiTheme="minorHAnsi"/>
          <w:szCs w:val="24"/>
          <w:lang w:val="es-MX"/>
        </w:rPr>
        <w:t xml:space="preserve">enseguida llegó a ser popular en este arte. No tenía pudor alguno, y nadie la vio nunca avergonzada. Ningún papel era demasiado escandaloso para ella, aceptándolos todos sin sonrojo. </w:t>
      </w:r>
    </w:p>
    <w:p w14:paraId="1E3D86F4"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Era el tipo de comediante que regocijaba al público dejándose pegar y abofetear, y le hacía dar grandes risotadas al levantarse la falda y mostrar a los espectadores aquellos secretos femeninos que las buenas costumbres ocultan a los ojos del sexo opuesto. Con aparente indolencia ridiculizaba a sus amantes y adoptaba coquetamente nuevas formas de abrazo. Era capaz de mantener en un constante estado de confusión los corazones de los afectados. Y ella no esperaba las propuestas de cualquiera que se encontrase, sino que, al contrario, con chistes provocativos y graciosos movimientos de sus faldas, tentaba a todos los hombres con los que se cruzaba, especialmente a los adolescentes. </w:t>
      </w:r>
    </w:p>
    <w:p w14:paraId="396EF411"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En el campo del placer nunca tuvo bastante. Con frecuencia solía organizar orgías con diez o más hombres jóvenes, en la cima de su fuerza y </w:t>
      </w:r>
      <w:r w:rsidRPr="000D3432">
        <w:rPr>
          <w:rFonts w:asciiTheme="minorHAnsi" w:hAnsiTheme="minorHAnsi"/>
          <w:szCs w:val="24"/>
          <w:lang w:val="es-MX"/>
        </w:rPr>
        <w:lastRenderedPageBreak/>
        <w:t xml:space="preserve">virilidad, y jugaba con ellos durante toda la noche. Y cuando ellos se agotaban, ella se acercaba a sus sirvientes, quizás treinta en número, y tenía un encuentro con cada uno de ellos, e incluso así no saciaba su ansia. Cuentan que una vez, visitando la casa de un ilustre caballero, se sentó en el borde de un diván, se levantó el vestido sin ningún rubor y así mostró descuidadamente su lascivia. Y aunque en tres ocasiones abrió de par en par las puertas a los embajadores de Cupido, se lamentaba de que la naturaleza no la hubiese liberado del mismo modo las ataduras de su corazón, para que ella pudiera haber dado una adecuada bienvenida a sus emisarios. </w:t>
      </w:r>
    </w:p>
    <w:p w14:paraId="7095F735"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Muchas veces quedó embarazada, pero como empleaba todos los trucos conocidos, enseguida se producía un aborto. Frecuentemente, en el teatro, a la vista de todo el mundo, se quitaba la ropa y se mostraba desnuda, excepto por una cinta de tela que llevaba a modo de taparrabos; y no porque ella se avergonzase de mostrárselo todo al público, sino porque había una ley que prohibía aparecer en completa desnudez sobre el escenario. Cubierta así con el cordoncillo, sin que su pequeñez importase demasiado, ella se echaba sobre el suelo y se recostaba sobre su espalda; entonces unos esclavos encargados de la tarea, esparcían granos de cebada sobre su sexo, donde unos gansos entrenados para tal propósito picaban los granos uno por uno y los comían. Cuando se levantaba no mostraba turbación alguna, sino que parecía orgullosa de la actuación, porque no era sólo atrevida, sino que superaba a todos los demás en audacia. Frecuentemente, cuando estaba asolas con otros actores, se desnudaba y contoneaba provocadoramente, pavoneándose tanto ante aquellos que la conocían íntimamente como ante los que aún no habían disfrutado de tal privilegio. </w:t>
      </w:r>
    </w:p>
    <w:p w14:paraId="44398D96"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Tal era su perversidad que ella no sólo no ocultaba ciertas partes de su cuerpo, como hacen las demás mujeres, sino que las mostraba. Así, aquellos que la frecuentaban eran enseguida señalados como pervertidos, y cualquier hombre respetable que coincidiese con ella en el Foro la evitaba y se apartaba rápidamente de ella, para que ni siquiera el borde de su manto no tocase a tal criatura, pues podría pensarse que compartía su corrupción. Y así era que todos los que la veían, especialmente al alba, la consideraban pájaro de mal agüero. Y con las demás actrices era tan peligrosa como un escorpión, pues era en extremo malévola. </w:t>
      </w:r>
    </w:p>
    <w:p w14:paraId="6EF98B88"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Más adelante se juntó con Hecebolo, un tirio que había sido nombrado gobernador de Pentápolis, y le sirvió de la forma más vil. Pero al final se pelearon y él terminó por echarla. En consecuencia, se vio desprovista de medios para sobrevivir, así que volvió a ejercer la prostitución, tal y como hacía antes de tener aquella aventura. Marchó primero a Alejandría, recorrió después todo el Oriente y por último regresó a Constantinopla, ejerciendo en todas partes aquel arte -cuyo nombre ni siquiera debe ser pensado delante de Dios- como si el Demonio estuviese decidido a que no quedase ninguna región de la tierra que no conociese los pecados de Teodora. </w:t>
      </w:r>
    </w:p>
    <w:p w14:paraId="766ACAA7"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Así fue el origen y oficio de esta mujer, y con su nombre fueron conocidas todas las demás jóvenes prostitutas en todas las lenguas del mundo. </w:t>
      </w:r>
    </w:p>
    <w:p w14:paraId="79ED5862"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Pero cuando ella regresó a Constantinopla, Justiniano quedó perdidamente enamorado de ella. Al principio la tuvo como concubina, aunque la elevó al rango patricio. Gracias a él, Teodora pudo adquirir rápidamente un </w:t>
      </w:r>
      <w:r w:rsidRPr="000D3432">
        <w:rPr>
          <w:rFonts w:asciiTheme="minorHAnsi" w:hAnsiTheme="minorHAnsi"/>
          <w:szCs w:val="24"/>
          <w:lang w:val="es-MX"/>
        </w:rPr>
        <w:lastRenderedPageBreak/>
        <w:t xml:space="preserve">gran poder e ingentes riquezas. Para él, [Teodora] era la cosa más dulce del mundo y, como todos los enamorados, deseaba agradar a su hechicera con todos los favores posibles y gratificarla con toda profusión, pues el derroche añadía leña al fuego de su pasión. Con ella ayudándole a gastar el dinero, exprimió al pueblo más que nunca, no sólo en la capital, sino en todo el Imperio Romano. Y como ambos pertenecían a los Azules, dieron a esta facción casi completo control sobre los asuntos de Estado. Y fue poco después cuando pudieron comprobarse las negativas consecuencias de esta conducta. </w:t>
      </w:r>
    </w:p>
    <w:p w14:paraId="2164A136"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Justiniano estuvo enfermo varios días, y su vida estuvo en tal peligro que incluso se dijo que había muerto. Y los Azules, que habían estado cometiendo todo tipo de atropellos, como ya he mencionado, llegaron tan lejos que asesinaron en pleno día en la iglesia de Santa Sofía a Hipatio, un caballero de no poca importancia. El grito de horror por este crimen llegó a los oídos del emperador, y todos los que lo rodeaban vieron la oportunidad de denunciar el desorden en el que estaban cayendo los asuntos públicos en ausencia de Justiniano, y enumeraron todos los abusos que se habían estado cometiendo. Entonces el emperador ordenó al prefecto de la ciudad que castigase tales delitos. Este hombre se llamaba Teodoto, apodado 'la Calabaza'. Él realizó una minuciosa investigación y pudo detener a muchos de los culpables y condenarlos a muerte, aunque muchos otros no fueron encontrados y escaparon. Estaban destinados a perecer más tarde, junto con el Imperio Romano. </w:t>
      </w:r>
    </w:p>
    <w:p w14:paraId="2C8966F7"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Justiniano, inesperadamente restablecido, enseguida intentó ejecutar a Teodoto acusándole de envenenador y mago. Pero como no tenía pruebas para condenarle, torturó a sus amigos hasta que pronunciaron las palabras que podían injustamente arruinarle. Y cuando todos callaban y sólo en silencio lamentaban la conjura contra Teodoto, un hombre, Proclo el Cuestor, se atrevió a decir abiertamente que el acusado era inocente de los cargos esgrimidos contra él, y que de ninguna manera merecía la muerte. Gracias a él, el emperador consintió que Teodoto fuese desterrado a Jerusalén, pero allí [Teodoto] descubrió que habían sido enviados hombres para que lo eliminaran, así que se refugió en la iglesia durante el resto de su vida. Y éste fue el destino de Teodoto. </w:t>
      </w:r>
    </w:p>
    <w:p w14:paraId="2E3FDD1C"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Pero después de esto, los Azules se convirtieron en los más prudentes de los hombres, porque no se arriesgaron a continuar sus crímenes, aunque podrían haberlos cometido más fácilmente que antes. Y la prueba de esto es que, más adelante, cuando algunos de ellos mostraron tal decisión, ningún castigo cayó sobre ellos. Porque aquellos que tenían el poder para castigar, siempre daban a aquellos bribones tiempo para escapar, animando así tácitamente al resto a que pisotearan las leyes. </w:t>
      </w:r>
    </w:p>
    <w:p w14:paraId="63124AAB" w14:textId="77777777" w:rsidR="001925CE" w:rsidRPr="000D3432" w:rsidRDefault="001925CE" w:rsidP="00A95498">
      <w:pPr>
        <w:jc w:val="both"/>
        <w:rPr>
          <w:rFonts w:asciiTheme="minorHAnsi" w:hAnsiTheme="minorHAnsi"/>
          <w:szCs w:val="24"/>
          <w:lang w:val="es-MX"/>
        </w:rPr>
      </w:pPr>
    </w:p>
    <w:p w14:paraId="4FC7779C" w14:textId="77777777" w:rsidR="001925CE" w:rsidRPr="000D3432" w:rsidRDefault="001925CE" w:rsidP="00A95498">
      <w:pPr>
        <w:jc w:val="both"/>
        <w:rPr>
          <w:rFonts w:asciiTheme="minorHAnsi" w:hAnsiTheme="minorHAnsi"/>
          <w:b/>
          <w:szCs w:val="24"/>
          <w:lang w:val="es-MX"/>
        </w:rPr>
      </w:pPr>
      <w:r w:rsidRPr="000D3432">
        <w:rPr>
          <w:rFonts w:asciiTheme="minorHAnsi" w:hAnsiTheme="minorHAnsi"/>
          <w:b/>
          <w:szCs w:val="24"/>
          <w:lang w:val="es-MX"/>
        </w:rPr>
        <w:t xml:space="preserve">DE CÓMO JUSTINIANO CREÓ UNA NUEVA LEY PARA PODER CASARSE CON UNA CORTESANA </w:t>
      </w:r>
    </w:p>
    <w:p w14:paraId="32446E52" w14:textId="77777777" w:rsidR="001925CE" w:rsidRPr="000D3432" w:rsidRDefault="001925CE" w:rsidP="00A95498">
      <w:pPr>
        <w:jc w:val="both"/>
        <w:rPr>
          <w:rFonts w:asciiTheme="minorHAnsi" w:hAnsiTheme="minorHAnsi"/>
          <w:szCs w:val="24"/>
          <w:lang w:val="es-MX"/>
        </w:rPr>
      </w:pPr>
    </w:p>
    <w:p w14:paraId="064900AE"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Mientras vivió la anterior emperatriz </w:t>
      </w:r>
      <w:r w:rsidRPr="000D3432">
        <w:rPr>
          <w:rFonts w:asciiTheme="minorHAnsi" w:hAnsiTheme="minorHAnsi"/>
          <w:szCs w:val="24"/>
          <w:u w:val="single"/>
          <w:lang w:val="es-MX"/>
        </w:rPr>
        <w:t>[4]</w:t>
      </w:r>
      <w:r w:rsidRPr="000D3432">
        <w:rPr>
          <w:rFonts w:asciiTheme="minorHAnsi" w:hAnsiTheme="minorHAnsi"/>
          <w:szCs w:val="24"/>
          <w:lang w:val="es-MX"/>
        </w:rPr>
        <w:t xml:space="preserve">, Justiniano fue incapaz de encontrar el modo de convertir a Teodora en su esposa. En este asunto, ella [la emperatriz] se oponía a sus deseos como en ningún otro, ya que aborrecía el vicio. Siendo como eran sus orígenes bárbaros y rústicos, nunca fue capaz de </w:t>
      </w:r>
      <w:r w:rsidRPr="000D3432">
        <w:rPr>
          <w:rFonts w:asciiTheme="minorHAnsi" w:hAnsiTheme="minorHAnsi"/>
          <w:szCs w:val="24"/>
          <w:lang w:val="es-MX"/>
        </w:rPr>
        <w:lastRenderedPageBreak/>
        <w:t xml:space="preserve">hacer nada realmente útil debido a su completa ignorancia de los asuntos de estado, y cuando subió al trono abandonó su nombre original, pues temía que el pueblo lo encontrase ridículo, y adoptó el de Eufemia. Pero, finalmente, con su muerte desapareció el obstáculo para los deseos de Justiniano. </w:t>
      </w:r>
    </w:p>
    <w:p w14:paraId="39ABD23A"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Justino, ya absolutamente senil, era la risión de sus súbditos. Era despreciado por todo el mundo debido a su incapacidad para vigilar los asuntos estatales, pero todos ellos sirvieron a Justiniano con un temor considerable. Su mano estaba en todo, y su pasión para el alboroto creó la consternación universal. </w:t>
      </w:r>
    </w:p>
    <w:p w14:paraId="0FACCBB2"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Fue entonces cuando intentó celebrar su matrimonio con Teodora. Pero como era imposible para un hombre de rango senatorial tomar como esposa a una cortesana, porque estaba prohibido por una antigua ley, [Justiniano] hizo que el Emperador anulase esta ordenanza dictando una nueva que le permitiese casarse con Teodora, y posibilitando con ello que cualquier otro pudiera desposar a una cortesana. Inmediatamente después, tomó el poder, ocultando su usurpación con un vano pretexto, porque fue proclamado coemperador con la cuestionable legalidad de una una elección inspirada por el terror. </w:t>
      </w:r>
    </w:p>
    <w:p w14:paraId="730F3038"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Así Justiniano y Teodora ascendieron el trono imperial tres días antes de Pascua, una fecha, por cierto, en la que incluso hacer visitas de cortesía o recibir a los amigos está prohibido. Y no muchos días después Justino murió a causa de una enfermedad, tras un reinado de nueve años. Justiniano era ahora el único monarca junto, claro, a Teodora. </w:t>
      </w:r>
    </w:p>
    <w:p w14:paraId="28B9DC44"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t xml:space="preserve">Así fue como Teodora, aunque nacida y crecida como he contado, se elevó a la dignidad imperial a pesar de todos los obstáculos. Ningún sentimiento de vergüenza tuvo Justiniano al casarse con ella, a pesar de que podía haber escogido esposa de entre las más nobles, mejor educadas, más modestas, bien cuidadas, virtuosas y bellas doncellas de todo el Imperio Romano; una dama, como suele decirse, de pecho honrado. En cambio, él prefirió poseer una que había sido compartida por todos los hombres, e indiferente a todo lo que se sabía de ella, tomó en matrimonio a una mujer que no sólo había participado en todo tipo de corrupciones, sino que además alardeaba de sus muchos abortos. […]» </w:t>
      </w:r>
    </w:p>
    <w:p w14:paraId="7D43E35B" w14:textId="77777777" w:rsidR="001925CE" w:rsidRPr="000D3432" w:rsidRDefault="001925CE" w:rsidP="00A95498">
      <w:pPr>
        <w:ind w:firstLine="708"/>
        <w:jc w:val="both"/>
        <w:rPr>
          <w:rFonts w:asciiTheme="minorHAnsi" w:hAnsiTheme="minorHAnsi"/>
          <w:szCs w:val="24"/>
          <w:lang w:val="es-MX"/>
        </w:rPr>
      </w:pPr>
      <w:r w:rsidRPr="000D3432">
        <w:rPr>
          <w:rFonts w:asciiTheme="minorHAnsi" w:hAnsiTheme="minorHAnsi"/>
          <w:szCs w:val="24"/>
          <w:lang w:val="es-MX"/>
        </w:rPr>
        <w:br/>
      </w:r>
    </w:p>
    <w:p w14:paraId="30762547" w14:textId="77777777" w:rsidR="001925CE" w:rsidRPr="000D3432" w:rsidRDefault="001925CE" w:rsidP="00A95498">
      <w:pPr>
        <w:jc w:val="both"/>
        <w:rPr>
          <w:rFonts w:asciiTheme="minorHAnsi" w:hAnsiTheme="minorHAnsi"/>
          <w:szCs w:val="24"/>
          <w:lang w:val="es-MX"/>
        </w:rPr>
      </w:pPr>
      <w:r w:rsidRPr="000D3432">
        <w:rPr>
          <w:rFonts w:asciiTheme="minorHAnsi" w:hAnsiTheme="minorHAnsi"/>
          <w:b/>
          <w:szCs w:val="24"/>
          <w:lang w:val="es-MX"/>
        </w:rPr>
        <w:t>Notas:</w:t>
      </w:r>
    </w:p>
    <w:p w14:paraId="3F80DB27" w14:textId="77777777" w:rsidR="001925CE" w:rsidRPr="000D3432" w:rsidRDefault="001925CE" w:rsidP="00A95498">
      <w:pPr>
        <w:jc w:val="both"/>
        <w:rPr>
          <w:rFonts w:asciiTheme="minorHAnsi" w:hAnsiTheme="minorHAnsi"/>
          <w:szCs w:val="24"/>
          <w:lang w:val="es-MX"/>
        </w:rPr>
      </w:pPr>
      <w:r w:rsidRPr="000D3432">
        <w:rPr>
          <w:rFonts w:asciiTheme="minorHAnsi" w:hAnsiTheme="minorHAnsi"/>
          <w:szCs w:val="24"/>
          <w:lang w:val="es-MX"/>
        </w:rPr>
        <w:t xml:space="preserve">[1] Cortesana de alto nivel, culta y sofisticada. </w:t>
      </w:r>
    </w:p>
    <w:p w14:paraId="4D643026" w14:textId="77777777" w:rsidR="001925CE" w:rsidRPr="000D3432" w:rsidRDefault="001925CE" w:rsidP="00A95498">
      <w:pPr>
        <w:jc w:val="both"/>
        <w:rPr>
          <w:rFonts w:asciiTheme="minorHAnsi" w:hAnsiTheme="minorHAnsi"/>
          <w:szCs w:val="24"/>
          <w:lang w:val="es-MX"/>
        </w:rPr>
      </w:pPr>
      <w:r w:rsidRPr="000D3432">
        <w:rPr>
          <w:rFonts w:asciiTheme="minorHAnsi" w:hAnsiTheme="minorHAnsi"/>
          <w:szCs w:val="24"/>
          <w:lang w:val="es-MX"/>
        </w:rPr>
        <w:t xml:space="preserve">[2] Clara referencia a prácticas sodomitas. </w:t>
      </w:r>
    </w:p>
    <w:p w14:paraId="1797F880" w14:textId="77777777" w:rsidR="001925CE" w:rsidRPr="000D3432" w:rsidRDefault="001925CE" w:rsidP="00A95498">
      <w:pPr>
        <w:jc w:val="both"/>
        <w:rPr>
          <w:rFonts w:asciiTheme="minorHAnsi" w:hAnsiTheme="minorHAnsi"/>
          <w:szCs w:val="24"/>
          <w:lang w:val="es-MX"/>
        </w:rPr>
      </w:pPr>
      <w:r w:rsidRPr="000D3432">
        <w:rPr>
          <w:rFonts w:asciiTheme="minorHAnsi" w:hAnsiTheme="minorHAnsi"/>
          <w:szCs w:val="24"/>
          <w:lang w:val="es-MX"/>
        </w:rPr>
        <w:t xml:space="preserve">[3] Por </w:t>
      </w:r>
      <w:r w:rsidRPr="000D3432">
        <w:rPr>
          <w:rFonts w:asciiTheme="minorHAnsi" w:hAnsiTheme="minorHAnsi"/>
          <w:i/>
          <w:szCs w:val="24"/>
          <w:lang w:val="es-MX"/>
        </w:rPr>
        <w:t>mimo</w:t>
      </w:r>
      <w:r w:rsidRPr="000D3432">
        <w:rPr>
          <w:rFonts w:asciiTheme="minorHAnsi" w:hAnsiTheme="minorHAnsi"/>
          <w:szCs w:val="24"/>
          <w:lang w:val="es-MX"/>
        </w:rPr>
        <w:t xml:space="preserve"> (</w:t>
      </w:r>
      <w:r w:rsidRPr="000D3432">
        <w:rPr>
          <w:rFonts w:asciiTheme="minorHAnsi" w:hAnsiTheme="minorHAnsi"/>
          <w:i/>
          <w:szCs w:val="24"/>
          <w:lang w:val="es-MX"/>
        </w:rPr>
        <w:t>mimus</w:t>
      </w:r>
      <w:r w:rsidRPr="000D3432">
        <w:rPr>
          <w:rFonts w:asciiTheme="minorHAnsi" w:hAnsiTheme="minorHAnsi"/>
          <w:szCs w:val="24"/>
          <w:lang w:val="es-MX"/>
        </w:rPr>
        <w:t>) se conocía tanto al género teatral como al actor. Se trataba de una farsa burlesca que trataba de acercarse lo más posible a la realidad. En la mímica romana, el actor o la actriz no empleaban las habituales máscaras, sino que se vestían y comportaban como el hombre de la calle. En cuanto a las actrices, ya en tiempos de Cicerón (106-43 a.C.) tenían una reputación más que dudosa. Con el paso del tiempo, el género degeneró hasta extremos inimaginables. En tiempos de Domiciano (81-96 d.C.) , cuando el "</w:t>
      </w:r>
      <w:r w:rsidRPr="000D3432">
        <w:rPr>
          <w:rFonts w:asciiTheme="minorHAnsi" w:hAnsiTheme="minorHAnsi"/>
          <w:i/>
          <w:szCs w:val="24"/>
          <w:lang w:val="es-MX"/>
        </w:rPr>
        <w:t>guión</w:t>
      </w:r>
      <w:r w:rsidRPr="000D3432">
        <w:rPr>
          <w:rFonts w:asciiTheme="minorHAnsi" w:hAnsiTheme="minorHAnsi"/>
          <w:szCs w:val="24"/>
          <w:lang w:val="es-MX"/>
        </w:rPr>
        <w:t xml:space="preserve">" exigía que un personaje muriese, el actor era sustituido por un reo al que se torturaba y daba muerte sobre el escenario. Al final, el mimo se convirtió en un espectáculo abyecto carente de cualquier rasgo de lo que podría denominarse arte. (Jerome Caropino, </w:t>
      </w:r>
      <w:r w:rsidRPr="000D3432">
        <w:rPr>
          <w:rFonts w:asciiTheme="minorHAnsi" w:hAnsiTheme="minorHAnsi"/>
          <w:i/>
          <w:szCs w:val="24"/>
          <w:lang w:val="es-MX"/>
        </w:rPr>
        <w:t xml:space="preserve">La vida cotidiana en Roma en el apogeo del </w:t>
      </w:r>
      <w:r w:rsidRPr="000D3432">
        <w:rPr>
          <w:rFonts w:asciiTheme="minorHAnsi" w:hAnsiTheme="minorHAnsi"/>
          <w:i/>
          <w:szCs w:val="24"/>
          <w:lang w:val="es-MX"/>
        </w:rPr>
        <w:lastRenderedPageBreak/>
        <w:t>Imperio</w:t>
      </w:r>
      <w:r w:rsidRPr="000D3432">
        <w:rPr>
          <w:rFonts w:asciiTheme="minorHAnsi" w:hAnsiTheme="minorHAnsi"/>
          <w:szCs w:val="24"/>
          <w:lang w:val="es-MX"/>
        </w:rPr>
        <w:t xml:space="preserve">, Madrid, 1993). </w:t>
      </w:r>
    </w:p>
    <w:p w14:paraId="3C25000C" w14:textId="77777777" w:rsidR="001925CE" w:rsidRPr="000D3432" w:rsidRDefault="001925CE" w:rsidP="00A95498">
      <w:pPr>
        <w:jc w:val="both"/>
        <w:rPr>
          <w:rFonts w:asciiTheme="minorHAnsi" w:hAnsiTheme="minorHAnsi"/>
          <w:szCs w:val="24"/>
          <w:lang w:val="es-MX"/>
        </w:rPr>
      </w:pPr>
      <w:r w:rsidRPr="000D3432">
        <w:rPr>
          <w:rFonts w:asciiTheme="minorHAnsi" w:hAnsiTheme="minorHAnsi"/>
          <w:szCs w:val="24"/>
          <w:lang w:val="es-MX"/>
        </w:rPr>
        <w:t xml:space="preserve">[4] Se refiere a Eufemia, la esposa del emperador Justino (518-527), tío de Justiniano. A pesar de lo que dice Procopio, fue la eficaz gestión financiera de los colaboradores de Justino la que permitió a su sobrino lanzarse a su política de reconquistas en Occidente. </w:t>
      </w:r>
    </w:p>
    <w:p w14:paraId="727F9304" w14:textId="77777777" w:rsidR="001925CE" w:rsidRPr="000D3432" w:rsidRDefault="001925CE" w:rsidP="00A95498">
      <w:pPr>
        <w:pStyle w:val="Textonotapie"/>
        <w:rPr>
          <w:rFonts w:asciiTheme="minorHAnsi" w:hAnsiTheme="minorHAnsi"/>
          <w:sz w:val="24"/>
          <w:szCs w:val="24"/>
        </w:rPr>
      </w:pPr>
    </w:p>
    <w:p w14:paraId="2337E54F" w14:textId="77777777" w:rsidR="001925CE" w:rsidRPr="000D3432" w:rsidRDefault="001925CE" w:rsidP="00A95498">
      <w:pPr>
        <w:jc w:val="both"/>
        <w:rPr>
          <w:rFonts w:asciiTheme="minorHAnsi" w:hAnsiTheme="minorHAnsi"/>
          <w:szCs w:val="24"/>
        </w:rPr>
      </w:pPr>
    </w:p>
    <w:p w14:paraId="3264CE0F" w14:textId="77777777" w:rsidR="001925CE" w:rsidRPr="000D3432" w:rsidRDefault="001925CE" w:rsidP="00A95498">
      <w:pPr>
        <w:rPr>
          <w:rFonts w:asciiTheme="minorHAnsi" w:hAnsiTheme="minorHAnsi"/>
          <w:szCs w:val="24"/>
        </w:rPr>
      </w:pPr>
    </w:p>
    <w:p w14:paraId="6041DE6D" w14:textId="77777777" w:rsidR="001925CE" w:rsidRPr="000D3432" w:rsidRDefault="001925CE" w:rsidP="00A95498">
      <w:pPr>
        <w:rPr>
          <w:rFonts w:asciiTheme="minorHAnsi" w:hAnsiTheme="minorHAnsi"/>
          <w:szCs w:val="24"/>
        </w:rPr>
      </w:pPr>
      <w:r w:rsidRPr="000D3432">
        <w:rPr>
          <w:rFonts w:asciiTheme="minorHAnsi" w:hAnsiTheme="minorHAnsi"/>
          <w:szCs w:val="24"/>
        </w:rPr>
        <w:br w:type="page"/>
      </w:r>
    </w:p>
    <w:p w14:paraId="59FEF8A7" w14:textId="77777777" w:rsidR="001925CE" w:rsidRPr="000D3432" w:rsidRDefault="001925CE" w:rsidP="00A95498">
      <w:pPr>
        <w:rPr>
          <w:rFonts w:asciiTheme="minorHAnsi" w:hAnsiTheme="minorHAnsi"/>
          <w:szCs w:val="24"/>
        </w:rPr>
      </w:pPr>
    </w:p>
    <w:p w14:paraId="2595FE94" w14:textId="77777777" w:rsidR="001925CE" w:rsidRPr="000D3432" w:rsidRDefault="001925CE" w:rsidP="00A95498">
      <w:pPr>
        <w:rPr>
          <w:rFonts w:asciiTheme="minorHAnsi" w:hAnsiTheme="minorHAnsi"/>
          <w:szCs w:val="24"/>
        </w:rPr>
      </w:pPr>
    </w:p>
    <w:p w14:paraId="06543A6D" w14:textId="77777777" w:rsidR="001925CE" w:rsidRPr="000D3432" w:rsidRDefault="001925CE" w:rsidP="00A95498">
      <w:pPr>
        <w:rPr>
          <w:rFonts w:asciiTheme="minorHAnsi" w:hAnsiTheme="minorHAnsi"/>
          <w:szCs w:val="24"/>
        </w:rPr>
      </w:pPr>
    </w:p>
    <w:p w14:paraId="68522616" w14:textId="77777777" w:rsidR="001925CE" w:rsidRPr="000D3432" w:rsidRDefault="001925CE" w:rsidP="00A95498">
      <w:pPr>
        <w:rPr>
          <w:rFonts w:asciiTheme="minorHAnsi" w:hAnsiTheme="minorHAnsi"/>
          <w:szCs w:val="24"/>
        </w:rPr>
      </w:pPr>
    </w:p>
    <w:p w14:paraId="328C0690" w14:textId="77777777" w:rsidR="001925CE" w:rsidRPr="000D3432" w:rsidRDefault="001925CE" w:rsidP="00A95498">
      <w:pPr>
        <w:jc w:val="center"/>
        <w:rPr>
          <w:rFonts w:asciiTheme="minorHAnsi" w:hAnsiTheme="minorHAnsi"/>
          <w:b/>
          <w:szCs w:val="24"/>
        </w:rPr>
      </w:pPr>
    </w:p>
    <w:p w14:paraId="40E4A3B8" w14:textId="77777777" w:rsidR="001925CE" w:rsidRPr="000D3432" w:rsidRDefault="001925CE" w:rsidP="00A95498">
      <w:pPr>
        <w:jc w:val="center"/>
        <w:rPr>
          <w:rFonts w:asciiTheme="minorHAnsi" w:hAnsiTheme="minorHAnsi"/>
          <w:b/>
          <w:szCs w:val="24"/>
        </w:rPr>
      </w:pPr>
    </w:p>
    <w:p w14:paraId="1E69A8C8" w14:textId="77777777" w:rsidR="001925CE" w:rsidRPr="000D3432" w:rsidRDefault="001925CE" w:rsidP="00A95498">
      <w:pPr>
        <w:jc w:val="center"/>
        <w:rPr>
          <w:rFonts w:asciiTheme="minorHAnsi" w:hAnsiTheme="minorHAnsi"/>
          <w:b/>
          <w:szCs w:val="24"/>
        </w:rPr>
      </w:pPr>
    </w:p>
    <w:p w14:paraId="567CB973" w14:textId="77777777" w:rsidR="001925CE" w:rsidRPr="000D3432" w:rsidRDefault="001925CE" w:rsidP="00A95498">
      <w:pPr>
        <w:jc w:val="center"/>
        <w:rPr>
          <w:rFonts w:asciiTheme="minorHAnsi" w:hAnsiTheme="minorHAnsi"/>
          <w:b/>
          <w:szCs w:val="24"/>
        </w:rPr>
      </w:pPr>
    </w:p>
    <w:p w14:paraId="09E364D8"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 CAPÍTULO II-</w:t>
      </w:r>
    </w:p>
    <w:p w14:paraId="73A073CE"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EL ABOGADO</w:t>
      </w:r>
    </w:p>
    <w:p w14:paraId="6D878EA8"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EL DEFENSOR DE LOS INTERESES AJENOS</w:t>
      </w:r>
    </w:p>
    <w:p w14:paraId="4769B5F4" w14:textId="77777777" w:rsidR="001925CE" w:rsidRPr="000D3432" w:rsidRDefault="001925CE" w:rsidP="00A95498">
      <w:pPr>
        <w:rPr>
          <w:rFonts w:asciiTheme="minorHAnsi" w:hAnsiTheme="minorHAnsi"/>
          <w:szCs w:val="24"/>
        </w:rPr>
      </w:pPr>
    </w:p>
    <w:p w14:paraId="3D761B4C" w14:textId="77777777" w:rsidR="001925CE" w:rsidRPr="000D3432" w:rsidRDefault="001925CE" w:rsidP="00A95498">
      <w:pPr>
        <w:jc w:val="both"/>
        <w:rPr>
          <w:rFonts w:asciiTheme="minorHAnsi" w:hAnsiTheme="minorHAnsi"/>
          <w:szCs w:val="24"/>
        </w:rPr>
      </w:pPr>
    </w:p>
    <w:p w14:paraId="7701FB49"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1.- ¿Qué es el abogado?  El defensor de los intereses ajenos</w:t>
      </w:r>
    </w:p>
    <w:p w14:paraId="22122711" w14:textId="77777777" w:rsidR="001925CE" w:rsidRPr="000D3432" w:rsidRDefault="001925CE" w:rsidP="00A95498">
      <w:pPr>
        <w:tabs>
          <w:tab w:val="left" w:pos="3627"/>
        </w:tabs>
        <w:jc w:val="both"/>
        <w:rPr>
          <w:rFonts w:asciiTheme="minorHAnsi" w:hAnsiTheme="minorHAnsi"/>
          <w:szCs w:val="24"/>
        </w:rPr>
      </w:pPr>
      <w:r w:rsidRPr="000D3432">
        <w:rPr>
          <w:rFonts w:asciiTheme="minorHAnsi" w:hAnsiTheme="minorHAnsi"/>
          <w:szCs w:val="24"/>
        </w:rPr>
        <w:tab/>
      </w:r>
    </w:p>
    <w:p w14:paraId="2D718148"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ejercicio de la abogacía no requería contar con estudios especializados, bastaba contar con dotes de orador y algunos conocimientos sobre las reglas del proceso</w:t>
      </w:r>
      <w:r w:rsidRPr="000D3432">
        <w:rPr>
          <w:rStyle w:val="Refdenotaalpie"/>
          <w:rFonts w:asciiTheme="minorHAnsi" w:hAnsiTheme="minorHAnsi"/>
          <w:sz w:val="24"/>
          <w:szCs w:val="24"/>
        </w:rPr>
        <w:footnoteReference w:id="398"/>
      </w:r>
      <w:r w:rsidRPr="000D3432">
        <w:rPr>
          <w:rFonts w:asciiTheme="minorHAnsi" w:hAnsiTheme="minorHAnsi"/>
          <w:szCs w:val="24"/>
        </w:rPr>
        <w:t>. Pero pasado el tiempo el abogado tuvo que especializarse por la complejidad de las relaciones sociales y por las nuevas formas de procedimiento para resolver conflictos</w:t>
      </w:r>
      <w:r w:rsidRPr="000D3432">
        <w:rPr>
          <w:rStyle w:val="Refdenotaalpie"/>
          <w:rFonts w:asciiTheme="minorHAnsi" w:hAnsiTheme="minorHAnsi"/>
          <w:sz w:val="24"/>
          <w:szCs w:val="24"/>
        </w:rPr>
        <w:footnoteReference w:id="399"/>
      </w:r>
      <w:r w:rsidRPr="000D3432">
        <w:rPr>
          <w:rFonts w:asciiTheme="minorHAnsi" w:hAnsiTheme="minorHAnsi"/>
          <w:szCs w:val="24"/>
        </w:rPr>
        <w:t>.</w:t>
      </w:r>
    </w:p>
    <w:p w14:paraId="76797348" w14:textId="77777777" w:rsidR="001925CE" w:rsidRPr="000D3432" w:rsidRDefault="001925CE" w:rsidP="00A95498">
      <w:pPr>
        <w:jc w:val="both"/>
        <w:rPr>
          <w:rFonts w:asciiTheme="minorHAnsi" w:hAnsiTheme="minorHAnsi"/>
          <w:szCs w:val="24"/>
        </w:rPr>
      </w:pPr>
    </w:p>
    <w:p w14:paraId="2C487FF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En Grecia y Roma el asunto se mostraba sacro, había que conocer las fórmulas sagradas, esta era la condición exigida para poder intervenir en los procesos. El fenómeno jurídico se daba dentro de la religión. En actualidad el ejercicio de la abogacía tiene que estar en manos de especialistas, porque la solución de conflictos  requiere de cierto “conocimiento científico” -dice Emilio Ayala-; lo que supone no ser un científico, sino conocer las técnicas científicas para la resolución de conflictos, para el asesoramiento, para cumplir el rol o función social que se le atribuye al abogado, etc. El proceso de depuración -de que ejercieran la abogacía sobre profesionales- pasó por la argumentación de dejar de lado a aquellos individuos que ejercitaban la abogacía sin “conocimientos sólidos”, con simples conocimientos vulgares. El ejercicio se convirtió en una cosa seria, esta seriedad respaldada por la utilización y disposición del Derecho a ser científico. Aún recordamos a los tinterillos que, según versión popular, ejercían el derecho “sin principios”, y “a costa, o riesgo” de los incautos clientes. Para proteger de esos deslices y peligros el Estado en su condición organizativa ha monopolizado la certificación o titulación de los profesionales, pero preguntamos, ¿puede un título a nombre de la nación ser garantía de una efectiva profesionalización? Sin embargo el supuesto en el que se basa esta monopolización de la certificación de las profesiones intentan servir como garantía de calidad, mediante la cual se estructura todo un sistema de enseñanza, aprendizaje, evaluación que de ser superadas, darían solidez y veracidad al graduado. El Estado supervisa y certifica así la solides cognoscitiva.</w:t>
      </w:r>
    </w:p>
    <w:p w14:paraId="7462662B" w14:textId="77777777" w:rsidR="001925CE" w:rsidRPr="000D3432" w:rsidRDefault="001925CE" w:rsidP="00A95498">
      <w:pPr>
        <w:jc w:val="both"/>
        <w:rPr>
          <w:rFonts w:asciiTheme="minorHAnsi" w:hAnsiTheme="minorHAnsi"/>
          <w:szCs w:val="24"/>
        </w:rPr>
      </w:pPr>
    </w:p>
    <w:p w14:paraId="7DF6835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lastRenderedPageBreak/>
        <w:t>Ya Ulpiano llamó a los defensores: “</w:t>
      </w:r>
      <w:r w:rsidRPr="000D3432">
        <w:rPr>
          <w:rFonts w:asciiTheme="minorHAnsi" w:hAnsiTheme="minorHAnsi"/>
          <w:i/>
          <w:szCs w:val="24"/>
        </w:rPr>
        <w:t>Sacerdotes justitiae et juris</w:t>
      </w:r>
      <w:r w:rsidRPr="000D3432">
        <w:rPr>
          <w:rFonts w:asciiTheme="minorHAnsi" w:hAnsiTheme="minorHAnsi"/>
          <w:szCs w:val="24"/>
        </w:rPr>
        <w:t>”</w:t>
      </w:r>
      <w:r w:rsidRPr="000D3432">
        <w:rPr>
          <w:rStyle w:val="Refdenotaalpie"/>
          <w:rFonts w:asciiTheme="minorHAnsi" w:hAnsiTheme="minorHAnsi"/>
          <w:sz w:val="24"/>
          <w:szCs w:val="24"/>
        </w:rPr>
        <w:footnoteReference w:id="400"/>
      </w:r>
      <w:r w:rsidRPr="000D3432">
        <w:rPr>
          <w:rFonts w:asciiTheme="minorHAnsi" w:hAnsiTheme="minorHAnsi"/>
          <w:szCs w:val="24"/>
        </w:rPr>
        <w:t xml:space="preserve"> e Incluso el gran emperador Augusto desempeñó ese papel. En Roma impúsose una frase: “</w:t>
      </w:r>
      <w:r w:rsidRPr="000D3432">
        <w:rPr>
          <w:rFonts w:asciiTheme="minorHAnsi" w:hAnsiTheme="minorHAnsi"/>
          <w:i/>
          <w:szCs w:val="24"/>
        </w:rPr>
        <w:t>Cedant arma togae</w:t>
      </w:r>
      <w:r w:rsidRPr="000D3432">
        <w:rPr>
          <w:rFonts w:asciiTheme="minorHAnsi" w:hAnsiTheme="minorHAnsi"/>
          <w:szCs w:val="24"/>
        </w:rPr>
        <w:t>”</w:t>
      </w:r>
      <w:r w:rsidRPr="000D3432">
        <w:rPr>
          <w:rStyle w:val="Refdenotaalpie"/>
          <w:rFonts w:asciiTheme="minorHAnsi" w:hAnsiTheme="minorHAnsi"/>
          <w:sz w:val="24"/>
          <w:szCs w:val="24"/>
        </w:rPr>
        <w:footnoteReference w:id="401"/>
      </w:r>
    </w:p>
    <w:p w14:paraId="7519AD65" w14:textId="77777777" w:rsidR="001925CE" w:rsidRPr="000D3432" w:rsidRDefault="001925CE" w:rsidP="00A95498">
      <w:pPr>
        <w:jc w:val="both"/>
        <w:rPr>
          <w:rFonts w:asciiTheme="minorHAnsi" w:hAnsiTheme="minorHAnsi"/>
          <w:szCs w:val="24"/>
        </w:rPr>
      </w:pPr>
    </w:p>
    <w:p w14:paraId="751DE13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Parece ser que el abogado apareció como un fenómeno de equilibrio, un factor equilibrador de las fuerzas, esta idea se consolida en una frase: la idea de la igualdad. “El abogado aparece en la historia traído por la idea de la igualdad que se necesita para restablecer el equilibrio en favor de las personas a quienes ciertos sucesos colocan en posición de desventaja”</w:t>
      </w:r>
      <w:r w:rsidRPr="000D3432">
        <w:rPr>
          <w:rStyle w:val="Refdenotaalpie"/>
          <w:rFonts w:asciiTheme="minorHAnsi" w:hAnsiTheme="minorHAnsi"/>
          <w:sz w:val="24"/>
          <w:szCs w:val="24"/>
        </w:rPr>
        <w:footnoteReference w:id="402"/>
      </w:r>
      <w:r w:rsidRPr="000D3432">
        <w:rPr>
          <w:rFonts w:asciiTheme="minorHAnsi" w:hAnsiTheme="minorHAnsi"/>
          <w:szCs w:val="24"/>
        </w:rPr>
        <w:t xml:space="preserve">. </w:t>
      </w:r>
    </w:p>
    <w:p w14:paraId="1655FFFB" w14:textId="77777777" w:rsidR="001925CE" w:rsidRPr="000D3432" w:rsidRDefault="001925CE" w:rsidP="00A95498">
      <w:pPr>
        <w:jc w:val="both"/>
        <w:rPr>
          <w:rFonts w:asciiTheme="minorHAnsi" w:hAnsiTheme="minorHAnsi"/>
          <w:szCs w:val="24"/>
        </w:rPr>
      </w:pPr>
    </w:p>
    <w:p w14:paraId="7C4A038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Cuenta Amilcar que los hebreos tenían al abogado por un agente piadoso, alguien que intervenía con sus conocimientos y buenos oficios en favor del acusado. Jesús mismo fue un defensor cuando defendió a la mujer adúltera -insiste Amilcar.</w:t>
      </w:r>
    </w:p>
    <w:p w14:paraId="3E76D0A6" w14:textId="77777777" w:rsidR="001925CE" w:rsidRPr="000D3432" w:rsidRDefault="001925CE" w:rsidP="00A95498">
      <w:pPr>
        <w:jc w:val="both"/>
        <w:rPr>
          <w:rFonts w:asciiTheme="minorHAnsi" w:hAnsiTheme="minorHAnsi"/>
          <w:szCs w:val="24"/>
        </w:rPr>
      </w:pPr>
    </w:p>
    <w:p w14:paraId="6F2F5288"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Se afirma que en la prehistoria no hubo abogados, por las sencillas razones que enestas los integrantes eran mínimos, la organización era comunitaria, la población era reducida. “La organización comunitaria y lo reducido del grupo, inclusive simplificaban, sin duda alguna, las averiguaciones”</w:t>
      </w:r>
      <w:r w:rsidRPr="000D3432">
        <w:rPr>
          <w:rStyle w:val="Refdenotaalpie"/>
          <w:rFonts w:asciiTheme="minorHAnsi" w:hAnsiTheme="minorHAnsi"/>
          <w:sz w:val="24"/>
          <w:szCs w:val="24"/>
        </w:rPr>
        <w:footnoteReference w:id="403"/>
      </w:r>
      <w:r w:rsidRPr="000D3432">
        <w:rPr>
          <w:rFonts w:asciiTheme="minorHAnsi" w:hAnsiTheme="minorHAnsi"/>
          <w:szCs w:val="24"/>
        </w:rPr>
        <w:t>. No había, pues, necesidad de abogado, de intermediario, de defensor.</w:t>
      </w:r>
    </w:p>
    <w:p w14:paraId="057E30A2" w14:textId="77777777" w:rsidR="001925CE" w:rsidRPr="000D3432" w:rsidRDefault="001925CE" w:rsidP="00A95498">
      <w:pPr>
        <w:jc w:val="both"/>
        <w:rPr>
          <w:rFonts w:asciiTheme="minorHAnsi" w:hAnsiTheme="minorHAnsi"/>
          <w:szCs w:val="24"/>
        </w:rPr>
      </w:pPr>
    </w:p>
    <w:p w14:paraId="551C68D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En Roma las relaciones sociales estaban reguladas por el derecho formulario, por la sacralización de estas fórmulas, y por el carácter literal de las mismas fórmulas. La inejecución de estas fórmulas daba lugar a la perdida del derecho. “Entre el rigor mímico y simbólico de los actos sacramentales y de las formas consagradas e insustituibles, los litigantes solían perder su derecho, alcanzados por la caducidad con que entonces se castigaba cualquier error formal.”</w:t>
      </w:r>
      <w:r w:rsidRPr="000D3432">
        <w:rPr>
          <w:rStyle w:val="Refdenotaalpie"/>
          <w:rFonts w:asciiTheme="minorHAnsi" w:hAnsiTheme="minorHAnsi"/>
          <w:sz w:val="24"/>
          <w:szCs w:val="24"/>
        </w:rPr>
        <w:footnoteReference w:id="404"/>
      </w:r>
    </w:p>
    <w:p w14:paraId="3DEE6CC6" w14:textId="77777777" w:rsidR="001925CE" w:rsidRPr="000D3432" w:rsidRDefault="001925CE" w:rsidP="00A95498">
      <w:pPr>
        <w:jc w:val="both"/>
        <w:rPr>
          <w:rFonts w:asciiTheme="minorHAnsi" w:hAnsiTheme="minorHAnsi"/>
          <w:szCs w:val="24"/>
        </w:rPr>
      </w:pPr>
    </w:p>
    <w:p w14:paraId="7ECFC703"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 +</w:t>
      </w:r>
    </w:p>
    <w:p w14:paraId="0412AB30" w14:textId="77777777" w:rsidR="001925CE" w:rsidRPr="000D3432" w:rsidRDefault="001925CE" w:rsidP="00A95498">
      <w:pPr>
        <w:jc w:val="both"/>
        <w:rPr>
          <w:rFonts w:asciiTheme="minorHAnsi" w:hAnsiTheme="minorHAnsi"/>
          <w:szCs w:val="24"/>
        </w:rPr>
      </w:pPr>
    </w:p>
    <w:p w14:paraId="5B3E15E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Si retrocedemos en el tiempo y hacemos un poco de historia</w:t>
      </w:r>
      <w:r w:rsidRPr="000D3432">
        <w:rPr>
          <w:rStyle w:val="Refdenotaalpie"/>
          <w:rFonts w:asciiTheme="minorHAnsi" w:hAnsiTheme="minorHAnsi"/>
          <w:sz w:val="24"/>
          <w:szCs w:val="24"/>
        </w:rPr>
        <w:footnoteReference w:id="405"/>
      </w:r>
      <w:r w:rsidRPr="000D3432">
        <w:rPr>
          <w:rFonts w:asciiTheme="minorHAnsi" w:hAnsiTheme="minorHAnsi"/>
          <w:szCs w:val="24"/>
        </w:rPr>
        <w:t xml:space="preserve"> podríamos decir que la abogacía no tenía mayores requerimientos, no se necesitaba contar con “estudios especializados”, a lo más “bastaba contar con dotes oratorias y con alguno que otro conocimiento relativo a las reglas que debían seguirse en todo proceso.”</w:t>
      </w:r>
      <w:r w:rsidRPr="000D3432">
        <w:rPr>
          <w:rStyle w:val="Refdenotaalpie"/>
          <w:rFonts w:asciiTheme="minorHAnsi" w:hAnsiTheme="minorHAnsi"/>
          <w:sz w:val="24"/>
          <w:szCs w:val="24"/>
        </w:rPr>
        <w:footnoteReference w:id="406"/>
      </w:r>
      <w:r w:rsidRPr="000D3432">
        <w:rPr>
          <w:rFonts w:asciiTheme="minorHAnsi" w:hAnsiTheme="minorHAnsi"/>
          <w:szCs w:val="24"/>
        </w:rPr>
        <w:t xml:space="preserve">. Eso era suficiente, pero a medida que las relaciones sociales se fueron haciendo más complejas se hizo necesaria “gente especializada en solucionar problemas ajenos”. </w:t>
      </w:r>
    </w:p>
    <w:p w14:paraId="77DADAA3" w14:textId="77777777" w:rsidR="001925CE" w:rsidRPr="000D3432" w:rsidRDefault="001925CE" w:rsidP="00A95498">
      <w:pPr>
        <w:jc w:val="both"/>
        <w:rPr>
          <w:rFonts w:asciiTheme="minorHAnsi" w:hAnsiTheme="minorHAnsi"/>
          <w:szCs w:val="24"/>
        </w:rPr>
      </w:pPr>
    </w:p>
    <w:p w14:paraId="2202A75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lastRenderedPageBreak/>
        <w:t>En Grecia y Roma el papel del abogado estaba íntimamente ligado a la religión, como toda su constitución social. Era necesario “conocer las fórmulas sagradas para intervenir en la solución de conflictos”</w:t>
      </w:r>
      <w:r w:rsidRPr="000D3432">
        <w:rPr>
          <w:rStyle w:val="Refdenotaalpie"/>
          <w:rFonts w:asciiTheme="minorHAnsi" w:hAnsiTheme="minorHAnsi"/>
          <w:sz w:val="24"/>
          <w:szCs w:val="24"/>
        </w:rPr>
        <w:footnoteReference w:id="407"/>
      </w:r>
      <w:r w:rsidRPr="000D3432">
        <w:rPr>
          <w:rFonts w:asciiTheme="minorHAnsi" w:hAnsiTheme="minorHAnsi"/>
          <w:szCs w:val="24"/>
        </w:rPr>
        <w:t xml:space="preserve"> para ejercitar la abogacía.</w:t>
      </w:r>
    </w:p>
    <w:p w14:paraId="5ADB4FE8" w14:textId="77777777" w:rsidR="001925CE" w:rsidRPr="000D3432" w:rsidRDefault="001925CE" w:rsidP="00A95498">
      <w:pPr>
        <w:jc w:val="both"/>
        <w:rPr>
          <w:rFonts w:asciiTheme="minorHAnsi" w:hAnsiTheme="minorHAnsi"/>
          <w:szCs w:val="24"/>
        </w:rPr>
      </w:pPr>
    </w:p>
    <w:p w14:paraId="2A956F2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En Bolonia, donde se creó la primera universidad moderna, los hombres que estudiaban Derecho lo hacían exclusivamente para “aprender a pensar bien”, para ser hombres cultos. La concepción contemporánea de abogado, como litigante (aunque sea por amor</w:t>
      </w:r>
      <w:r w:rsidRPr="000D3432">
        <w:rPr>
          <w:rStyle w:val="Refdenotaalpie"/>
          <w:rFonts w:asciiTheme="minorHAnsi" w:hAnsiTheme="minorHAnsi"/>
          <w:sz w:val="24"/>
          <w:szCs w:val="24"/>
        </w:rPr>
        <w:footnoteReference w:id="408"/>
      </w:r>
      <w:r w:rsidRPr="000D3432">
        <w:rPr>
          <w:rFonts w:asciiTheme="minorHAnsi" w:hAnsiTheme="minorHAnsi"/>
          <w:szCs w:val="24"/>
        </w:rPr>
        <w:t>) no existía. El hombre no estudiaba Derecho con el fin de arreglar los problemas ajenos, sino para ser mejor hombre.</w:t>
      </w:r>
    </w:p>
    <w:p w14:paraId="41D69013" w14:textId="77777777" w:rsidR="001925CE" w:rsidRPr="000D3432" w:rsidRDefault="001925CE" w:rsidP="00A95498">
      <w:pPr>
        <w:jc w:val="both"/>
        <w:rPr>
          <w:rFonts w:asciiTheme="minorHAnsi" w:hAnsiTheme="minorHAnsi"/>
          <w:szCs w:val="24"/>
        </w:rPr>
      </w:pPr>
    </w:p>
    <w:p w14:paraId="5F61FF5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Ya con Santo Tomás de Aquino el Derecho cumplía un principio superior: “hacer buenos a los hombres, realizando el bien común”. No se trataba tan sólo de que el hombre fuera “bueno”, “virtuoso”, sino de que esto le indujera necesariamente, si y solo sí, a “realizar el bien común”. El compromiso con la sociedad se había establecido como premisa. </w:t>
      </w:r>
    </w:p>
    <w:p w14:paraId="4D8EAA84" w14:textId="77777777" w:rsidR="001925CE" w:rsidRPr="000D3432" w:rsidRDefault="001925CE" w:rsidP="00A95498">
      <w:pPr>
        <w:jc w:val="both"/>
        <w:rPr>
          <w:rFonts w:asciiTheme="minorHAnsi" w:hAnsiTheme="minorHAnsi"/>
          <w:szCs w:val="24"/>
        </w:rPr>
      </w:pPr>
    </w:p>
    <w:p w14:paraId="75305CF9" w14:textId="77777777" w:rsidR="001925CE" w:rsidRPr="000D3432" w:rsidRDefault="001925CE" w:rsidP="00A95498">
      <w:pPr>
        <w:jc w:val="both"/>
        <w:rPr>
          <w:rFonts w:asciiTheme="minorHAnsi" w:hAnsiTheme="minorHAnsi"/>
          <w:noProof/>
          <w:szCs w:val="24"/>
        </w:rPr>
      </w:pPr>
      <w:r w:rsidRPr="000D3432">
        <w:rPr>
          <w:rFonts w:asciiTheme="minorHAnsi" w:hAnsiTheme="minorHAnsi"/>
          <w:szCs w:val="24"/>
        </w:rPr>
        <w:t xml:space="preserve">El abogado como el producto del Derecho, no ha sido un simple elemento, es más existe la teoría de que sin la creación de la profesión de abogado no hubiera existido el Derecho. </w:t>
      </w:r>
      <w:r w:rsidRPr="000D3432">
        <w:rPr>
          <w:rFonts w:asciiTheme="minorHAnsi" w:hAnsiTheme="minorHAnsi"/>
          <w:noProof/>
          <w:szCs w:val="24"/>
        </w:rPr>
        <w:t>“Algunos han de sostener que, en realidad, no debe hablarse del Derecho sino únicamente cuando aparece la formulación escrita de sus normas o de los actos mediante los cuales dichas normas se ejercitan; o podrán invocar la vieja opinión, según la cual no existe en verdad el Derecho, hasta que no surge la defensa técnica de los intereses individuales amenazados, es decir, hasta que no aparece la profesión de abogado.”</w:t>
      </w:r>
      <w:r w:rsidRPr="000D3432">
        <w:rPr>
          <w:rStyle w:val="Refdenotaalpie"/>
          <w:rFonts w:asciiTheme="minorHAnsi" w:hAnsiTheme="minorHAnsi"/>
          <w:noProof/>
          <w:sz w:val="24"/>
          <w:szCs w:val="24"/>
        </w:rPr>
        <w:footnoteReference w:id="409"/>
      </w:r>
    </w:p>
    <w:p w14:paraId="5B6BA02F" w14:textId="77777777" w:rsidR="001925CE" w:rsidRPr="000D3432" w:rsidRDefault="001925CE" w:rsidP="00A95498">
      <w:pPr>
        <w:jc w:val="both"/>
        <w:rPr>
          <w:rFonts w:asciiTheme="minorHAnsi" w:hAnsiTheme="minorHAnsi"/>
          <w:noProof/>
          <w:szCs w:val="24"/>
        </w:rPr>
      </w:pPr>
    </w:p>
    <w:p w14:paraId="4AED2249" w14:textId="77777777" w:rsidR="001925CE" w:rsidRPr="000D3432" w:rsidRDefault="001925CE" w:rsidP="00A95498">
      <w:pPr>
        <w:jc w:val="both"/>
        <w:rPr>
          <w:rFonts w:asciiTheme="minorHAnsi" w:hAnsiTheme="minorHAnsi"/>
          <w:noProof/>
          <w:szCs w:val="24"/>
        </w:rPr>
      </w:pPr>
      <w:r w:rsidRPr="000D3432">
        <w:rPr>
          <w:rFonts w:asciiTheme="minorHAnsi" w:hAnsiTheme="minorHAnsi"/>
          <w:noProof/>
          <w:szCs w:val="24"/>
        </w:rPr>
        <w:t xml:space="preserve">Sin embargo no podemos estar totalmente de acuerdo con dicha teoría excluyente. El Derecho como tal es un medio de solucionar los múltiples y complejos conflictos de intereses, de organizar la sociedad en pro de la coexistencia o convivencia de unos hombres con otros. ¿Puede por lo tanto no haber derecho si existe este modo de ejercitar determinados modos de solucionar los conflictos de intereses? A nuestra manera de ver, si no existieran los abogados sería simplemente como si no existieran los mecanismos técnicos de la resolución de los conflictos de intereses, pero no dejaría por esto de existir el derecho, porque los problemas se tendrían que resolver de otra forma, con otros elementos, pero tendrían que ser resueltos de todas maneras. </w:t>
      </w:r>
    </w:p>
    <w:p w14:paraId="064923FD" w14:textId="77777777" w:rsidR="001925CE" w:rsidRPr="000D3432" w:rsidRDefault="001925CE" w:rsidP="00A95498">
      <w:pPr>
        <w:jc w:val="both"/>
        <w:rPr>
          <w:rFonts w:asciiTheme="minorHAnsi" w:hAnsiTheme="minorHAnsi"/>
          <w:noProof/>
          <w:szCs w:val="24"/>
        </w:rPr>
      </w:pPr>
    </w:p>
    <w:p w14:paraId="3EF64FBE" w14:textId="77777777" w:rsidR="001925CE" w:rsidRPr="000D3432" w:rsidRDefault="001925CE" w:rsidP="00A95498">
      <w:pPr>
        <w:jc w:val="both"/>
        <w:rPr>
          <w:rFonts w:asciiTheme="minorHAnsi" w:hAnsiTheme="minorHAnsi"/>
          <w:noProof/>
          <w:szCs w:val="24"/>
        </w:rPr>
      </w:pPr>
      <w:r w:rsidRPr="000D3432">
        <w:rPr>
          <w:rFonts w:asciiTheme="minorHAnsi" w:hAnsiTheme="minorHAnsi"/>
          <w:noProof/>
          <w:szCs w:val="24"/>
        </w:rPr>
        <w:t xml:space="preserve">El abogado surge como un mediador, un hombre que decodifica un mensaje y codifica este mensaje, para, en un proceso técnico, reconducir el mensaje, ser un ente transmisor. El hecho de existir hoy medios alternativos de solución de conflictos de intereses demuestra nuestra hipótesis. Hay sin embargo necesidad de los abogados por la complejidad de los asuntos sociales, pero si no los hubiera ¿se podría manejar el asunto con mayor o menor problema?. </w:t>
      </w:r>
    </w:p>
    <w:p w14:paraId="0A5DF3A9" w14:textId="77777777" w:rsidR="001925CE" w:rsidRPr="000D3432" w:rsidRDefault="001925CE" w:rsidP="00A95498">
      <w:pPr>
        <w:jc w:val="both"/>
        <w:rPr>
          <w:rFonts w:asciiTheme="minorHAnsi" w:hAnsiTheme="minorHAnsi"/>
          <w:szCs w:val="24"/>
        </w:rPr>
      </w:pPr>
    </w:p>
    <w:p w14:paraId="51594062" w14:textId="77777777" w:rsidR="001925CE" w:rsidRPr="000D3432" w:rsidRDefault="001925CE" w:rsidP="00A95498">
      <w:pPr>
        <w:pStyle w:val="Parrafffo"/>
        <w:keepNext w:val="0"/>
        <w:widowControl w:val="0"/>
        <w:spacing w:line="240" w:lineRule="auto"/>
        <w:ind w:left="0"/>
        <w:rPr>
          <w:rFonts w:asciiTheme="minorHAnsi" w:hAnsiTheme="minorHAnsi" w:cs="Times New Roman"/>
          <w:sz w:val="24"/>
          <w:szCs w:val="24"/>
        </w:rPr>
      </w:pPr>
      <w:r w:rsidRPr="000D3432">
        <w:rPr>
          <w:rFonts w:asciiTheme="minorHAnsi" w:hAnsiTheme="minorHAnsi" w:cs="Times New Roman"/>
          <w:b w:val="0"/>
          <w:sz w:val="24"/>
          <w:szCs w:val="24"/>
        </w:rPr>
        <w:t xml:space="preserve">“... el verdadero arte del abogado es el arte de las modificaciones legales; y es un </w:t>
      </w:r>
      <w:r w:rsidRPr="000D3432">
        <w:rPr>
          <w:rFonts w:asciiTheme="minorHAnsi" w:hAnsiTheme="minorHAnsi" w:cs="Times New Roman"/>
          <w:b w:val="0"/>
          <w:sz w:val="24"/>
          <w:szCs w:val="24"/>
        </w:rPr>
        <w:lastRenderedPageBreak/>
        <w:t>arte sumamente útil para el profano. Porque, aunque el profano no se décuenta, sus intereses se encontrarían mal servidos con un sistema inmutable de Derecho, esto es especialmente cierto en el S. XX. El énfasis de nuestra época está en el cambio. En consecuencia, la orientación actual del Derecho se aparta de la seguridad estática (la preservación de los antiguos derechos establecidos) y se dirige a buscar la seguridad dinámica (la protección de personas comprometidas en nuevas actividades). Lo que significa que las necesidades prácticas del profano común y corriente se verían seriamente frustradas con un ordenamiento jurídico rígido.”</w:t>
      </w:r>
      <w:r w:rsidRPr="000D3432">
        <w:rPr>
          <w:rStyle w:val="Refdenotaalpie"/>
          <w:rFonts w:asciiTheme="minorHAnsi" w:hAnsiTheme="minorHAnsi"/>
          <w:b w:val="0"/>
          <w:sz w:val="24"/>
          <w:szCs w:val="24"/>
        </w:rPr>
        <w:footnoteReference w:id="410"/>
      </w:r>
    </w:p>
    <w:p w14:paraId="6807CCF6" w14:textId="77777777" w:rsidR="001925CE" w:rsidRPr="000D3432" w:rsidRDefault="001925CE" w:rsidP="00A95498">
      <w:pPr>
        <w:jc w:val="both"/>
        <w:rPr>
          <w:rFonts w:asciiTheme="minorHAnsi" w:hAnsiTheme="minorHAnsi"/>
          <w:szCs w:val="24"/>
        </w:rPr>
      </w:pPr>
    </w:p>
    <w:p w14:paraId="0E4EDFA6" w14:textId="77777777" w:rsidR="001925CE" w:rsidRPr="000D3432" w:rsidRDefault="001925CE" w:rsidP="00A95498">
      <w:pPr>
        <w:widowControl/>
        <w:numPr>
          <w:ilvl w:val="0"/>
          <w:numId w:val="3"/>
        </w:numPr>
        <w:jc w:val="both"/>
        <w:rPr>
          <w:rFonts w:asciiTheme="minorHAnsi" w:hAnsiTheme="minorHAnsi"/>
          <w:b/>
          <w:szCs w:val="24"/>
        </w:rPr>
      </w:pPr>
      <w:r w:rsidRPr="000D3432">
        <w:rPr>
          <w:rFonts w:asciiTheme="minorHAnsi" w:hAnsiTheme="minorHAnsi"/>
          <w:b/>
          <w:szCs w:val="24"/>
        </w:rPr>
        <w:t>Los abogados y la función pública</w:t>
      </w:r>
    </w:p>
    <w:p w14:paraId="02E69476" w14:textId="77777777" w:rsidR="001925CE" w:rsidRPr="000D3432" w:rsidRDefault="001925CE" w:rsidP="00A95498">
      <w:pPr>
        <w:numPr>
          <w:ilvl w:val="12"/>
          <w:numId w:val="0"/>
        </w:numPr>
        <w:jc w:val="both"/>
        <w:rPr>
          <w:rFonts w:asciiTheme="minorHAnsi" w:hAnsiTheme="minorHAnsi"/>
          <w:szCs w:val="24"/>
        </w:rPr>
      </w:pPr>
    </w:p>
    <w:p w14:paraId="62DA2C56" w14:textId="77777777" w:rsidR="001925CE" w:rsidRPr="000D3432" w:rsidRDefault="001925CE" w:rsidP="00A95498">
      <w:pPr>
        <w:numPr>
          <w:ilvl w:val="12"/>
          <w:numId w:val="0"/>
        </w:numPr>
        <w:jc w:val="both"/>
        <w:rPr>
          <w:rFonts w:asciiTheme="minorHAnsi" w:hAnsiTheme="minorHAnsi"/>
          <w:szCs w:val="24"/>
        </w:rPr>
      </w:pPr>
      <w:r w:rsidRPr="000D3432">
        <w:rPr>
          <w:rFonts w:asciiTheme="minorHAnsi" w:hAnsiTheme="minorHAnsi"/>
          <w:szCs w:val="24"/>
        </w:rPr>
        <w:t xml:space="preserve">Es difícil separar al abogado de la función pública. Eso es imposible, más ahora en tiempos denominados modernos. El abogado cumple necesariamente una función pública. Eso significa que no es sólo un solucionador de los problemas ajenos, es además un profesional del Estado. Esto supone que el Estado ha concedido y otorgado el título de abogado a todos los hombres que actúen en beneficio de la sociedad, del bien común. Por tanto, el abogado cumple, necesaria e indispensablemente, una función social. Esta a su vez no es sólo la de asegurar la paz y la justicia social, la base está más bien en la coexistencia. El Derecho es una disciplina para organizar la sociedad, para regular las relaciones de poder, de fuerza, y el abogado es precisamente quién trabaja con estas relaciones de fuerza, que permitan la coexistencia o convivencia de unos individuos con otros.  Por eso, ese individuo (que se reconoce como fundamento central de toda sociedad) no intenta negar a la colectividad, sino coordinar, armonizar sus intereses particulares con los intereses de la colectividad, puesto que el hombre debe conducirse dentro de los marcos estrictos y severos del bien común, del orden público, etc. </w:t>
      </w:r>
    </w:p>
    <w:p w14:paraId="66E3C54B" w14:textId="77777777" w:rsidR="001925CE" w:rsidRPr="000D3432" w:rsidRDefault="001925CE" w:rsidP="00A95498">
      <w:pPr>
        <w:jc w:val="both"/>
        <w:rPr>
          <w:rFonts w:asciiTheme="minorHAnsi" w:hAnsiTheme="minorHAnsi"/>
          <w:b/>
          <w:szCs w:val="24"/>
        </w:rPr>
      </w:pPr>
    </w:p>
    <w:p w14:paraId="4B14CE39"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CARÁCTER PÚBLICO DE LA FUNCIÓN DE LOS ABOGADOS</w:t>
      </w:r>
    </w:p>
    <w:p w14:paraId="783843D6" w14:textId="77777777" w:rsidR="001925CE" w:rsidRPr="000D3432" w:rsidRDefault="001925CE" w:rsidP="00A95498">
      <w:pPr>
        <w:jc w:val="both"/>
        <w:rPr>
          <w:rFonts w:asciiTheme="minorHAnsi" w:hAnsiTheme="minorHAnsi"/>
          <w:szCs w:val="24"/>
        </w:rPr>
      </w:pPr>
    </w:p>
    <w:p w14:paraId="218F4E7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Lo primero que tenemos que hacer para verificar el asunto tratado es qué es el abogado. Este “qué es” está determinado por “la función que desempeña” en la sociedad. Si, por ejemplo, decimos que el abogado no es más que un traficante de soluciones, entonces su función es “dar soluciones al costo”. </w:t>
      </w:r>
    </w:p>
    <w:p w14:paraId="11C32B64" w14:textId="77777777" w:rsidR="001925CE" w:rsidRPr="000D3432" w:rsidRDefault="001925CE" w:rsidP="00A95498">
      <w:pPr>
        <w:jc w:val="both"/>
        <w:rPr>
          <w:rFonts w:asciiTheme="minorHAnsi" w:hAnsiTheme="minorHAnsi"/>
          <w:szCs w:val="24"/>
        </w:rPr>
      </w:pPr>
    </w:p>
    <w:p w14:paraId="0764593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pregunta que me salta a la mente es ¿para qué un hombre le paga al abogado?, ¿qué espera el cliente de su abogado?, ¿porqué alguien recurre a un abogado? ¿cuál es la “utilidad” del abogado?</w:t>
      </w:r>
    </w:p>
    <w:p w14:paraId="2FBF9488" w14:textId="77777777" w:rsidR="001925CE" w:rsidRPr="000D3432" w:rsidRDefault="001925CE" w:rsidP="00A95498">
      <w:pPr>
        <w:jc w:val="both"/>
        <w:rPr>
          <w:rFonts w:asciiTheme="minorHAnsi" w:hAnsiTheme="minorHAnsi"/>
          <w:szCs w:val="24"/>
        </w:rPr>
      </w:pPr>
    </w:p>
    <w:p w14:paraId="63B2016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Lo primero, como dijimos, es determinar la función del abogado. Su función es pública. Eso significa necesariamente que no puede apartarse de la utilidad social, del bien común. Que si patrocina a “un individuo”, no puede salirse del marco social, es decir que tiene que basarse sobre principios de conjunto, o mejor, de sistema. </w:t>
      </w:r>
    </w:p>
    <w:p w14:paraId="3EED41CF" w14:textId="77777777" w:rsidR="001925CE" w:rsidRPr="000D3432" w:rsidRDefault="001925CE" w:rsidP="00A95498">
      <w:pPr>
        <w:jc w:val="center"/>
        <w:rPr>
          <w:rFonts w:asciiTheme="minorHAnsi" w:hAnsiTheme="minorHAnsi"/>
          <w:b/>
          <w:szCs w:val="24"/>
        </w:rPr>
      </w:pPr>
    </w:p>
    <w:p w14:paraId="2F02772B"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 xml:space="preserve">DEMASIADOS ABOGADOS </w:t>
      </w:r>
    </w:p>
    <w:p w14:paraId="0CA285B7" w14:textId="77777777" w:rsidR="001925CE" w:rsidRPr="000D3432" w:rsidRDefault="001925CE" w:rsidP="00A95498">
      <w:pPr>
        <w:pStyle w:val="Textodecuerpo"/>
        <w:widowControl/>
        <w:spacing w:line="240" w:lineRule="auto"/>
        <w:rPr>
          <w:rFonts w:asciiTheme="minorHAnsi" w:hAnsiTheme="minorHAnsi"/>
          <w:sz w:val="24"/>
          <w:szCs w:val="24"/>
          <w:lang w:val="es-ES_tradnl"/>
        </w:rPr>
      </w:pPr>
    </w:p>
    <w:p w14:paraId="51F06FD5" w14:textId="77777777" w:rsidR="001925CE" w:rsidRPr="000D3432" w:rsidRDefault="001925C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Pensar que existen en la actualidad demasiados abogados es un fenómeno ya tradicional, que encierra un grave problema, en la intrascendencia que se le viene dando al abogado, porque decir que existen demasiados abogados, es decir que los abogados sobran, es decir, que existen más de los que son requeridos. Por eso la pregunta ¿demasiados abogados? Es hoy fundamental resolverla, como investigación o problema. Para abordar el tema debemos, pues, hacerlo con método. </w:t>
      </w:r>
    </w:p>
    <w:p w14:paraId="0FFF1A9E" w14:textId="77777777" w:rsidR="001925CE" w:rsidRPr="000D3432" w:rsidRDefault="001925CE" w:rsidP="00A95498">
      <w:pPr>
        <w:jc w:val="both"/>
        <w:rPr>
          <w:rFonts w:asciiTheme="minorHAnsi" w:hAnsiTheme="minorHAnsi"/>
          <w:szCs w:val="24"/>
        </w:rPr>
      </w:pPr>
    </w:p>
    <w:p w14:paraId="48ACE9E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Umberto Eco dice que para empezar a hacer un trabajo de investigación (en nuestro caso si existen o no demasiados abogados) lo mejor es hacer primero una introducción. “Esa parte que se inserta en las primeras páginas pero siempre se escribe al final”. Así que daremos un primer esbozo al tema, sobre la cantidad de abogados existentes. Y sobre si esto constituye un problema. </w:t>
      </w:r>
    </w:p>
    <w:p w14:paraId="2C952558" w14:textId="77777777" w:rsidR="001925CE" w:rsidRPr="000D3432" w:rsidRDefault="001925CE" w:rsidP="00A95498">
      <w:pPr>
        <w:jc w:val="both"/>
        <w:rPr>
          <w:rFonts w:asciiTheme="minorHAnsi" w:hAnsiTheme="minorHAnsi"/>
          <w:szCs w:val="24"/>
        </w:rPr>
      </w:pPr>
    </w:p>
    <w:p w14:paraId="70C67B2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tema tratado es ya conocido. Se trata de un tema ya planteado, expuesto, organizado, sistematizado, especialmente por un gran jurista: Piero Calamandrei, un excelente jurista italiano, tan claro como inteligente; que habla del abogado en varios libros, uno de ellos denominado </w:t>
      </w:r>
      <w:r w:rsidRPr="000D3432">
        <w:rPr>
          <w:rFonts w:asciiTheme="minorHAnsi" w:hAnsiTheme="minorHAnsi"/>
          <w:i/>
          <w:szCs w:val="24"/>
        </w:rPr>
        <w:t>Demasiados Abogados,</w:t>
      </w:r>
      <w:r w:rsidRPr="000D3432">
        <w:rPr>
          <w:rFonts w:asciiTheme="minorHAnsi" w:hAnsiTheme="minorHAnsi"/>
          <w:szCs w:val="24"/>
        </w:rPr>
        <w:t xml:space="preserve"> y el otro </w:t>
      </w:r>
      <w:r w:rsidRPr="000D3432">
        <w:rPr>
          <w:rFonts w:asciiTheme="minorHAnsi" w:hAnsiTheme="minorHAnsi"/>
          <w:i/>
          <w:szCs w:val="24"/>
        </w:rPr>
        <w:t>Elogio de los jueces escrito por un abogado.</w:t>
      </w:r>
    </w:p>
    <w:p w14:paraId="0970883A" w14:textId="77777777" w:rsidR="001925CE" w:rsidRPr="000D3432" w:rsidRDefault="001925CE" w:rsidP="00A95498">
      <w:pPr>
        <w:jc w:val="both"/>
        <w:rPr>
          <w:rFonts w:asciiTheme="minorHAnsi" w:hAnsiTheme="minorHAnsi"/>
          <w:szCs w:val="24"/>
        </w:rPr>
      </w:pPr>
    </w:p>
    <w:p w14:paraId="3D26DDE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 Así que el problema planteado –demasiados abogados- no es original pero sí visto desde nuestra perspectiva, por eso podría decirse que es propio, sale de nuestras manos y de nuestra manera de razonar los mismos hechos; por lo tanto, contradiciéndome, se podría decir que éste es un trabajo original en ese sentido (se origina en nosotros). Es un problema de viejas raíces, de viejas soluciones, pero de nuevos planteamientos sobre la urgencia de “hacer algo” para efectivizar esas “viejas soluciones” y plantear además otras novísimas soluciones. El tema es la existencia de “demasiados abogados”, que en realidad se traduce al hecho de qué función cumple el abogado, qué es en sí un abogado, cuál su necesidad o su no necesidad social, etc.. El tema -hablar otra vez sobre los abogados- parece un tema ocioso o irrelevante; a nuestro parecer no lo es, y menos es un tema estúpido, ¡no!; “si se trabaja bien no hay ningún tema que sea verdaderamente estúpido”</w:t>
      </w:r>
      <w:r w:rsidRPr="000D3432">
        <w:rPr>
          <w:rStyle w:val="Refdenotaalpie"/>
          <w:rFonts w:asciiTheme="minorHAnsi" w:hAnsiTheme="minorHAnsi"/>
          <w:sz w:val="24"/>
          <w:szCs w:val="24"/>
        </w:rPr>
        <w:footnoteReference w:id="411"/>
      </w:r>
      <w:r w:rsidRPr="000D3432">
        <w:rPr>
          <w:rFonts w:asciiTheme="minorHAnsi" w:hAnsiTheme="minorHAnsi"/>
          <w:szCs w:val="24"/>
        </w:rPr>
        <w:t xml:space="preserve">. </w:t>
      </w:r>
    </w:p>
    <w:p w14:paraId="171CCA88" w14:textId="77777777" w:rsidR="001925CE" w:rsidRPr="000D3432" w:rsidRDefault="001925CE" w:rsidP="00A95498">
      <w:pPr>
        <w:jc w:val="both"/>
        <w:rPr>
          <w:rFonts w:asciiTheme="minorHAnsi" w:hAnsiTheme="minorHAnsi"/>
          <w:szCs w:val="24"/>
        </w:rPr>
      </w:pPr>
    </w:p>
    <w:p w14:paraId="4692796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Demasiados abogados implica más que una simple afirmación, significa, además, una perfecta formulación jurídica social. Demasiados siempre significa “exceso”, y ya todos sabemos, incluso por mentado refrán, que “todo exceso es dañino”. En el caso de los abogados el problema (el “exceso”), es doble, triple, múltiple. No se trata sólo de cantidad sino de un referente sociológico, económico, político, cultural, social, y por ende eminentemente jurídico: implica una responsabilidad (el deber ser)  en primer lugar, pero además implica un fenómeno más profundo, a ser el hecho mismo de que son abogados los que han </w:t>
      </w:r>
      <w:r w:rsidRPr="000D3432">
        <w:rPr>
          <w:rFonts w:asciiTheme="minorHAnsi" w:hAnsiTheme="minorHAnsi"/>
          <w:szCs w:val="24"/>
        </w:rPr>
        <w:lastRenderedPageBreak/>
        <w:t xml:space="preserve">de servir a la colectividad para “solucionar los problemas sociales”, para hacer “justicia”, para lograr la “paz”, para garantizar la “seguridad jurídica”, la “igualdad”, “libertad”, la defensa de todos los derechos del hombre y de la mujer. Son abogados el centro del mundo jurídico, el eje que permite las relaciones de convivencia, y si éstos entran en colisión, en profunda y tremenda crisis, ¿qué le espera al resto de la sociedad? Claro, se podría decir que no tener abogados sería lo mejor, pero esa experiencia (no tener abogados) ya ha sido puesta en práctica y por razones narradas por la historia no tuvo ningún resultado exitoso. “Matar a los abogados” no es la solución. ¿Cuál es la solución? Hemos de ver primero el problema: Qué son los abogados, y si existen ya demasiados abogados, para luego intentar dar aproximaciones de solución. </w:t>
      </w:r>
    </w:p>
    <w:p w14:paraId="7C49495F" w14:textId="77777777" w:rsidR="001925CE" w:rsidRPr="000D3432" w:rsidRDefault="001925CE" w:rsidP="00A95498">
      <w:pPr>
        <w:jc w:val="both"/>
        <w:rPr>
          <w:rFonts w:asciiTheme="minorHAnsi" w:hAnsiTheme="minorHAnsi"/>
          <w:szCs w:val="24"/>
        </w:rPr>
      </w:pPr>
    </w:p>
    <w:p w14:paraId="2290CE9B" w14:textId="77777777" w:rsidR="001925CE" w:rsidRPr="000D3432" w:rsidRDefault="001925CE" w:rsidP="00A95498">
      <w:pPr>
        <w:jc w:val="both"/>
        <w:rPr>
          <w:rFonts w:asciiTheme="minorHAnsi" w:hAnsiTheme="minorHAnsi"/>
          <w:b/>
          <w:smallCaps/>
          <w:szCs w:val="24"/>
        </w:rPr>
      </w:pPr>
      <w:r w:rsidRPr="000D3432">
        <w:rPr>
          <w:rFonts w:asciiTheme="minorHAnsi" w:hAnsiTheme="minorHAnsi"/>
          <w:b/>
          <w:smallCaps/>
          <w:szCs w:val="24"/>
        </w:rPr>
        <w:t>Premisas y posición del problema</w:t>
      </w:r>
    </w:p>
    <w:p w14:paraId="2852C4FC" w14:textId="77777777" w:rsidR="001925CE" w:rsidRPr="000D3432" w:rsidRDefault="001925CE" w:rsidP="00A95498">
      <w:pPr>
        <w:jc w:val="both"/>
        <w:rPr>
          <w:rFonts w:asciiTheme="minorHAnsi" w:hAnsiTheme="minorHAnsi"/>
          <w:szCs w:val="24"/>
        </w:rPr>
      </w:pPr>
    </w:p>
    <w:p w14:paraId="0A5BC5A0"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¿Cuál es el problema? No se trata evidentemente de un fenómeno cuantitativo. Eso de “demasiados” indica cantidad pero no específicamente eso. Lo que pretende es más bien poner en evidencia el “desborde”, esa “gota que colmó el vaso”, ese fenómeno patológico, anti, inadecuado, causante de un mal determinado. ¿El problema es entonces de calidad antes que de cantidad? No necesariamente. En realidad el problema es -para decirlo con los términos actuales- “integral”, “global”. Se trata de un fenómeno total. Se trata en realidad del tipo de “abogados” que tenemos, que salen al mercado, que ostentan un título demasiado grande. Se trata de demostrar que no hay peso en los cartones “a nombre de la nación” que certifiquen realmente la calidad intelectual del abogado. Decir eso es ya un poco chocante. Decir que los abogados no tienen calidad es casi ofensivo, sin embargo, no es éste un trabajo para insultar u ofender. Ese no es el punto. Se trata de plantear un determinado problema. Por eso anoto que no estamos hablando de todos, sino de la generalidad. Y generalidad es sólo un concepto que encierra a una mayoría como premisa de razonamiento. </w:t>
      </w:r>
    </w:p>
    <w:p w14:paraId="7DB948F0" w14:textId="77777777" w:rsidR="001925CE" w:rsidRPr="000D3432" w:rsidRDefault="001925CE" w:rsidP="00A95498">
      <w:pPr>
        <w:jc w:val="both"/>
        <w:rPr>
          <w:rFonts w:asciiTheme="minorHAnsi" w:hAnsiTheme="minorHAnsi"/>
          <w:szCs w:val="24"/>
        </w:rPr>
      </w:pPr>
    </w:p>
    <w:p w14:paraId="483019C5"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Pregunta significativa:</w:t>
      </w:r>
    </w:p>
    <w:p w14:paraId="78597AB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pregunta sería: ¿Hay demasiados abogados? y si esto fuera así ¿determinaría un fenómeno crítico, un problema social jurídico? ¿El hecho de que hayan demasiados abogados determina algo?</w:t>
      </w:r>
    </w:p>
    <w:p w14:paraId="1BC50098" w14:textId="77777777" w:rsidR="001925CE" w:rsidRPr="000D3432" w:rsidRDefault="001925CE" w:rsidP="00A95498">
      <w:pPr>
        <w:jc w:val="both"/>
        <w:rPr>
          <w:rFonts w:asciiTheme="minorHAnsi" w:hAnsiTheme="minorHAnsi"/>
          <w:szCs w:val="24"/>
        </w:rPr>
      </w:pPr>
    </w:p>
    <w:p w14:paraId="6FB4797E"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LOS QUE ESCRIBIERON SOBRE EL ABOGADO:</w:t>
      </w:r>
    </w:p>
    <w:p w14:paraId="79A5D267" w14:textId="77777777" w:rsidR="001925CE" w:rsidRPr="000D3432" w:rsidRDefault="001925CE" w:rsidP="00A95498">
      <w:pPr>
        <w:jc w:val="both"/>
        <w:rPr>
          <w:rFonts w:asciiTheme="minorHAnsi" w:hAnsiTheme="minorHAnsi"/>
          <w:b/>
          <w:szCs w:val="24"/>
        </w:rPr>
      </w:pPr>
    </w:p>
    <w:p w14:paraId="6985AE8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Sobre los abogados han escrito Piero Calamandrei: </w:t>
      </w:r>
      <w:r w:rsidRPr="000D3432">
        <w:rPr>
          <w:rFonts w:asciiTheme="minorHAnsi" w:hAnsiTheme="minorHAnsi"/>
          <w:i/>
          <w:szCs w:val="24"/>
        </w:rPr>
        <w:t xml:space="preserve">Demasiados Abogados”, Elogio de los jueces escrito por un abogado; </w:t>
      </w:r>
      <w:r w:rsidRPr="000D3432">
        <w:rPr>
          <w:rFonts w:asciiTheme="minorHAnsi" w:hAnsiTheme="minorHAnsi"/>
          <w:szCs w:val="24"/>
        </w:rPr>
        <w:t>también Henri Robert sobre la abogacía; Francesco Carnelutti, “</w:t>
      </w:r>
      <w:r w:rsidRPr="000D3432">
        <w:rPr>
          <w:rFonts w:asciiTheme="minorHAnsi" w:hAnsiTheme="minorHAnsi"/>
          <w:i/>
          <w:szCs w:val="24"/>
        </w:rPr>
        <w:t>La Abogacía</w:t>
      </w:r>
      <w:r w:rsidRPr="000D3432">
        <w:rPr>
          <w:rFonts w:asciiTheme="minorHAnsi" w:hAnsiTheme="minorHAnsi"/>
          <w:szCs w:val="24"/>
        </w:rPr>
        <w:t xml:space="preserve">”;  Eduardo J. Couture, </w:t>
      </w:r>
      <w:r w:rsidRPr="000D3432">
        <w:rPr>
          <w:rFonts w:asciiTheme="minorHAnsi" w:hAnsiTheme="minorHAnsi"/>
          <w:i/>
          <w:szCs w:val="24"/>
        </w:rPr>
        <w:t>“Meditaciones sobre la abogacía”;</w:t>
      </w:r>
      <w:r w:rsidRPr="000D3432">
        <w:rPr>
          <w:rFonts w:asciiTheme="minorHAnsi" w:hAnsiTheme="minorHAnsi"/>
          <w:szCs w:val="24"/>
        </w:rPr>
        <w:t xml:space="preserve">Amilcar A. Mercader, </w:t>
      </w:r>
      <w:r w:rsidRPr="000D3432">
        <w:rPr>
          <w:rFonts w:asciiTheme="minorHAnsi" w:hAnsiTheme="minorHAnsi"/>
          <w:i/>
          <w:szCs w:val="24"/>
        </w:rPr>
        <w:t xml:space="preserve">“Abogados”; </w:t>
      </w:r>
      <w:r w:rsidRPr="000D3432">
        <w:rPr>
          <w:rFonts w:asciiTheme="minorHAnsi" w:hAnsiTheme="minorHAnsi"/>
          <w:szCs w:val="24"/>
        </w:rPr>
        <w:t>José León Barandiarán, “</w:t>
      </w:r>
      <w:r w:rsidRPr="000D3432">
        <w:rPr>
          <w:rFonts w:asciiTheme="minorHAnsi" w:hAnsiTheme="minorHAnsi"/>
          <w:i/>
          <w:szCs w:val="24"/>
        </w:rPr>
        <w:t>El Abogado”</w:t>
      </w:r>
      <w:r w:rsidRPr="000D3432">
        <w:rPr>
          <w:rFonts w:asciiTheme="minorHAnsi" w:hAnsiTheme="minorHAnsi"/>
          <w:szCs w:val="24"/>
        </w:rPr>
        <w:t xml:space="preserve">; Albert Camus: </w:t>
      </w:r>
      <w:r w:rsidRPr="000D3432">
        <w:rPr>
          <w:rFonts w:asciiTheme="minorHAnsi" w:hAnsiTheme="minorHAnsi"/>
          <w:i/>
          <w:szCs w:val="24"/>
        </w:rPr>
        <w:t>La caída;</w:t>
      </w:r>
      <w:r w:rsidRPr="000D3432">
        <w:rPr>
          <w:rFonts w:asciiTheme="minorHAnsi" w:hAnsiTheme="minorHAnsi"/>
          <w:szCs w:val="24"/>
        </w:rPr>
        <w:t xml:space="preserve"> Emilio Ayala Añazco, “</w:t>
      </w:r>
      <w:r w:rsidRPr="000D3432">
        <w:rPr>
          <w:rFonts w:asciiTheme="minorHAnsi" w:hAnsiTheme="minorHAnsi"/>
          <w:i/>
          <w:szCs w:val="24"/>
        </w:rPr>
        <w:t>¿Abogacía o abogacías? ¿Distintas naturalezas o sólo diferentes modalidades de ejercicio? Descripción y análisis?;</w:t>
      </w:r>
      <w:r w:rsidRPr="000D3432">
        <w:rPr>
          <w:rFonts w:asciiTheme="minorHAnsi" w:hAnsiTheme="minorHAnsi"/>
          <w:szCs w:val="24"/>
        </w:rPr>
        <w:t xml:space="preserve"> y otros autores que no conozco, pero imagino; sólo que los mencionados son los que tengo a la mano, en mi pequeña y lúdica biblioteca</w:t>
      </w:r>
    </w:p>
    <w:p w14:paraId="48856DA6" w14:textId="77777777" w:rsidR="001925CE" w:rsidRPr="000D3432" w:rsidRDefault="001925CE" w:rsidP="00A95498">
      <w:pPr>
        <w:jc w:val="both"/>
        <w:rPr>
          <w:rFonts w:asciiTheme="minorHAnsi" w:hAnsiTheme="minorHAnsi"/>
          <w:szCs w:val="24"/>
        </w:rPr>
      </w:pPr>
    </w:p>
    <w:p w14:paraId="41CC55C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lastRenderedPageBreak/>
        <w:t>Pero la literatura habla también de los abogados: “Los abogados suministran su rica veta al arte de todos los tiempos. De allí salieron muchas caricaturas grotescas creadas por el numen travieso de autores inmortales. Rabelais, los ridiculiza en la contrafigura del juez Bridoye en</w:t>
      </w:r>
      <w:r w:rsidRPr="000D3432">
        <w:rPr>
          <w:rFonts w:asciiTheme="minorHAnsi" w:hAnsiTheme="minorHAnsi"/>
          <w:i/>
          <w:szCs w:val="24"/>
        </w:rPr>
        <w:t>‘Hechos y dichos heroicos del gran Pantagruel’</w:t>
      </w:r>
      <w:r w:rsidRPr="000D3432">
        <w:rPr>
          <w:rFonts w:asciiTheme="minorHAnsi" w:hAnsiTheme="minorHAnsi"/>
          <w:szCs w:val="24"/>
        </w:rPr>
        <w:t xml:space="preserve">; Tacine, puso a Chicanneau, en </w:t>
      </w:r>
      <w:r w:rsidRPr="000D3432">
        <w:rPr>
          <w:rFonts w:asciiTheme="minorHAnsi" w:hAnsiTheme="minorHAnsi"/>
          <w:i/>
          <w:szCs w:val="24"/>
        </w:rPr>
        <w:t>‘Les Plaideurs’</w:t>
      </w:r>
      <w:r w:rsidRPr="000D3432">
        <w:rPr>
          <w:rFonts w:asciiTheme="minorHAnsi" w:hAnsiTheme="minorHAnsi"/>
          <w:szCs w:val="24"/>
        </w:rPr>
        <w:t xml:space="preserve">; Manzoni, a Azzecagarbugli, en </w:t>
      </w:r>
      <w:r w:rsidRPr="000D3432">
        <w:rPr>
          <w:rFonts w:asciiTheme="minorHAnsi" w:hAnsiTheme="minorHAnsi"/>
          <w:i/>
          <w:szCs w:val="24"/>
        </w:rPr>
        <w:t>‘PromesiSposi’</w:t>
      </w:r>
      <w:r w:rsidRPr="000D3432">
        <w:rPr>
          <w:rFonts w:asciiTheme="minorHAnsi" w:hAnsiTheme="minorHAnsi"/>
          <w:szCs w:val="24"/>
        </w:rPr>
        <w:t xml:space="preserve">; Shakespeare, a Porcia, en </w:t>
      </w:r>
      <w:r w:rsidRPr="000D3432">
        <w:rPr>
          <w:rFonts w:asciiTheme="minorHAnsi" w:hAnsiTheme="minorHAnsi"/>
          <w:i/>
          <w:szCs w:val="24"/>
        </w:rPr>
        <w:t>‘El mercader de Venecia’</w:t>
      </w:r>
      <w:r w:rsidRPr="000D3432">
        <w:rPr>
          <w:rFonts w:asciiTheme="minorHAnsi" w:hAnsiTheme="minorHAnsi"/>
          <w:szCs w:val="24"/>
        </w:rPr>
        <w:t xml:space="preserve"> y Anatole France, al abogado Lemerle, en </w:t>
      </w:r>
      <w:r w:rsidRPr="000D3432">
        <w:rPr>
          <w:rFonts w:asciiTheme="minorHAnsi" w:hAnsiTheme="minorHAnsi"/>
          <w:i/>
          <w:szCs w:val="24"/>
        </w:rPr>
        <w:t>‘Crainqueville’</w:t>
      </w:r>
      <w:r w:rsidRPr="000D3432">
        <w:rPr>
          <w:rFonts w:asciiTheme="minorHAnsi" w:hAnsiTheme="minorHAnsi"/>
          <w:szCs w:val="24"/>
        </w:rPr>
        <w:t>. Aristófanes, los tuvo muyen cuenta en ‘</w:t>
      </w:r>
      <w:r w:rsidRPr="000D3432">
        <w:rPr>
          <w:rFonts w:asciiTheme="minorHAnsi" w:hAnsiTheme="minorHAnsi"/>
          <w:i/>
          <w:szCs w:val="24"/>
        </w:rPr>
        <w:t xml:space="preserve">Las Nubes’ </w:t>
      </w:r>
      <w:r w:rsidRPr="000D3432">
        <w:rPr>
          <w:rFonts w:asciiTheme="minorHAnsi" w:hAnsiTheme="minorHAnsi"/>
          <w:szCs w:val="24"/>
        </w:rPr>
        <w:t>y Víctor Hugo, dibujó aquel Maese Jaime Charmoine, en ‘Notre</w:t>
      </w:r>
      <w:r w:rsidRPr="000D3432">
        <w:rPr>
          <w:rFonts w:asciiTheme="minorHAnsi" w:hAnsiTheme="minorHAnsi"/>
          <w:i/>
          <w:szCs w:val="24"/>
        </w:rPr>
        <w:t>Dame’.</w:t>
      </w:r>
      <w:r w:rsidRPr="000D3432">
        <w:rPr>
          <w:rFonts w:asciiTheme="minorHAnsi" w:hAnsiTheme="minorHAnsi"/>
          <w:szCs w:val="24"/>
        </w:rPr>
        <w:t>”</w:t>
      </w:r>
      <w:r w:rsidRPr="000D3432">
        <w:rPr>
          <w:rStyle w:val="Refdenotaalpie"/>
          <w:rFonts w:asciiTheme="minorHAnsi" w:hAnsiTheme="minorHAnsi"/>
          <w:sz w:val="24"/>
          <w:szCs w:val="24"/>
        </w:rPr>
        <w:footnoteReference w:id="412"/>
      </w:r>
    </w:p>
    <w:p w14:paraId="57031F96" w14:textId="77777777" w:rsidR="001925CE" w:rsidRPr="000D3432" w:rsidRDefault="001925CE" w:rsidP="00A95498">
      <w:pPr>
        <w:jc w:val="both"/>
        <w:rPr>
          <w:rFonts w:asciiTheme="minorHAnsi" w:hAnsiTheme="minorHAnsi"/>
          <w:szCs w:val="24"/>
        </w:rPr>
      </w:pPr>
    </w:p>
    <w:p w14:paraId="2DDFA019" w14:textId="77777777" w:rsidR="001925CE" w:rsidRPr="000D3432" w:rsidRDefault="001925CE" w:rsidP="00A95498">
      <w:pPr>
        <w:jc w:val="both"/>
        <w:rPr>
          <w:rFonts w:asciiTheme="minorHAnsi" w:hAnsiTheme="minorHAnsi"/>
          <w:szCs w:val="24"/>
        </w:rPr>
      </w:pPr>
    </w:p>
    <w:p w14:paraId="770DBA6B" w14:textId="77777777" w:rsidR="001925CE" w:rsidRPr="000D3432" w:rsidRDefault="001925CE" w:rsidP="00A95498">
      <w:pPr>
        <w:jc w:val="both"/>
        <w:rPr>
          <w:rFonts w:asciiTheme="minorHAnsi" w:hAnsiTheme="minorHAnsi"/>
          <w:b/>
          <w:smallCaps/>
          <w:szCs w:val="24"/>
        </w:rPr>
      </w:pPr>
    </w:p>
    <w:p w14:paraId="64B584D1" w14:textId="77777777" w:rsidR="001925CE" w:rsidRPr="000D3432" w:rsidRDefault="001925CE" w:rsidP="00A95498">
      <w:pPr>
        <w:jc w:val="both"/>
        <w:rPr>
          <w:rFonts w:asciiTheme="minorHAnsi" w:hAnsiTheme="minorHAnsi"/>
          <w:b/>
          <w:smallCaps/>
          <w:szCs w:val="24"/>
        </w:rPr>
      </w:pPr>
    </w:p>
    <w:p w14:paraId="22B54023" w14:textId="77777777" w:rsidR="001925CE" w:rsidRPr="000D3432" w:rsidRDefault="001925CE" w:rsidP="00A95498">
      <w:pPr>
        <w:jc w:val="both"/>
        <w:rPr>
          <w:rFonts w:asciiTheme="minorHAnsi" w:hAnsiTheme="minorHAnsi"/>
          <w:b/>
          <w:smallCaps/>
          <w:szCs w:val="24"/>
        </w:rPr>
      </w:pPr>
    </w:p>
    <w:p w14:paraId="1E6A3C02" w14:textId="77777777" w:rsidR="001925CE" w:rsidRPr="000D3432" w:rsidRDefault="001925CE" w:rsidP="00A95498">
      <w:pPr>
        <w:jc w:val="both"/>
        <w:rPr>
          <w:rFonts w:asciiTheme="minorHAnsi" w:hAnsiTheme="minorHAnsi"/>
          <w:b/>
          <w:smallCaps/>
          <w:szCs w:val="24"/>
        </w:rPr>
      </w:pPr>
    </w:p>
    <w:p w14:paraId="6C8CE287" w14:textId="77777777" w:rsidR="001925CE" w:rsidRPr="000D3432" w:rsidRDefault="001925CE" w:rsidP="00A95498">
      <w:pPr>
        <w:jc w:val="both"/>
        <w:rPr>
          <w:rFonts w:asciiTheme="minorHAnsi" w:hAnsiTheme="minorHAnsi"/>
          <w:b/>
          <w:smallCaps/>
          <w:szCs w:val="24"/>
        </w:rPr>
      </w:pPr>
    </w:p>
    <w:p w14:paraId="73DB5205" w14:textId="77777777" w:rsidR="001925CE" w:rsidRPr="000D3432" w:rsidRDefault="001925CE" w:rsidP="00A95498">
      <w:pPr>
        <w:jc w:val="center"/>
        <w:rPr>
          <w:rFonts w:asciiTheme="minorHAnsi" w:hAnsiTheme="minorHAnsi"/>
          <w:b/>
          <w:szCs w:val="24"/>
        </w:rPr>
      </w:pPr>
    </w:p>
    <w:p w14:paraId="3FE6891F" w14:textId="77777777" w:rsidR="001925CE" w:rsidRPr="000D3432" w:rsidRDefault="001925CE" w:rsidP="00A95498">
      <w:pPr>
        <w:jc w:val="center"/>
        <w:rPr>
          <w:rFonts w:asciiTheme="minorHAnsi" w:hAnsiTheme="minorHAnsi"/>
          <w:b/>
          <w:szCs w:val="24"/>
        </w:rPr>
      </w:pPr>
    </w:p>
    <w:p w14:paraId="0A27351E" w14:textId="77777777" w:rsidR="001925CE" w:rsidRPr="000D3432" w:rsidRDefault="001925CE" w:rsidP="00A95498">
      <w:pPr>
        <w:jc w:val="center"/>
        <w:rPr>
          <w:rFonts w:asciiTheme="minorHAnsi" w:hAnsiTheme="minorHAnsi"/>
          <w:b/>
          <w:szCs w:val="24"/>
        </w:rPr>
      </w:pPr>
    </w:p>
    <w:p w14:paraId="1D2D84FC" w14:textId="77777777" w:rsidR="001925CE" w:rsidRPr="000D3432" w:rsidRDefault="001925CE" w:rsidP="00A95498">
      <w:pPr>
        <w:jc w:val="center"/>
        <w:rPr>
          <w:rFonts w:asciiTheme="minorHAnsi" w:hAnsiTheme="minorHAnsi"/>
          <w:b/>
          <w:szCs w:val="24"/>
        </w:rPr>
      </w:pPr>
    </w:p>
    <w:p w14:paraId="76537D27"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 CAPÍTULO III -</w:t>
      </w:r>
    </w:p>
    <w:p w14:paraId="7BF5378D"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ENTRANDO EN EL ATAÚD</w:t>
      </w:r>
    </w:p>
    <w:p w14:paraId="09611C21"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(Algunos abogados de mi predilección)</w:t>
      </w:r>
    </w:p>
    <w:p w14:paraId="6D80D3DC" w14:textId="77777777" w:rsidR="001925CE" w:rsidRPr="000D3432" w:rsidRDefault="001925CE" w:rsidP="00A95498">
      <w:pPr>
        <w:ind w:left="708"/>
        <w:jc w:val="both"/>
        <w:rPr>
          <w:rFonts w:asciiTheme="minorHAnsi" w:hAnsiTheme="minorHAnsi"/>
          <w:b/>
          <w:szCs w:val="24"/>
        </w:rPr>
      </w:pPr>
    </w:p>
    <w:p w14:paraId="024C8FC5" w14:textId="77777777" w:rsidR="001925CE" w:rsidRPr="000D3432" w:rsidRDefault="001925CE" w:rsidP="00A95498">
      <w:pPr>
        <w:ind w:left="708"/>
        <w:jc w:val="both"/>
        <w:rPr>
          <w:rFonts w:asciiTheme="minorHAnsi" w:hAnsiTheme="minorHAnsi"/>
          <w:b/>
          <w:szCs w:val="24"/>
        </w:rPr>
      </w:pPr>
    </w:p>
    <w:p w14:paraId="1EFB691F" w14:textId="77777777" w:rsidR="001925CE" w:rsidRPr="000D3432" w:rsidRDefault="001925CE" w:rsidP="00A95498">
      <w:pPr>
        <w:jc w:val="both"/>
        <w:rPr>
          <w:rFonts w:asciiTheme="minorHAnsi" w:hAnsiTheme="minorHAnsi"/>
          <w:b/>
          <w:smallCaps/>
          <w:szCs w:val="24"/>
        </w:rPr>
      </w:pPr>
    </w:p>
    <w:p w14:paraId="2DFC84DB" w14:textId="77777777" w:rsidR="001925CE" w:rsidRPr="000D3432" w:rsidRDefault="001925CE" w:rsidP="00A95498">
      <w:pPr>
        <w:jc w:val="both"/>
        <w:rPr>
          <w:rFonts w:asciiTheme="minorHAnsi" w:hAnsiTheme="minorHAnsi"/>
          <w:b/>
          <w:smallCaps/>
          <w:szCs w:val="24"/>
        </w:rPr>
      </w:pPr>
    </w:p>
    <w:p w14:paraId="4B81A10C" w14:textId="77777777" w:rsidR="001925CE" w:rsidRPr="000D3432" w:rsidRDefault="001925CE" w:rsidP="00A95498">
      <w:pPr>
        <w:jc w:val="both"/>
        <w:rPr>
          <w:rFonts w:asciiTheme="minorHAnsi" w:hAnsiTheme="minorHAnsi"/>
          <w:szCs w:val="24"/>
        </w:rPr>
      </w:pPr>
    </w:p>
    <w:p w14:paraId="470C1AE2" w14:textId="77777777" w:rsidR="001925CE" w:rsidRPr="000D3432" w:rsidRDefault="001925CE" w:rsidP="00F95A20">
      <w:pPr>
        <w:jc w:val="center"/>
        <w:rPr>
          <w:rFonts w:asciiTheme="minorHAnsi" w:hAnsiTheme="minorHAnsi"/>
          <w:b/>
          <w:smallCaps/>
          <w:szCs w:val="24"/>
        </w:rPr>
      </w:pPr>
      <w:r w:rsidRPr="000D3432">
        <w:rPr>
          <w:rFonts w:asciiTheme="minorHAnsi" w:hAnsiTheme="minorHAnsi"/>
          <w:b/>
          <w:smallCaps/>
          <w:szCs w:val="24"/>
        </w:rPr>
        <w:t>1.- Francesco carnelutti</w:t>
      </w:r>
    </w:p>
    <w:p w14:paraId="36701B8E" w14:textId="77777777" w:rsidR="001925CE" w:rsidRPr="000D3432" w:rsidRDefault="001925CE" w:rsidP="00A95498">
      <w:pPr>
        <w:jc w:val="both"/>
        <w:rPr>
          <w:rFonts w:asciiTheme="minorHAnsi" w:hAnsiTheme="minorHAnsi"/>
          <w:szCs w:val="24"/>
        </w:rPr>
      </w:pPr>
    </w:p>
    <w:p w14:paraId="05DDED0F"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Tragando el anzuelo</w:t>
      </w:r>
    </w:p>
    <w:p w14:paraId="2DDBFD17" w14:textId="77777777" w:rsidR="001925CE" w:rsidRPr="000D3432" w:rsidRDefault="001925CE" w:rsidP="00A95498">
      <w:pPr>
        <w:jc w:val="both"/>
        <w:rPr>
          <w:rFonts w:asciiTheme="minorHAnsi" w:hAnsiTheme="minorHAnsi"/>
          <w:szCs w:val="24"/>
        </w:rPr>
      </w:pPr>
    </w:p>
    <w:p w14:paraId="6B892E60"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Altas horas de la noche. Una noticia infausta. Necesitan un artículo de menos de diez páginas para el lunes. Es jueves. Sé desde ya que mi libertad y ocio están cortadas por un encargo. No tengo ganas de hacer nada, pero digo: “sí”, “por mí no hay problema”. Claro que eso no es cierto; sí hay problema. El problema es sobre qué escribir; además no soy un genio, apenas un aficionado. Pero ya estoy embarcado en el encargo y pienso: otra vez “el pez muere por su propia boca”. Así que hoy sábado me dispongo a cumplir el vil encargo: escribir algo sobre Derecho. Hubiera querido decir NO, y echar al tacho del olvido cualquier sentimiento de solidaridad, pero no puedo, y me resigno a escribir algunas líneas. Cualquier obligación es ya una cadena, algo de lo que me gusta liberarme lo más rápido posible, como quien huye de su suegrita.</w:t>
      </w:r>
    </w:p>
    <w:p w14:paraId="08C4FC9C" w14:textId="77777777" w:rsidR="001925CE" w:rsidRPr="000D3432" w:rsidRDefault="001925CE" w:rsidP="00A95498">
      <w:pPr>
        <w:jc w:val="both"/>
        <w:rPr>
          <w:rFonts w:asciiTheme="minorHAnsi" w:hAnsiTheme="minorHAnsi"/>
          <w:szCs w:val="24"/>
        </w:rPr>
      </w:pPr>
    </w:p>
    <w:p w14:paraId="081B9729"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 xml:space="preserve">Francesco Carnelutti </w:t>
      </w:r>
    </w:p>
    <w:p w14:paraId="2582B2FF" w14:textId="77777777" w:rsidR="001925CE" w:rsidRPr="000D3432" w:rsidRDefault="001925CE" w:rsidP="00A95498">
      <w:pPr>
        <w:jc w:val="both"/>
        <w:rPr>
          <w:rFonts w:asciiTheme="minorHAnsi" w:hAnsiTheme="minorHAnsi"/>
          <w:szCs w:val="24"/>
        </w:rPr>
      </w:pPr>
    </w:p>
    <w:p w14:paraId="2219B5D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lastRenderedPageBreak/>
        <w:t>Lo primero que se me ocurrió fue escribir sobre algún escritor. Tenía a la mano el “Sistema de Derecho Procesal Civil” de Carnelutti, y entonces pensé en escribir sobre él. ¡Era perfecto!. Un clásico. Un pensador. Un jurista, y además italiano, o sea romano, de donde proviene el plus del Derecho.</w:t>
      </w:r>
    </w:p>
    <w:p w14:paraId="4F617402" w14:textId="77777777" w:rsidR="001925CE" w:rsidRPr="000D3432" w:rsidRDefault="001925CE" w:rsidP="00A95498">
      <w:pPr>
        <w:jc w:val="both"/>
        <w:rPr>
          <w:rFonts w:asciiTheme="minorHAnsi" w:hAnsiTheme="minorHAnsi"/>
          <w:szCs w:val="24"/>
        </w:rPr>
      </w:pPr>
    </w:p>
    <w:p w14:paraId="68AC637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Bien, a Carnelutti lo conocí en la biblioteca del INC de Tacna. Los rumores sobre su genialidad en el Derecho habían alertado mi curiosidad, y presto a comprobar tales vientos, con mirada cientificista, busqué al bendito autor en las fichas de la biblioteca. ¡Un hallazgo!, una ficha, rasgada por el tiempo y el uso, pareció ubicarme en el propósito: </w:t>
      </w:r>
      <w:r w:rsidRPr="000D3432">
        <w:rPr>
          <w:rFonts w:asciiTheme="minorHAnsi" w:hAnsiTheme="minorHAnsi"/>
          <w:i/>
          <w:szCs w:val="24"/>
        </w:rPr>
        <w:t>Arte del Derecho</w:t>
      </w:r>
      <w:r w:rsidRPr="000D3432">
        <w:rPr>
          <w:rFonts w:asciiTheme="minorHAnsi" w:hAnsiTheme="minorHAnsi"/>
          <w:szCs w:val="24"/>
        </w:rPr>
        <w:t>. Francesco Carnelutti. Consignaba la ficha. Saqué el libro. Lo miré hasta con desgano; era chiquito, de letras pequeñas. Le di una mirada mediocre y luego me fui.</w:t>
      </w:r>
    </w:p>
    <w:p w14:paraId="386FC36A" w14:textId="77777777" w:rsidR="001925CE" w:rsidRPr="000D3432" w:rsidRDefault="001925CE" w:rsidP="00A95498">
      <w:pPr>
        <w:jc w:val="both"/>
        <w:rPr>
          <w:rFonts w:asciiTheme="minorHAnsi" w:hAnsiTheme="minorHAnsi"/>
          <w:szCs w:val="24"/>
        </w:rPr>
      </w:pPr>
    </w:p>
    <w:p w14:paraId="32A8796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Mucho más tarde pude fotocopiarlo, y empecé a leerlo como quien no está muy convencido de la utilidad de ello. No resultó así. El mediocre había sido yo, no el autor. Carnelutti desplayábase en sus páginas con soltura, lucidez y hasta cordialidad. Sus análisis me inquietaron. Sucedía con él lo que no había ocurrido con otros autores: parecía resolverme algunos problemas fundamentales del Derecho. Parecía un gran razonador y no un fantoche. </w:t>
      </w:r>
    </w:p>
    <w:p w14:paraId="0446FBC1" w14:textId="77777777" w:rsidR="001925CE" w:rsidRPr="000D3432" w:rsidRDefault="001925CE" w:rsidP="00A95498">
      <w:pPr>
        <w:jc w:val="both"/>
        <w:rPr>
          <w:rFonts w:asciiTheme="minorHAnsi" w:hAnsiTheme="minorHAnsi"/>
          <w:szCs w:val="24"/>
        </w:rPr>
      </w:pPr>
    </w:p>
    <w:p w14:paraId="3234D49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Lo que primero me impresionó fue su sinceridad y atrevimiento: “Pido indulgencia por el atrevimiento de haber escrito estas páginas en español, aunque casi no conozca el idioma de Don Quijote, …”</w:t>
      </w:r>
      <w:r w:rsidRPr="000D3432">
        <w:rPr>
          <w:rStyle w:val="Refdenotaalpie"/>
          <w:rFonts w:asciiTheme="minorHAnsi" w:hAnsiTheme="minorHAnsi"/>
          <w:sz w:val="24"/>
          <w:szCs w:val="24"/>
        </w:rPr>
        <w:footnoteReference w:id="413"/>
      </w:r>
      <w:r w:rsidRPr="000D3432">
        <w:rPr>
          <w:rFonts w:asciiTheme="minorHAnsi" w:hAnsiTheme="minorHAnsi"/>
          <w:szCs w:val="24"/>
        </w:rPr>
        <w:t xml:space="preserve"> Por que, como dije líneas arriba, Carnelutti era italiano, nacido en Venecia, 1879. Llevaba, entonces, encima la estirpe de la raza latina, por lo tanto hablaba y pensaba en italiano; pero se atrevió además a escribir en castellano. Tuvo, según cuenta, una razón para atreverse a escribir en español, y era ese deseo traducido en intento, de que el texto escrito por el no sufriera “una pérdida de la fuerza expresiva”</w:t>
      </w:r>
      <w:r w:rsidRPr="000D3432">
        <w:rPr>
          <w:rStyle w:val="Refdenotaalpie"/>
          <w:rFonts w:asciiTheme="minorHAnsi" w:hAnsiTheme="minorHAnsi"/>
          <w:sz w:val="24"/>
          <w:szCs w:val="24"/>
        </w:rPr>
        <w:footnoteReference w:id="414"/>
      </w:r>
      <w:r w:rsidRPr="000D3432">
        <w:rPr>
          <w:rFonts w:asciiTheme="minorHAnsi" w:hAnsiTheme="minorHAnsi"/>
          <w:szCs w:val="24"/>
        </w:rPr>
        <w:t>. Estaba convencido que, a pesar de todos los esfuerzos hechos, la traducción restaba o transformaba la energía inicial de todo texto. Pero había además otra razón, que confiesa más adelante, y es que escribir en otro idioma le provocaba algo así como “una expansión de la personalidad”</w:t>
      </w:r>
      <w:r w:rsidRPr="000D3432">
        <w:rPr>
          <w:rStyle w:val="Refdenotaalpie"/>
          <w:rFonts w:asciiTheme="minorHAnsi" w:hAnsiTheme="minorHAnsi"/>
          <w:sz w:val="24"/>
          <w:szCs w:val="24"/>
        </w:rPr>
        <w:footnoteReference w:id="415"/>
      </w:r>
    </w:p>
    <w:p w14:paraId="2FCC3E2F" w14:textId="77777777" w:rsidR="001925CE" w:rsidRPr="000D3432" w:rsidRDefault="001925CE" w:rsidP="00A95498">
      <w:pPr>
        <w:jc w:val="both"/>
        <w:rPr>
          <w:rFonts w:asciiTheme="minorHAnsi" w:hAnsiTheme="minorHAnsi"/>
          <w:szCs w:val="24"/>
        </w:rPr>
      </w:pPr>
    </w:p>
    <w:p w14:paraId="497A53A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Bueno, Carnelutti, habíame inquietado, pues, porque sus primeras líneas no eran petulancias líricas o gramaticales, y además sus razonamientos eran perfectamente adaptables a mi entendimiento. </w:t>
      </w:r>
    </w:p>
    <w:p w14:paraId="74E94CC5" w14:textId="77777777" w:rsidR="001925CE" w:rsidRPr="000D3432" w:rsidRDefault="001925CE" w:rsidP="00A95498">
      <w:pPr>
        <w:jc w:val="both"/>
        <w:rPr>
          <w:rFonts w:asciiTheme="minorHAnsi" w:hAnsiTheme="minorHAnsi"/>
          <w:szCs w:val="24"/>
        </w:rPr>
      </w:pPr>
    </w:p>
    <w:p w14:paraId="3533067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Cogí, pues a Carnelutti y encontré en sus textos un montón de ideas, razonamientos, expresiones, tan abundantes como geniales, tan perfectamente ordenadas como elegantes. Había en sus escritos verdaderamente un sistema, o como el dijera, otra vez excusándose, por su producción, “el sistema de sus ideas”.</w:t>
      </w:r>
    </w:p>
    <w:p w14:paraId="018D0364" w14:textId="77777777" w:rsidR="001925CE" w:rsidRPr="000D3432" w:rsidRDefault="001925CE" w:rsidP="00A95498">
      <w:pPr>
        <w:jc w:val="both"/>
        <w:rPr>
          <w:rFonts w:asciiTheme="minorHAnsi" w:hAnsiTheme="minorHAnsi"/>
          <w:szCs w:val="24"/>
        </w:rPr>
      </w:pPr>
    </w:p>
    <w:p w14:paraId="19C7D139"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Arte del Derecho:</w:t>
      </w:r>
    </w:p>
    <w:p w14:paraId="21B22C89" w14:textId="77777777" w:rsidR="001925CE" w:rsidRPr="000D3432" w:rsidRDefault="001925CE" w:rsidP="00A95498">
      <w:pPr>
        <w:jc w:val="both"/>
        <w:rPr>
          <w:rFonts w:asciiTheme="minorHAnsi" w:hAnsiTheme="minorHAnsi"/>
          <w:szCs w:val="24"/>
        </w:rPr>
      </w:pPr>
    </w:p>
    <w:p w14:paraId="4B6344E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lastRenderedPageBreak/>
        <w:t xml:space="preserve">Este  es el sugestivo título de uno de los libritos más atractivos, generales y esenciales de la obra de Carnelutti. Allí expone, más que datos, ejercicios de razonamiento jurídico. El índice puede darnos una idea del contenido e intención del autor ¿Qué es derecho?, ¿Qué es la ley?, ¿Qué es el hecho?, ¿Qué es el juicio?, ¿Qué es la sanción?, ¿Qué es el deber?. Son conceptos claves, y como tales generales. </w:t>
      </w:r>
    </w:p>
    <w:p w14:paraId="3A57D5F5" w14:textId="77777777" w:rsidR="001925CE" w:rsidRPr="000D3432" w:rsidRDefault="001925CE" w:rsidP="00A95498">
      <w:pPr>
        <w:jc w:val="both"/>
        <w:rPr>
          <w:rFonts w:asciiTheme="minorHAnsi" w:hAnsiTheme="minorHAnsi"/>
          <w:szCs w:val="24"/>
        </w:rPr>
      </w:pPr>
    </w:p>
    <w:p w14:paraId="56B7ED6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Carnelutti ensaya hipótesis explicativas, pero no para darnos definiciones , conceptos concluyentes y excluyentes, sino para repensar , replantear intituiva y racionalmente discursos filosóficos sobre esos conceptos.</w:t>
      </w:r>
    </w:p>
    <w:p w14:paraId="691C24C5" w14:textId="77777777" w:rsidR="001925CE" w:rsidRPr="000D3432" w:rsidRDefault="001925CE" w:rsidP="00A95498">
      <w:pPr>
        <w:jc w:val="both"/>
        <w:rPr>
          <w:rFonts w:asciiTheme="minorHAnsi" w:hAnsiTheme="minorHAnsi"/>
          <w:szCs w:val="24"/>
        </w:rPr>
      </w:pPr>
    </w:p>
    <w:p w14:paraId="77BB7FE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Muchas ideas muestra Carneluti. La concatenación armónica con la cual diagrama sus razonamientos sorprende e incluso pueden llevar a un interesante y paradójico fenómeno intelectual: a tomar sus lecciones como ley, dogma. Estoy seguro que los positivistas chicha, pop, habrán hecho eso. Nada más erróneo y contrario a lo que quería Carnelutti, confeso explícito, en varios de sus libros, de sus errores intelectuales y del cambio o modificación, a veces radical, que habría sufrido su pensamiento, y por lo tanto, sus escritos. </w:t>
      </w:r>
    </w:p>
    <w:p w14:paraId="6F2738DA" w14:textId="77777777" w:rsidR="001925CE" w:rsidRPr="000D3432" w:rsidRDefault="001925CE" w:rsidP="00A95498">
      <w:pPr>
        <w:jc w:val="both"/>
        <w:rPr>
          <w:rFonts w:asciiTheme="minorHAnsi" w:hAnsiTheme="minorHAnsi"/>
          <w:szCs w:val="24"/>
        </w:rPr>
      </w:pPr>
    </w:p>
    <w:p w14:paraId="4EBD0558"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Carnelutti asocia la idea del Derecho a la idea del Estado. El Estado, profetiza, en sus primeras líneas, es de duración eterna. Estado y Derecho se necesitan. El Derecho sería así, la armadura del Estado y Jurídico el Estado cuando necesita del Derecho.</w:t>
      </w:r>
    </w:p>
    <w:p w14:paraId="4482EE70" w14:textId="77777777" w:rsidR="001925CE" w:rsidRPr="000D3432" w:rsidRDefault="001925CE" w:rsidP="00A95498">
      <w:pPr>
        <w:jc w:val="both"/>
        <w:rPr>
          <w:rFonts w:asciiTheme="minorHAnsi" w:hAnsiTheme="minorHAnsi"/>
          <w:szCs w:val="24"/>
        </w:rPr>
      </w:pPr>
    </w:p>
    <w:p w14:paraId="6E0226F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Convencido de la fuerza de ciertos fenómenos extrajurídicos cree haber resuelto el problema de la convivencia y el bien común y la justicia, sin el Derecho -solución teórica, por supuesto. El amor es esta solución. Expone un ejemplo: “¿Por qué el padre y el hijo cristianos, para regular sus relaciones, aun las más importantes relaciones,  no necesitan derecho? Porque, sencillamente, el padre ama al hijo y el hijo ama al padre. Ahora bien, la sabiduría del pueblo traduce </w:t>
      </w:r>
      <w:r w:rsidRPr="000D3432">
        <w:rPr>
          <w:rFonts w:asciiTheme="minorHAnsi" w:hAnsiTheme="minorHAnsi"/>
          <w:i/>
          <w:szCs w:val="24"/>
        </w:rPr>
        <w:t>amar</w:t>
      </w:r>
      <w:r w:rsidRPr="000D3432">
        <w:rPr>
          <w:rFonts w:asciiTheme="minorHAnsi" w:hAnsiTheme="minorHAnsi"/>
          <w:szCs w:val="24"/>
        </w:rPr>
        <w:t xml:space="preserve"> por </w:t>
      </w:r>
      <w:r w:rsidRPr="000D3432">
        <w:rPr>
          <w:rFonts w:asciiTheme="minorHAnsi" w:hAnsiTheme="minorHAnsi"/>
          <w:i/>
          <w:szCs w:val="24"/>
        </w:rPr>
        <w:t>querer bien,</w:t>
      </w:r>
      <w:r w:rsidRPr="000D3432">
        <w:rPr>
          <w:rFonts w:asciiTheme="minorHAnsi" w:hAnsiTheme="minorHAnsi"/>
          <w:szCs w:val="24"/>
        </w:rPr>
        <w:t xml:space="preserve"> es decir, </w:t>
      </w:r>
      <w:r w:rsidRPr="000D3432">
        <w:rPr>
          <w:rFonts w:asciiTheme="minorHAnsi" w:hAnsiTheme="minorHAnsi"/>
          <w:i/>
          <w:szCs w:val="24"/>
        </w:rPr>
        <w:t>querer el bien del amado,</w:t>
      </w:r>
      <w:r w:rsidRPr="000D3432">
        <w:rPr>
          <w:rFonts w:asciiTheme="minorHAnsi" w:hAnsiTheme="minorHAnsi"/>
          <w:szCs w:val="24"/>
        </w:rPr>
        <w:t xml:space="preserve"> lo que no se explica de otro modo que reconociendo que el bien del amado es el bien del amante y recíprocamente. Así el bien del uno y del otro es el bien de la misma persona.” Piensa Carnelutti que si el hombre amara no necesitaría del Derecho. Y el Derecho es una fuerza que une dos puntos, los puntos son los hombres, y esta fuerza que las liga, que los une, o vincula es el Derecho. El hombre no necesitará de los jueces si hay amor -dice, mientras tanto deben ser obligados. No se trata, aclarando, de un planteamiento cursilón y  huachafo del amor. No se trata del amor que debilita los espíritus mediocres. No se trata de ese amor que vuelve estúpidos a los seres humanos. Se trata, en rigor, de la </w:t>
      </w:r>
      <w:r w:rsidRPr="000D3432">
        <w:rPr>
          <w:rFonts w:asciiTheme="minorHAnsi" w:hAnsiTheme="minorHAnsi"/>
          <w:i/>
          <w:szCs w:val="24"/>
        </w:rPr>
        <w:t>dunamis</w:t>
      </w:r>
      <w:r w:rsidRPr="000D3432">
        <w:rPr>
          <w:rFonts w:asciiTheme="minorHAnsi" w:hAnsiTheme="minorHAnsi"/>
          <w:szCs w:val="24"/>
        </w:rPr>
        <w:t xml:space="preserve">, la fuerza voluntaria de hacer las cosas por los demás por amor a si mismo. El amor, describe Carnelutti, encierra en sí una condición vinculante, una fuerza que une; pero a diferencia del Derecho, no une, vincula, en referencia a una sanción externa (pena, multa, etc) sino por una condición interna (narcisismo). El sufrimiento del amado daña al amante. La clave está aquí en el término sufrimiento. No en el daño del otro, sino en el daño de uno al ser dañado el otro. Concepción que nos apetece asociar con el término individualismo. En el sentido más digno: capacidad de autogobernarnos, de ver el mundo desde uno. Un acto </w:t>
      </w:r>
      <w:r w:rsidRPr="000D3432">
        <w:rPr>
          <w:rFonts w:asciiTheme="minorHAnsi" w:hAnsiTheme="minorHAnsi"/>
          <w:szCs w:val="24"/>
        </w:rPr>
        <w:lastRenderedPageBreak/>
        <w:t xml:space="preserve">de libertad que “no es el poder sobre los demás, sino sobre sí mismo: no </w:t>
      </w:r>
      <w:r w:rsidRPr="000D3432">
        <w:rPr>
          <w:rFonts w:asciiTheme="minorHAnsi" w:hAnsiTheme="minorHAnsi"/>
          <w:i/>
          <w:szCs w:val="24"/>
        </w:rPr>
        <w:t>dominiumalterius</w:t>
      </w:r>
      <w:r w:rsidRPr="000D3432">
        <w:rPr>
          <w:rFonts w:asciiTheme="minorHAnsi" w:hAnsiTheme="minorHAnsi"/>
          <w:szCs w:val="24"/>
        </w:rPr>
        <w:t xml:space="preserve"> sino </w:t>
      </w:r>
      <w:r w:rsidRPr="000D3432">
        <w:rPr>
          <w:rFonts w:asciiTheme="minorHAnsi" w:hAnsiTheme="minorHAnsi"/>
          <w:i/>
          <w:szCs w:val="24"/>
        </w:rPr>
        <w:t>dominium sui</w:t>
      </w:r>
      <w:r w:rsidRPr="000D3432">
        <w:rPr>
          <w:rFonts w:asciiTheme="minorHAnsi" w:hAnsiTheme="minorHAnsi"/>
          <w:szCs w:val="24"/>
        </w:rPr>
        <w:t>”. Tal vez se trata de una descripción de cierta condición humana, su condición económica, lo que el llamaría “</w:t>
      </w:r>
      <w:r w:rsidRPr="000D3432">
        <w:rPr>
          <w:rFonts w:asciiTheme="minorHAnsi" w:hAnsiTheme="minorHAnsi"/>
          <w:i/>
          <w:szCs w:val="24"/>
        </w:rPr>
        <w:t>homo oeconomicus</w:t>
      </w:r>
      <w:r w:rsidRPr="000D3432">
        <w:rPr>
          <w:rFonts w:asciiTheme="minorHAnsi" w:hAnsiTheme="minorHAnsi"/>
          <w:szCs w:val="24"/>
        </w:rPr>
        <w:t xml:space="preserve"> que no quiere cuidar nada fuera de sus intereses.” Se trata de economía, al que Carnelutti opone su contrario: </w:t>
      </w:r>
      <w:r w:rsidRPr="000D3432">
        <w:rPr>
          <w:rFonts w:asciiTheme="minorHAnsi" w:hAnsiTheme="minorHAnsi"/>
          <w:i/>
          <w:szCs w:val="24"/>
        </w:rPr>
        <w:t>“homo moralis</w:t>
      </w:r>
      <w:r w:rsidRPr="000D3432">
        <w:rPr>
          <w:rFonts w:asciiTheme="minorHAnsi" w:hAnsiTheme="minorHAnsi"/>
          <w:szCs w:val="24"/>
        </w:rPr>
        <w:t xml:space="preserve"> que </w:t>
      </w:r>
      <w:r w:rsidRPr="000D3432">
        <w:rPr>
          <w:rFonts w:asciiTheme="minorHAnsi" w:hAnsiTheme="minorHAnsi"/>
          <w:i/>
          <w:szCs w:val="24"/>
        </w:rPr>
        <w:t>no puede separar</w:t>
      </w:r>
      <w:r w:rsidRPr="000D3432">
        <w:rPr>
          <w:rFonts w:asciiTheme="minorHAnsi" w:hAnsiTheme="minorHAnsi"/>
          <w:szCs w:val="24"/>
        </w:rPr>
        <w:t xml:space="preserve"> el propio del bien de los demás.”. se trata de la moral.</w:t>
      </w:r>
    </w:p>
    <w:p w14:paraId="639E8BC1" w14:textId="77777777" w:rsidR="001925CE" w:rsidRPr="000D3432" w:rsidRDefault="001925CE" w:rsidP="00A95498">
      <w:pPr>
        <w:jc w:val="both"/>
        <w:rPr>
          <w:rFonts w:asciiTheme="minorHAnsi" w:hAnsiTheme="minorHAnsi"/>
          <w:szCs w:val="24"/>
        </w:rPr>
      </w:pPr>
    </w:p>
    <w:p w14:paraId="54644ED8"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La intuición y el instinto en el Derecho:</w:t>
      </w:r>
    </w:p>
    <w:p w14:paraId="2731853E" w14:textId="77777777" w:rsidR="001925CE" w:rsidRPr="000D3432" w:rsidRDefault="001925CE" w:rsidP="00A95498">
      <w:pPr>
        <w:jc w:val="both"/>
        <w:rPr>
          <w:rFonts w:asciiTheme="minorHAnsi" w:hAnsiTheme="minorHAnsi"/>
          <w:szCs w:val="24"/>
        </w:rPr>
      </w:pPr>
    </w:p>
    <w:p w14:paraId="31D16E0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Otro de los motivos de comenzar a apreciarlo fue su concepción del Derecho. El Derecho como algo más que una simple teoría. El Derecho como fuerza. Esa, es a mi parecer un buen inicio para entender lo que es el Derecho, o al menos para apreciarlo mejor. Un fenómeno de fuerzas, una relación de fuerzas (en términos de Foucault). El Derecho, diría más adelante, es una fuerza: “Derecho, pues, no consiste en el ordenamiento sino en lo que ordena, es decir que une o, de una manera más realista, que liga; y, por tanto es una fuerza.  … Fuerza, </w:t>
      </w:r>
      <w:r w:rsidRPr="000D3432">
        <w:rPr>
          <w:rFonts w:asciiTheme="minorHAnsi" w:hAnsiTheme="minorHAnsi"/>
          <w:i/>
          <w:szCs w:val="24"/>
        </w:rPr>
        <w:t>dunamis,</w:t>
      </w:r>
      <w:r w:rsidRPr="000D3432">
        <w:rPr>
          <w:rFonts w:asciiTheme="minorHAnsi" w:hAnsiTheme="minorHAnsi"/>
          <w:szCs w:val="24"/>
        </w:rPr>
        <w:t xml:space="preserve"> decían los griegos. …. Fuerza no significa más que la idoneidad de algo para transformar el mundo. Y el derecho significa a su vez esa idoneidad.”</w:t>
      </w:r>
      <w:r w:rsidRPr="000D3432">
        <w:rPr>
          <w:rStyle w:val="Refdenotaalpie"/>
          <w:rFonts w:asciiTheme="minorHAnsi" w:hAnsiTheme="minorHAnsi"/>
          <w:sz w:val="24"/>
          <w:szCs w:val="24"/>
        </w:rPr>
        <w:footnoteReference w:id="416"/>
      </w:r>
      <w:r w:rsidRPr="000D3432">
        <w:rPr>
          <w:rFonts w:asciiTheme="minorHAnsi" w:hAnsiTheme="minorHAnsi"/>
          <w:szCs w:val="24"/>
        </w:rPr>
        <w:t xml:space="preserve"> . Luego añadiría: El Derecho es la lucha entre el hecho y la ley, “Y si el derecho es lucha, como vimos, entre el hecho y la ley, no se limita a esta lucha, sino que se extiende a su superación.”</w:t>
      </w:r>
      <w:r w:rsidRPr="000D3432">
        <w:rPr>
          <w:rStyle w:val="Refdenotaalpie"/>
          <w:rFonts w:asciiTheme="minorHAnsi" w:hAnsiTheme="minorHAnsi"/>
          <w:sz w:val="24"/>
          <w:szCs w:val="24"/>
        </w:rPr>
        <w:footnoteReference w:id="417"/>
      </w:r>
    </w:p>
    <w:p w14:paraId="4A768F21" w14:textId="77777777" w:rsidR="001925CE" w:rsidRPr="000D3432" w:rsidRDefault="001925CE" w:rsidP="00A95498">
      <w:pPr>
        <w:jc w:val="both"/>
        <w:rPr>
          <w:rFonts w:asciiTheme="minorHAnsi" w:hAnsiTheme="minorHAnsi"/>
          <w:szCs w:val="24"/>
        </w:rPr>
      </w:pPr>
    </w:p>
    <w:p w14:paraId="415DD29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Hace algunas predicciones exaltantes: “Yo creo en la eternidad del Estado o, más exactamente, en la duración del Estado hasta el fin del mundo;…”</w:t>
      </w:r>
      <w:r w:rsidRPr="000D3432">
        <w:rPr>
          <w:rStyle w:val="Refdenotaalpie"/>
          <w:rFonts w:asciiTheme="minorHAnsi" w:hAnsiTheme="minorHAnsi"/>
          <w:sz w:val="24"/>
          <w:szCs w:val="24"/>
        </w:rPr>
        <w:footnoteReference w:id="418"/>
      </w:r>
    </w:p>
    <w:p w14:paraId="47657A8C" w14:textId="77777777" w:rsidR="001925CE" w:rsidRPr="000D3432" w:rsidRDefault="001925CE" w:rsidP="00A95498">
      <w:pPr>
        <w:jc w:val="both"/>
        <w:rPr>
          <w:rFonts w:asciiTheme="minorHAnsi" w:hAnsiTheme="minorHAnsi"/>
          <w:szCs w:val="24"/>
        </w:rPr>
      </w:pPr>
    </w:p>
    <w:p w14:paraId="1B1B187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Se pasea por la historia. Roma, por ejemplo, </w:t>
      </w:r>
    </w:p>
    <w:p w14:paraId="79864B45" w14:textId="77777777" w:rsidR="001925CE" w:rsidRPr="000D3432" w:rsidRDefault="001925CE" w:rsidP="00A95498">
      <w:pPr>
        <w:jc w:val="both"/>
        <w:rPr>
          <w:rFonts w:asciiTheme="minorHAnsi" w:hAnsiTheme="minorHAnsi"/>
          <w:szCs w:val="24"/>
        </w:rPr>
      </w:pPr>
    </w:p>
    <w:p w14:paraId="30027F3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“Más bien conviene observar el Estado en sus formas microscópicas,es decir en las formas originarias, de donde sacó su vida. Esta forma microscópica y originaria del Estado se llama familia.”</w:t>
      </w:r>
      <w:r w:rsidRPr="000D3432">
        <w:rPr>
          <w:rStyle w:val="Refdenotaalpie"/>
          <w:rFonts w:asciiTheme="minorHAnsi" w:hAnsiTheme="minorHAnsi"/>
          <w:sz w:val="24"/>
          <w:szCs w:val="24"/>
        </w:rPr>
        <w:footnoteReference w:id="419"/>
      </w:r>
    </w:p>
    <w:p w14:paraId="6AD64EA5" w14:textId="77777777" w:rsidR="001925CE" w:rsidRPr="000D3432" w:rsidRDefault="001925CE" w:rsidP="00A95498">
      <w:pPr>
        <w:jc w:val="both"/>
        <w:rPr>
          <w:rFonts w:asciiTheme="minorHAnsi" w:hAnsiTheme="minorHAnsi"/>
          <w:szCs w:val="24"/>
        </w:rPr>
      </w:pPr>
    </w:p>
    <w:p w14:paraId="3A93F39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“Y la </w:t>
      </w:r>
      <w:r w:rsidRPr="000D3432">
        <w:rPr>
          <w:rFonts w:asciiTheme="minorHAnsi" w:hAnsiTheme="minorHAnsi"/>
          <w:i/>
          <w:szCs w:val="24"/>
        </w:rPr>
        <w:t>familia romana</w:t>
      </w:r>
      <w:r w:rsidRPr="000D3432">
        <w:rPr>
          <w:rFonts w:asciiTheme="minorHAnsi" w:hAnsiTheme="minorHAnsi"/>
          <w:szCs w:val="24"/>
        </w:rPr>
        <w:t xml:space="preserve"> era verdaderamente un Estado en miniatura: ¿por qué no decir la semilla del Estado? El </w:t>
      </w:r>
      <w:r w:rsidRPr="000D3432">
        <w:rPr>
          <w:rFonts w:asciiTheme="minorHAnsi" w:hAnsiTheme="minorHAnsi"/>
          <w:i/>
          <w:szCs w:val="24"/>
        </w:rPr>
        <w:t>pater familias</w:t>
      </w:r>
      <w:r w:rsidRPr="000D3432">
        <w:rPr>
          <w:rFonts w:asciiTheme="minorHAnsi" w:hAnsiTheme="minorHAnsi"/>
          <w:szCs w:val="24"/>
        </w:rPr>
        <w:t xml:space="preserve"> nos presenta la figura, más bien que de un padre, de un jefe; mucho menos el poder generativo que el poder jurídico, en su forma más rigurosa,…”</w:t>
      </w:r>
      <w:r w:rsidRPr="000D3432">
        <w:rPr>
          <w:rStyle w:val="Refdenotaalpie"/>
          <w:rFonts w:asciiTheme="minorHAnsi" w:hAnsiTheme="minorHAnsi"/>
          <w:sz w:val="24"/>
          <w:szCs w:val="24"/>
        </w:rPr>
        <w:footnoteReference w:id="420"/>
      </w:r>
    </w:p>
    <w:p w14:paraId="58F4FE89" w14:textId="77777777" w:rsidR="001925CE" w:rsidRPr="000D3432" w:rsidRDefault="001925CE" w:rsidP="00A95498">
      <w:pPr>
        <w:jc w:val="both"/>
        <w:rPr>
          <w:rFonts w:asciiTheme="minorHAnsi" w:hAnsiTheme="minorHAnsi"/>
          <w:szCs w:val="24"/>
        </w:rPr>
      </w:pPr>
    </w:p>
    <w:p w14:paraId="49D5B25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Estos conceptos  me dieron la impresión de que Carnelutti no era un académico, sino un práctico. No era sólo un ratón de biblioteca, sino un experimentador, eso pude comprobarlo cuando, adelantándose a los temores de los prejuiciosos lectores, escribió para consolarnos: “Soy uno de ustedes”, es decir un práctico. Pero eso, por supuesto, no era cierto. Carnelutti no era uno de ellos, era mucho más.</w:t>
      </w:r>
    </w:p>
    <w:p w14:paraId="2626EADA" w14:textId="77777777" w:rsidR="001925CE" w:rsidRPr="000D3432" w:rsidRDefault="001925CE" w:rsidP="00A95498">
      <w:pPr>
        <w:jc w:val="both"/>
        <w:rPr>
          <w:rFonts w:asciiTheme="minorHAnsi" w:hAnsiTheme="minorHAnsi"/>
          <w:szCs w:val="24"/>
        </w:rPr>
      </w:pPr>
    </w:p>
    <w:p w14:paraId="312902BE" w14:textId="28762216" w:rsidR="00F95A20" w:rsidRPr="000D3432" w:rsidRDefault="001925CE" w:rsidP="00F95A20">
      <w:pPr>
        <w:jc w:val="center"/>
        <w:rPr>
          <w:rFonts w:asciiTheme="minorHAnsi" w:hAnsiTheme="minorHAnsi"/>
          <w:b/>
          <w:szCs w:val="24"/>
        </w:rPr>
      </w:pPr>
      <w:r w:rsidRPr="000D3432">
        <w:rPr>
          <w:rFonts w:asciiTheme="minorHAnsi" w:hAnsiTheme="minorHAnsi"/>
          <w:b/>
          <w:szCs w:val="24"/>
        </w:rPr>
        <w:lastRenderedPageBreak/>
        <w:t>BASADRE</w:t>
      </w:r>
    </w:p>
    <w:p w14:paraId="3E0C78B9" w14:textId="0D5AF676" w:rsidR="001925CE" w:rsidRPr="000D3432" w:rsidRDefault="001925CE" w:rsidP="00F95A20">
      <w:pPr>
        <w:jc w:val="center"/>
        <w:rPr>
          <w:rFonts w:asciiTheme="minorHAnsi" w:hAnsiTheme="minorHAnsi"/>
          <w:szCs w:val="24"/>
        </w:rPr>
      </w:pPr>
      <w:r w:rsidRPr="000D3432">
        <w:rPr>
          <w:rFonts w:asciiTheme="minorHAnsi" w:hAnsiTheme="minorHAnsi"/>
          <w:b/>
          <w:szCs w:val="24"/>
        </w:rPr>
        <w:t>un peladito llamado Jorge</w:t>
      </w:r>
    </w:p>
    <w:p w14:paraId="7F802EA4" w14:textId="77777777" w:rsidR="001925CE" w:rsidRPr="000D3432" w:rsidRDefault="001925CE" w:rsidP="00A95498">
      <w:pPr>
        <w:jc w:val="both"/>
        <w:rPr>
          <w:rFonts w:asciiTheme="minorHAnsi" w:hAnsiTheme="minorHAnsi"/>
          <w:szCs w:val="24"/>
        </w:rPr>
      </w:pPr>
    </w:p>
    <w:p w14:paraId="738A36D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Decirle «peladito», o «pelao» a Jorge Basadre Grohmann no es para nada una injuriosa e irrespetuosa ofensa. Quién haya pensado eso tiene un primer problema, un “complejo” a flor de piel. No es lo mismo decir: ese «maldito pelado», que decir «un peladito llamado Basadre». Por muchas razones.  La última afirmación es cierta, o casi cierta, y nadie debe ofenderse por escuchar la verdad, y menos si esa verdad no tiene tono peyorativo. Lo peyorativo es ofenderse por las puras. Estamos perdidos si confundimos respeto con mojigatería. Es como decirle a un negro: «negro», y luego que éste se ofenda por tal afirmación. Decirle negro a un negro no tiene nada de ofensivo. Lo tiene sí si le decimos, asustados pero protegidos por la distancia, «negro feo». No podemos seguir confundiendo el color con el tipo de persona que un ser humano es. Negro no significa, ineludiblemente, feo, o ladrón, o vago, o, etc. Negro significa exactamente eso: negro y nada más. Las condiciones sociales (ladrón, feo, vago, etc.) no pueden determinarse por el color, sino por la personalidad, por el carácter, por la concepción de estética que tengamos, por la jerarquía dada a una determina actividad o inactividad. Eso ya se lo sabe, pero hay que decirlo hasta que quede interiorizado, adherido en el inconciente colectivo.</w:t>
      </w:r>
    </w:p>
    <w:p w14:paraId="18661033" w14:textId="77777777" w:rsidR="001925CE" w:rsidRPr="000D3432" w:rsidRDefault="001925CE" w:rsidP="00A95498">
      <w:pPr>
        <w:jc w:val="both"/>
        <w:rPr>
          <w:rFonts w:asciiTheme="minorHAnsi" w:hAnsiTheme="minorHAnsi"/>
          <w:szCs w:val="24"/>
        </w:rPr>
      </w:pPr>
    </w:p>
    <w:p w14:paraId="1E883C63"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 *</w:t>
      </w:r>
    </w:p>
    <w:p w14:paraId="6B815CD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Pues bien, al final del extraño Perú, en su extremo sur, queda dibujado afablemente un pequeño pueblo: Tacna; allí nacería también un extraordinario y prolijo hombre: Jorge Basadre G., del que hoy quiero ocuparme como quien se ocupa de un ídolo. No hay acaso término más apropiado para este personaje (ídolo), a pesar que su corporalidad lingüística suela arbitrariamente refundarse en un vicio, en un obstáculo, como sinónimo de falta de objetividad. Se dice, por ejemplo, “la mejor y real apreciación de algo es la objetiva”. Pero creo, en este caso, que tratar sobre el homo sapiens objetivo es desviarse del subjetivismo necesario para captar al hombre de carne y hueso. No estoy preocupado, por ello, en ser absolutamente objetivo. Puesto que de la objetividad absoluta no está dispuesta contra su corrosión o relatividad ni siquiera la ciencia. “No toda investigación científica procura el conocimiento objetivo. Así, la lógica y las matemáticas -esto es, los diversos sistemas de lógica formal y los diferentes capítulos de la matemática pura- son racionales, sistemáticos y verificables, pero no son objetivos, no nos dan informaciones acerca de la realidad; simplemente, no se ocupan de los hechos. La lógica y la matemática tratan de entes ideales; estos entes, tanto los abstractos como los interpretados, sólo existen en la mente humana.”, escribe Mario Bunge. Mi apreciación es por lo tanto subjetiva, parcial; no objetiva (neutra). No puedo concebir que se hable de alguien con absoluta objetividad, objetividad que excluye, que delimita, que define de una vez y para siempre. Eso me suena a inhumano, a máquina, a estadística. Por eso voy a hablar de Jorge Basadre G. exclusivamente desde mi subjetiva perspectiva.</w:t>
      </w:r>
    </w:p>
    <w:p w14:paraId="5CD434EB" w14:textId="77777777" w:rsidR="001925CE" w:rsidRPr="000D3432" w:rsidRDefault="001925CE" w:rsidP="00A95498">
      <w:pPr>
        <w:jc w:val="both"/>
        <w:rPr>
          <w:rFonts w:asciiTheme="minorHAnsi" w:hAnsiTheme="minorHAnsi"/>
          <w:szCs w:val="24"/>
        </w:rPr>
      </w:pPr>
    </w:p>
    <w:p w14:paraId="53FF02D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Sus retratos lo muestran sereno, amable, sincero, predestinado para el bien. No tiene como otros la frente arrugada, ni los ojos graves, su figura refleja más bien </w:t>
      </w:r>
      <w:r w:rsidRPr="000D3432">
        <w:rPr>
          <w:rFonts w:asciiTheme="minorHAnsi" w:hAnsiTheme="minorHAnsi"/>
          <w:szCs w:val="24"/>
        </w:rPr>
        <w:lastRenderedPageBreak/>
        <w:t>candidez, ternura, pasividad. No fue, sin embargo, nada pasivo, ni opacado, eso queda demostrado por su inmensa obra. Hombre inquieto y sagaz dedicó su vida al mundo de la creación intelectual. Luego de ver sus enormes tomos sobre la República, apenas puede uno imaginárselo descansando. Uno se pregunta, ¿cómo hizo todos aquellos hermosos tomos, llenos, repletos, de datos, historia, derecho y filosofía?, ¿cómo pudo tener tanta rigurosidad científica con sus fuentes? Solo a través del genio, y del rigorismo metodológico se logra eso, y método es disciplina y todo ello es trabajo y más trabajo. No puede haber otra forma. Basadre, sin embargo, no sólo contaba con rigorismo, sino que tenía un gran talento metodológico: capacidad de ahorrar esfuerzo, economía de recursos. Podría decirse de él lo que atribuyó a José Mateo Aguilar “su vida fue metódica”. Mateo Aguilar del cual comenta: “no tenía sino un vestido, creyendo que con ello no defraudaba a los pobres”.</w:t>
      </w:r>
    </w:p>
    <w:p w14:paraId="791D12C0" w14:textId="77777777" w:rsidR="001925CE" w:rsidRPr="000D3432" w:rsidRDefault="001925CE" w:rsidP="00A95498">
      <w:pPr>
        <w:jc w:val="both"/>
        <w:rPr>
          <w:rFonts w:asciiTheme="minorHAnsi" w:hAnsiTheme="minorHAnsi"/>
          <w:szCs w:val="24"/>
        </w:rPr>
      </w:pPr>
    </w:p>
    <w:p w14:paraId="6B653A5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¿Cuál era la constante de Basadre? ¿Porqué escribía tanto? ¿de dónde sacaba sus fuerzas? Basadre sacaba su “fuerza y desgarramiento, lucidez y transtorno”, de su limpia y jubilosa certeza de ignorancia. El buscaba laboriosamente el saber por su desconfianza metódica de toda certeza demasiado explícita, demasiado evidente, algo que debiera haberle provocado algunos malestares mentales, y a lo cual no se resignaba. Era, por lo tanto, un buscador, y un entendido de que: “El saber descansa, pues, necesariamente en el terreno de la ignorancia, es decir, esencialmente en la espera del futuro, y es de ahí, de donde saca también su fuerza. Si alcanzara su objetivo: la seguridad  incondicionada, cesaría también el afán de saber.” como  escribiera Bohler. </w:t>
      </w:r>
    </w:p>
    <w:p w14:paraId="257D3AA3" w14:textId="77777777" w:rsidR="001925CE" w:rsidRPr="000D3432" w:rsidRDefault="001925CE" w:rsidP="00A95498">
      <w:pPr>
        <w:jc w:val="both"/>
        <w:rPr>
          <w:rFonts w:asciiTheme="minorHAnsi" w:hAnsiTheme="minorHAnsi"/>
          <w:szCs w:val="24"/>
        </w:rPr>
      </w:pPr>
    </w:p>
    <w:p w14:paraId="503F36E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Pero otra explicación de su prolijidad es que Basadre no hacía esfuerzos por tocar los límites de su investigación, él sabía que el conocimiento, como la vida, es infinita, él hubiera logrado esbozar perfectamente una frase de Ruskin “no haré esfuerzos por tocar sus límites”. </w:t>
      </w:r>
    </w:p>
    <w:p w14:paraId="24297ABB" w14:textId="77777777" w:rsidR="001925CE" w:rsidRPr="000D3432" w:rsidRDefault="001925CE" w:rsidP="00A95498">
      <w:pPr>
        <w:jc w:val="both"/>
        <w:rPr>
          <w:rFonts w:asciiTheme="minorHAnsi" w:hAnsiTheme="minorHAnsi"/>
          <w:szCs w:val="24"/>
        </w:rPr>
      </w:pPr>
    </w:p>
    <w:p w14:paraId="665630B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Hombre relacionado con grandes hombres, había recibido incluso lecturas sobre el anarquismo, como el narra: “El Instituto de Historia Social me envío copias de las páginas que Max Nettlau dedicó al Perú en su historia universal del anarquismo.”(49, Conversaciones)</w:t>
      </w:r>
    </w:p>
    <w:p w14:paraId="13980C6A" w14:textId="77777777" w:rsidR="001925CE" w:rsidRPr="000D3432" w:rsidRDefault="001925CE" w:rsidP="00A95498">
      <w:pPr>
        <w:jc w:val="both"/>
        <w:rPr>
          <w:rFonts w:asciiTheme="minorHAnsi" w:hAnsiTheme="minorHAnsi"/>
          <w:szCs w:val="24"/>
        </w:rPr>
      </w:pPr>
    </w:p>
    <w:p w14:paraId="4B2104D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¿Cómo resultó ser historiador este abogado?  El dice sobre aquel suceso: “De mi lado, no decidí ser historiador sino por los 50 como resultado de mi relación personal con don Raúl Porras (50 Conversaciones con Macera).</w:t>
      </w:r>
    </w:p>
    <w:p w14:paraId="4CC481A1" w14:textId="77777777" w:rsidR="001925CE" w:rsidRPr="000D3432" w:rsidRDefault="001925CE" w:rsidP="00A95498">
      <w:pPr>
        <w:jc w:val="both"/>
        <w:rPr>
          <w:rFonts w:asciiTheme="minorHAnsi" w:hAnsiTheme="minorHAnsi"/>
          <w:szCs w:val="24"/>
        </w:rPr>
      </w:pPr>
    </w:p>
    <w:p w14:paraId="29ADD42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¿Cuáles fueron los motivos, sus razones? Responde: “Me dediqué a la Historia por razones casi freudianas, para huir del presente personal, familiar y quizá nacional, que me era absolutamente desagradable.</w:t>
      </w:r>
    </w:p>
    <w:p w14:paraId="0CB1C89F" w14:textId="77777777" w:rsidR="001925CE" w:rsidRPr="000D3432" w:rsidRDefault="001925CE" w:rsidP="00A95498">
      <w:pPr>
        <w:jc w:val="both"/>
        <w:rPr>
          <w:rFonts w:asciiTheme="minorHAnsi" w:hAnsiTheme="minorHAnsi"/>
          <w:szCs w:val="24"/>
        </w:rPr>
      </w:pPr>
    </w:p>
    <w:p w14:paraId="1B6A426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Sin embargo, a pesar de haber leído tanto, de haber escrito tanto, de tener la consideración de intelectual, de historiador, sucede en el, lo que en todos los hombres grandes, no queda absolutamente convencido de su ciencia, de su arte, de su vida; observa mas bien la necesidad imperiosa de no influir en los demás. Cosa curiosa en un hombre de su talento. Reflejo más bien de su real dimensión </w:t>
      </w:r>
      <w:r w:rsidRPr="000D3432">
        <w:rPr>
          <w:rFonts w:asciiTheme="minorHAnsi" w:hAnsiTheme="minorHAnsi"/>
          <w:szCs w:val="24"/>
        </w:rPr>
        <w:lastRenderedPageBreak/>
        <w:t>como hombre, como verdadero intelectual; el dice: “…no estoy muy convencido de lo que valemos la historia entera y quienes la estudiamos. Por mi parte, trato ahora  de influir lo menos posible en los demás, sobre todo en mis alumnos” (51 C.V.)</w:t>
      </w:r>
    </w:p>
    <w:p w14:paraId="5682E7B9" w14:textId="77777777" w:rsidR="001925CE" w:rsidRPr="000D3432" w:rsidRDefault="001925CE" w:rsidP="00A95498">
      <w:pPr>
        <w:jc w:val="both"/>
        <w:rPr>
          <w:rFonts w:asciiTheme="minorHAnsi" w:hAnsiTheme="minorHAnsi"/>
          <w:szCs w:val="24"/>
        </w:rPr>
      </w:pPr>
    </w:p>
    <w:p w14:paraId="770090C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Esto último dicho por Basadre ha calado mucho en mis fibras, su pregunta sería acaso esta: ¿acaso no estaré equivocado? La eterna duda, la eterna incertidumbre del hombre que piensa y que sabe de la volatilidad del conocimiento, que sabe que el mayor rigor de la vida es el cambio.</w:t>
      </w:r>
    </w:p>
    <w:p w14:paraId="6BBF03B3" w14:textId="77777777" w:rsidR="001925CE" w:rsidRPr="000D3432" w:rsidRDefault="001925CE" w:rsidP="00A95498">
      <w:pPr>
        <w:jc w:val="both"/>
        <w:rPr>
          <w:rFonts w:asciiTheme="minorHAnsi" w:hAnsiTheme="minorHAnsi"/>
          <w:szCs w:val="24"/>
        </w:rPr>
      </w:pPr>
    </w:p>
    <w:p w14:paraId="19FDC8F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Basadre habla de Tacna, a través de reseñas que hace de otros, como de otro también intelectual Vigil, al que le atribuye para la historia el título que se le dio a Tacna: la heroica: “por iniciativa suya (habla de Vigil), el Congreso dio a la ciudad en la ley de 21 de mayo del 1828 el título de heroica, hasta hoy vigente.(229 personajes).</w:t>
      </w:r>
    </w:p>
    <w:p w14:paraId="3813649A" w14:textId="77777777" w:rsidR="001925CE" w:rsidRPr="000D3432" w:rsidRDefault="001925CE" w:rsidP="00A95498">
      <w:pPr>
        <w:jc w:val="both"/>
        <w:rPr>
          <w:rFonts w:asciiTheme="minorHAnsi" w:hAnsiTheme="minorHAnsi"/>
          <w:szCs w:val="24"/>
        </w:rPr>
      </w:pPr>
    </w:p>
    <w:p w14:paraId="5B073C9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Habla de otros personajes tan importantes como Manuel Lorenzo de Vidaurre, “Manuel Lorenzo de Vidaurre escribió: “En 1820 escribió el libro Plan del Perú, que con dedicatoria a Bolívar publicó en 1823 en Filadelfia, para hacer una crítica del sistema administrativo colonial. Fue, además, Vidaurre, autor de unas Cartas Americanas, roussoniana confesión de sus amores adúlteros.” (222 personajes).</w:t>
      </w:r>
    </w:p>
    <w:p w14:paraId="3FAD369D" w14:textId="77777777" w:rsidR="001925CE" w:rsidRPr="000D3432" w:rsidRDefault="001925CE" w:rsidP="00A95498">
      <w:pPr>
        <w:jc w:val="both"/>
        <w:rPr>
          <w:rFonts w:asciiTheme="minorHAnsi" w:hAnsiTheme="minorHAnsi"/>
          <w:szCs w:val="24"/>
        </w:rPr>
      </w:pPr>
    </w:p>
    <w:p w14:paraId="73150E3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Cuenta Basadre que Vidaurre “pedía que a mayor poder hubiese menor tiempo en su ejercicio, que no existieran ejércitos permanentes sino en tiempo de guerra…” (223 Personajes)</w:t>
      </w:r>
    </w:p>
    <w:p w14:paraId="09CFEE8A" w14:textId="77777777" w:rsidR="001925CE" w:rsidRPr="000D3432" w:rsidRDefault="001925CE" w:rsidP="00A95498">
      <w:pPr>
        <w:jc w:val="both"/>
        <w:rPr>
          <w:rFonts w:asciiTheme="minorHAnsi" w:hAnsiTheme="minorHAnsi"/>
          <w:szCs w:val="24"/>
        </w:rPr>
      </w:pPr>
    </w:p>
    <w:p w14:paraId="08FED66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Da una mirada a los derechos humanos a través de Miranda “El escándalo salta cuando con fulgida elocuencia hace el elogio de los “derechos del hombre”, en los cuales se cifra el contraste entre la vida colonial y la vida republicana; los “derechos del hombre” señalan la sepultura de la política medieval y el nacimiento de la política liberal.” (60 personajes)</w:t>
      </w:r>
    </w:p>
    <w:p w14:paraId="33744F6A" w14:textId="77777777" w:rsidR="001925CE" w:rsidRPr="000D3432" w:rsidRDefault="001925CE" w:rsidP="00A95498">
      <w:pPr>
        <w:jc w:val="both"/>
        <w:rPr>
          <w:rFonts w:asciiTheme="minorHAnsi" w:hAnsiTheme="minorHAnsi"/>
          <w:szCs w:val="24"/>
        </w:rPr>
      </w:pPr>
    </w:p>
    <w:p w14:paraId="1017641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Algunos piensan, sin embargo que Basadre “escribió bajo una poderosa sugestión de justificar conclusiones a que había llegado anticipadamente en el curso de la formación de su propia ideología “ 19</w:t>
      </w:r>
    </w:p>
    <w:p w14:paraId="6C684E66" w14:textId="77777777" w:rsidR="001925CE" w:rsidRPr="000D3432" w:rsidRDefault="001925CE" w:rsidP="00A95498">
      <w:pPr>
        <w:jc w:val="both"/>
        <w:rPr>
          <w:rFonts w:asciiTheme="minorHAnsi" w:hAnsiTheme="minorHAnsi"/>
          <w:szCs w:val="24"/>
        </w:rPr>
      </w:pPr>
    </w:p>
    <w:p w14:paraId="7894A32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Es un hombre que se pregunta “porqué se funda la república. “Un fermento adicional tuvo todavía la promesa republicana que el “quipu” inca y el pergamino colonial no pudieron ostentar porque ambos correspondían a un tipo de vía socialmente estratificado; el fermento igualitario, o sea el profundo contenido de reivindicación humana que alienta en el ideal emancipador y que tiene su máxima expresión en el “Somos libres” del himno (17 La promesa de la vida peruana)</w:t>
      </w:r>
    </w:p>
    <w:p w14:paraId="7943F1FF" w14:textId="77777777" w:rsidR="001925CE" w:rsidRPr="000D3432" w:rsidRDefault="001925CE" w:rsidP="00A95498">
      <w:pPr>
        <w:jc w:val="both"/>
        <w:rPr>
          <w:rFonts w:asciiTheme="minorHAnsi" w:hAnsiTheme="minorHAnsi"/>
          <w:szCs w:val="24"/>
        </w:rPr>
      </w:pPr>
    </w:p>
    <w:p w14:paraId="3EA7B3F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Pone en evidencia hechos contrarios a toda tradición histórica: “Y el derecho español aplicado a América, es decir el derecho indiano, procuró en mucho copiar las instituciones propias de los indios, como lo evidencian las leyes sobre </w:t>
      </w:r>
      <w:r w:rsidRPr="000D3432">
        <w:rPr>
          <w:rFonts w:asciiTheme="minorHAnsi" w:hAnsiTheme="minorHAnsi"/>
          <w:szCs w:val="24"/>
        </w:rPr>
        <w:lastRenderedPageBreak/>
        <w:t>tributos, mita, comunidades.( 81. Historia del Derecho Peruano).</w:t>
      </w:r>
    </w:p>
    <w:p w14:paraId="42AF7C45" w14:textId="77777777" w:rsidR="001925CE" w:rsidRPr="000D3432" w:rsidRDefault="001925CE" w:rsidP="00A95498">
      <w:pPr>
        <w:jc w:val="both"/>
        <w:rPr>
          <w:rFonts w:asciiTheme="minorHAnsi" w:hAnsiTheme="minorHAnsi"/>
          <w:szCs w:val="24"/>
        </w:rPr>
      </w:pPr>
    </w:p>
    <w:p w14:paraId="613F3AB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br w:type="page"/>
      </w:r>
    </w:p>
    <w:p w14:paraId="51BD05B4" w14:textId="77777777" w:rsidR="001925CE" w:rsidRPr="000D3432" w:rsidRDefault="001925CE" w:rsidP="00A95498">
      <w:pPr>
        <w:jc w:val="both"/>
        <w:rPr>
          <w:rFonts w:asciiTheme="minorHAnsi" w:hAnsiTheme="minorHAnsi"/>
          <w:szCs w:val="24"/>
        </w:rPr>
      </w:pPr>
    </w:p>
    <w:p w14:paraId="5B90A833" w14:textId="77777777" w:rsidR="001925CE" w:rsidRPr="000D3432" w:rsidRDefault="001925CE" w:rsidP="00A95498">
      <w:pPr>
        <w:jc w:val="both"/>
        <w:rPr>
          <w:rFonts w:asciiTheme="minorHAnsi" w:hAnsiTheme="minorHAnsi"/>
          <w:szCs w:val="24"/>
        </w:rPr>
      </w:pPr>
    </w:p>
    <w:p w14:paraId="57919640" w14:textId="77777777" w:rsidR="001925CE" w:rsidRPr="000D3432" w:rsidRDefault="001925CE" w:rsidP="00A95498">
      <w:pPr>
        <w:jc w:val="both"/>
        <w:rPr>
          <w:rFonts w:asciiTheme="minorHAnsi" w:hAnsiTheme="minorHAnsi"/>
          <w:szCs w:val="24"/>
        </w:rPr>
      </w:pPr>
    </w:p>
    <w:p w14:paraId="073DFA68" w14:textId="77777777" w:rsidR="001925CE" w:rsidRPr="000D3432" w:rsidRDefault="001925CE" w:rsidP="00A95498">
      <w:pPr>
        <w:jc w:val="both"/>
        <w:rPr>
          <w:rFonts w:asciiTheme="minorHAnsi" w:hAnsiTheme="minorHAnsi"/>
          <w:szCs w:val="24"/>
        </w:rPr>
      </w:pPr>
    </w:p>
    <w:p w14:paraId="6FBC237F" w14:textId="77777777" w:rsidR="001925CE" w:rsidRPr="000D3432" w:rsidRDefault="001925CE" w:rsidP="00A95498">
      <w:pPr>
        <w:jc w:val="center"/>
        <w:rPr>
          <w:rFonts w:asciiTheme="minorHAnsi" w:hAnsiTheme="minorHAnsi"/>
          <w:b/>
          <w:smallCaps/>
          <w:szCs w:val="24"/>
          <w:u w:val="single"/>
        </w:rPr>
      </w:pPr>
    </w:p>
    <w:p w14:paraId="1FAAB66D" w14:textId="77777777" w:rsidR="001925CE" w:rsidRPr="000D3432" w:rsidRDefault="001925CE" w:rsidP="00A95498">
      <w:pPr>
        <w:jc w:val="center"/>
        <w:rPr>
          <w:rFonts w:asciiTheme="minorHAnsi" w:hAnsiTheme="minorHAnsi"/>
          <w:b/>
          <w:smallCaps/>
          <w:szCs w:val="24"/>
          <w:u w:val="single"/>
        </w:rPr>
      </w:pPr>
    </w:p>
    <w:p w14:paraId="73252DAA" w14:textId="77777777" w:rsidR="001925CE" w:rsidRPr="000D3432" w:rsidRDefault="001925CE" w:rsidP="00A95498">
      <w:pPr>
        <w:jc w:val="center"/>
        <w:rPr>
          <w:rFonts w:asciiTheme="minorHAnsi" w:hAnsiTheme="minorHAnsi"/>
          <w:b/>
          <w:smallCaps/>
          <w:szCs w:val="24"/>
          <w:u w:val="single"/>
        </w:rPr>
      </w:pPr>
    </w:p>
    <w:p w14:paraId="7455CA31" w14:textId="77777777" w:rsidR="001925CE" w:rsidRPr="000D3432" w:rsidRDefault="001925CE" w:rsidP="00A95498">
      <w:pPr>
        <w:jc w:val="center"/>
        <w:rPr>
          <w:rFonts w:asciiTheme="minorHAnsi" w:hAnsiTheme="minorHAnsi"/>
          <w:b/>
          <w:smallCaps/>
          <w:szCs w:val="24"/>
          <w:u w:val="single"/>
        </w:rPr>
      </w:pPr>
    </w:p>
    <w:p w14:paraId="1A3AA853" w14:textId="77777777" w:rsidR="001925CE" w:rsidRPr="000D3432" w:rsidRDefault="001925CE" w:rsidP="00A95498">
      <w:pPr>
        <w:jc w:val="center"/>
        <w:rPr>
          <w:rFonts w:asciiTheme="minorHAnsi" w:hAnsiTheme="minorHAnsi"/>
          <w:b/>
          <w:smallCaps/>
          <w:szCs w:val="24"/>
        </w:rPr>
      </w:pPr>
      <w:r w:rsidRPr="000D3432">
        <w:rPr>
          <w:rFonts w:asciiTheme="minorHAnsi" w:hAnsiTheme="minorHAnsi"/>
          <w:b/>
          <w:smallCaps/>
          <w:szCs w:val="24"/>
          <w:u w:val="single"/>
        </w:rPr>
        <w:t xml:space="preserve">CAPÍTULO </w:t>
      </w:r>
      <w:r w:rsidRPr="000D3432">
        <w:rPr>
          <w:rFonts w:asciiTheme="minorHAnsi" w:hAnsiTheme="minorHAnsi"/>
          <w:b/>
          <w:smallCaps/>
          <w:szCs w:val="24"/>
        </w:rPr>
        <w:t xml:space="preserve">IV.- </w:t>
      </w:r>
    </w:p>
    <w:p w14:paraId="575828A1" w14:textId="77777777" w:rsidR="001925CE" w:rsidRPr="000D3432" w:rsidRDefault="001925CE" w:rsidP="00A95498">
      <w:pPr>
        <w:jc w:val="center"/>
        <w:rPr>
          <w:rFonts w:asciiTheme="minorHAnsi" w:hAnsiTheme="minorHAnsi"/>
          <w:b/>
          <w:smallCaps/>
          <w:szCs w:val="24"/>
          <w:u w:val="single"/>
        </w:rPr>
      </w:pPr>
      <w:r w:rsidRPr="000D3432">
        <w:rPr>
          <w:rFonts w:asciiTheme="minorHAnsi" w:hAnsiTheme="minorHAnsi"/>
          <w:b/>
          <w:smallCaps/>
          <w:szCs w:val="24"/>
        </w:rPr>
        <w:t xml:space="preserve">DERECHO Y RELIGIÓN </w:t>
      </w:r>
    </w:p>
    <w:p w14:paraId="6C1B9655" w14:textId="77777777" w:rsidR="001925CE" w:rsidRPr="000D3432" w:rsidRDefault="001925CE" w:rsidP="00A95498">
      <w:pPr>
        <w:jc w:val="center"/>
        <w:rPr>
          <w:rFonts w:asciiTheme="minorHAnsi" w:hAnsiTheme="minorHAnsi"/>
          <w:szCs w:val="24"/>
        </w:rPr>
      </w:pPr>
    </w:p>
    <w:p w14:paraId="79631FA7" w14:textId="77777777" w:rsidR="001925CE" w:rsidRPr="000D3432" w:rsidRDefault="001925CE" w:rsidP="00A95498">
      <w:pPr>
        <w:jc w:val="both"/>
        <w:rPr>
          <w:rFonts w:asciiTheme="minorHAnsi" w:hAnsiTheme="minorHAnsi"/>
          <w:szCs w:val="24"/>
        </w:rPr>
      </w:pPr>
    </w:p>
    <w:p w14:paraId="6AC255B5" w14:textId="77777777" w:rsidR="001925CE" w:rsidRPr="000D3432" w:rsidRDefault="001925CE" w:rsidP="00A95498">
      <w:pPr>
        <w:jc w:val="both"/>
        <w:rPr>
          <w:rFonts w:asciiTheme="minorHAnsi" w:hAnsiTheme="minorHAnsi"/>
          <w:szCs w:val="24"/>
        </w:rPr>
      </w:pPr>
    </w:p>
    <w:p w14:paraId="3C5EED5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tema más áspero, más insípido para cualquier joven es el de la religión.  Sí, cualquier joven esbozaría un gran bostezo por temas religiosos. La Biblia sería para ellos pura huachafería, cursi y apagada. Ellos querrían más bien algo vital, fuerte; algo que tenga que ver con la adrenalina, los espasmos, el sexo, lo rebelde.  Ellos podrían decir que sólo saben que la religión supera indudablemente cualquier otra actividad humana en cantidad y variedad de tonterías.  Y uno está convencido -por tradición- de que tienen razón. Y sin embargo, por azar, lees,  “cómo un eunuco deseoso de violar a una niña, así es el que pretende hacer justicia con violencia” (Eclesiástico, cap. 20 vers. 2), y eso está escrito nada más y nada menos que en la cursi Biblia, nada más y nada menos. Y no lo puedes creer. Con un gesto de desconcierto piensas que quizá ha sido un desliz de traducción, y sigues leyendo, para convencerte de que si, de que la Biblia es aburrida, de que la Biblia es sólo para gente cursi y huachafa, para gente sin fe, que busca esto en el más allá y no en uno mismo. Y lees “si haces el bien mira a quien lo haces y tus beneficios no se perderán”. No lo puedes creer,  este parágrafo no dice “haz el bien sin mirar a quien”, sino todo, absolutamente todo lo contrario. ¿Error de ortografía, de gramática o de semántica? ¿Está uno volviéndose viejo? Dudas, dudas de tu inteligencia. Pero has leído a Bukowski y ya no te importa serle infiel. Y sigues pensado en la frase “si haces el bien mira a quién lo haces”, y aún no lo puedes creer, ¿la Biblia dice que abras bien tus ojazos antes de hacer el bien?, que no despilfarres tus virtudes en cualquiera, que el bien es utilitario y exclusivista, no para todos y para cualquiera, sino sólo para cierta élite? Esto tiene un suave sabor nietzscheano. Un cierto olor a sabiduría y no a religión. Y con un esfuerzo (rezagando tus prejuicios bíblicos) sigues buscando algo más y lees: “No te entregues a las prostitutas, para no perder tu herencia”.  Notas que no dice “no te entregues a las prostitutas porque está mal, o no lo quiere Dios”. ¿qué está pasando? ¿Es esa la Biblia o será tal vez otro libro? Pero te intriga algo, ¿qué quiere decir con “…para no perder tu herencia? Supongo, arbitrariamente, que te habla de tu sexo. Traduzco el parágrafo así: “no te entregues a las prostitutas para no perder tu sexo”. ¿Entienden? ¿Será así?, ¿será que lo que dice es que nos cuidemos de las enfermedades? Eso también sería sabiduría, prudencia, y no mera cursilería. Y luego comienzo a examinarme, para ver si no estoy desvariando, pero al instante rehuyó tal examen. Recuerdo a Cioran: “No es bueno que el hombre recuerde a cada instante que es hombre.  Examinarse a sí </w:t>
      </w:r>
      <w:r w:rsidRPr="000D3432">
        <w:rPr>
          <w:rFonts w:asciiTheme="minorHAnsi" w:hAnsiTheme="minorHAnsi"/>
          <w:szCs w:val="24"/>
        </w:rPr>
        <w:lastRenderedPageBreak/>
        <w:t>mismo ya es algo malo… Mientras trituramos nuestro yo, podemos pensar que estamos abandonándonos”.</w:t>
      </w:r>
    </w:p>
    <w:p w14:paraId="20C36A90" w14:textId="77777777" w:rsidR="001925CE" w:rsidRPr="000D3432" w:rsidRDefault="001925CE" w:rsidP="00A95498">
      <w:pPr>
        <w:jc w:val="both"/>
        <w:rPr>
          <w:rFonts w:asciiTheme="minorHAnsi" w:hAnsiTheme="minorHAnsi"/>
          <w:szCs w:val="24"/>
        </w:rPr>
      </w:pPr>
    </w:p>
    <w:p w14:paraId="03DBCEE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Respiro. Aún no  dejo de asombrarme. ¿Sabiduría en la Biblia? Pero no estoy dispuesto a dejarme vencer; tiene que haber otras cosas que anulen mi reciente admiración por algunas cosas de la Biblia. Sigo leyendo:  “No prestes al más fuerte que tu; si le has prestado, dalo por perdido”. ¡Diantres! ¿qué es todo eso? Y más allá: “No entres en pleito con un juez, que por su calidad de tal ganará el pleito.”  Y pienso ¿estaré cambiando de piel, estaré siéndome infiel?  Luego recuerdo a Nietzsche  y a su serpiente: “ese animal que perece cuando no puede cambiar de piel”, y respiro aliviado, al menos por el momento, pero sé que me estoy negando, que el mundo allá sigue siendo igual de podrido, que la Biblia es sólo un artificio, ¿o no? La duda, la duda. Y viene en tu salvación Nietzsche: “corrección a Lucas 18, 14. “quién se humilla quiere ser ensalzado”.</w:t>
      </w:r>
    </w:p>
    <w:p w14:paraId="229C9343" w14:textId="77777777" w:rsidR="001925CE" w:rsidRPr="000D3432" w:rsidRDefault="001925CE" w:rsidP="00A95498">
      <w:pPr>
        <w:jc w:val="both"/>
        <w:rPr>
          <w:rFonts w:asciiTheme="minorHAnsi" w:hAnsiTheme="minorHAnsi"/>
          <w:szCs w:val="24"/>
        </w:rPr>
      </w:pPr>
    </w:p>
    <w:p w14:paraId="6BCA3F0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Y dejas los prejuicios por un momento, sólo por un momento, mientras eres consciente, porque después todo será igual, igual de podrido e inconsciente. Lees: “Todo hombre que ha decidido que otro es un imbécil o una mala persona, se enfada cuando el otro demuestra que no lo es”.(Nietzsche). </w:t>
      </w:r>
    </w:p>
    <w:p w14:paraId="48E14A55" w14:textId="77777777" w:rsidR="001925CE" w:rsidRPr="000D3432" w:rsidRDefault="001925CE" w:rsidP="00A95498">
      <w:pPr>
        <w:jc w:val="both"/>
        <w:rPr>
          <w:rFonts w:asciiTheme="minorHAnsi" w:hAnsiTheme="minorHAnsi"/>
          <w:szCs w:val="24"/>
        </w:rPr>
      </w:pPr>
    </w:p>
    <w:p w14:paraId="05ED87B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No sabes ya que decir, que pensar, que opinar. No crees en las religiones, no crees en nada. Este mundo es para los descreídos, así que renuncias a entender y sigues leyendo (para no perder la costumbre, para no aburrirte, para sentirte mejor, para ver si puedes someterte a los efectos del arte): “los efectos más poderosos del arte: cambiar las bestias en hombres”(Nietzsche). Y dejas que el mundo siga, pedaleando, porque en el fondo sabes que: “No hay bastante religión en el mundo para aniquilar a las religiones” (Nietzsche) Y por que sabes que:  “Ser joven es la única religión” (Bukowski). Y piensa en otra cosa, en el amor, el amor, y el sexo: “amor es una vía con cierto significado; sexo es significado suficiente” (Bukowski).</w:t>
      </w:r>
    </w:p>
    <w:p w14:paraId="047BE2A8" w14:textId="77777777" w:rsidR="001925CE" w:rsidRPr="000D3432" w:rsidRDefault="001925CE" w:rsidP="00A95498">
      <w:pPr>
        <w:jc w:val="both"/>
        <w:rPr>
          <w:rFonts w:asciiTheme="minorHAnsi" w:hAnsiTheme="minorHAnsi"/>
          <w:szCs w:val="24"/>
        </w:rPr>
      </w:pPr>
    </w:p>
    <w:p w14:paraId="1FB2E77A" w14:textId="77777777" w:rsidR="001925CE" w:rsidRPr="000D3432" w:rsidRDefault="001925CE" w:rsidP="00A95498">
      <w:pPr>
        <w:jc w:val="both"/>
        <w:rPr>
          <w:rFonts w:asciiTheme="minorHAnsi" w:hAnsiTheme="minorHAnsi"/>
          <w:szCs w:val="24"/>
        </w:rPr>
      </w:pPr>
    </w:p>
    <w:p w14:paraId="2D66FFC0" w14:textId="77777777" w:rsidR="001925CE" w:rsidRPr="000D3432" w:rsidRDefault="001925CE" w:rsidP="00A95498">
      <w:pPr>
        <w:jc w:val="both"/>
        <w:rPr>
          <w:rFonts w:asciiTheme="minorHAnsi" w:hAnsiTheme="minorHAnsi"/>
          <w:szCs w:val="24"/>
        </w:rPr>
      </w:pPr>
    </w:p>
    <w:p w14:paraId="636E26B7" w14:textId="77777777" w:rsidR="001925CE" w:rsidRPr="000D3432" w:rsidRDefault="001925CE" w:rsidP="00A95498">
      <w:pPr>
        <w:jc w:val="both"/>
        <w:rPr>
          <w:rFonts w:asciiTheme="minorHAnsi" w:hAnsiTheme="minorHAnsi"/>
          <w:szCs w:val="24"/>
        </w:rPr>
      </w:pPr>
    </w:p>
    <w:p w14:paraId="13D01CA4" w14:textId="77777777" w:rsidR="001925CE" w:rsidRPr="000D3432" w:rsidRDefault="001925CE" w:rsidP="00A95498">
      <w:pPr>
        <w:jc w:val="both"/>
        <w:rPr>
          <w:rFonts w:asciiTheme="minorHAnsi" w:hAnsiTheme="minorHAnsi"/>
          <w:b/>
          <w:smallCaps/>
          <w:szCs w:val="24"/>
        </w:rPr>
      </w:pPr>
      <w:r w:rsidRPr="000D3432">
        <w:rPr>
          <w:rFonts w:asciiTheme="minorHAnsi" w:hAnsiTheme="minorHAnsi"/>
          <w:b/>
          <w:smallCaps/>
          <w:szCs w:val="24"/>
        </w:rPr>
        <w:br w:type="page"/>
      </w:r>
    </w:p>
    <w:p w14:paraId="31E7711B" w14:textId="77777777" w:rsidR="001925CE" w:rsidRPr="000D3432" w:rsidRDefault="001925CE" w:rsidP="00A95498">
      <w:pPr>
        <w:jc w:val="both"/>
        <w:rPr>
          <w:rFonts w:asciiTheme="minorHAnsi" w:hAnsiTheme="minorHAnsi"/>
          <w:b/>
          <w:smallCaps/>
          <w:szCs w:val="24"/>
        </w:rPr>
      </w:pPr>
    </w:p>
    <w:p w14:paraId="16EAF520" w14:textId="77777777" w:rsidR="001925CE" w:rsidRPr="000D3432" w:rsidRDefault="001925CE" w:rsidP="00A95498">
      <w:pPr>
        <w:jc w:val="both"/>
        <w:rPr>
          <w:rFonts w:asciiTheme="minorHAnsi" w:hAnsiTheme="minorHAnsi"/>
          <w:b/>
          <w:smallCaps/>
          <w:szCs w:val="24"/>
        </w:rPr>
      </w:pPr>
    </w:p>
    <w:p w14:paraId="4ECA77B5" w14:textId="77777777" w:rsidR="001925CE" w:rsidRPr="000D3432" w:rsidRDefault="001925CE" w:rsidP="00A95498">
      <w:pPr>
        <w:jc w:val="both"/>
        <w:rPr>
          <w:rFonts w:asciiTheme="minorHAnsi" w:hAnsiTheme="minorHAnsi"/>
          <w:b/>
          <w:smallCaps/>
          <w:szCs w:val="24"/>
        </w:rPr>
      </w:pPr>
    </w:p>
    <w:p w14:paraId="485F459A" w14:textId="77777777" w:rsidR="001925CE" w:rsidRPr="000D3432" w:rsidRDefault="001925CE" w:rsidP="00A95498">
      <w:pPr>
        <w:jc w:val="both"/>
        <w:rPr>
          <w:rFonts w:asciiTheme="minorHAnsi" w:hAnsiTheme="minorHAnsi"/>
          <w:b/>
          <w:smallCaps/>
          <w:szCs w:val="24"/>
        </w:rPr>
      </w:pPr>
    </w:p>
    <w:p w14:paraId="09FDFF8A" w14:textId="77777777" w:rsidR="001925CE" w:rsidRPr="000D3432" w:rsidRDefault="001925CE" w:rsidP="00A95498">
      <w:pPr>
        <w:jc w:val="both"/>
        <w:rPr>
          <w:rFonts w:asciiTheme="minorHAnsi" w:hAnsiTheme="minorHAnsi"/>
          <w:szCs w:val="24"/>
        </w:rPr>
      </w:pPr>
    </w:p>
    <w:p w14:paraId="7040F565" w14:textId="77777777" w:rsidR="001925CE" w:rsidRPr="000D3432" w:rsidRDefault="001925CE" w:rsidP="00A95498">
      <w:pPr>
        <w:jc w:val="center"/>
        <w:rPr>
          <w:rFonts w:asciiTheme="minorHAnsi" w:hAnsiTheme="minorHAnsi"/>
          <w:b/>
          <w:szCs w:val="24"/>
          <w:u w:val="single"/>
        </w:rPr>
      </w:pPr>
    </w:p>
    <w:p w14:paraId="0713209A" w14:textId="77777777" w:rsidR="001925CE" w:rsidRPr="000D3432" w:rsidRDefault="001925CE" w:rsidP="00A95498">
      <w:pPr>
        <w:jc w:val="center"/>
        <w:rPr>
          <w:rFonts w:asciiTheme="minorHAnsi" w:hAnsiTheme="minorHAnsi"/>
          <w:b/>
          <w:szCs w:val="24"/>
          <w:u w:val="single"/>
        </w:rPr>
      </w:pPr>
    </w:p>
    <w:p w14:paraId="03D65FA2" w14:textId="77777777" w:rsidR="001925CE" w:rsidRPr="000D3432" w:rsidRDefault="001925CE" w:rsidP="00A95498">
      <w:pPr>
        <w:jc w:val="center"/>
        <w:rPr>
          <w:rFonts w:asciiTheme="minorHAnsi" w:hAnsiTheme="minorHAnsi"/>
          <w:b/>
          <w:szCs w:val="24"/>
          <w:u w:val="single"/>
        </w:rPr>
      </w:pPr>
    </w:p>
    <w:p w14:paraId="521F795B" w14:textId="77777777" w:rsidR="001925CE" w:rsidRPr="000D3432" w:rsidRDefault="001925CE" w:rsidP="00A95498">
      <w:pPr>
        <w:jc w:val="center"/>
        <w:rPr>
          <w:rFonts w:asciiTheme="minorHAnsi" w:hAnsiTheme="minorHAnsi"/>
          <w:szCs w:val="24"/>
          <w:u w:val="single"/>
        </w:rPr>
      </w:pPr>
      <w:r w:rsidRPr="000D3432">
        <w:rPr>
          <w:rFonts w:asciiTheme="minorHAnsi" w:hAnsiTheme="minorHAnsi"/>
          <w:b/>
          <w:szCs w:val="24"/>
          <w:u w:val="single"/>
        </w:rPr>
        <w:t>CAPÍTULO V</w:t>
      </w:r>
    </w:p>
    <w:p w14:paraId="1C7F780B" w14:textId="77777777" w:rsidR="001925CE" w:rsidRPr="000D3432" w:rsidRDefault="001925CE" w:rsidP="00A95498">
      <w:pPr>
        <w:jc w:val="center"/>
        <w:rPr>
          <w:rFonts w:asciiTheme="minorHAnsi" w:hAnsiTheme="minorHAnsi"/>
          <w:szCs w:val="24"/>
        </w:rPr>
      </w:pPr>
      <w:r w:rsidRPr="000D3432">
        <w:rPr>
          <w:rFonts w:asciiTheme="minorHAnsi" w:hAnsiTheme="minorHAnsi"/>
          <w:b/>
          <w:szCs w:val="24"/>
        </w:rPr>
        <w:t>LITERATURA Y DERECHO</w:t>
      </w:r>
    </w:p>
    <w:p w14:paraId="612D0B9F" w14:textId="77777777" w:rsidR="001925CE" w:rsidRPr="000D3432" w:rsidRDefault="001925CE" w:rsidP="00A95498">
      <w:pPr>
        <w:jc w:val="both"/>
        <w:rPr>
          <w:rFonts w:asciiTheme="minorHAnsi" w:hAnsiTheme="minorHAnsi"/>
          <w:szCs w:val="24"/>
        </w:rPr>
      </w:pPr>
    </w:p>
    <w:p w14:paraId="61F3945F" w14:textId="77777777" w:rsidR="001925CE" w:rsidRPr="000D3432" w:rsidRDefault="001925CE" w:rsidP="00A95498">
      <w:pPr>
        <w:tabs>
          <w:tab w:val="left" w:pos="567"/>
        </w:tabs>
        <w:jc w:val="right"/>
        <w:rPr>
          <w:rFonts w:asciiTheme="minorHAnsi" w:hAnsiTheme="minorHAnsi"/>
          <w:i/>
          <w:szCs w:val="24"/>
        </w:rPr>
      </w:pPr>
    </w:p>
    <w:p w14:paraId="588FE2F7" w14:textId="77777777" w:rsidR="001925CE" w:rsidRPr="000D3432" w:rsidRDefault="001925CE" w:rsidP="00A95498">
      <w:pPr>
        <w:tabs>
          <w:tab w:val="left" w:pos="567"/>
        </w:tabs>
        <w:jc w:val="both"/>
        <w:rPr>
          <w:rFonts w:asciiTheme="minorHAnsi" w:hAnsiTheme="minorHAnsi"/>
          <w:szCs w:val="24"/>
        </w:rPr>
      </w:pPr>
      <w:r w:rsidRPr="000D3432">
        <w:rPr>
          <w:rFonts w:asciiTheme="minorHAnsi" w:hAnsiTheme="minorHAnsi"/>
          <w:b/>
          <w:szCs w:val="24"/>
        </w:rPr>
        <w:t>EXPOSICIÓN DE MOTIVOS (mea culpa):</w:t>
      </w:r>
    </w:p>
    <w:p w14:paraId="2303117F" w14:textId="77777777" w:rsidR="001925CE" w:rsidRPr="000D3432" w:rsidRDefault="001925CE" w:rsidP="00A95498">
      <w:pPr>
        <w:tabs>
          <w:tab w:val="left" w:pos="567"/>
        </w:tabs>
        <w:jc w:val="both"/>
        <w:rPr>
          <w:rFonts w:asciiTheme="minorHAnsi" w:hAnsiTheme="minorHAnsi"/>
          <w:szCs w:val="24"/>
        </w:rPr>
      </w:pPr>
    </w:p>
    <w:p w14:paraId="47C300F7" w14:textId="77777777" w:rsidR="001925CE" w:rsidRPr="000D3432" w:rsidRDefault="001925CE" w:rsidP="00A95498">
      <w:pPr>
        <w:tabs>
          <w:tab w:val="left" w:pos="567"/>
        </w:tabs>
        <w:jc w:val="both"/>
        <w:rPr>
          <w:rFonts w:asciiTheme="minorHAnsi" w:hAnsiTheme="minorHAnsi"/>
          <w:szCs w:val="24"/>
        </w:rPr>
      </w:pPr>
      <w:r w:rsidRPr="000D3432">
        <w:rPr>
          <w:rFonts w:asciiTheme="minorHAnsi" w:hAnsiTheme="minorHAnsi"/>
          <w:szCs w:val="24"/>
        </w:rPr>
        <w:tab/>
        <w:t>He de confesar, en términos cristianos, que el “motivo”, la “fuerza activa y reactiva” que mueve mi cuerpo y mi pensamiento a este arriesgado afán expositivo, es la “idea civilizada” de “hacer currículum”. Mi “motivo” es, por tal razón, mezquino, frívolo, superfluo y por supuesto que incluso contrario a toda “envoltura funcional”, carácter impreso en la Literatura actual. Porque ha de saberse que a la literatura la civilización la ha envuelto en una complicada y metafísica “función”; ya sea la de “compromiso”, “sensibilidad”, “estética”, “reaccionaria”, “histórica”, etc. Lo cual significa también una reducción, una restricción de lo literario. Encerrar a la literatura en cuatro paredes “funcionales” (la función que “debe” “ineludiblemente” cumplir la literatura, para ser tal) es puerilizarlo, haber perdido la cabeza, ser un necio “inconsciente y confeso”, antiliterario.</w:t>
      </w:r>
    </w:p>
    <w:p w14:paraId="1F08D6AE" w14:textId="77777777" w:rsidR="001925CE" w:rsidRPr="000D3432" w:rsidRDefault="001925CE" w:rsidP="00A95498">
      <w:pPr>
        <w:tabs>
          <w:tab w:val="left" w:pos="567"/>
        </w:tabs>
        <w:jc w:val="both"/>
        <w:rPr>
          <w:rFonts w:asciiTheme="minorHAnsi" w:hAnsiTheme="minorHAnsi"/>
          <w:szCs w:val="24"/>
        </w:rPr>
      </w:pPr>
      <w:r w:rsidRPr="000D3432">
        <w:rPr>
          <w:rFonts w:asciiTheme="minorHAnsi" w:hAnsiTheme="minorHAnsi"/>
          <w:szCs w:val="24"/>
        </w:rPr>
        <w:tab/>
        <w:t>El “motivo” (la razón de mi movimiento) de este artículo no es para nada literario. No en el sentido “formal”, de la palabra no de acuerdo al “standar cultural” actual. Con lo dicho quiero aclarar una primera afirmación: Literatura es lo que el “standar cultural”, histórico: temporal y espacial, dicen que es; pero no existe una “universal” concepción de literatura. La literatura es producto del hombre, y como tal responde a su omnipotente, arbitraria y caprichosa creación. Literatura es lenguaje puesto en acción, son signos y símbolos. No hay nada fuera de estos símbolos y signos que sea literatura. Puede ser escrita o hablada, pero nunca dejará de ser lenguaje: conjunto de signos y símbolos, significados y significantes. La Literatura es universal, pero su sentido o construcción no es universal. Lo que si se ha universalizado, es más bien, un ininteligible afán literario: todo el mundo quiere ser literato en algún momento de su vida, aunque sea  de pasadita, aunque sólo sea de pasadita. Pero no todos quieren ser abogados. La literatura está vestida de sensibilidad, ternura, delicadeza, etc., y el Derecho es más bien desvestido de estos elementos -parece ser la opinión general. Veamos si esto es cierto.</w:t>
      </w:r>
    </w:p>
    <w:p w14:paraId="3120879C" w14:textId="77777777" w:rsidR="001925CE" w:rsidRPr="000D3432" w:rsidRDefault="001925CE" w:rsidP="00A95498">
      <w:pPr>
        <w:tabs>
          <w:tab w:val="left" w:pos="567"/>
        </w:tabs>
        <w:jc w:val="both"/>
        <w:rPr>
          <w:rFonts w:asciiTheme="minorHAnsi" w:hAnsiTheme="minorHAnsi"/>
          <w:szCs w:val="24"/>
        </w:rPr>
      </w:pPr>
    </w:p>
    <w:p w14:paraId="47FF4091" w14:textId="77777777" w:rsidR="001925CE" w:rsidRPr="000D3432" w:rsidRDefault="001925CE" w:rsidP="00A95498">
      <w:pPr>
        <w:tabs>
          <w:tab w:val="left" w:pos="567"/>
        </w:tabs>
        <w:jc w:val="both"/>
        <w:rPr>
          <w:rFonts w:asciiTheme="minorHAnsi" w:hAnsiTheme="minorHAnsi"/>
          <w:b/>
          <w:szCs w:val="24"/>
        </w:rPr>
      </w:pPr>
      <w:r w:rsidRPr="000D3432">
        <w:rPr>
          <w:rFonts w:asciiTheme="minorHAnsi" w:hAnsiTheme="minorHAnsi"/>
          <w:b/>
          <w:szCs w:val="24"/>
        </w:rPr>
        <w:t>ESTÉTICA VS. GEOMETRÍA.</w:t>
      </w:r>
    </w:p>
    <w:p w14:paraId="265CCCCD" w14:textId="77777777" w:rsidR="001925CE" w:rsidRPr="000D3432" w:rsidRDefault="001925CE" w:rsidP="00A95498">
      <w:pPr>
        <w:tabs>
          <w:tab w:val="left" w:pos="567"/>
        </w:tabs>
        <w:jc w:val="both"/>
        <w:rPr>
          <w:rFonts w:asciiTheme="minorHAnsi" w:hAnsiTheme="minorHAnsi"/>
          <w:szCs w:val="24"/>
        </w:rPr>
      </w:pPr>
    </w:p>
    <w:p w14:paraId="51298AF2" w14:textId="77777777" w:rsidR="001925CE" w:rsidRPr="000D3432" w:rsidRDefault="001925CE" w:rsidP="00A95498">
      <w:pPr>
        <w:ind w:firstLine="707"/>
        <w:jc w:val="both"/>
        <w:rPr>
          <w:rFonts w:asciiTheme="minorHAnsi" w:hAnsiTheme="minorHAnsi"/>
          <w:szCs w:val="24"/>
        </w:rPr>
      </w:pPr>
      <w:r w:rsidRPr="000D3432">
        <w:rPr>
          <w:rFonts w:asciiTheme="minorHAnsi" w:hAnsiTheme="minorHAnsi"/>
          <w:szCs w:val="24"/>
        </w:rPr>
        <w:t xml:space="preserve">Cuando se habla de Literatura se habla de “creación o producción de estructuras verbo-simbólicas, orales o escritas”. Es una especie de “abdicación de lo racional en favor de lo estético”, diría Savater. Es una creación humana </w:t>
      </w:r>
      <w:r w:rsidRPr="000D3432">
        <w:rPr>
          <w:rFonts w:asciiTheme="minorHAnsi" w:hAnsiTheme="minorHAnsi"/>
          <w:szCs w:val="24"/>
        </w:rPr>
        <w:lastRenderedPageBreak/>
        <w:t>“que surgió con nuestra necesidad de ficcionar, producto del pensamiento. Pero no es sólo eso sino que se presenta como una forma de escritura, peculiar, con aroma excluyente y exclusivo. Por eso se puede decir que se percibe en el ambiente cierta distancia entre ella (la literatura) y las demás formas de escritura, las otras dimensiones de la palabra. Se dice, por ejemplo, que la Literatura tiene su propio “reino”, ¿reino que excluye al resto? Y el resto es, por ejemplo, la filosofía, la ciencia, la historia, la política, la economía, etc., y por último el Derecho. Derecho antinómico porque que se pierde en las alucinaciones lógicas de un discurso tan áspero como inconciliable con la literatura -dicen los entendidos. Pero ¿es cierto eso? Ese “algo” estéticamente bello llamado Literatura, por su condición excluyente y sensible, ¿no tiene “nada que ver” con el profano, complejo y distante Derecho, con el “asqueroso” derecho, con el poco bello lenguaje jurídico? Derecho, valga la aclaración, contemplado sólo por sus representaciones objetivas más burdas, engorrosas y enojosas como son los códigos y leyes (enormes monumentos o museos de letras coordinadas matemáticamente para hacer al hombre cuadrado, normado, estructurado) visión que también es incompleta.</w:t>
      </w:r>
    </w:p>
    <w:p w14:paraId="41C441C7"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Literatura y Derecho se hallarían así enfrentados. Esa sería una angustiante realidad para el hombre que ama la literatura y ama también el Derecho. Es algo así como amar al enemigo de tu amigo; o como ser un bígamo convicto y confeso, con sentimiento de culpa incluido. El “mea culpa” cristiano incrustado en el subconsciente se muestra como un reptil dispuesto a morder a su presa. </w:t>
      </w:r>
    </w:p>
    <w:p w14:paraId="211C3D4C"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Pero ¿están realmente distanciados, enfrentados, divorciados, Literatura y Derecho? ¿No será esto sólo una mala interpretación de la representación de cada arte? Porque -veamos sus semejanzas- vale decir que la Literatura es un arte, y el Derecho también lo es. Claro que los literatos negarán profunda, tajante, y hasta sarcásticamente, que el Derecho sea un arte; ¿cómo podría ser arte algo tan rígido, tan geométrico, tan matemáticamente estructurado? -</w:t>
      </w:r>
      <w:r w:rsidRPr="000D3432">
        <w:rPr>
          <w:rFonts w:asciiTheme="minorHAnsi" w:hAnsiTheme="minorHAnsi"/>
          <w:i/>
          <w:szCs w:val="24"/>
        </w:rPr>
        <w:t>argumentarían</w:t>
      </w:r>
      <w:r w:rsidRPr="000D3432">
        <w:rPr>
          <w:rFonts w:asciiTheme="minorHAnsi" w:hAnsiTheme="minorHAnsi"/>
          <w:szCs w:val="24"/>
        </w:rPr>
        <w:t xml:space="preserve">. Pronto se advierte que los literatos y demás profanos olvidan la otra parte del Derecho, olvidan que el Derecho no es sólo un amasijo o “conjunto de normas” que se patentizan en los códigos. Se olvida que el Derecho no son sólo los códigos y leyes con fuerza coactiva, sino mucho más, y en este “mucho más” está el asunto. Ese mucho más es por ejemplo la “Interpretación” (esa capacidad mental para poder armonizar los hechos, valores y normas; ese acto de valoración, de balanza, etc.); la “Historia”, que determina la necesidad del sentido histórico (“conciencia del tiempo y del espacio”); “Filosofía”, que es la que se encarga de amalgamar o integrar todas las dimensiones del fenómeno jurídico. Lo curioso es que la literatura tiene también de todo ello: Interpretación, Historia, Filosofía, etc. Por supuesto Literatura y Derecho no son nada más que otras formas de ver el mundo, otras formas de solucionarlo, de conciliarlo con el hombre, otros métodos de ficción y cognición. Y por supuesto que la Literatura y Derecho no renuncian a usar esas otras disciplinas, para incorporarlas en su discurso. No se puede decir, pues, que Literatura y Derecho son entes “puros”, como la raza aria, por ejemplo, es más bien el producto de una mezcla, de un delicioso mestizaje, lleno de todos los colores y todos los sabores, pero con una dirección distinta, con una función u objetivo diferente. Esa es la diferencia. “Lo que diferencia a la literatura -y al Derecho- de otros </w:t>
      </w:r>
      <w:r w:rsidRPr="000D3432">
        <w:rPr>
          <w:rFonts w:asciiTheme="minorHAnsi" w:hAnsiTheme="minorHAnsi"/>
          <w:szCs w:val="24"/>
        </w:rPr>
        <w:lastRenderedPageBreak/>
        <w:t>discursos no es su carácter ficcional sino el uso que hacen de dicha función.”</w:t>
      </w:r>
    </w:p>
    <w:p w14:paraId="53684375"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Pero la distancia más saltante es aquella que afirma que la Literatura es estética, y el Derecho geometría. Si eso es cierto, en vez de contradecirse, en vez de ser una oposición, es más bien una coincidencia. La estética tiene geometría, es decir, armonía, pero va más allá. Se trata de “cantidad de vida”. Estética supone que las palabras estén en su lugar, que cada palabra esté puesta en un lugar “adecuado”, estratégicamente dispuesto, sin sobrar o faltar. Concepto de literatura subrayado por Eduardo González Viaña,  quien cuenta: “…un consejo que me dio mi padre cuando advirtió que, …, mis pasos avanzaban por el descarriado sendero de la literatura. ‘Es evidente que vas a ser escritor’, me dijo, y añadió: ‘Por lo tanto, es preciso que leas con amor y atención el Código Civil. Fíjate bien cómo está escrito: no hay un sólo adjetivo en sus páginas. No hay una sola palabra que sobre … y no hay ninguna que falte. Sólo cuando escribas así, serás de verdad un escritor’.”.</w:t>
      </w:r>
    </w:p>
    <w:p w14:paraId="61F0B7D8"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Sin embargo la Literatura no tiene que ser estética, no en el sentido actual de la palabra, como lo bello. ¿Qué significa lo bello?, simple convenio, consenso social en determinado tiempo y espacio. ¿Puede haber belleza eterna y universal: “Afincar lo estético a lo bello o centrar su campo de interés en la belleza corresponde a una concepción premoderna, antigua o clásica y denota, en el mejor de los casos, un idealismo trascendental de raigambre hegeliana. No se puede considerar lo bello o la belleza como una idea o esencia universal, de existencia autónoma, ni algo inefable o indescifrable que intuitivamente captaría el escrito o el artista.” (Miguel Angel Huamán) Es más, la belleza es  sólo determinación, gusto creado, deseo creado. Foucault, un invento humano y no algo intrínseco al ser humano, “lo bello y la belleza son valores humanos que varían de acuerdo a las propias determinaciones culturales.” (Miguel Angel Huamán). Fenómeno que responde no sólo a una herejía contra las concepciones tradicionales. Sino a la “necesidad de poder” y de determinación de éste.</w:t>
      </w:r>
    </w:p>
    <w:p w14:paraId="6AC9B93A"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Guilles Deleuze dice que cultura es “adiestramiento y selección”. ¿Pero en qué se adiestra?, ¿qué se selecciona? Esto va en relación directa con los dominios de saber, con los saberes dominantes, que son simplemente factores de poder. Así, el problema de la armonía y la belleza es sólo dispuesto en conexión con esta disposición o requerimiento de detentar poder, por eso incluso “el propio arte y la literatura en su proceso de constitución en la modernidad cuestionan el ideal clásico de la armonía, la belleza y la unidad para reivindicar una “estética de lo feo” desde Baudelaire hacia adelante.” (Miguel Ángel Huamán)</w:t>
      </w:r>
    </w:p>
    <w:p w14:paraId="57D3C527"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Hay, entonces, estética en la Literatura y el Derecho si se observa bien, con vista de águila.</w:t>
      </w:r>
    </w:p>
    <w:p w14:paraId="723F5656" w14:textId="77777777" w:rsidR="001925CE" w:rsidRPr="000D3432" w:rsidRDefault="001925CE" w:rsidP="00A95498">
      <w:pPr>
        <w:jc w:val="both"/>
        <w:rPr>
          <w:rFonts w:asciiTheme="minorHAnsi" w:hAnsiTheme="minorHAnsi"/>
          <w:szCs w:val="24"/>
        </w:rPr>
      </w:pPr>
    </w:p>
    <w:p w14:paraId="02E01409"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LA ARGUMENTACIÓN</w:t>
      </w:r>
    </w:p>
    <w:p w14:paraId="696D5B3C" w14:textId="77777777" w:rsidR="001925CE" w:rsidRPr="000D3432" w:rsidRDefault="001925CE" w:rsidP="00A95498">
      <w:pPr>
        <w:ind w:firstLine="709"/>
        <w:jc w:val="both"/>
        <w:rPr>
          <w:rFonts w:asciiTheme="minorHAnsi" w:hAnsiTheme="minorHAnsi"/>
          <w:szCs w:val="24"/>
        </w:rPr>
      </w:pPr>
    </w:p>
    <w:p w14:paraId="2351EEF5"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La argumentación, como fenómeno de conciliación con el resto, es siempre un intento de explicación de la existencia ¿existo y merezco existir por tal o cual motivo? Pero toda explicación parece debilidad, conciencia de la necesidad del otro, de la aceptación del otro. Jhon Wayne, reseñado en un libro de la vida de Quentin Tarantino, decía: “nunca des explicaciones, nunca te </w:t>
      </w:r>
      <w:r w:rsidRPr="000D3432">
        <w:rPr>
          <w:rFonts w:asciiTheme="minorHAnsi" w:hAnsiTheme="minorHAnsi"/>
          <w:szCs w:val="24"/>
        </w:rPr>
        <w:lastRenderedPageBreak/>
        <w:t>quejes, es sinónimo de debilidad”. Dicen los entendidos que la literatura no argumenta, no tiene que dar explicaciones, sin embargo a lo largo de su creación una obra literaria pareciera como si estuviera intentando explicar las razones o justificaciones de sus existencia; se preocupa por ser armónica, su  lenguaje es trabajado y trabajoso, y todo eso es precisamente argumentar: dar razones sobre la necesidad y utilidad de la propia existencia.</w:t>
      </w:r>
    </w:p>
    <w:p w14:paraId="1948F58A"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Que el Derecho sea argumentación no hay quien lo niegue. Una característica eje del Derecho es su  especial condición de ser precisamente argumentación, que posibilita la legitimación de su propia existencia. La argumentación jurídica es tratada por Perelman. </w:t>
      </w:r>
    </w:p>
    <w:p w14:paraId="1F005C04"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Literatura y Derecho tienen mundos paralelos, similares y hasta complementarios. </w:t>
      </w:r>
    </w:p>
    <w:p w14:paraId="6BD6D7B9"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primer acercamiento es que los dos son medios escritos, estrictamente escritos que describen un mundo, a través de metáforas y ficciones y en el cual cada caso, cada historia se va perfilando por sí misma, por cuenta propia. </w:t>
      </w:r>
    </w:p>
    <w:p w14:paraId="2C1EBEFB" w14:textId="77777777" w:rsidR="001925CE" w:rsidRPr="000D3432" w:rsidRDefault="001925CE" w:rsidP="00A95498">
      <w:pPr>
        <w:ind w:firstLine="709"/>
        <w:jc w:val="both"/>
        <w:rPr>
          <w:rFonts w:asciiTheme="minorHAnsi" w:hAnsiTheme="minorHAnsi"/>
          <w:szCs w:val="24"/>
        </w:rPr>
      </w:pPr>
    </w:p>
    <w:p w14:paraId="329176E1"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w:t>
      </w:r>
    </w:p>
    <w:p w14:paraId="118A6B76"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Otra grave afirmación. La que el Derecho no tiene que ver con lo humano, con la sensibilidad, con el sentimiento, sino con lo grave, lo impudoroso, lo drástico, lo no humano, etc., pero acaso no era León Barandiarán quien sugería al abogado leer un porcentaje mayor de Humanidades que de Derecho, para ser precisamente un buen abogado? Sin embargo, se dice que la literatura se ha afirmado así como la reina de la sensibilidad, después de la poesía, a diferencia de la historia, la política, la economía y el derecho, que son más bien técnicas útiles, instrumentos de vida y de sobrevivencia. Pero eso es un tanto injusto, porque el hombre no puede vivir sin derecho, porque si no hay normas que controlen sus instintos, destructivos no habría vida humana en coexistencia, y la literatura es imaginación y sueños, y el hombre vive de esos sueños, espera y ésta le da posibilidad del futuro. </w:t>
      </w:r>
    </w:p>
    <w:p w14:paraId="0649398E"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Puedo decir, además, que no he encontrado el Derecho mejor explicado que en la literatura; en las obras del Divino Marqués de Sade, por ejemplo, los fundamentos son eminentemente jurídicos, son argumentos sobre la justificación de determinadas conductas. Otro ejemplo se da en la novela filosófica de Nietszche “Así hablaba Zarathustra”, donde hay evidentes fenómenos jurídicos, es decir normativos. Norma por aquí, y norma por allá. El Buddha es también un encontrador de la ley, un hombre impregnado del espíritu del Derecho. Mahoma, Jesús. Todos ellos hicieron Derecho: determinación de un sentido, y, justificación de nuestra existencia.</w:t>
      </w:r>
    </w:p>
    <w:p w14:paraId="4231AC17"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Y hombres como Dostoievski, </w:t>
      </w:r>
      <w:r w:rsidRPr="000D3432">
        <w:rPr>
          <w:rFonts w:asciiTheme="minorHAnsi" w:hAnsiTheme="minorHAnsi"/>
          <w:i/>
          <w:szCs w:val="24"/>
        </w:rPr>
        <w:t>Crimen y castigo, El Idiota;</w:t>
      </w:r>
      <w:r w:rsidRPr="000D3432">
        <w:rPr>
          <w:rFonts w:asciiTheme="minorHAnsi" w:hAnsiTheme="minorHAnsi"/>
          <w:szCs w:val="24"/>
        </w:rPr>
        <w:t xml:space="preserve"> Frank Kafka, </w:t>
      </w:r>
      <w:r w:rsidRPr="000D3432">
        <w:rPr>
          <w:rFonts w:asciiTheme="minorHAnsi" w:hAnsiTheme="minorHAnsi"/>
          <w:i/>
          <w:szCs w:val="24"/>
        </w:rPr>
        <w:t>El proceso;</w:t>
      </w:r>
      <w:r w:rsidRPr="000D3432">
        <w:rPr>
          <w:rFonts w:asciiTheme="minorHAnsi" w:hAnsiTheme="minorHAnsi"/>
          <w:szCs w:val="24"/>
        </w:rPr>
        <w:t xml:space="preserve"> Albert Camus, </w:t>
      </w:r>
      <w:r w:rsidRPr="000D3432">
        <w:rPr>
          <w:rFonts w:asciiTheme="minorHAnsi" w:hAnsiTheme="minorHAnsi"/>
          <w:i/>
          <w:szCs w:val="24"/>
        </w:rPr>
        <w:t>El extranjero, La caída</w:t>
      </w:r>
      <w:r w:rsidRPr="000D3432">
        <w:rPr>
          <w:rFonts w:asciiTheme="minorHAnsi" w:hAnsiTheme="minorHAnsi"/>
          <w:szCs w:val="24"/>
        </w:rPr>
        <w:t>; etc, con otras muestras de esa clara conjugación entre literatura y derecho que hoy mi pudor me inhibe de comentar, a pesar que sé, con Sade, que “el pudor es un sentimiento pusilánime” y autodestructivo.</w:t>
      </w:r>
    </w:p>
    <w:p w14:paraId="06A3CE58" w14:textId="77777777" w:rsidR="001925CE" w:rsidRPr="000D3432" w:rsidRDefault="001925CE" w:rsidP="00A95498">
      <w:pPr>
        <w:ind w:firstLine="709"/>
        <w:jc w:val="both"/>
        <w:rPr>
          <w:rFonts w:asciiTheme="minorHAnsi" w:hAnsiTheme="minorHAnsi"/>
          <w:szCs w:val="24"/>
        </w:rPr>
      </w:pPr>
    </w:p>
    <w:p w14:paraId="552FAD3B"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Derecho es una fuerza que integra, cortesana ella, usa de todos, goza con todos, exprime a todos sus cualidades. Ciencia, literatura, política, economía, historia, todo en el se mezclan, se complementan, e incluso la lógica de las matemáticas ha sido utilizada para hacer razonamiento jurídico. Por eso, para </w:t>
      </w:r>
      <w:r w:rsidRPr="000D3432">
        <w:rPr>
          <w:rFonts w:asciiTheme="minorHAnsi" w:hAnsiTheme="minorHAnsi"/>
          <w:szCs w:val="24"/>
        </w:rPr>
        <w:lastRenderedPageBreak/>
        <w:t xml:space="preserve">mí el Derecho es una disciplina completa. Enorme, inmensa, y la literatura igualmente. </w:t>
      </w:r>
    </w:p>
    <w:p w14:paraId="2115912B"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Literatura y Derecho exponen un ser y un deber ser. El Derecho es eso que se “debe ser” pero con una peculiaridad, es impositiva, es ese “debes ser” legitimado, y esta idea puede ser perfectamente explicada mediante la literatura, como lo hizo Azorín en su cuento: “El buen juez”.</w:t>
      </w:r>
    </w:p>
    <w:p w14:paraId="536EE534"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Justicia: “el juez “el buen caballero va a administrar esta cosa sutilísima, invisible, casi fantástica, que se llama Justicia” (Azorín).</w:t>
      </w:r>
    </w:p>
    <w:p w14:paraId="605BD9C6" w14:textId="77777777" w:rsidR="001925CE" w:rsidRPr="000D3432" w:rsidRDefault="001925CE" w:rsidP="00A95498">
      <w:pPr>
        <w:ind w:firstLine="709"/>
        <w:jc w:val="both"/>
        <w:rPr>
          <w:rFonts w:asciiTheme="minorHAnsi" w:hAnsiTheme="minorHAnsi"/>
          <w:szCs w:val="24"/>
        </w:rPr>
      </w:pPr>
    </w:p>
    <w:p w14:paraId="3EBE719F"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Azorín, hombre de fantásticas fantasías se mete también por los recovecos del tema jurídico, y sin ser jurista escribe y determina con sentido de jurista. En un cuento, escribe, con pasmosa lucidez, … “no sucede otra cosa que yo he dictado hoy una sentencia apartándome de la ley, pero con arreglo a mi conciencia, a lo que yo creía justo en este caso. Yo no sé si vosotras entenderéis esto; pero el espíritu de la Justicia es tan sutil, tan ondulante, que al cabo de cierto tiempo los moldes que los hombres han fabricado para encerrarlo, es decir, las leyes, resultan estrechos, anticuados, y entonces, mientras otros moldes no son fabricados por los legisladores, un buen juez debe fabricar para su uso particular, provisionalmente, unos moldes chiquitos y modestos en la fábrica de su conciencia”. Conciencia que tiene que ver con la sociedad y el insistente trabajo de resolver los problemas de coexistencia, más que  los problemas de norma (no hay ley, etc.). Conciencia como relación con la sociedad y su salud y seguridad física y mental.</w:t>
      </w:r>
    </w:p>
    <w:p w14:paraId="2B19C1CC" w14:textId="77777777" w:rsidR="001925CE" w:rsidRPr="000D3432" w:rsidRDefault="001925CE" w:rsidP="00A95498">
      <w:pPr>
        <w:ind w:firstLine="709"/>
        <w:jc w:val="both"/>
        <w:rPr>
          <w:rFonts w:asciiTheme="minorHAnsi" w:hAnsiTheme="minorHAnsi"/>
          <w:szCs w:val="24"/>
        </w:rPr>
      </w:pPr>
    </w:p>
    <w:p w14:paraId="162C6B34"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En derecho se tiene por literato al que escribe “palabras brillantes pero sin fondo”. Esta sería la más canallesca y grave negación entre la literatura y el Derecho: limitación de su campo de creación y operación, pero, realmente ¿cuál es el terreno de la literatura; y cuál el del Derecho? Cada una se define por sus construcciones y fines.</w:t>
      </w:r>
    </w:p>
    <w:p w14:paraId="4119774B" w14:textId="77777777" w:rsidR="001925CE" w:rsidRPr="000D3432" w:rsidRDefault="001925CE" w:rsidP="00A95498">
      <w:pPr>
        <w:jc w:val="both"/>
        <w:rPr>
          <w:rFonts w:asciiTheme="minorHAnsi" w:hAnsiTheme="minorHAnsi"/>
          <w:szCs w:val="24"/>
        </w:rPr>
      </w:pPr>
    </w:p>
    <w:p w14:paraId="09024414"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INTERPRETACIÓN</w:t>
      </w:r>
    </w:p>
    <w:p w14:paraId="36FA5FD9" w14:textId="77777777" w:rsidR="001925CE" w:rsidRPr="000D3432" w:rsidRDefault="001925CE" w:rsidP="00A95498">
      <w:pPr>
        <w:ind w:firstLine="709"/>
        <w:jc w:val="both"/>
        <w:rPr>
          <w:rFonts w:asciiTheme="minorHAnsi" w:hAnsiTheme="minorHAnsi"/>
          <w:szCs w:val="24"/>
        </w:rPr>
      </w:pPr>
    </w:p>
    <w:p w14:paraId="3E3BE498"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La literatura interpreta el mundo o expresa una determinada interpretación del mundo, de nuestra vida, interpretación es darle sentido a nuestra existencia, configurar el mundo para entenderlo, decidir y lograr vivir mejor.  Es más, “es importante señalar que tanto el análisis literario como el análisis jurídico se preocupan fundamentalmente por el inquietante problema de la interpretación y por el papel de la intención del autor o legislador en la lectura posterior del texto.”</w:t>
      </w:r>
    </w:p>
    <w:p w14:paraId="1ABD701D"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“La interpretación clásica tanto del Derecho como de la Literatura estuvo basada en la intención del autor; y la interpretación moderna tanto del Derecho como de la Literatura proclama la muerte del autor y la del legislador, a fin de permitir que el texto tenga valor por sí solo.</w:t>
      </w:r>
    </w:p>
    <w:p w14:paraId="7082DAA7" w14:textId="77777777" w:rsidR="001925CE" w:rsidRPr="000D3432" w:rsidRDefault="001925CE" w:rsidP="00A95498">
      <w:pPr>
        <w:ind w:firstLine="709"/>
        <w:jc w:val="both"/>
        <w:rPr>
          <w:rFonts w:asciiTheme="minorHAnsi" w:hAnsiTheme="minorHAnsi"/>
          <w:szCs w:val="24"/>
        </w:rPr>
      </w:pPr>
    </w:p>
    <w:p w14:paraId="670B3BDE"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“Quien nace escritor tiene que escoger una vocación para vivir junto a la desastrosa vocación para soñar, y generalmente aquella termina devorándose sus sueños”. (Eduardo Gonzáles Viaña). </w:t>
      </w:r>
    </w:p>
    <w:p w14:paraId="35048F96"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“Para que los hombres hagan el milagro cotidiano de edificar una </w:t>
      </w:r>
      <w:r w:rsidRPr="000D3432">
        <w:rPr>
          <w:rFonts w:asciiTheme="minorHAnsi" w:hAnsiTheme="minorHAnsi"/>
          <w:szCs w:val="24"/>
        </w:rPr>
        <w:lastRenderedPageBreak/>
        <w:t>sociedad y de vivir en armonía”, (Eduardo Gonzáles Viaña). Para eso sirven la literatura y el derecho.</w:t>
      </w:r>
    </w:p>
    <w:p w14:paraId="0B054277" w14:textId="77777777" w:rsidR="001925CE" w:rsidRPr="000D3432" w:rsidRDefault="001925CE" w:rsidP="00A95498">
      <w:pPr>
        <w:ind w:firstLine="709"/>
        <w:jc w:val="both"/>
        <w:rPr>
          <w:rFonts w:asciiTheme="minorHAnsi" w:hAnsiTheme="minorHAnsi"/>
          <w:szCs w:val="24"/>
        </w:rPr>
      </w:pPr>
    </w:p>
    <w:p w14:paraId="63D381F4"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La interpretación “no usa al saber sino lo impugna, lo muestra en donde desfallece. Es el retorno de lo reprimido. .. En cambio , en el discurso universitario el saber ha ido a parar al lugar del orden, del mando, al lugar ocupado en un principio el amo. “el discurso universitario es uno que tiene por amo al saber, el universitario trabaja para el saber, no lo posee puesto que es una especie de esclavo.” Marcos Mondoñedo, “Normalizar lo extraño”.</w:t>
      </w:r>
    </w:p>
    <w:p w14:paraId="442D6CB8" w14:textId="77777777" w:rsidR="001925CE" w:rsidRPr="000D3432" w:rsidRDefault="001925CE" w:rsidP="00A95498">
      <w:pPr>
        <w:jc w:val="both"/>
        <w:rPr>
          <w:rFonts w:asciiTheme="minorHAnsi" w:hAnsiTheme="minorHAnsi"/>
          <w:szCs w:val="24"/>
        </w:rPr>
      </w:pPr>
    </w:p>
    <w:p w14:paraId="1DB0AB15"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CULPABLE YO:</w:t>
      </w:r>
    </w:p>
    <w:p w14:paraId="1DA00F1C" w14:textId="77777777" w:rsidR="001925CE" w:rsidRPr="000D3432" w:rsidRDefault="001925CE" w:rsidP="00A95498">
      <w:pPr>
        <w:jc w:val="both"/>
        <w:rPr>
          <w:rFonts w:asciiTheme="minorHAnsi" w:hAnsiTheme="minorHAnsi"/>
          <w:szCs w:val="24"/>
        </w:rPr>
      </w:pPr>
    </w:p>
    <w:p w14:paraId="20706DC8"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Pedirle a un escéptico que hable optimistamente sobre Literatura es un delirio. No podría yo hablar bien de la Literatura. No he visto que haya logrado nada, nada extraordinario al menos. ¿Cuántas historias de hombres inmolados por su “amor” a la cultura, y su genialidad siempre reconocida después de muerto? Cuando ya no le sirve. No puedo, por ello, aconsejar la Literatura; incluso a riesgo de ser tachado de “inculto”, o “imbécil”. No estoy dispuesto a decir u ofrecer rosas. No puedo negar esa terrible sensación de -al incitar a leer o hacer Literatura- vértigo. No creo en las bondades intrínsecas, exclusivas y excluyentes de la Literatura. Creo más bien que es un medio más, una forma más de vivir. No es más grande que ninguna de las otras funciones y actividades del hombre. Literatura ¿qué es lo que te hace “superior” a lo demás? Qué hace del literato superior a los demás? ¿Su sensibilidad? ¡Patrañas! Se puede ser tan sensible con un simple mirar la noche. </w:t>
      </w:r>
    </w:p>
    <w:p w14:paraId="14304582"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Otra vez la pregunta: ¿Qué hace al literatura superior?, ¿ser literato significa que eres imaginativo?  Es falta de imaginación lo que hay en un literato, no lo contrario. Necesita crear otro mundo, porque no logra imaginar, comprender, como es éste. </w:t>
      </w:r>
    </w:p>
    <w:p w14:paraId="1AE75A6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 xml:space="preserve">No puedo aconsejar tampoco el Derecho, no ese derecho de códigos y sistemas de enjuiciamientos, no ese derecho donde se determina al hombre, se lo vigila y castiga. No ese derecho que acusa, juzga, castiga, individualiza, el delito y al delincuente. No ese derecho como barrera, como instrumento que aplasta (mediante la ley) al hombre. No, no puedo aconsejar el Derecho. </w:t>
      </w:r>
    </w:p>
    <w:p w14:paraId="3883000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r>
    </w:p>
    <w:p w14:paraId="14A4B648"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br w:type="page"/>
      </w:r>
    </w:p>
    <w:p w14:paraId="0DF1A24E" w14:textId="77777777" w:rsidR="001925CE" w:rsidRPr="000D3432" w:rsidRDefault="001925CE" w:rsidP="00A95498">
      <w:pPr>
        <w:jc w:val="both"/>
        <w:rPr>
          <w:rFonts w:asciiTheme="minorHAnsi" w:hAnsiTheme="minorHAnsi"/>
          <w:szCs w:val="24"/>
        </w:rPr>
      </w:pPr>
    </w:p>
    <w:p w14:paraId="09EC3C04" w14:textId="77777777" w:rsidR="001925CE" w:rsidRPr="000D3432" w:rsidRDefault="001925CE" w:rsidP="00A95498">
      <w:pPr>
        <w:jc w:val="both"/>
        <w:rPr>
          <w:rFonts w:asciiTheme="minorHAnsi" w:hAnsiTheme="minorHAnsi"/>
          <w:szCs w:val="24"/>
        </w:rPr>
      </w:pPr>
    </w:p>
    <w:p w14:paraId="46C72957" w14:textId="77777777" w:rsidR="001925CE" w:rsidRPr="000D3432" w:rsidRDefault="001925CE" w:rsidP="00A95498">
      <w:pPr>
        <w:jc w:val="both"/>
        <w:rPr>
          <w:rFonts w:asciiTheme="minorHAnsi" w:hAnsiTheme="minorHAnsi"/>
          <w:b/>
          <w:szCs w:val="24"/>
          <w:u w:val="single"/>
        </w:rPr>
      </w:pPr>
    </w:p>
    <w:p w14:paraId="6189B7CF" w14:textId="77777777" w:rsidR="001925CE" w:rsidRPr="000D3432" w:rsidRDefault="001925CE" w:rsidP="00A95498">
      <w:pPr>
        <w:jc w:val="center"/>
        <w:rPr>
          <w:rFonts w:asciiTheme="minorHAnsi" w:hAnsiTheme="minorHAnsi"/>
          <w:b/>
          <w:szCs w:val="24"/>
        </w:rPr>
      </w:pPr>
    </w:p>
    <w:p w14:paraId="7B5D6BCB" w14:textId="77777777" w:rsidR="001925CE" w:rsidRPr="000D3432" w:rsidRDefault="001925CE" w:rsidP="00A95498">
      <w:pPr>
        <w:jc w:val="center"/>
        <w:rPr>
          <w:rFonts w:asciiTheme="minorHAnsi" w:hAnsiTheme="minorHAnsi"/>
          <w:b/>
          <w:szCs w:val="24"/>
        </w:rPr>
      </w:pPr>
    </w:p>
    <w:p w14:paraId="49FD44A7" w14:textId="77777777" w:rsidR="001925CE" w:rsidRPr="000D3432" w:rsidRDefault="001925CE" w:rsidP="00A95498">
      <w:pPr>
        <w:jc w:val="center"/>
        <w:rPr>
          <w:rFonts w:asciiTheme="minorHAnsi" w:hAnsiTheme="minorHAnsi"/>
          <w:b/>
          <w:szCs w:val="24"/>
        </w:rPr>
      </w:pPr>
    </w:p>
    <w:p w14:paraId="143FA8E4" w14:textId="77777777" w:rsidR="001925CE" w:rsidRPr="000D3432" w:rsidRDefault="001925CE" w:rsidP="00A95498">
      <w:pPr>
        <w:jc w:val="center"/>
        <w:rPr>
          <w:rFonts w:asciiTheme="minorHAnsi" w:hAnsiTheme="minorHAnsi"/>
          <w:b/>
          <w:szCs w:val="24"/>
        </w:rPr>
      </w:pPr>
    </w:p>
    <w:p w14:paraId="693EEDB8" w14:textId="77777777" w:rsidR="001925CE" w:rsidRPr="000D3432" w:rsidRDefault="001925CE" w:rsidP="00A95498">
      <w:pPr>
        <w:jc w:val="center"/>
        <w:rPr>
          <w:rFonts w:asciiTheme="minorHAnsi" w:hAnsiTheme="minorHAnsi"/>
          <w:b/>
          <w:szCs w:val="24"/>
        </w:rPr>
      </w:pPr>
    </w:p>
    <w:p w14:paraId="2E32A335"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 CAPÍTULO VI-</w:t>
      </w:r>
    </w:p>
    <w:p w14:paraId="67ABE94A"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ORATORIA FORENSE, LENGUAJE Y DERECHO</w:t>
      </w:r>
    </w:p>
    <w:p w14:paraId="4921AF32" w14:textId="77777777" w:rsidR="001925CE" w:rsidRPr="000D3432" w:rsidRDefault="001925CE" w:rsidP="00A95498">
      <w:pPr>
        <w:ind w:left="708"/>
        <w:jc w:val="both"/>
        <w:rPr>
          <w:rFonts w:asciiTheme="minorHAnsi" w:hAnsiTheme="minorHAnsi"/>
          <w:szCs w:val="24"/>
        </w:rPr>
      </w:pPr>
    </w:p>
    <w:p w14:paraId="46700BB3" w14:textId="77777777" w:rsidR="001925CE" w:rsidRPr="000D3432" w:rsidRDefault="001925CE" w:rsidP="00A95498">
      <w:pPr>
        <w:jc w:val="both"/>
        <w:rPr>
          <w:rFonts w:asciiTheme="minorHAnsi" w:hAnsiTheme="minorHAnsi"/>
          <w:b/>
          <w:szCs w:val="24"/>
        </w:rPr>
      </w:pPr>
    </w:p>
    <w:p w14:paraId="157C893D" w14:textId="77777777" w:rsidR="001925CE" w:rsidRPr="000D3432" w:rsidRDefault="001925CE" w:rsidP="00A95498">
      <w:pPr>
        <w:jc w:val="both"/>
        <w:rPr>
          <w:rFonts w:asciiTheme="minorHAnsi" w:hAnsiTheme="minorHAnsi"/>
          <w:szCs w:val="24"/>
        </w:rPr>
      </w:pPr>
    </w:p>
    <w:p w14:paraId="65A9B10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Oratoria Forense es un curso fundamental; quien lo aprende, asimila e interioriza está en ventaja conceptual. </w:t>
      </w:r>
    </w:p>
    <w:p w14:paraId="39F8C7B6" w14:textId="77777777" w:rsidR="001925CE" w:rsidRPr="000D3432" w:rsidRDefault="001925CE" w:rsidP="00A95498">
      <w:pPr>
        <w:jc w:val="both"/>
        <w:rPr>
          <w:rFonts w:asciiTheme="minorHAnsi" w:hAnsiTheme="minorHAnsi"/>
          <w:szCs w:val="24"/>
        </w:rPr>
      </w:pPr>
    </w:p>
    <w:p w14:paraId="1812621E"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Oratoria forense no es como muchos creen: sólo hablar bien, dejar que las palabras fluyan con gracia y elegancia. Es más bien algo más complejo, poder comunicar, lograr comunicar y “convencer”. Para lograr esto, en este siglo, se ha utilizado preferente al lenguaje. Hay que estudiar, entonces, primero el lenguaje, lenguaje como construcción consensual que delinea un determinado dominio de poder, un dominio de saber. Así, el lenguaje ya no sería sólo el único método de transmisión, sino que lleva en si una carga de poder importantísima: lograr ser uno de los instrumentos para mover al ser humano, para conducirlo, o para restringirlo; en fin, para normarlo (y lo normativo es también una función jurídica). El lenguaje amplia su función comunicativa y pasa a ser un medio de poder (en la Oratoria Forense), a través del cual se logra imponer, por ejemplo, una sanción, una determinada acción u omisión de la conducta humana.</w:t>
      </w:r>
    </w:p>
    <w:p w14:paraId="144AD9F0" w14:textId="77777777" w:rsidR="001925CE" w:rsidRPr="000D3432" w:rsidRDefault="001925CE" w:rsidP="00A95498">
      <w:pPr>
        <w:jc w:val="both"/>
        <w:rPr>
          <w:rFonts w:asciiTheme="minorHAnsi" w:hAnsiTheme="minorHAnsi"/>
          <w:szCs w:val="24"/>
        </w:rPr>
      </w:pPr>
    </w:p>
    <w:p w14:paraId="1697992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 xml:space="preserve">Es necesario, entonces, hacer una primera disgresión sobre este tema. ¿Para qué nos sirve la Oratoria Forense? Tal vez sólo sea un tema más. No es así sin embargo. Oratoria es más que un discurso, es un discurso que expresa y propone un cierto tipo de dominio, de poder, un cierto saber dominante. </w:t>
      </w:r>
    </w:p>
    <w:p w14:paraId="50DAC275" w14:textId="77777777" w:rsidR="001925CE" w:rsidRPr="000D3432" w:rsidRDefault="001925CE" w:rsidP="00A95498">
      <w:pPr>
        <w:jc w:val="both"/>
        <w:rPr>
          <w:rFonts w:asciiTheme="minorHAnsi" w:hAnsiTheme="minorHAnsi"/>
          <w:szCs w:val="24"/>
        </w:rPr>
      </w:pPr>
    </w:p>
    <w:p w14:paraId="7362EE2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La oratoria es eminentemente discurso, y es un sistema de signos y símbolos debidamente sistematizados, que permiten la comunicación y la interacción entre los seres humanos. Oratoria es lenguaje, pero no sólo lenguaje.</w:t>
      </w:r>
    </w:p>
    <w:p w14:paraId="35580EDD" w14:textId="77777777" w:rsidR="001925CE" w:rsidRPr="000D3432" w:rsidRDefault="001925CE" w:rsidP="00A95498">
      <w:pPr>
        <w:jc w:val="both"/>
        <w:rPr>
          <w:rFonts w:asciiTheme="minorHAnsi" w:hAnsiTheme="minorHAnsi"/>
          <w:szCs w:val="24"/>
        </w:rPr>
      </w:pPr>
    </w:p>
    <w:p w14:paraId="0E3EF7F3"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LENGUAJE Y DERECHO:</w:t>
      </w:r>
    </w:p>
    <w:p w14:paraId="20BAD994" w14:textId="77777777" w:rsidR="001925CE" w:rsidRPr="000D3432" w:rsidRDefault="001925CE" w:rsidP="00A95498">
      <w:pPr>
        <w:jc w:val="both"/>
        <w:rPr>
          <w:rFonts w:asciiTheme="minorHAnsi" w:hAnsiTheme="minorHAnsi"/>
          <w:b/>
          <w:szCs w:val="24"/>
        </w:rPr>
      </w:pPr>
    </w:p>
    <w:p w14:paraId="3B39D45D" w14:textId="77777777" w:rsidR="001925CE" w:rsidRPr="000D3432" w:rsidRDefault="001925CE" w:rsidP="00A95498">
      <w:pPr>
        <w:tabs>
          <w:tab w:val="left" w:pos="567"/>
        </w:tabs>
        <w:jc w:val="both"/>
        <w:rPr>
          <w:rFonts w:asciiTheme="minorHAnsi" w:hAnsiTheme="minorHAnsi"/>
          <w:szCs w:val="24"/>
        </w:rPr>
      </w:pPr>
      <w:r w:rsidRPr="000D3432">
        <w:rPr>
          <w:rFonts w:asciiTheme="minorHAnsi" w:hAnsiTheme="minorHAnsi"/>
          <w:szCs w:val="24"/>
        </w:rPr>
        <w:t xml:space="preserve">Lenguaje es lo que el “standar cultural”, histórico: temporal y espacial, dicen que es. Existe una “universal” concepción de lenguaje, por ser más una técnica que un fenómeno cualquiera. Es construcción humana, temporal, y por lo tal responde a su omnipotente, arbitraria y caprichosa creación. El lenguaje son un sistema de signos y símbolos puestos en acción. No hay nada fuera de estos símbolos y signos que sea lenguaje. Puede ser escrita o hablada, pero nunca dejará de ser lenguaje: sistema de signos y símbolos, significados y significantes. El lenguaje como instrumento de comunicación es universal, pero su sentido o </w:t>
      </w:r>
      <w:r w:rsidRPr="000D3432">
        <w:rPr>
          <w:rFonts w:asciiTheme="minorHAnsi" w:hAnsiTheme="minorHAnsi"/>
          <w:szCs w:val="24"/>
        </w:rPr>
        <w:lastRenderedPageBreak/>
        <w:t xml:space="preserve">construcción no es universal, se construye de acuerdo al medio ambiente y se determina como idioma cultural y geográfico. Lo que si se ha universalizado es, es más bien, que es una técnica de comunicación, de expresión. El lenguaje, no obstante ser una técnica para transmitir un mensaje, su importancia radica que allí, dentro de su contenido, dentro de sus signos y símbolos lleva no sólo información, sino voluntades, intenciones, etc. del ser humano. </w:t>
      </w:r>
    </w:p>
    <w:p w14:paraId="3494C635" w14:textId="77777777" w:rsidR="001925CE" w:rsidRPr="000D3432" w:rsidRDefault="001925CE" w:rsidP="00A95498">
      <w:pPr>
        <w:tabs>
          <w:tab w:val="left" w:pos="567"/>
        </w:tabs>
        <w:jc w:val="both"/>
        <w:rPr>
          <w:rFonts w:asciiTheme="minorHAnsi" w:hAnsiTheme="minorHAnsi"/>
          <w:szCs w:val="24"/>
        </w:rPr>
      </w:pPr>
    </w:p>
    <w:p w14:paraId="4A84B19A" w14:textId="77777777" w:rsidR="001925CE" w:rsidRPr="000D3432" w:rsidRDefault="001925CE" w:rsidP="00A95498">
      <w:pPr>
        <w:ind w:firstLine="707"/>
        <w:jc w:val="both"/>
        <w:rPr>
          <w:rFonts w:asciiTheme="minorHAnsi" w:hAnsiTheme="minorHAnsi"/>
          <w:szCs w:val="24"/>
        </w:rPr>
      </w:pPr>
      <w:r w:rsidRPr="000D3432">
        <w:rPr>
          <w:rFonts w:asciiTheme="minorHAnsi" w:hAnsiTheme="minorHAnsi"/>
          <w:szCs w:val="24"/>
        </w:rPr>
        <w:t xml:space="preserve">Cuando se habla de Lenguaje se está hablando de “creación o producción de estructuras verbo-simbólicas, orales o escritas”. Es una especie de racionalidad, de objetivización de la voluntad del ser humano. Es una creación humana “que surgió con necesidad”. Nació para posibilitar la búsqueda y consecución de nuestras necesidades; es por lo tanto un producto del interés, y el interés como sabemos con Carnelutti, no es más que “una posición favorable para la satisfacción de una necesidad”. </w:t>
      </w:r>
    </w:p>
    <w:p w14:paraId="5F9E2C52" w14:textId="77777777" w:rsidR="001925CE" w:rsidRPr="000D3432" w:rsidRDefault="001925CE" w:rsidP="00A95498">
      <w:pPr>
        <w:ind w:firstLine="707"/>
        <w:jc w:val="both"/>
        <w:rPr>
          <w:rFonts w:asciiTheme="minorHAnsi" w:hAnsiTheme="minorHAnsi"/>
          <w:szCs w:val="24"/>
        </w:rPr>
      </w:pPr>
      <w:r w:rsidRPr="000D3432">
        <w:rPr>
          <w:rFonts w:asciiTheme="minorHAnsi" w:hAnsiTheme="minorHAnsi"/>
          <w:szCs w:val="24"/>
        </w:rPr>
        <w:t xml:space="preserve">La importancia del lenguaje es trascendental porque de ella se deriva incluso el pensamiento. Algunos autores dicen que si no hay lenguaje no puede haber pensamiento. Y si esto es así, no habría sociedad. El pensamiento que utiliza al lenguaje como instrumento de su propia creación u operatividad es exclusivo del ser humano; al menos su refinamiento, no sabemos de algún ser vivo que haya desarrollado de tal forma el pensamiento. </w:t>
      </w:r>
    </w:p>
    <w:p w14:paraId="52173BA7" w14:textId="77777777" w:rsidR="001925CE" w:rsidRPr="000D3432" w:rsidRDefault="001925CE" w:rsidP="00A95498">
      <w:pPr>
        <w:ind w:firstLine="707"/>
        <w:jc w:val="both"/>
        <w:rPr>
          <w:rFonts w:asciiTheme="minorHAnsi" w:hAnsiTheme="minorHAnsi"/>
          <w:szCs w:val="24"/>
        </w:rPr>
      </w:pPr>
      <w:r w:rsidRPr="000D3432">
        <w:rPr>
          <w:rFonts w:asciiTheme="minorHAnsi" w:hAnsiTheme="minorHAnsi"/>
          <w:szCs w:val="24"/>
        </w:rPr>
        <w:t xml:space="preserve">El lenguaje tiene su propio reino, sus propias dimensiones conceptuales, con las cuales puede construir sistemas de pensamiento, que luego se constituyen en “dominios de saber” y pasan a ser “dominios de poder” o “discursos dominantes”. </w:t>
      </w:r>
    </w:p>
    <w:p w14:paraId="605844CA" w14:textId="77777777" w:rsidR="001925CE" w:rsidRPr="000D3432" w:rsidRDefault="001925CE" w:rsidP="00A95498">
      <w:pPr>
        <w:ind w:firstLine="707"/>
        <w:jc w:val="both"/>
        <w:rPr>
          <w:rFonts w:asciiTheme="minorHAnsi" w:hAnsiTheme="minorHAnsi"/>
          <w:szCs w:val="24"/>
        </w:rPr>
      </w:pPr>
    </w:p>
    <w:p w14:paraId="3553F265" w14:textId="77777777" w:rsidR="001925CE" w:rsidRPr="000D3432" w:rsidRDefault="001925CE" w:rsidP="00A95498">
      <w:pPr>
        <w:ind w:firstLine="707"/>
        <w:jc w:val="both"/>
        <w:rPr>
          <w:rFonts w:asciiTheme="minorHAnsi" w:hAnsiTheme="minorHAnsi"/>
          <w:szCs w:val="24"/>
        </w:rPr>
      </w:pPr>
      <w:r w:rsidRPr="000D3432">
        <w:rPr>
          <w:rFonts w:asciiTheme="minorHAnsi" w:hAnsiTheme="minorHAnsi"/>
          <w:szCs w:val="24"/>
        </w:rPr>
        <w:t xml:space="preserve">Dentro de estos discursos dominantes, dominios de saber, etc, se encuentra el Derecho, preferentemente. El Derecho se constituye como una forma de lenguaje peculiar, con aroma excluyente y exclusivo, que marca cierta distancia con las demás formas de utilización del lenguaje (como la medicina, por ejemplo). El Derecho como lenguaje y como dominio de saber, o saber dominante, o discurso de poder, se preocupa de normarlas conductas del ser humano, tiene un fundamento político antes que técnico; no se dedica a construir carreteras,  ni a curar el cuerpo cuando está enfermo. Su función es más bien la normativa, la regulación de las conductas de los seres humanos, la armonización de estas conductas intersubjetivas. El Derecho tiene una dimensión singular en el mundo del lenguaje. El Derecho es ante todo discurso, discurso de poder, poder que es siempre legitimado. El Derecho sería un discurso dominante, un dominio de saber.  </w:t>
      </w:r>
    </w:p>
    <w:p w14:paraId="7086CD94" w14:textId="77777777" w:rsidR="001925CE" w:rsidRPr="000D3432" w:rsidRDefault="001925CE" w:rsidP="00A95498">
      <w:pPr>
        <w:ind w:firstLine="707"/>
        <w:jc w:val="both"/>
        <w:rPr>
          <w:rFonts w:asciiTheme="minorHAnsi" w:hAnsiTheme="minorHAnsi"/>
          <w:szCs w:val="24"/>
        </w:rPr>
      </w:pPr>
    </w:p>
    <w:p w14:paraId="7E898C24" w14:textId="77777777" w:rsidR="001925CE" w:rsidRPr="000D3432" w:rsidRDefault="001925CE" w:rsidP="00A95498">
      <w:pPr>
        <w:ind w:firstLine="707"/>
        <w:jc w:val="both"/>
        <w:rPr>
          <w:rFonts w:asciiTheme="minorHAnsi" w:hAnsiTheme="minorHAnsi"/>
          <w:szCs w:val="24"/>
        </w:rPr>
      </w:pPr>
      <w:r w:rsidRPr="000D3432">
        <w:rPr>
          <w:rFonts w:asciiTheme="minorHAnsi" w:hAnsiTheme="minorHAnsi"/>
          <w:szCs w:val="24"/>
        </w:rPr>
        <w:t xml:space="preserve">La mayor representación objetiva del  Derecho se encuentra en los códigos jurídicos, pero no se restringe o anula en ellos. Los códigos jurídicos, como se sabe, son enormes construcciones lingüísticas, coordinadas matemáticamente. </w:t>
      </w:r>
    </w:p>
    <w:p w14:paraId="7DD23823"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Derecho así, como construcción humana sería un arte, y el pincel sería el lenguaje. Además el Derecho, no es sólo un amasijo o “conjunto de normas” que se patentizan en los códigos. Se olvida que el Derecho no son sólo los códigos y leyes con fuerza coactiva, sino mucho más, y en este “mucho más” está el asunto, en este mucho más entra el lenguaje, el discurso, el poder, mediante </w:t>
      </w:r>
      <w:r w:rsidRPr="000D3432">
        <w:rPr>
          <w:rFonts w:asciiTheme="minorHAnsi" w:hAnsiTheme="minorHAnsi"/>
          <w:szCs w:val="24"/>
        </w:rPr>
        <w:lastRenderedPageBreak/>
        <w:t xml:space="preserve">los cuales el Derecho se constituye como lenguaje, pero también como discurso de saber, como discurso de poder, como saber dominante. Y su fuerza, se demuestra mucho más allá de la utilización de ese sistema de signos y símbolos”, puesto que el Derecho, con el lenguaje, crea por ejemplo, otros instrumentos mucho más poderosos que ayudan en la aplicación del mismo Derecho, en la regulación de las conductas de los seres humanos (sólo hay conducta humana), como, por ejemplo, la “Interpretación”, que es la capacidad mental (pensamiento, lenguaje como objeto con el cual se trabaja)  para poder armonizar los hechos, valores y normas; ese acto de valoración, de balanza, etc.); la “Historia”, que determina la necesidad del sentido histórico (“conciencia del tiempo y del espacio”); “Filosofía”, que es la que se encarga de amalgamar o integrar todas las dimensiones del fenómeno jurídico. </w:t>
      </w:r>
    </w:p>
    <w:p w14:paraId="04C088AF" w14:textId="77777777" w:rsidR="001925CE" w:rsidRPr="000D3432" w:rsidRDefault="001925CE" w:rsidP="00A95498">
      <w:pPr>
        <w:ind w:firstLine="709"/>
        <w:jc w:val="both"/>
        <w:rPr>
          <w:rFonts w:asciiTheme="minorHAnsi" w:hAnsiTheme="minorHAnsi"/>
          <w:szCs w:val="24"/>
        </w:rPr>
      </w:pPr>
    </w:p>
    <w:p w14:paraId="69485FB0"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A pesar de que el Derecho es un discurso excluyente, o mejor, determinado, no por ello olvida o desdeña las otras dimensiones lingüísticas, como la Historia, la Filosofía, la Economía, etc. El Derecho usa más bien de todos ellos para lograr ordenar la sociedad, ver formar de solucionar y conciliar al mundo con el hombre. El Derecho es un método de cognición, y hasta una ficción, o un artificio para solucionar los conflictos de intereses, los problemas de coexistencia a través del discurso, de un dominio de saber. </w:t>
      </w:r>
    </w:p>
    <w:p w14:paraId="188BD308"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El Derecho es también estética, como el lenguaje. La estética tiene geometría, es decir, armonía, pero va más allá. Se trata de “cantidad de vida”. Estética supone que las palabras estén en su lugar, que cada palabra esté puesta en un lugar “adecuado”, estratégicamente dispuesto, sin sobrar o faltar. Eduardo González Viaña, cuenta: “…un consejo que me dio mi padre cuando advirtió que, …, mis pasos avanzaban por el descarriado sendero de la literatura. ‘Es evidente que vas a ser escritor’, me dijo, y añadió: ‘Por lo tanto, es preciso que leas con amor y atención el Código Civil. Fíjate bien cómo está escrito: no hay un sólo adjetivo en sus páginas. No hay una sola palabra que sobre … y no hay ninguna que falte. Sólo cuando escribas así, serás de verdad un escritor’.”. Lenguaje y Derecho son inseparables.</w:t>
      </w:r>
    </w:p>
    <w:p w14:paraId="472BA98E" w14:textId="77777777" w:rsidR="001925CE" w:rsidRPr="000D3432" w:rsidRDefault="001925CE" w:rsidP="00A95498">
      <w:pPr>
        <w:ind w:firstLine="709"/>
        <w:jc w:val="both"/>
        <w:rPr>
          <w:rFonts w:asciiTheme="minorHAnsi" w:hAnsiTheme="minorHAnsi"/>
          <w:szCs w:val="24"/>
        </w:rPr>
      </w:pPr>
    </w:p>
    <w:p w14:paraId="711489A5"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Derecho es “adiestramiento y selección” a través del lenguaje. Guilles Deleuze dice que cultura es “adiestramiento y selección”, nosotros le agregamos que el Derecho mismo es tal; ¿pero en qué se adiestra?, ¿qué se selecciona? Esto va en relación directa con los dominios de saber, con los saberes dominantes, que son simplemente factores de poder. Así, el problema de la armonía del lenguaje, lenguaje como instrumento del derecho es sólo importante cuando se trata de legitimar un tipo de discurso dominante llamado Derecho. </w:t>
      </w:r>
    </w:p>
    <w:p w14:paraId="3BF16FB6" w14:textId="77777777" w:rsidR="001925CE" w:rsidRPr="000D3432" w:rsidRDefault="001925CE" w:rsidP="00A95498">
      <w:pPr>
        <w:jc w:val="both"/>
        <w:rPr>
          <w:rFonts w:asciiTheme="minorHAnsi" w:hAnsiTheme="minorHAnsi"/>
          <w:szCs w:val="24"/>
        </w:rPr>
      </w:pPr>
    </w:p>
    <w:p w14:paraId="38575AD5"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Además el Derecho es argumentación esencialmente; y éste se constituye como discurso. La argumentación, como fenómeno de conciliación con el resto, es siempre un intento de explicación de la existencia ¿existo y merezco existir por tal o cual motivo? Pero toda explicación parece debilidad, conciencia de la necesidad del otro, de la aceptación del otro. Jhon Wayne, reseñado en un libro de la vida de Quentin Tarantino, decía: “nunca des explicaciones, nunca te quejes, es sinónimo de debilidad”. Dicen los entendidos que el Derecho es argumentación, pero esta argumentación se da a través de la Oratoria Forense, </w:t>
      </w:r>
      <w:r w:rsidRPr="000D3432">
        <w:rPr>
          <w:rFonts w:asciiTheme="minorHAnsi" w:hAnsiTheme="minorHAnsi"/>
          <w:szCs w:val="24"/>
        </w:rPr>
        <w:lastRenderedPageBreak/>
        <w:t>porque se trata de que el lenguaje, o mediante el discurso se argumente, es decir, se da “razones sobre la necesidad y utilidad de la propia existencia”.</w:t>
      </w:r>
    </w:p>
    <w:p w14:paraId="0A445C53" w14:textId="77777777" w:rsidR="001925CE" w:rsidRPr="000D3432" w:rsidRDefault="001925CE" w:rsidP="00A95498">
      <w:pPr>
        <w:ind w:firstLine="708"/>
        <w:jc w:val="both"/>
        <w:rPr>
          <w:rFonts w:asciiTheme="minorHAnsi" w:hAnsiTheme="minorHAnsi"/>
          <w:szCs w:val="24"/>
        </w:rPr>
      </w:pPr>
    </w:p>
    <w:p w14:paraId="7B967F71"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Que el Derecho sea argumentación no hay quien lo niegue. Una característica eje del Derecho es su  especial condición de ser precisamente argumentación, que posibilita la legitimación de su propia existencia. La argumentación jurídica es tratada por Perelman. Sólo que esta argumentación se da dentro de la dimensión del lenguaje. El Derecho es un medio que describe al mundo y a través del discurso le da sentido, sentido social, sentido intersubjetivo, legitimándolo por ello mismo. El Derecho es entonces, un discurso de legitimización.</w:t>
      </w:r>
    </w:p>
    <w:p w14:paraId="57A40118" w14:textId="77777777" w:rsidR="001925CE" w:rsidRPr="000D3432" w:rsidRDefault="001925CE" w:rsidP="00A95498">
      <w:pPr>
        <w:ind w:firstLine="709"/>
        <w:jc w:val="both"/>
        <w:rPr>
          <w:rFonts w:asciiTheme="minorHAnsi" w:hAnsiTheme="minorHAnsi"/>
          <w:szCs w:val="24"/>
        </w:rPr>
      </w:pPr>
    </w:p>
    <w:p w14:paraId="49CAD70D"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Derecho no tiene que ver con lo humano, con la sensibilidad, con el sentimiento, con lo grave, lo impudoroso, lo drástico, etc. con la humanidad. León Barandiarán sugería al abogado leer un porcentaje mayor de Humanidades que de Derecho, para ser precisamente un buen abogado. </w:t>
      </w:r>
    </w:p>
    <w:p w14:paraId="05A8E5B1"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El hombre no puede vivir sin Derecho, porque si no hay normas que controlen sus instintos destructivos no habría posibilidad de vida humana en coexistencia, posibilidad del futuro. El Derecho es un fenómeno normativo, pero no se reduce a ello, puesto que el Derecho es: determinación de un sentido, y, justificación de nuestra existencia y coexistencia.</w:t>
      </w:r>
    </w:p>
    <w:p w14:paraId="3B807438"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Derecho es una fuerza que integra; usa de todos, exprime a todos sus cualidades. Ciencia, literatura, política, economía, historia, todo en él se mezclan, se complementan, e incluso la lógica de las matemáticas ha sido utilizada para hacer razonamiento jurídico. Por eso, para mí el Derecho es una disciplina completa. Enorme, inmensa y discursiva. </w:t>
      </w:r>
    </w:p>
    <w:p w14:paraId="49F755AB"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El Derecho expone un ser y un deber ser. El Derecho es eso que se “debe ser” pero con una peculiaridad, es impositiva, es ese “debes ser” legitimado, y esta idea puede ser perfectamente explicada mediante el análisis. </w:t>
      </w:r>
    </w:p>
    <w:p w14:paraId="309E6C58" w14:textId="77777777" w:rsidR="001925CE" w:rsidRPr="000D3432" w:rsidRDefault="001925CE" w:rsidP="00A95498">
      <w:pPr>
        <w:ind w:firstLine="709"/>
        <w:jc w:val="both"/>
        <w:rPr>
          <w:rFonts w:asciiTheme="minorHAnsi" w:hAnsiTheme="minorHAnsi"/>
          <w:szCs w:val="24"/>
        </w:rPr>
      </w:pPr>
    </w:p>
    <w:p w14:paraId="48AF4309"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Para explicar el Derecho como discurso, usaremos a Azorín. Quien era un hombre de fantásticas fantasías que se metió también por los recovecos del tema jurídico, y sin ser jurista escribió y determinó con sentido de jurista. En un cuento, escribió, con pasmosa lucidez,… “no sucede otra cosa que yo he dictado hoy una sentencia apartándome de la ley, pero con arreglo a mi conciencia, a lo que yo creía justo en este caso. Yo no sé si vosotras entenderéis esto; pero el espíritu de la Justicia es tan sutil, tan ondulante, que al cabo de cierto tiempo los moldes que los hombres han fabricado para encerrarlo, es decir, las leyes, resultan estrechos, anticuados, y entonces, mientras otros moldes no son fabricados por los legisladores, un buen juez debe fabricar para su uso particular, provisionalmente, unos moldes chiquitos y modestos en la fábrica de su conciencia”. Conciencia que tiene que ver con la sociedad y el insistente trabajo de resolver los problemas de coexistencia, más que  los problemas de la norma (no hay ley, etc.). Conciencia como relación con la sociedad y su salud y seguridad física y mental.</w:t>
      </w:r>
    </w:p>
    <w:p w14:paraId="06AB8CA9" w14:textId="77777777" w:rsidR="001925CE" w:rsidRPr="000D3432" w:rsidRDefault="001925CE" w:rsidP="00A95498">
      <w:pPr>
        <w:ind w:firstLine="709"/>
        <w:jc w:val="both"/>
        <w:rPr>
          <w:rFonts w:asciiTheme="minorHAnsi" w:hAnsiTheme="minorHAnsi"/>
          <w:szCs w:val="24"/>
        </w:rPr>
      </w:pPr>
    </w:p>
    <w:p w14:paraId="7E3FE171"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 xml:space="preserve">Sin embargo esto lo escribe un literato y a veces en Derecho se tiene por literato al que escribe “palabras brillantes pero sin fondo”. Esta sería la más </w:t>
      </w:r>
      <w:r w:rsidRPr="000D3432">
        <w:rPr>
          <w:rFonts w:asciiTheme="minorHAnsi" w:hAnsiTheme="minorHAnsi"/>
          <w:szCs w:val="24"/>
        </w:rPr>
        <w:lastRenderedPageBreak/>
        <w:t>canallesca y grave negación de la dimensión lingüística del Derecho: limitación de su campo de creación y operación. Puede que el Derecho más que se defina más por sus construcciones y fines, que por el uso de medios varios.</w:t>
      </w:r>
    </w:p>
    <w:p w14:paraId="73B8B923" w14:textId="77777777" w:rsidR="001925CE" w:rsidRPr="000D3432" w:rsidRDefault="001925CE" w:rsidP="00A95498">
      <w:pPr>
        <w:jc w:val="both"/>
        <w:rPr>
          <w:rFonts w:asciiTheme="minorHAnsi" w:hAnsiTheme="minorHAnsi"/>
          <w:szCs w:val="24"/>
        </w:rPr>
      </w:pPr>
    </w:p>
    <w:p w14:paraId="10A3751F"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 xml:space="preserve">MÁS ALLÁ DEL DERECHO COMO LENGUAJE </w:t>
      </w:r>
    </w:p>
    <w:p w14:paraId="69D0CE0C" w14:textId="77777777" w:rsidR="001925CE" w:rsidRPr="000D3432" w:rsidRDefault="001925CE" w:rsidP="00A95498">
      <w:pPr>
        <w:jc w:val="both"/>
        <w:rPr>
          <w:rFonts w:asciiTheme="minorHAnsi" w:hAnsiTheme="minorHAnsi"/>
          <w:szCs w:val="24"/>
        </w:rPr>
      </w:pPr>
    </w:p>
    <w:p w14:paraId="0A7D8D8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En el juego de los signos y símbolos el hombre es el mejor. Creador de imágenes y representaciones ha intentado crear el absoluto, la inmutabilidad, la certeza. Proyecto de atemporalidad vertido y pervertido a través del lenguaje oral o escrito. El error consiste en creer que el lenguaje lo es todo, es historia, es verdad. No obstante no hay nada tan sometido a la confusión, a la contradicción, en tanto que realidad es vida. El lenguaje que ha sido creado para determinar el mundo puede volverse también contra el. El hombre pretende hoy inventar sus propias palabras, su propio diccionario; decir ¡no! a la universalización de las formas. Decir ¡no! a los dogmas escritos. Los dogmas son costosos, más aún si se vuelven escritos. Las religiones muestran: La Biblia con su propio lenguaje universalizante, tiene también sus propias palabras cautivas. El Torah también encierra cierto lenguaje cautivo y cautivador. Los códigos modernos, etc. Todo hombre, por eso, si quiere ser libre ha debido destruir el sentido dominante de las palabras y aportar nuevas definiciones semánticas, según sus intereses. No hay diccionario universal -dice el hombre de hoy- porque lenguaje es vida, es comunicación y comunicación es expresión dinámica de símbolos y signos, es movimiento, y éste es cambio y cambio es movimiento eterno.</w:t>
      </w:r>
    </w:p>
    <w:p w14:paraId="0DAA8454"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No hay certidumbres  establecidas definitivamente. Sabemos hoy que toda definición es siempre abierta, nunca -escuchen bien los amantes del diccionario- es absoluta o definitiva. Las definiciones son configuraciones temporales. El fin de la historia ya lo anunció. No hay verdades secuenciales, como continuidad exacta del tiempo. Toda verdad está enmarcada dentro de un espacio temporal, determinada por el cuadro de la práxis precisa, existente sólo para ese momento.</w:t>
      </w:r>
    </w:p>
    <w:p w14:paraId="61A344A9" w14:textId="77777777" w:rsidR="001925CE" w:rsidRPr="000D3432" w:rsidRDefault="001925CE" w:rsidP="00A95498">
      <w:pPr>
        <w:ind w:firstLine="709"/>
        <w:jc w:val="both"/>
        <w:rPr>
          <w:rFonts w:asciiTheme="minorHAnsi" w:hAnsiTheme="minorHAnsi"/>
          <w:szCs w:val="24"/>
        </w:rPr>
      </w:pPr>
      <w:r w:rsidRPr="000D3432">
        <w:rPr>
          <w:rFonts w:asciiTheme="minorHAnsi" w:hAnsiTheme="minorHAnsi"/>
          <w:szCs w:val="24"/>
        </w:rPr>
        <w:t>Por eso hay que liberarse de prejuicios. Todo prejuicio no es más que una opinión sin juicio, y ¿lenguaje es también error?, ¿alguien nos ha puesto el error en nuestro cuerpo para salvarnos de nosotros mismos? Con este instinto de autonegación, de autoeliminación, que nos viene de Adán (que prefirió el fruto del conocimiento antes que la inmortalidad) no podemos negar que el error (el lenguaje como error de la naturaleza, o como contradicción a la naturaleza) nos salva. Liberarse del mundo es nuestra pretensión, pero esto es imposible sin liberarnos del lenguaje que lo oculta y lo garantiza. “El lenguaje es la garantía permanente del error, y el diccionario su referencia universal. Necesitamos un nuevo campo semántico. El lenguaje es una morada del poder, y el poder no nos excita. El lenguaje como diálogo es poder, y todo diálogo con el poder es violencia, soportada o provocada. Cuando el poder economiza el uso de sus armas, es al lenguaje a quien confía el cuidado de guardar el orden opresor”. Podría decirse: ¿Lenguaje apártate de mi. Déjame en mi silencio. Deja que sea el continuador de mis propios vicios. Déjame ser libre, agráficamente libre? Pues no del todo, porque lenguaje también es liberación, posibilidad de liberación.</w:t>
      </w:r>
    </w:p>
    <w:p w14:paraId="4F8DDF6F" w14:textId="77777777" w:rsidR="001925CE" w:rsidRPr="000D3432" w:rsidRDefault="001925CE" w:rsidP="00A95498">
      <w:pPr>
        <w:ind w:firstLine="709"/>
        <w:jc w:val="both"/>
        <w:rPr>
          <w:rFonts w:asciiTheme="minorHAnsi" w:hAnsiTheme="minorHAnsi"/>
          <w:szCs w:val="24"/>
        </w:rPr>
      </w:pPr>
    </w:p>
    <w:p w14:paraId="10C18F9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Además somos discurso (lenguaje) de poder; y el poder no es más que las </w:t>
      </w:r>
      <w:r w:rsidRPr="000D3432">
        <w:rPr>
          <w:rFonts w:asciiTheme="minorHAnsi" w:hAnsiTheme="minorHAnsi"/>
          <w:szCs w:val="24"/>
        </w:rPr>
        <w:lastRenderedPageBreak/>
        <w:t xml:space="preserve">relaciones de fuerza, relaciones de discursos.  Todas las teorías del lenguaje, desde el misticismo del ser hasta la suprema racionalidad de la máquina cibernética pertenecen al mundo del discurso del poder. Por eso Foucault se preocupó tanto de los discursos. Para él el poder no era más que ese juego discursivo con carácter de fuerza, fuerza discursiva y legitimadora. Como el Dios cristiano es la mediación necesaria entre dos conciencias y entre la conciencia y uno mismo, el discurso del poder se instala en el corazón de toda comunicación, se convierte en la mediación necesaria entre sí y sí mismo. La contestación es así atrapada, como por una telaraña. </w:t>
      </w:r>
    </w:p>
    <w:p w14:paraId="6CADC39B" w14:textId="77777777" w:rsidR="001925CE" w:rsidRPr="000D3432" w:rsidRDefault="001925CE" w:rsidP="00A95498">
      <w:pPr>
        <w:jc w:val="both"/>
        <w:rPr>
          <w:rFonts w:asciiTheme="minorHAnsi" w:hAnsiTheme="minorHAnsi"/>
          <w:szCs w:val="24"/>
        </w:rPr>
      </w:pPr>
    </w:p>
    <w:p w14:paraId="6135FCE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Pero el hombre no es sólo lenguaje, sentido, sino también contrasentido, legitimidad del contrasentido. Por eso hay que denunciar la impostura del sentido garantizado, del diccionario y sus adeptos. El diccionario, como saben, es el carcelero, el guardián del sentido existente. Hay que negarlo, hasta hacerlo sólo un instrumento. Sustituir al diccionario es el deber del hombre. sustitución del lenguaje heredado y domesticador, disolución del lenguaje. No hay sentido existente atemporal, no se puede fijar de una vez por todas el sentido existente. Hay que redefinir. Repensar -aunque pensamiento sea dolor-, “no podemos quedarnos con Descartes -él ya murió- que soñaba con una lengua en la que los pensamientos se siguieran, como los números”, con un rigor matemático. El discurso es creación, disposición de los elementos del poder. Hay que notificar la desconfianza en las palabras, en el verbo. Las palabras no son inocentes, son sentencias. Hay que destruir el sentido heredado, y ser el contrasentido. Ser uno mismo y no una palabra, algo ya definido. Nos han querido definir desde el inicio, con un nombre, con un signo, con un pecado. Sed contrasentido es el instinto natural. El hombre tiene que poder atreverse a ser, o se halla en el peligro de dejar de ser. El lenguaje es la mercancía del hombre. “El hombre se separa de los otros animales por la producción de palabras” (Savater). Y El Derecho es ese poder para usar el lenguaje. </w:t>
      </w:r>
    </w:p>
    <w:p w14:paraId="6F3423D3" w14:textId="77777777" w:rsidR="001925CE" w:rsidRPr="000D3432" w:rsidRDefault="001925CE" w:rsidP="00A95498">
      <w:pPr>
        <w:rPr>
          <w:rFonts w:asciiTheme="minorHAnsi" w:hAnsiTheme="minorHAnsi"/>
          <w:szCs w:val="24"/>
        </w:rPr>
      </w:pPr>
    </w:p>
    <w:p w14:paraId="3E4F43CC" w14:textId="77777777" w:rsidR="001925CE" w:rsidRPr="000D3432" w:rsidRDefault="001925CE" w:rsidP="00A95498">
      <w:pPr>
        <w:rPr>
          <w:rFonts w:asciiTheme="minorHAnsi" w:hAnsiTheme="minorHAnsi"/>
          <w:b/>
          <w:szCs w:val="24"/>
        </w:rPr>
      </w:pPr>
      <w:r w:rsidRPr="000D3432">
        <w:rPr>
          <w:rFonts w:asciiTheme="minorHAnsi" w:hAnsiTheme="minorHAnsi"/>
          <w:b/>
          <w:szCs w:val="24"/>
        </w:rPr>
        <w:t>EL LENGUAJE Y SUS CONDICIONES</w:t>
      </w:r>
    </w:p>
    <w:p w14:paraId="01E8C38D" w14:textId="77777777" w:rsidR="001925CE" w:rsidRPr="000D3432" w:rsidRDefault="001925CE" w:rsidP="00A95498">
      <w:pPr>
        <w:rPr>
          <w:rFonts w:asciiTheme="minorHAnsi" w:hAnsiTheme="minorHAnsi"/>
          <w:szCs w:val="24"/>
        </w:rPr>
      </w:pPr>
    </w:p>
    <w:p w14:paraId="520353CB" w14:textId="57067770" w:rsidR="001925CE" w:rsidRPr="000D3432" w:rsidRDefault="001925CE" w:rsidP="00A95498">
      <w:pPr>
        <w:rPr>
          <w:rFonts w:asciiTheme="minorHAnsi" w:hAnsiTheme="minorHAnsi"/>
          <w:szCs w:val="24"/>
        </w:rPr>
      </w:pPr>
      <w:r w:rsidRPr="000D3432">
        <w:rPr>
          <w:rFonts w:asciiTheme="minorHAnsi" w:hAnsiTheme="minorHAnsi"/>
          <w:szCs w:val="24"/>
        </w:rPr>
        <w:t>El lenguaje es un sistema de signos, pero para ser tal tiene que cumplir ciertas condiciones:</w:t>
      </w:r>
    </w:p>
    <w:p w14:paraId="64B27AF8" w14:textId="77777777" w:rsidR="001925CE" w:rsidRPr="000D3432" w:rsidRDefault="001925CE" w:rsidP="00A95498">
      <w:pPr>
        <w:rPr>
          <w:rFonts w:asciiTheme="minorHAnsi" w:hAnsiTheme="minorHAnsi"/>
          <w:szCs w:val="24"/>
        </w:rPr>
      </w:pPr>
    </w:p>
    <w:p w14:paraId="2E246F56" w14:textId="77777777" w:rsidR="001925CE" w:rsidRPr="000D3432" w:rsidRDefault="001925CE" w:rsidP="00A95498">
      <w:pPr>
        <w:rPr>
          <w:rFonts w:asciiTheme="minorHAnsi" w:hAnsiTheme="minorHAnsi"/>
          <w:szCs w:val="24"/>
        </w:rPr>
      </w:pPr>
      <w:r w:rsidRPr="000D3432">
        <w:rPr>
          <w:rFonts w:asciiTheme="minorHAnsi" w:hAnsiTheme="minorHAnsi"/>
          <w:szCs w:val="24"/>
        </w:rPr>
        <w:t>1.- “Que sus elementos constitutivos puedan combinarse de ciertas formas pero no de otras”.</w:t>
      </w:r>
    </w:p>
    <w:p w14:paraId="46CFF7A8" w14:textId="77777777" w:rsidR="001925CE" w:rsidRPr="000D3432" w:rsidRDefault="001925CE" w:rsidP="00A95498">
      <w:pPr>
        <w:rPr>
          <w:rFonts w:asciiTheme="minorHAnsi" w:hAnsiTheme="minorHAnsi"/>
          <w:szCs w:val="24"/>
        </w:rPr>
      </w:pPr>
      <w:r w:rsidRPr="000D3432">
        <w:rPr>
          <w:rFonts w:asciiTheme="minorHAnsi" w:hAnsiTheme="minorHAnsi"/>
          <w:szCs w:val="24"/>
        </w:rPr>
        <w:t>2.- “Que cada elemento pueda ser sustituido solamente por ciertos elementos”.</w:t>
      </w:r>
    </w:p>
    <w:p w14:paraId="335CB176" w14:textId="77777777" w:rsidR="001925CE" w:rsidRPr="000D3432" w:rsidRDefault="001925CE" w:rsidP="00A95498">
      <w:pPr>
        <w:rPr>
          <w:rFonts w:asciiTheme="minorHAnsi" w:hAnsiTheme="minorHAnsi"/>
          <w:szCs w:val="24"/>
        </w:rPr>
      </w:pPr>
      <w:r w:rsidRPr="000D3432">
        <w:rPr>
          <w:rFonts w:asciiTheme="minorHAnsi" w:hAnsiTheme="minorHAnsi"/>
          <w:szCs w:val="24"/>
        </w:rPr>
        <w:t>3.- “Que a  partir de una combinación correcta de signos puedan formarse otras por medio de determinadas transformaciones.”</w:t>
      </w:r>
    </w:p>
    <w:p w14:paraId="0610D603" w14:textId="77777777" w:rsidR="001925CE" w:rsidRPr="000D3432" w:rsidRDefault="001925CE" w:rsidP="00A95498">
      <w:pPr>
        <w:rPr>
          <w:rFonts w:asciiTheme="minorHAnsi" w:hAnsiTheme="minorHAnsi"/>
          <w:szCs w:val="24"/>
        </w:rPr>
      </w:pPr>
    </w:p>
    <w:p w14:paraId="67DF4E3A"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rPr>
      </w:pPr>
      <w:r w:rsidRPr="000D3432">
        <w:rPr>
          <w:rFonts w:asciiTheme="minorHAnsi" w:hAnsiTheme="minorHAnsi"/>
          <w:b/>
          <w:szCs w:val="24"/>
        </w:rPr>
        <w:br w:type="page"/>
      </w:r>
    </w:p>
    <w:p w14:paraId="7CC8F85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rPr>
      </w:pPr>
    </w:p>
    <w:p w14:paraId="44ECD3D6"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rPr>
      </w:pPr>
    </w:p>
    <w:p w14:paraId="455F684F" w14:textId="77777777" w:rsidR="001925CE" w:rsidRPr="000D3432" w:rsidRDefault="001925CE" w:rsidP="00F95A2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heme="minorHAnsi" w:hAnsiTheme="minorHAnsi"/>
          <w:b/>
          <w:szCs w:val="24"/>
          <w:u w:val="single"/>
        </w:rPr>
      </w:pPr>
    </w:p>
    <w:p w14:paraId="783166A1"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1A3B16B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67E3376E"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12D265B5"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rPr>
      </w:pPr>
      <w:r w:rsidRPr="000D3432">
        <w:rPr>
          <w:rFonts w:asciiTheme="minorHAnsi" w:hAnsiTheme="minorHAnsi"/>
          <w:b/>
          <w:szCs w:val="24"/>
          <w:u w:val="single"/>
        </w:rPr>
        <w:t>CAPÍTULO VII</w:t>
      </w:r>
    </w:p>
    <w:p w14:paraId="2C949610"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rPr>
      </w:pPr>
      <w:r w:rsidRPr="000D3432">
        <w:rPr>
          <w:rFonts w:asciiTheme="minorHAnsi" w:hAnsiTheme="minorHAnsi"/>
          <w:b/>
          <w:szCs w:val="24"/>
        </w:rPr>
        <w:t>LA TEORÍA MULTIDIMENSIONAL DEL DERECHO</w:t>
      </w:r>
    </w:p>
    <w:p w14:paraId="5B4DBE53" w14:textId="77777777" w:rsidR="001925CE" w:rsidRPr="000D3432" w:rsidRDefault="001925CE" w:rsidP="00A95498">
      <w:pPr>
        <w:jc w:val="both"/>
        <w:rPr>
          <w:rFonts w:asciiTheme="minorHAnsi" w:hAnsiTheme="minorHAnsi"/>
          <w:b/>
          <w:szCs w:val="24"/>
        </w:rPr>
      </w:pPr>
    </w:p>
    <w:p w14:paraId="508B602D" w14:textId="77777777" w:rsidR="001925CE" w:rsidRPr="000D3432" w:rsidRDefault="001925CE" w:rsidP="00A95498">
      <w:pPr>
        <w:jc w:val="both"/>
        <w:rPr>
          <w:rFonts w:asciiTheme="minorHAnsi" w:hAnsiTheme="minorHAnsi"/>
          <w:szCs w:val="24"/>
        </w:rPr>
      </w:pPr>
    </w:p>
    <w:p w14:paraId="0DF57904" w14:textId="77777777" w:rsidR="001925CE" w:rsidRPr="000D3432" w:rsidRDefault="001925CE" w:rsidP="00A95498">
      <w:pPr>
        <w:tabs>
          <w:tab w:val="left" w:pos="1416"/>
          <w:tab w:val="left" w:pos="2124"/>
          <w:tab w:val="left" w:pos="2832"/>
          <w:tab w:val="left" w:pos="3540"/>
        </w:tabs>
        <w:ind w:left="850"/>
        <w:jc w:val="both"/>
        <w:rPr>
          <w:rFonts w:asciiTheme="minorHAnsi" w:hAnsiTheme="minorHAnsi"/>
          <w:szCs w:val="24"/>
        </w:rPr>
      </w:pPr>
    </w:p>
    <w:p w14:paraId="1D3039B0" w14:textId="77777777" w:rsidR="001925CE" w:rsidRPr="000D3432" w:rsidRDefault="001925CE" w:rsidP="00A95498">
      <w:pPr>
        <w:tabs>
          <w:tab w:val="left" w:pos="1416"/>
          <w:tab w:val="left" w:pos="2124"/>
          <w:tab w:val="left" w:pos="2832"/>
          <w:tab w:val="left" w:pos="3540"/>
        </w:tabs>
        <w:ind w:left="850"/>
        <w:jc w:val="both"/>
        <w:rPr>
          <w:rFonts w:asciiTheme="minorHAnsi" w:hAnsiTheme="minorHAnsi"/>
          <w:szCs w:val="24"/>
        </w:rPr>
      </w:pPr>
      <w:r w:rsidRPr="000D3432">
        <w:rPr>
          <w:rFonts w:asciiTheme="minorHAnsi" w:hAnsiTheme="minorHAnsi"/>
          <w:szCs w:val="24"/>
        </w:rPr>
        <w:t>« ...con  una  madera  tan retorcida como es el hombre no se puede conseguir nada completamente derecho.»</w:t>
      </w:r>
    </w:p>
    <w:p w14:paraId="5E21E75B" w14:textId="77777777" w:rsidR="001925CE" w:rsidRPr="000D3432" w:rsidRDefault="001925CE" w:rsidP="00A95498">
      <w:pPr>
        <w:tabs>
          <w:tab w:val="left" w:pos="1416"/>
          <w:tab w:val="left" w:pos="2124"/>
          <w:tab w:val="left" w:pos="2832"/>
          <w:tab w:val="left" w:pos="3540"/>
          <w:tab w:val="left" w:pos="4248"/>
        </w:tabs>
        <w:ind w:left="850"/>
        <w:jc w:val="right"/>
        <w:rPr>
          <w:rFonts w:asciiTheme="minorHAnsi" w:hAnsiTheme="minorHAnsi"/>
          <w:szCs w:val="24"/>
        </w:rPr>
      </w:pPr>
      <w:r w:rsidRPr="000D3432">
        <w:rPr>
          <w:rFonts w:asciiTheme="minorHAnsi" w:hAnsiTheme="minorHAnsi"/>
          <w:i/>
          <w:szCs w:val="24"/>
        </w:rPr>
        <w:t>Emmanuel Kant</w:t>
      </w:r>
    </w:p>
    <w:p w14:paraId="55B586C4"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r>
    </w:p>
    <w:p w14:paraId="2FFFFEF2"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En Derecho, no hay mayor certidumbre, hoy, que la incertidumbre de las normas; su carácter rebatible, su condición voluble, ligera, incompleta, la necesidad de interpretarlas siempre. Esta es la época en la cual la certidumbre (de espíritu inamovible) de una ley es cada vez menos «cierta», menos «certera», y por lo tanto, menos “eterna” y “universal”. Y es que alrededor de una ley se pueden dar muchos giros, tejer muchos sentidos (como sabemos sentido es nada más que “unidad”, unidad de criterios, relación causal). Hoy la interpretación “literal” de la norma no puede ser tan fija, tan compacta, tan «piedra». Es cierto que en la antigüedad las leyes eran «piedras» -o, más estrictamente, «escritas en piedra»-, puestas en el centro de la plaza para que todos pudieran verlas y tener «certeza» de lo normado, certeza del porvenir, método futurístico. Hoy no puede decirse ya que una ley es «clara», que no tiene vicios, sombras, vacíos, etc. El núcleo de esta afirmación está en el hecho de que la ley no tiene sentido unívoco, que la ley es lenguaje, y éste tiene sus reglas; que en el lenguaje la palabra es polisémica, polígama, por lo que hay la extraña y primaria necesidad de conectar las palabras en un mismo contexto: el jurídico. Intentar delimitar el radio de especulación. Hay, pues, necesidad de buscar «certeza temporal» a toda costa, ¿incluso a costa del hombre? No puede decirse, entonces, que la ley es tan clara como el agua, porque el agua del derecho nunca es clara, sino turbia, cenagosa y agitada. Eso nos indica que más que certezas hay «incertidumbre». </w:t>
      </w:r>
    </w:p>
    <w:p w14:paraId="0AE4596B"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Es precisamente esta fluvial incertidumbre, esta multiformidad, multiculturalidad, pluralismo social y jurídico; este nuevo lenguaje y planteamiento global; este </w:t>
      </w:r>
      <w:r w:rsidRPr="000D3432">
        <w:rPr>
          <w:rFonts w:asciiTheme="minorHAnsi" w:hAnsiTheme="minorHAnsi"/>
          <w:i/>
          <w:szCs w:val="24"/>
        </w:rPr>
        <w:t>retorno de los brujos</w:t>
      </w:r>
      <w:r w:rsidRPr="000D3432">
        <w:rPr>
          <w:rFonts w:asciiTheme="minorHAnsi" w:hAnsiTheme="minorHAnsi"/>
          <w:szCs w:val="24"/>
        </w:rPr>
        <w:t xml:space="preserve"> (que parece explicar -no tenemos la certeza- que no fue Einstein el descubridor de la teoría de la relatividad); este desencanto postmoderno (crítica al racionalismo moderno, explicada por Lyotard, Habermas, Baudrillac, etc); esa transvaloración de todos los valores (el primer grito de que no hay certezas absolutas, no hay verdades -planteada por Nietzsche); ese autoexilio del mundo racional, performan de la «autocrítica» como un acto decadente que destila Cioran; es la caída del muro de Berlín (como fin de cualquier intento de tener como padre absoluto al Estado, predeterminando y resolviendo todo); son los avances ineluctables y avasalladores de la ciencia incisiva, palanqueando todas las profundidades del </w:t>
      </w:r>
      <w:r w:rsidRPr="000D3432">
        <w:rPr>
          <w:rFonts w:asciiTheme="minorHAnsi" w:hAnsiTheme="minorHAnsi"/>
          <w:szCs w:val="24"/>
        </w:rPr>
        <w:lastRenderedPageBreak/>
        <w:t>secreto de la vida, describiendo cómo el mundo está compuesto por microsistemas -la «Microfísica del poder» de Michel Foucault; es el nuevo lente del derecho visto ya no como un proceso cognoscitivo, de conocimiento, sino como catárticas relaciones de fuerza, relaciones de poder, como «guerra reglamentada», «lucha perenne y perpetua» -teorías tan lúcidamente expuestas por Ihering, Foucault, Carnelutti-; son los retazos de circuncisiones y cirugías mentales expuestas por el pensamiento psicoanalítico de estigma Freudiano; son los ritos nocturnos y velatorios, de duelo, por «la muerte de Dios» (también expuesta por Nietzsche y que significa la muerte del «principio divino» como «rector» de la humanidad); es la certeza de que ni siquiera es previsible ya que «la mano invisible» corrija los desajustes en la economía de una sociedad (como parece que pensaba Adam Smith);  y la idea pululante de que incluso la ciencia es la más falsable (Popper aclara que basta un error para que la ciencia deje de ser ciencia); son todas las evoluciones del conocimiento lo que ha hecho que el homo sapiens replantee sus fundamentos para hacer derecho, para «ejercitar» el derecho. De eso trata la tan complicada multidimensionalidad en el Derecho. No hay dimensiones únicas, no hay capacidad para abarcarlo todo, para organizarlo todo,  para hacer un Código absoluto, como lo querían Justiniano o Napoleón. Con principios tan universales como únicos y eternos.</w:t>
      </w:r>
    </w:p>
    <w:p w14:paraId="754706A1"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szCs w:val="24"/>
        </w:rPr>
      </w:pPr>
      <w:r w:rsidRPr="000D3432">
        <w:rPr>
          <w:rFonts w:asciiTheme="minorHAnsi" w:hAnsiTheme="minorHAnsi"/>
          <w:szCs w:val="24"/>
        </w:rPr>
        <w:t>*     *</w:t>
      </w:r>
    </w:p>
    <w:p w14:paraId="40D6477F"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El nuevo conocimiento teórico no puede ya aislarse del «Todo»; así ese conocimiento excluyente, exclusivo,  «como una casa de barajas, empieza a caer no solamente por fallas de construcción, sino también por sus logros». Porque el mundo ya no es un todo ordenado, perfectamente planificado y planificable. No hay matemáticas (racionalismo) que salve al mundo de su variopinta espiritualidad, de su natural condición sísmica, giratoria, dinámica. El mundo se plantea ya desde otra perspectiva, la del «azar», la del «todo puede pasar», según las combinaciones que se haga. El mundo tiende a creer en las aporías de un nuevo lente, el multidimensional, que engloba un nuevo instrumento de «visión y construcción», el del caos. Tan fuerte son estos vientos que ya Michel Foucault parafraseando a Nietzsche, escribiría: “Por su carácter el mundo se parece a un caos eterno; ello no se debe a la ausencia de necesidad, sino a la ausencia de orden, de encadenamiento, de formas de belleza y sabiduría. El mundo no busca en absoluto imitar al hombre, ignora toda ley. Abstengámonos de decir que existen leyes en la naturaleza. El conocimiento ha de luchar contra un mundo sin orden, sin encadenamiento, sin formas, sin belleza, sin sabiduría, sin armonía, sin ley. El conocimiento se relaciona con un mundo como éste y no hay nada en él que lo habilite a conocer ese mundo, ni es natural a la naturaleza conocerla.”</w:t>
      </w:r>
      <w:r w:rsidRPr="000D3432">
        <w:rPr>
          <w:rFonts w:asciiTheme="minorHAnsi" w:hAnsiTheme="minorHAnsi"/>
          <w:position w:val="6"/>
          <w:szCs w:val="24"/>
        </w:rPr>
        <w:t> </w:t>
      </w:r>
      <w:r w:rsidRPr="000D3432">
        <w:rPr>
          <w:rFonts w:asciiTheme="minorHAnsi" w:hAnsiTheme="minorHAnsi"/>
          <w:szCs w:val="24"/>
        </w:rPr>
        <w:t>La teoría del caos explica muy bien esta nueva circunstancia histórica, la nueva construcción del derecho y de su carácter multidimensional. «</w:t>
      </w:r>
      <w:r w:rsidRPr="000D3432">
        <w:rPr>
          <w:rFonts w:asciiTheme="minorHAnsi" w:hAnsiTheme="minorHAnsi"/>
          <w:i/>
          <w:szCs w:val="24"/>
        </w:rPr>
        <w:t>La Teoría del Caos del Universo</w:t>
      </w:r>
      <w:r w:rsidRPr="000D3432">
        <w:rPr>
          <w:rFonts w:asciiTheme="minorHAnsi" w:hAnsiTheme="minorHAnsi"/>
          <w:szCs w:val="24"/>
        </w:rPr>
        <w:t xml:space="preserve">», es planteada por el Premio Nobel de Química 1977, IlyaPrigogine, «El caos es fundamental para entender la naturaleza». Básicamente en el Universo no existen leyes que puedan ser medidas ni consultadas. En la Tierra hay regiones que en tiempos remotos fueron selvas, como el desierto del Sahara por ejemplo». Esto implica que hay una lucha y una mutación, que todo es transformación, que el conocimiento ya no es percepción, sino violación. «El conocimiento sólo puede ser una violación de las cosas a conocer y no percepción, reconocimiento, identificación de o con ellas.» escribía </w:t>
      </w:r>
      <w:r w:rsidRPr="000D3432">
        <w:rPr>
          <w:rFonts w:asciiTheme="minorHAnsi" w:hAnsiTheme="minorHAnsi"/>
          <w:szCs w:val="24"/>
        </w:rPr>
        <w:lastRenderedPageBreak/>
        <w:t>Foucault.</w:t>
      </w:r>
    </w:p>
    <w:p w14:paraId="7781BA76"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szCs w:val="24"/>
        </w:rPr>
      </w:pPr>
      <w:r w:rsidRPr="000D3432">
        <w:rPr>
          <w:rFonts w:asciiTheme="minorHAnsi" w:hAnsiTheme="minorHAnsi"/>
          <w:szCs w:val="24"/>
        </w:rPr>
        <w:t>*     *</w:t>
      </w:r>
    </w:p>
    <w:p w14:paraId="46DB2D3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No hay nada que hacer, todo es multidimensional, no hay nada puro en las relaciones sociales. No podemos intentar establecer una sola, única y excluyente «ley del movimiento», un único «centro», como el Aleph de Borges, por ejemplo, donde confluyan todos los ritmos, sonidos, lenguajes, dimensiones. Hay tantos centros como hombres existen. Si el hombre es el centro, es la medida del universo, hay tantos universos como hombres hay. El mundo es el hombre, y muere con el hombre. «El día que yo muera se acabarán las rocas,/ los labios, los cipreses, las albas, los crepúsculos, / la pena y la alegría. Y el mundo habrá dejado de ser, que su existencia está en nosotros mismos». (Kheyyam</w:t>
      </w:r>
      <w:r w:rsidRPr="000D3432">
        <w:rPr>
          <w:rFonts w:asciiTheme="minorHAnsi" w:hAnsiTheme="minorHAnsi"/>
          <w:i/>
          <w:szCs w:val="24"/>
        </w:rPr>
        <w:t>)</w:t>
      </w:r>
      <w:r w:rsidRPr="000D3432">
        <w:rPr>
          <w:rFonts w:asciiTheme="minorHAnsi" w:hAnsiTheme="minorHAnsi"/>
          <w:szCs w:val="24"/>
        </w:rPr>
        <w:t>.</w:t>
      </w:r>
    </w:p>
    <w:p w14:paraId="616263A1"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Si siguiéramos la exposición de Trazegnies en su libro </w:t>
      </w:r>
      <w:r w:rsidRPr="000D3432">
        <w:rPr>
          <w:rFonts w:asciiTheme="minorHAnsi" w:hAnsiTheme="minorHAnsi"/>
          <w:i/>
          <w:szCs w:val="24"/>
        </w:rPr>
        <w:t>Ciriaco de Urtecho. Litigante por amor</w:t>
      </w:r>
      <w:r w:rsidRPr="000D3432">
        <w:rPr>
          <w:rFonts w:asciiTheme="minorHAnsi" w:hAnsiTheme="minorHAnsi"/>
          <w:szCs w:val="24"/>
        </w:rPr>
        <w:t>, último capítulo: La teoría dinámica del Derecho; diríamos con él, que en la teoría multidimensional del derecho «hay un diferente reparto de voces y silencios» donde el juego es multisectorial, pluricultural, variopinto, burbujeante, plástico y divergente. Hay entonces nuevas «condiciones de visibilidad». Cada época transparenta, proyecta sus focos de visibilidad y en derecho eso funciona como un retroproyector, como un microscopio o un telescopio, según sea el polo catalizado. Es interesante, por ello, observar «los mecanismos usados por el derecho para hacer visibles ciertas cosas e invisibles otras». Lo invisible se engrapa en el razonamiento positivista. El discurso es: puede haber razón universal (todos razonamos, pensamos), pero el raciocinio (cómo pensamos, con qué substratos culturales, axiológicos, etc.) es múltiple, singular -único de cada ser humano-, eso significa que tantos hombres hay como tantas formas de pensar habrá.</w:t>
      </w:r>
    </w:p>
    <w:p w14:paraId="169510BA"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La teoría multidimensional del derecho rompe aquella proposición de la existencia única y verdadera, de un «ordenamiento jurídico claro, sistemático, cerrado». Las distinciones y delimitaciones se van haciendo cada vez más exiguas, los límites se borran o esparcen. Se postula más bien el «carácter abierto e impreciso del derecho». En el mundo de hoy «el Derecho se presenta hundido en lo real, ‘ensuciado’ por valores morales, religiosos, por costumbres y convicciones sociales que desempeñan muchas veces el papel determinante» Tanto es así que al parecer podría darse una retrovisión del mundo jurídico y llegar al colmo de que: «Ni a los litigantes ni al Juez les preocupen  mucho fundamentar en Derecho positivo sus posiciones y decisiones».</w:t>
      </w:r>
    </w:p>
    <w:p w14:paraId="6FAF5EFF"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En la naturaleza dinámica del derecho -explica Trazegnies- la Ley tiene una textura abierta, según la feliz expresión de Hart; nos hace ver que cada uso del Derecho implica una retotalización de sentidos, en la que se combina el sentido original que tuvo la ley con los sentidos nuevos que surgen de cada enfrentamiento jurídico de poderes.», «el Derecho se presenta como un conjunto de campos de batalla a diferentes niveles, como una multiplicidad de relaciones de fuerza, cada una de las cuales tiene pedestales móviles, locales e inestables. El poder está siempre presente en el Derecho; pero no el Poder con mayúscula, no el poder bajo la forma de una unidad primigenia de dominación, sino como algo que se está produciendo a cada instante, en todos los puntos del medio social:», «la textura del Derecho se hace más abierta», «El Derecho es más bien un espacio y un método para resolver no disruptivamente los conflictos de </w:t>
      </w:r>
      <w:r w:rsidRPr="000D3432">
        <w:rPr>
          <w:rFonts w:asciiTheme="minorHAnsi" w:hAnsiTheme="minorHAnsi"/>
          <w:szCs w:val="24"/>
        </w:rPr>
        <w:lastRenderedPageBreak/>
        <w:t>poder, cada uno de los cuales aporta elementos muy heterogéneos que no pueden ser definitorios para determinar lo que es Derecho».</w:t>
      </w:r>
    </w:p>
    <w:p w14:paraId="35DC5C04"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i/>
          <w:szCs w:val="24"/>
        </w:rPr>
      </w:pPr>
      <w:r w:rsidRPr="000D3432">
        <w:rPr>
          <w:rFonts w:asciiTheme="minorHAnsi" w:hAnsiTheme="minorHAnsi"/>
          <w:szCs w:val="24"/>
        </w:rPr>
        <w:tab/>
        <w:t xml:space="preserve">¿Todo lo dicho podría explicar la condición multidimensional del Derecho?. Recordar que el lenguaje jurídico más que reconocer «impugna el saber», lo contradice, lo normaliza a la condición del hombre. ¿Cuál es la condición del hombre? ¿Acaso su multidimensionalidad? Azarosa contemplación del mundo, “Mas vosotros queréis llamar ‘contemplación’ a vuestro mirar bizco y castrado. Y lo que se deja palpar por ojos pusilánimes os parece bello. ¡Cómo prostituís hasta las palabras más nobles! (Nietzsche, </w:t>
      </w:r>
      <w:r w:rsidRPr="000D3432">
        <w:rPr>
          <w:rFonts w:asciiTheme="minorHAnsi" w:hAnsiTheme="minorHAnsi"/>
          <w:i/>
          <w:szCs w:val="24"/>
        </w:rPr>
        <w:t>Así habló Zarathustra).</w:t>
      </w:r>
    </w:p>
    <w:p w14:paraId="61C2D733"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Yo ansío </w:t>
      </w:r>
      <w:r w:rsidRPr="000D3432">
        <w:rPr>
          <w:rFonts w:asciiTheme="minorHAnsi" w:hAnsiTheme="minorHAnsi"/>
          <w:i/>
          <w:szCs w:val="24"/>
        </w:rPr>
        <w:t>“…u</w:t>
      </w:r>
      <w:r w:rsidRPr="000D3432">
        <w:rPr>
          <w:rFonts w:asciiTheme="minorHAnsi" w:hAnsiTheme="minorHAnsi"/>
          <w:szCs w:val="24"/>
        </w:rPr>
        <w:t>na sociedad que compagine la máxima libertad, es decir, el antagonismo absoluto de sus miembros, con la más exacta determinación y seguridad de los límites de la misma, para que sea compatible con la libertad de cada cual, como sólo en ella se puede lograr el empeño que la Naturaleza tiene puesto en la humanidad, a saber, el desarrollo de todas sus disposiciones, quiere también la Naturaleza que sea el hombre mismo quien se procure el logro de ese fin suyo, como el de todos los fines de su destino;..” Kant.</w:t>
      </w:r>
    </w:p>
    <w:p w14:paraId="0AC69FE4" w14:textId="77777777" w:rsidR="001925CE" w:rsidRPr="000D3432" w:rsidRDefault="001925CE" w:rsidP="00A95498">
      <w:pPr>
        <w:jc w:val="both"/>
        <w:rPr>
          <w:rFonts w:asciiTheme="minorHAnsi" w:hAnsiTheme="minorHAnsi"/>
          <w:b/>
          <w:szCs w:val="24"/>
        </w:rPr>
      </w:pPr>
    </w:p>
    <w:p w14:paraId="00F09193"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br w:type="page"/>
      </w:r>
    </w:p>
    <w:p w14:paraId="280D5A2B" w14:textId="77777777" w:rsidR="001925CE" w:rsidRPr="000D3432" w:rsidRDefault="001925CE" w:rsidP="00A95498">
      <w:pPr>
        <w:jc w:val="both"/>
        <w:rPr>
          <w:rFonts w:asciiTheme="minorHAnsi" w:hAnsiTheme="minorHAnsi"/>
          <w:b/>
          <w:szCs w:val="24"/>
        </w:rPr>
      </w:pPr>
    </w:p>
    <w:p w14:paraId="2348EC14" w14:textId="77777777" w:rsidR="001925CE" w:rsidRPr="000D3432" w:rsidRDefault="001925CE" w:rsidP="00A95498">
      <w:pPr>
        <w:jc w:val="both"/>
        <w:rPr>
          <w:rFonts w:asciiTheme="minorHAnsi" w:hAnsiTheme="minorHAnsi"/>
          <w:b/>
          <w:szCs w:val="24"/>
        </w:rPr>
      </w:pPr>
    </w:p>
    <w:p w14:paraId="3F95930B" w14:textId="77777777" w:rsidR="001925CE" w:rsidRPr="000D3432" w:rsidRDefault="001925CE" w:rsidP="00A95498">
      <w:pPr>
        <w:jc w:val="both"/>
        <w:rPr>
          <w:rFonts w:asciiTheme="minorHAnsi" w:hAnsiTheme="minorHAnsi"/>
          <w:b/>
          <w:szCs w:val="24"/>
        </w:rPr>
      </w:pPr>
    </w:p>
    <w:p w14:paraId="6836F209" w14:textId="77777777" w:rsidR="001925CE" w:rsidRPr="000D3432" w:rsidRDefault="001925CE" w:rsidP="00A95498">
      <w:pPr>
        <w:jc w:val="both"/>
        <w:rPr>
          <w:rFonts w:asciiTheme="minorHAnsi" w:hAnsiTheme="minorHAnsi"/>
          <w:b/>
          <w:szCs w:val="24"/>
          <w:u w:val="single"/>
        </w:rPr>
      </w:pPr>
    </w:p>
    <w:p w14:paraId="1EF02E1F" w14:textId="77777777" w:rsidR="001925CE" w:rsidRPr="000D3432" w:rsidRDefault="001925CE" w:rsidP="00A95498">
      <w:pPr>
        <w:jc w:val="both"/>
        <w:rPr>
          <w:rFonts w:asciiTheme="minorHAnsi" w:hAnsiTheme="minorHAnsi"/>
          <w:b/>
          <w:szCs w:val="24"/>
        </w:rPr>
      </w:pPr>
    </w:p>
    <w:p w14:paraId="7F260F7C" w14:textId="77777777" w:rsidR="001925CE" w:rsidRPr="000D3432" w:rsidRDefault="001925CE" w:rsidP="00A95498">
      <w:pPr>
        <w:ind w:left="708"/>
        <w:jc w:val="both"/>
        <w:rPr>
          <w:rFonts w:asciiTheme="minorHAnsi" w:hAnsiTheme="minorHAnsi"/>
          <w:szCs w:val="24"/>
        </w:rPr>
      </w:pPr>
    </w:p>
    <w:p w14:paraId="722CF909" w14:textId="77777777" w:rsidR="001925CE" w:rsidRPr="000D3432" w:rsidRDefault="001925CE" w:rsidP="00A95498">
      <w:pPr>
        <w:jc w:val="both"/>
        <w:rPr>
          <w:rFonts w:asciiTheme="minorHAnsi" w:hAnsiTheme="minorHAnsi"/>
          <w:b/>
          <w:szCs w:val="24"/>
        </w:rPr>
      </w:pPr>
    </w:p>
    <w:p w14:paraId="425ACB2D" w14:textId="77777777" w:rsidR="001925CE" w:rsidRPr="000D3432" w:rsidRDefault="001925CE" w:rsidP="00A95498">
      <w:pPr>
        <w:jc w:val="center"/>
        <w:rPr>
          <w:rFonts w:asciiTheme="minorHAnsi" w:hAnsiTheme="minorHAnsi"/>
          <w:b/>
          <w:szCs w:val="24"/>
          <w:u w:val="single"/>
        </w:rPr>
      </w:pPr>
    </w:p>
    <w:p w14:paraId="30314F65"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u w:val="single"/>
        </w:rPr>
        <w:t>CAPÍTULO VIII</w:t>
      </w:r>
    </w:p>
    <w:p w14:paraId="5826BBB5" w14:textId="04580C0E" w:rsidR="001925CE" w:rsidRPr="000D3432" w:rsidRDefault="001925CE" w:rsidP="00F95A20">
      <w:pPr>
        <w:jc w:val="center"/>
        <w:rPr>
          <w:rFonts w:asciiTheme="minorHAnsi" w:hAnsiTheme="minorHAnsi"/>
          <w:b/>
          <w:szCs w:val="24"/>
        </w:rPr>
      </w:pPr>
      <w:r w:rsidRPr="000D3432">
        <w:rPr>
          <w:rFonts w:asciiTheme="minorHAnsi" w:hAnsiTheme="minorHAnsi"/>
          <w:b/>
          <w:szCs w:val="24"/>
        </w:rPr>
        <w:t>DERECHO Y DROGAS</w:t>
      </w:r>
    </w:p>
    <w:p w14:paraId="60FC018B" w14:textId="77777777" w:rsidR="001925CE" w:rsidRPr="000D3432" w:rsidRDefault="001925CE" w:rsidP="00F95A20">
      <w:pPr>
        <w:jc w:val="center"/>
        <w:rPr>
          <w:rFonts w:asciiTheme="minorHAnsi" w:hAnsiTheme="minorHAnsi"/>
          <w:b/>
          <w:szCs w:val="24"/>
        </w:rPr>
      </w:pPr>
      <w:r w:rsidRPr="000D3432">
        <w:rPr>
          <w:rFonts w:asciiTheme="minorHAnsi" w:hAnsiTheme="minorHAnsi"/>
          <w:b/>
          <w:szCs w:val="24"/>
        </w:rPr>
        <w:t>EL ALMUERZO DESNUDO</w:t>
      </w:r>
    </w:p>
    <w:p w14:paraId="3ED415D3" w14:textId="77777777" w:rsidR="001925CE" w:rsidRPr="000D3432" w:rsidRDefault="001925CE" w:rsidP="00F95A20">
      <w:pPr>
        <w:jc w:val="center"/>
        <w:rPr>
          <w:rFonts w:asciiTheme="minorHAnsi" w:hAnsiTheme="minorHAnsi"/>
          <w:szCs w:val="24"/>
        </w:rPr>
      </w:pPr>
      <w:r w:rsidRPr="000D3432">
        <w:rPr>
          <w:rFonts w:asciiTheme="minorHAnsi" w:hAnsiTheme="minorHAnsi"/>
          <w:szCs w:val="24"/>
        </w:rPr>
        <w:t>( Mercado, Derecho y Drogadicción)</w:t>
      </w:r>
    </w:p>
    <w:p w14:paraId="695621CE" w14:textId="77777777" w:rsidR="001925CE" w:rsidRPr="000D3432" w:rsidRDefault="001925CE" w:rsidP="00A95498">
      <w:pPr>
        <w:jc w:val="right"/>
        <w:rPr>
          <w:rFonts w:asciiTheme="minorHAnsi" w:hAnsiTheme="minorHAnsi"/>
          <w:b/>
          <w:szCs w:val="24"/>
        </w:rPr>
      </w:pPr>
    </w:p>
    <w:p w14:paraId="285BDA18" w14:textId="77777777" w:rsidR="001925CE" w:rsidRPr="000D3432" w:rsidRDefault="001925CE" w:rsidP="00A95498">
      <w:pPr>
        <w:jc w:val="both"/>
        <w:rPr>
          <w:rFonts w:asciiTheme="minorHAnsi" w:hAnsiTheme="minorHAnsi"/>
          <w:b/>
          <w:szCs w:val="24"/>
        </w:rPr>
      </w:pPr>
      <w:r w:rsidRPr="000D3432">
        <w:rPr>
          <w:rFonts w:asciiTheme="minorHAnsi" w:hAnsiTheme="minorHAnsi"/>
          <w:szCs w:val="24"/>
        </w:rPr>
        <w:tab/>
        <w:t xml:space="preserve">De las drogas se ha dicho mucho, pero casi todo desde la perspectiva del tabú, del dogma; como un “odio y terror codificado” por la sociedad”, como un mal </w:t>
      </w:r>
      <w:r w:rsidRPr="000D3432">
        <w:rPr>
          <w:rFonts w:asciiTheme="minorHAnsi" w:hAnsiTheme="minorHAnsi"/>
          <w:i/>
          <w:szCs w:val="24"/>
        </w:rPr>
        <w:t>a priori</w:t>
      </w:r>
      <w:r w:rsidRPr="000D3432">
        <w:rPr>
          <w:rFonts w:asciiTheme="minorHAnsi" w:hAnsiTheme="minorHAnsi"/>
          <w:szCs w:val="24"/>
        </w:rPr>
        <w:t>. Desde esa perspectiva, lo único que se intenta es “solucionar” ese “problema”, sin lograrlo nunca. Lo que pasa es que se ha tratado el asunto desde ejes equívocos; como por ejemplo la psicología, la sociológía, la moral, la política, el Derecho, etc. El fenómeno, si bien puede ser estudiado por todas estas disciplinas, es más un fenómeno económico, de mercado. Para explicar esto, haremos unas primeras disgresiones.</w:t>
      </w:r>
    </w:p>
    <w:p w14:paraId="66CA80AA" w14:textId="77777777" w:rsidR="001925CE" w:rsidRPr="000D3432" w:rsidRDefault="001925CE" w:rsidP="00A95498">
      <w:pPr>
        <w:jc w:val="center"/>
        <w:rPr>
          <w:rFonts w:asciiTheme="minorHAnsi" w:hAnsiTheme="minorHAnsi"/>
          <w:b/>
          <w:szCs w:val="24"/>
        </w:rPr>
      </w:pPr>
    </w:p>
    <w:p w14:paraId="01B6F193"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En 1984, el gran escritor y filósofo español, Fernando Savater, escribía en el periódico “El País”, de España, un escandaloso, valiente y hereje artículo sobre las drogas, al cual denominó: “</w:t>
      </w:r>
      <w:r w:rsidRPr="000D3432">
        <w:rPr>
          <w:rFonts w:asciiTheme="minorHAnsi" w:hAnsiTheme="minorHAnsi"/>
          <w:i/>
          <w:szCs w:val="24"/>
        </w:rPr>
        <w:t>La invención del drogadicto</w:t>
      </w:r>
      <w:r w:rsidRPr="000D3432">
        <w:rPr>
          <w:rFonts w:asciiTheme="minorHAnsi" w:hAnsiTheme="minorHAnsi"/>
          <w:szCs w:val="24"/>
        </w:rPr>
        <w:t xml:space="preserve">”. </w:t>
      </w:r>
    </w:p>
    <w:p w14:paraId="625E3286"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El título nos sugiere ya una primera conclusión: el drogadicto ha sido un invento, un invento humano y social. ¿Cómo pues ha sido inventado este drogadicto? Savater afirma, con los pantalones bien puestos, que quien lo ha creado es “el control social”, y -ojo, pestaña y ceja-, el mercado. Así, no hay drogadicto si no hay determinación de él. Por eso el concepto de drogadicto ha tenido que ser definido por el derecho y por la medicina. Para el primero es un sinónimo de delincuente, y para el segundo un sinónimo de enfermo. Sin embargo, hay otra disciplina un poco más aberrante, más incisiva y menos discreta, que interviene en su creación, evolución y supervivencia: el mercado. Por eso Savater en su discurso parece afirmar que “el drogadicto” es una “alucinante creación del mercado”; y que la existencia, producción y comercialización de la droga, se debe, por lo tanto, a la demanda, que, como todos saben, es un elemento del mercado. Demanda que crea la necesidad de la oferta, con lo que se reúnen todos los elementos del mercado: demanda y oferta. El plato del día es la droga; pero sólo porque hay quien necesita de ella. Y el mercado sabiendo esto genera todo un mecanismo de redistribución. </w:t>
      </w:r>
    </w:p>
    <w:p w14:paraId="52C51945" w14:textId="77777777" w:rsidR="001925CE" w:rsidRPr="000D3432" w:rsidRDefault="001925CE" w:rsidP="00A95498">
      <w:pPr>
        <w:jc w:val="both"/>
        <w:rPr>
          <w:rFonts w:asciiTheme="minorHAnsi" w:hAnsiTheme="minorHAnsi"/>
          <w:szCs w:val="24"/>
        </w:rPr>
      </w:pPr>
    </w:p>
    <w:p w14:paraId="6E674DB2"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Ahora bien, la existencia de demanda implica la existencia de drogadictos, en plural, y por lo tanto social; así se supone que la existencia de droga y de drogadictos es un precedente de cierta descomposición del cuerpo social, como por ejemplo, de la seguridad social, del orden y paz social, del bien común, etc. Y bueno, puesto que la existencia de drogadictos implica un fenómeno social, y por lo tanto público, sería el Estado el encargado de lograr la </w:t>
      </w:r>
      <w:r w:rsidRPr="000D3432">
        <w:rPr>
          <w:rFonts w:asciiTheme="minorHAnsi" w:hAnsiTheme="minorHAnsi"/>
          <w:szCs w:val="24"/>
        </w:rPr>
        <w:lastRenderedPageBreak/>
        <w:t>normalización del cuerpo social. El Estado, entonces, tendría que intervenir para impedir ese mercado ilícito nocivo (tráfico Ilícito de drogas). Vemos allí una primera contradicción entre el Estado y el Mercado. La fundamentación y disputa del fenómeno social de la drogadicción se replantea desde un  nuevo terreno: la lucha entre la libertad de mercado (demanda y oferta) y la salud pública (encargada al Estado garantizarla).</w:t>
      </w:r>
    </w:p>
    <w:p w14:paraId="0C1C9982" w14:textId="77777777" w:rsidR="001925CE" w:rsidRPr="000D3432" w:rsidRDefault="001925CE" w:rsidP="00A95498">
      <w:pPr>
        <w:jc w:val="both"/>
        <w:rPr>
          <w:rFonts w:asciiTheme="minorHAnsi" w:hAnsiTheme="minorHAnsi"/>
          <w:szCs w:val="24"/>
        </w:rPr>
      </w:pPr>
    </w:p>
    <w:p w14:paraId="4039BCCF" w14:textId="77777777" w:rsidR="001925CE" w:rsidRPr="000D3432" w:rsidRDefault="001925CE" w:rsidP="00A95498">
      <w:pPr>
        <w:ind w:firstLine="708"/>
        <w:jc w:val="both"/>
        <w:rPr>
          <w:rFonts w:asciiTheme="minorHAnsi" w:hAnsiTheme="minorHAnsi"/>
          <w:smallCaps/>
          <w:szCs w:val="24"/>
        </w:rPr>
      </w:pPr>
      <w:r w:rsidRPr="000D3432">
        <w:rPr>
          <w:rFonts w:asciiTheme="minorHAnsi" w:hAnsiTheme="minorHAnsi"/>
          <w:szCs w:val="24"/>
        </w:rPr>
        <w:t xml:space="preserve">Como ven, el fenómeno inicial de la drogadicción, drogadictos y droga es fundamentalmente un asunto económico, fenómeno, entonces, que se halla inserto en aquel fascinante y poco comprensible </w:t>
      </w:r>
      <w:r w:rsidRPr="000D3432">
        <w:rPr>
          <w:rFonts w:asciiTheme="minorHAnsi" w:hAnsiTheme="minorHAnsi"/>
          <w:smallCaps/>
          <w:szCs w:val="24"/>
        </w:rPr>
        <w:t>mercado.</w:t>
      </w:r>
    </w:p>
    <w:p w14:paraId="020D2DF7" w14:textId="77777777" w:rsidR="001925CE" w:rsidRPr="000D3432" w:rsidRDefault="001925CE" w:rsidP="00A95498">
      <w:pPr>
        <w:jc w:val="both"/>
        <w:rPr>
          <w:rFonts w:asciiTheme="minorHAnsi" w:hAnsiTheme="minorHAnsi"/>
          <w:szCs w:val="24"/>
        </w:rPr>
      </w:pPr>
    </w:p>
    <w:p w14:paraId="4EA90B43"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Sin embargo cuando interviene el Estado para regular este mercado -por cuestiones de salud pública, de bienestar común-, entra en juego y en operación un arma fundamental, de las más fuertes y curiosas que el hombre haya creado en su vida: </w:t>
      </w:r>
      <w:r w:rsidRPr="000D3432">
        <w:rPr>
          <w:rFonts w:asciiTheme="minorHAnsi" w:hAnsiTheme="minorHAnsi"/>
          <w:smallCaps/>
          <w:szCs w:val="24"/>
        </w:rPr>
        <w:t>el derecho</w:t>
      </w:r>
      <w:r w:rsidRPr="000D3432">
        <w:rPr>
          <w:rFonts w:asciiTheme="minorHAnsi" w:hAnsiTheme="minorHAnsi"/>
          <w:szCs w:val="24"/>
        </w:rPr>
        <w:t>. Así, el Estado traslada el asunto al Derecho (se la pasa de “taquito”). Entonces el problema se reformula: ¿se trataría de una lucha del derecho contra el mercado? ¿sería sólo un fenómeno económico en el que, debido a sus “consecuencias”,  tendría que entrar el Derecho?  El Derecho, como saben es una respuesta a un fenómeno social, es un intento, a veces desesperado, por llevar la vida en paz, en armonía, en tranquilidad y seguridad, por legitimar los actos de los seres humanos en interacción, en relación, que permita la coexistencia o posibilidad de convivir.</w:t>
      </w:r>
    </w:p>
    <w:p w14:paraId="4621DB77" w14:textId="77777777" w:rsidR="001925CE" w:rsidRPr="000D3432" w:rsidRDefault="001925CE" w:rsidP="00A95498">
      <w:pPr>
        <w:jc w:val="both"/>
        <w:rPr>
          <w:rFonts w:asciiTheme="minorHAnsi" w:hAnsiTheme="minorHAnsi"/>
          <w:szCs w:val="24"/>
        </w:rPr>
      </w:pPr>
    </w:p>
    <w:p w14:paraId="1BED31B5"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Pues bien, ¿El Derecho en lucha contra el mercado, y no contra el drogadicto o el comerciante, sería el eje central de este fenómeno social: la drogadicción y la consecuente tipificación del Tráfico ilícito de drogas? El eje, al parecer, del problema “drogadicción” es el mercado.</w:t>
      </w:r>
    </w:p>
    <w:p w14:paraId="7598BF8C"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La economía es descriptiva (describe al hombre, los fundamentos de sus intereses), mientras que el Derecho es prescriptivo (determina cómo debe ser el hombre)</w:t>
      </w:r>
    </w:p>
    <w:p w14:paraId="7FF9530B" w14:textId="77777777" w:rsidR="001925CE" w:rsidRPr="000D3432" w:rsidRDefault="001925CE" w:rsidP="00A95498">
      <w:pPr>
        <w:jc w:val="both"/>
        <w:rPr>
          <w:rFonts w:asciiTheme="minorHAnsi" w:hAnsiTheme="minorHAnsi"/>
          <w:szCs w:val="24"/>
        </w:rPr>
      </w:pPr>
    </w:p>
    <w:p w14:paraId="1AF3D07F"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Esa idea, de que es el Mercado el fenómeno “eje” a entender para solucionar el problema de la drogadicción es planteada por otro gran escritor, de la generación de los beat: William Burroughs, en un libro muy sugestivo: “</w:t>
      </w:r>
      <w:r w:rsidRPr="000D3432">
        <w:rPr>
          <w:rFonts w:asciiTheme="minorHAnsi" w:hAnsiTheme="minorHAnsi"/>
          <w:i/>
          <w:szCs w:val="24"/>
        </w:rPr>
        <w:t>El almuerzo desnudo</w:t>
      </w:r>
      <w:r w:rsidRPr="000D3432">
        <w:rPr>
          <w:rFonts w:asciiTheme="minorHAnsi" w:hAnsiTheme="minorHAnsi"/>
          <w:szCs w:val="24"/>
        </w:rPr>
        <w:t xml:space="preserve">”. En el William Borroughsg aplasta el concepto de mercado que sobre la calidad total se ha esparcido actualmente. Eso significa que no es mejorando la “calidad” del producto lo que provoca la demanda, sino introduciendo en la mente la “necesidad”, necesidad que no es sólo mental, sino además física. Esta pauta parece encajar perfectamente en un producto: la droga. </w:t>
      </w:r>
    </w:p>
    <w:p w14:paraId="16926996" w14:textId="77777777" w:rsidR="001925CE" w:rsidRPr="000D3432" w:rsidRDefault="001925CE" w:rsidP="00A95498">
      <w:pPr>
        <w:jc w:val="both"/>
        <w:rPr>
          <w:rFonts w:asciiTheme="minorHAnsi" w:hAnsiTheme="minorHAnsi"/>
          <w:szCs w:val="24"/>
        </w:rPr>
      </w:pPr>
    </w:p>
    <w:p w14:paraId="09E963F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 xml:space="preserve">Burroughs aclara por qué el título de su libro: el almuerzo desnudo, dice, es ese momento congelado en el cual nos llevamos el almuerzo a la boca, allí se congela todo, y en un instante terrible  somos conscientes de qué nos llevamos a la boca; observamos qué estamos consumiendo. Conciencia de nuestro propio acto de consumir. Allí en ese instante congelado, sabemos, por fin, qué consumimos. Así, pues, preguntamos: ¿alguna vez alguien ha tenido un almuerzo desnudo? Alguien se ha atrevido a ver que hay más allá del simple </w:t>
      </w:r>
      <w:r w:rsidRPr="000D3432">
        <w:rPr>
          <w:rFonts w:asciiTheme="minorHAnsi" w:hAnsiTheme="minorHAnsi"/>
          <w:szCs w:val="24"/>
        </w:rPr>
        <w:lastRenderedPageBreak/>
        <w:t xml:space="preserve">volumen y materia consumida. </w:t>
      </w:r>
    </w:p>
    <w:p w14:paraId="59AD4868"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Consumir droga no es consumir cualquier cosa, es mucho más. ¿Entra en ello cierta cosmovisión del mundo, cierta necesidad de salir del hastío, o de escapar a la pobreza, tal vez?. Sea como sea, cuando se consume droga no se realiza un acto simple y llano, sino procaz y pérfidamente consciente. Es una búsqueda de algo más. Es como intentar ver a Dios.</w:t>
      </w:r>
    </w:p>
    <w:p w14:paraId="67BFAEC5" w14:textId="77777777" w:rsidR="001925CE" w:rsidRPr="000D3432" w:rsidRDefault="001925CE" w:rsidP="00A95498">
      <w:pPr>
        <w:jc w:val="both"/>
        <w:rPr>
          <w:rFonts w:asciiTheme="minorHAnsi" w:hAnsiTheme="minorHAnsi"/>
          <w:szCs w:val="24"/>
        </w:rPr>
      </w:pPr>
    </w:p>
    <w:p w14:paraId="3FA0B879"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Derecho y Drogas (Acto Segundo)</w:t>
      </w:r>
    </w:p>
    <w:p w14:paraId="13D1CBEE" w14:textId="77777777" w:rsidR="001925CE" w:rsidRPr="000D3432" w:rsidRDefault="001925CE" w:rsidP="00A95498">
      <w:pPr>
        <w:jc w:val="both"/>
        <w:rPr>
          <w:rFonts w:asciiTheme="minorHAnsi" w:hAnsiTheme="minorHAnsi"/>
          <w:szCs w:val="24"/>
        </w:rPr>
      </w:pPr>
    </w:p>
    <w:p w14:paraId="7289385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Hablar sobre el tráfico ilícito de drogas, es siempre un asunto muy complejo, porque se propone como un tema aún en debate. A pesar que hoy existe cierto consenso, al menos formal, de que el tráfico es nocivo o dañino para la sociedad.</w:t>
      </w:r>
    </w:p>
    <w:p w14:paraId="15440587" w14:textId="77777777" w:rsidR="001925CE" w:rsidRPr="000D3432" w:rsidRDefault="001925CE" w:rsidP="00A95498">
      <w:pPr>
        <w:jc w:val="both"/>
        <w:rPr>
          <w:rFonts w:asciiTheme="minorHAnsi" w:hAnsiTheme="minorHAnsi"/>
          <w:szCs w:val="24"/>
        </w:rPr>
      </w:pPr>
    </w:p>
    <w:p w14:paraId="6D94D94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Pero el asunto no termina allí, porque existe una especie de contradicción entre el mundo del derecho, el mundo que quiere formar el derecho, y el  mundo que propone el mercado.</w:t>
      </w:r>
    </w:p>
    <w:p w14:paraId="0260F681" w14:textId="77777777" w:rsidR="001925CE" w:rsidRPr="000D3432" w:rsidRDefault="001925CE" w:rsidP="00A95498">
      <w:pPr>
        <w:jc w:val="both"/>
        <w:rPr>
          <w:rFonts w:asciiTheme="minorHAnsi" w:hAnsiTheme="minorHAnsi"/>
          <w:szCs w:val="24"/>
        </w:rPr>
      </w:pPr>
    </w:p>
    <w:p w14:paraId="5CDD67D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asunto, entonces, se puede ver desde dos perspectivas:</w:t>
      </w:r>
    </w:p>
    <w:p w14:paraId="34E566B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1. La primera sería la del DERECHO </w:t>
      </w:r>
    </w:p>
    <w:p w14:paraId="5FA17EF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2. Una segunda perspectiva es la del MERCADO</w:t>
      </w:r>
    </w:p>
    <w:p w14:paraId="5191EFA7" w14:textId="77777777" w:rsidR="001925CE" w:rsidRPr="000D3432" w:rsidRDefault="001925CE" w:rsidP="00A95498">
      <w:pPr>
        <w:jc w:val="both"/>
        <w:rPr>
          <w:rFonts w:asciiTheme="minorHAnsi" w:hAnsiTheme="minorHAnsi"/>
          <w:szCs w:val="24"/>
        </w:rPr>
      </w:pPr>
    </w:p>
    <w:p w14:paraId="66A3AC8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La ecuación podría plantearse así: </w:t>
      </w:r>
    </w:p>
    <w:p w14:paraId="301EFFED" w14:textId="77777777" w:rsidR="001925CE" w:rsidRPr="000D3432" w:rsidRDefault="001925CE" w:rsidP="00A95498">
      <w:pPr>
        <w:jc w:val="both"/>
        <w:rPr>
          <w:rFonts w:asciiTheme="minorHAnsi" w:hAnsiTheme="minorHAnsi"/>
          <w:szCs w:val="24"/>
        </w:rPr>
      </w:pPr>
    </w:p>
    <w:p w14:paraId="304D001D"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DERECHO vs. ECONOMÍA = si categorizamos el asunto desde las disciplinas. </w:t>
      </w:r>
    </w:p>
    <w:p w14:paraId="150A2A4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O podemos decir que existe más bien un conflicto entre el</w:t>
      </w:r>
    </w:p>
    <w:p w14:paraId="4204EC8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ESTADO vs. El MERCADO =  si entidades o instituciones</w:t>
      </w:r>
    </w:p>
    <w:p w14:paraId="51F24E0E" w14:textId="77777777" w:rsidR="001925CE" w:rsidRPr="000D3432" w:rsidRDefault="001925CE" w:rsidP="00A95498">
      <w:pPr>
        <w:jc w:val="both"/>
        <w:rPr>
          <w:rFonts w:asciiTheme="minorHAnsi" w:hAnsiTheme="minorHAnsi"/>
          <w:szCs w:val="24"/>
        </w:rPr>
      </w:pPr>
    </w:p>
    <w:p w14:paraId="57A9619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1.- Pues bien, el derecho es la cara formal del mundo, es un deber ser, es la presentación del hombre frente a la sociedad. Este lado dice: combatamos el tráfico ilícito de drogas, porque es perjudicial al ser humano, puesto que sus efectos son nocivos, produce desorganización social, e inestabilidad jurídica. El Derecho tiene que asumir, luego, su fin esencial: es decir, organizar o posibilitar el orden de la sociedad, para lograr la coexistencia pacífica, ordenada y segura del ser humano en sociedad.</w:t>
      </w:r>
    </w:p>
    <w:p w14:paraId="18113339" w14:textId="77777777" w:rsidR="001925CE" w:rsidRPr="000D3432" w:rsidRDefault="001925CE" w:rsidP="00A95498">
      <w:pPr>
        <w:jc w:val="both"/>
        <w:rPr>
          <w:rFonts w:asciiTheme="minorHAnsi" w:hAnsiTheme="minorHAnsi"/>
          <w:szCs w:val="24"/>
        </w:rPr>
      </w:pPr>
    </w:p>
    <w:p w14:paraId="66E6DDF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2, La otra perspectiva, es la del Mercado, en el que los hombres se descubren por sí mismos y actúan en referencia a sus necesidades y gustos, no es un deber (como el derecho) ser sino un ser. </w:t>
      </w:r>
    </w:p>
    <w:p w14:paraId="41DEE2F0" w14:textId="77777777" w:rsidR="001925CE" w:rsidRPr="000D3432" w:rsidRDefault="001925CE" w:rsidP="00A95498">
      <w:pPr>
        <w:jc w:val="both"/>
        <w:rPr>
          <w:rFonts w:asciiTheme="minorHAnsi" w:hAnsiTheme="minorHAnsi"/>
          <w:szCs w:val="24"/>
        </w:rPr>
      </w:pPr>
    </w:p>
    <w:p w14:paraId="1EB4FB9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ser humano es,  por ello, precisamente aquel que comercializa, compra, consume droga, pero no cualquier droga, sino justamente la prohibida, la ilícita, la que al decir de la cara formal del derecho y de la política produce el desorden social, la inseguridad jurídica.</w:t>
      </w:r>
    </w:p>
    <w:p w14:paraId="202480A3" w14:textId="77777777" w:rsidR="001925CE" w:rsidRPr="000D3432" w:rsidRDefault="001925CE" w:rsidP="00A95498">
      <w:pPr>
        <w:jc w:val="both"/>
        <w:rPr>
          <w:rFonts w:asciiTheme="minorHAnsi" w:hAnsiTheme="minorHAnsi"/>
          <w:szCs w:val="24"/>
        </w:rPr>
      </w:pPr>
    </w:p>
    <w:p w14:paraId="3367AA3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Existe pues en el mercado relaciones transaccionales, demanda y oferta, y en el medio el tráfico o comercio. </w:t>
      </w:r>
    </w:p>
    <w:p w14:paraId="2AF9878D" w14:textId="77777777" w:rsidR="001925CE" w:rsidRPr="000D3432" w:rsidRDefault="001925CE" w:rsidP="00A95498">
      <w:pPr>
        <w:jc w:val="both"/>
        <w:rPr>
          <w:rFonts w:asciiTheme="minorHAnsi" w:hAnsiTheme="minorHAnsi"/>
          <w:szCs w:val="24"/>
        </w:rPr>
      </w:pPr>
    </w:p>
    <w:p w14:paraId="41D1ECF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Pero el mercado, no es simplemente esas relaciones contractuales de compra </w:t>
      </w:r>
      <w:r w:rsidRPr="000D3432">
        <w:rPr>
          <w:rFonts w:asciiTheme="minorHAnsi" w:hAnsiTheme="minorHAnsi"/>
          <w:szCs w:val="24"/>
        </w:rPr>
        <w:lastRenderedPageBreak/>
        <w:t>venta, esas transacciones comerciales de cambio, donde la oferta y demanda funcionan con independencia de la determinación del Estado. Sino, como dijera Robert l. Heibroner:“…el mercado no es exactamente un medio de intercambiar productos; es un mecanismo que permite aprovisionar y mantener a la sociedad entera.”.</w:t>
      </w:r>
    </w:p>
    <w:p w14:paraId="2D7C70CF" w14:textId="77777777" w:rsidR="001925CE" w:rsidRPr="000D3432" w:rsidRDefault="001925CE" w:rsidP="00A95498">
      <w:pPr>
        <w:jc w:val="both"/>
        <w:rPr>
          <w:rFonts w:asciiTheme="minorHAnsi" w:hAnsiTheme="minorHAnsi"/>
          <w:szCs w:val="24"/>
        </w:rPr>
      </w:pPr>
    </w:p>
    <w:p w14:paraId="1A008E1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Se está hablando ya no de simples transacciones comerciales, sino de posibilitar la existencia del ser humano. El mercado, en este sentido, posibilita la existencia o supervivencia del ser humano.</w:t>
      </w:r>
    </w:p>
    <w:p w14:paraId="2256E5FD" w14:textId="77777777" w:rsidR="001925CE" w:rsidRPr="000D3432" w:rsidRDefault="001925CE" w:rsidP="00A95498">
      <w:pPr>
        <w:jc w:val="both"/>
        <w:rPr>
          <w:rFonts w:asciiTheme="minorHAnsi" w:hAnsiTheme="minorHAnsi"/>
          <w:szCs w:val="24"/>
        </w:rPr>
      </w:pPr>
    </w:p>
    <w:p w14:paraId="7AC1DD2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mercado logra, o pretende lograr la satisfacción de las necesidades de la sociedad, para su supervivencia, y por lo tanto posibilita su capacidad de vida, su perpetuación existencial.</w:t>
      </w:r>
    </w:p>
    <w:p w14:paraId="7A4DC428" w14:textId="77777777" w:rsidR="001925CE" w:rsidRPr="000D3432" w:rsidRDefault="001925CE" w:rsidP="00A95498">
      <w:pPr>
        <w:jc w:val="both"/>
        <w:rPr>
          <w:rFonts w:asciiTheme="minorHAnsi" w:hAnsiTheme="minorHAnsi"/>
          <w:szCs w:val="24"/>
        </w:rPr>
      </w:pPr>
    </w:p>
    <w:p w14:paraId="146B2C2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Es más, la existencia del mercado posibilita o permite un fenómeno fundamental: independiza al ser humano, lo hace dueño de su propio destino, lo hace pensar, evaluar, categorizar, organizarse y dar validez, por propia cuenta, a sus pretensiones; califica pues su pretensión, decide y actúa. En esa óptica el mercado cumple una función no sólo importante sino determinante del desarrollo social; hacer a los hombres conscientes y creadores de su propio destino.</w:t>
      </w:r>
    </w:p>
    <w:p w14:paraId="6E89336C" w14:textId="77777777" w:rsidR="001925CE" w:rsidRPr="000D3432" w:rsidRDefault="001925CE" w:rsidP="00A95498">
      <w:pPr>
        <w:jc w:val="both"/>
        <w:rPr>
          <w:rFonts w:asciiTheme="minorHAnsi" w:hAnsiTheme="minorHAnsi"/>
          <w:szCs w:val="24"/>
        </w:rPr>
      </w:pPr>
    </w:p>
    <w:p w14:paraId="2086A7F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¿Pero el tráfico podrá desarrollar esta posibilidad de independencia? Parece que no. Porque el ser humano no puede siempre darse cuenta de lo que le hace bien, es más puede llegar a ser, muchas veces sin quererlo, un decadent “un hombre que elige los medios de consumo que le perjudican.</w:t>
      </w:r>
    </w:p>
    <w:p w14:paraId="68E6F178" w14:textId="77777777" w:rsidR="001925CE" w:rsidRPr="000D3432" w:rsidRDefault="001925CE" w:rsidP="00A95498">
      <w:pPr>
        <w:jc w:val="both"/>
        <w:rPr>
          <w:rFonts w:asciiTheme="minorHAnsi" w:hAnsiTheme="minorHAnsi"/>
          <w:szCs w:val="24"/>
        </w:rPr>
      </w:pPr>
    </w:p>
    <w:p w14:paraId="7ECA65A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Y es en esa medida que entra en operación el derecho. Pues descubre el otro lado del ser humano: su imposibilidad de resistirse a las tentaciones, a descubrir mundos que tal vez, desconocidos por la formalidad, hacen más dinámica y logran lo que la sociedad, en su constitución formal no logra, hacerlos sentir vivos, llenos de emociones, pero emociones que no necesariamente son benéficas. </w:t>
      </w:r>
    </w:p>
    <w:p w14:paraId="35AAA870" w14:textId="77777777" w:rsidR="001925CE" w:rsidRPr="000D3432" w:rsidRDefault="001925CE" w:rsidP="00A95498">
      <w:pPr>
        <w:jc w:val="both"/>
        <w:rPr>
          <w:rFonts w:asciiTheme="minorHAnsi" w:hAnsiTheme="minorHAnsi"/>
          <w:szCs w:val="24"/>
        </w:rPr>
      </w:pPr>
    </w:p>
    <w:p w14:paraId="6F0C926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Esta pues planteada la lucha entre el Derecho contra el Mercado. Lucha por la monopolización del poder, o por la conquista de la impunidad.</w:t>
      </w:r>
    </w:p>
    <w:p w14:paraId="5059385B" w14:textId="77777777" w:rsidR="001925CE" w:rsidRPr="000D3432" w:rsidRDefault="001925CE" w:rsidP="00A95498">
      <w:pPr>
        <w:jc w:val="both"/>
        <w:rPr>
          <w:rFonts w:asciiTheme="minorHAnsi" w:hAnsiTheme="minorHAnsi"/>
          <w:szCs w:val="24"/>
        </w:rPr>
      </w:pPr>
    </w:p>
    <w:p w14:paraId="09D3EB1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Porque el mercado no se somete, necesariamente a las jerarquías creadas por el Estado, sino que lo trasgrede, porque no lo toma en cuenta como ente superior por el cual dirigir su operatividad, es más toma al Estado muchas veces como un obstáculo; pero muchas veces también lo toma sólo como referente o índice de comercialización, pero nunca como ente superior.</w:t>
      </w:r>
    </w:p>
    <w:p w14:paraId="21EE26F3" w14:textId="77777777" w:rsidR="001925CE" w:rsidRPr="000D3432" w:rsidRDefault="001925CE" w:rsidP="00A95498">
      <w:pPr>
        <w:jc w:val="both"/>
        <w:rPr>
          <w:rFonts w:asciiTheme="minorHAnsi" w:hAnsiTheme="minorHAnsi"/>
          <w:szCs w:val="24"/>
        </w:rPr>
      </w:pPr>
    </w:p>
    <w:p w14:paraId="4858F31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Pero, sea como sea, el Derecho y el Mercado, buscan ambos el monopolio del poder. </w:t>
      </w:r>
    </w:p>
    <w:p w14:paraId="1772D01D" w14:textId="77777777" w:rsidR="001925CE" w:rsidRPr="000D3432" w:rsidRDefault="001925CE" w:rsidP="00A95498">
      <w:pPr>
        <w:jc w:val="both"/>
        <w:rPr>
          <w:rFonts w:asciiTheme="minorHAnsi" w:hAnsiTheme="minorHAnsi"/>
          <w:szCs w:val="24"/>
        </w:rPr>
      </w:pPr>
    </w:p>
    <w:p w14:paraId="2AA6ADB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Y mientras el mercado sustenta su existencia y ejercicio en el individuo, en la necesidad individual, el Derecho justifica y fundamenta su existencia y ejercicio </w:t>
      </w:r>
      <w:r w:rsidRPr="000D3432">
        <w:rPr>
          <w:rFonts w:asciiTheme="minorHAnsi" w:hAnsiTheme="minorHAnsi"/>
          <w:szCs w:val="24"/>
        </w:rPr>
        <w:lastRenderedPageBreak/>
        <w:t>en la sociedad.</w:t>
      </w:r>
    </w:p>
    <w:p w14:paraId="5762523D" w14:textId="77777777" w:rsidR="001925CE" w:rsidRPr="000D3432" w:rsidRDefault="001925CE" w:rsidP="00A95498">
      <w:pPr>
        <w:jc w:val="both"/>
        <w:rPr>
          <w:rFonts w:asciiTheme="minorHAnsi" w:hAnsiTheme="minorHAnsi"/>
          <w:szCs w:val="24"/>
        </w:rPr>
      </w:pPr>
    </w:p>
    <w:p w14:paraId="71F9E06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Como ven el asunto es muy complejo, y por eso dejo con Uds. hacer exploraciones sobre el tema, en mayor profundidad.</w:t>
      </w:r>
    </w:p>
    <w:p w14:paraId="1A238F84" w14:textId="77777777" w:rsidR="001925CE" w:rsidRPr="000D3432" w:rsidRDefault="001925CE" w:rsidP="00A95498">
      <w:pPr>
        <w:jc w:val="center"/>
        <w:rPr>
          <w:rFonts w:asciiTheme="minorHAnsi" w:hAnsiTheme="minorHAnsi"/>
          <w:b/>
          <w:szCs w:val="24"/>
        </w:rPr>
      </w:pPr>
    </w:p>
    <w:p w14:paraId="61456D3A" w14:textId="77777777" w:rsidR="001925CE" w:rsidRPr="000D3432" w:rsidRDefault="001925CE" w:rsidP="00A95498">
      <w:pPr>
        <w:jc w:val="center"/>
        <w:rPr>
          <w:rFonts w:asciiTheme="minorHAnsi" w:hAnsiTheme="minorHAnsi"/>
          <w:b/>
          <w:szCs w:val="24"/>
        </w:rPr>
      </w:pPr>
    </w:p>
    <w:p w14:paraId="3F7C45B4"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1D8AD8FE" w14:textId="77777777" w:rsidR="001925CE" w:rsidRPr="000D3432" w:rsidRDefault="001925CE" w:rsidP="00A95498">
      <w:pPr>
        <w:jc w:val="center"/>
        <w:rPr>
          <w:rFonts w:asciiTheme="minorHAnsi" w:hAnsiTheme="minorHAnsi"/>
          <w:b/>
          <w:szCs w:val="24"/>
        </w:rPr>
      </w:pPr>
    </w:p>
    <w:p w14:paraId="72B35080" w14:textId="77777777" w:rsidR="001925CE" w:rsidRPr="000D3432" w:rsidRDefault="001925CE" w:rsidP="00A95498">
      <w:pPr>
        <w:jc w:val="center"/>
        <w:rPr>
          <w:rFonts w:asciiTheme="minorHAnsi" w:hAnsiTheme="minorHAnsi"/>
          <w:b/>
          <w:szCs w:val="24"/>
        </w:rPr>
      </w:pPr>
    </w:p>
    <w:p w14:paraId="64244299" w14:textId="77777777" w:rsidR="001925CE" w:rsidRPr="000D3432" w:rsidRDefault="001925CE" w:rsidP="00A95498">
      <w:pPr>
        <w:jc w:val="center"/>
        <w:rPr>
          <w:rFonts w:asciiTheme="minorHAnsi" w:hAnsiTheme="minorHAnsi"/>
          <w:b/>
          <w:szCs w:val="24"/>
        </w:rPr>
      </w:pPr>
    </w:p>
    <w:p w14:paraId="639DFB1D" w14:textId="77777777" w:rsidR="001925CE" w:rsidRPr="000D3432" w:rsidRDefault="001925CE" w:rsidP="00F95A20">
      <w:pPr>
        <w:rPr>
          <w:rFonts w:asciiTheme="minorHAnsi" w:hAnsiTheme="minorHAnsi"/>
          <w:b/>
          <w:szCs w:val="24"/>
          <w:u w:val="single"/>
        </w:rPr>
      </w:pPr>
    </w:p>
    <w:p w14:paraId="3EB78005" w14:textId="77777777" w:rsidR="001925CE" w:rsidRPr="000D3432" w:rsidRDefault="001925CE" w:rsidP="00A95498">
      <w:pPr>
        <w:jc w:val="center"/>
        <w:rPr>
          <w:rFonts w:asciiTheme="minorHAnsi" w:hAnsiTheme="minorHAnsi"/>
          <w:b/>
          <w:szCs w:val="24"/>
          <w:u w:val="single"/>
        </w:rPr>
      </w:pPr>
    </w:p>
    <w:p w14:paraId="20B71CA8"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u w:val="single"/>
        </w:rPr>
        <w:t>CAPÍTULO IX</w:t>
      </w:r>
    </w:p>
    <w:p w14:paraId="2BD30E88"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DERECHO Y MEDIO AMBIENTE</w:t>
      </w:r>
    </w:p>
    <w:p w14:paraId="5AE14568" w14:textId="77777777" w:rsidR="001925CE" w:rsidRPr="000D3432" w:rsidRDefault="001925CE" w:rsidP="00A95498">
      <w:pPr>
        <w:jc w:val="center"/>
        <w:rPr>
          <w:rFonts w:asciiTheme="minorHAnsi" w:hAnsiTheme="minorHAnsi"/>
          <w:b/>
          <w:szCs w:val="24"/>
        </w:rPr>
      </w:pPr>
    </w:p>
    <w:p w14:paraId="0F3083FF" w14:textId="77777777" w:rsidR="001925CE" w:rsidRPr="000D3432" w:rsidRDefault="001925CE" w:rsidP="00A95498">
      <w:pPr>
        <w:jc w:val="center"/>
        <w:rPr>
          <w:rFonts w:asciiTheme="minorHAnsi" w:hAnsiTheme="minorHAnsi"/>
          <w:szCs w:val="24"/>
        </w:rPr>
      </w:pPr>
    </w:p>
    <w:p w14:paraId="53447F9D" w14:textId="77777777" w:rsidR="001925CE" w:rsidRPr="000D3432" w:rsidRDefault="001925CE" w:rsidP="00A95498">
      <w:pPr>
        <w:jc w:val="center"/>
        <w:rPr>
          <w:rFonts w:asciiTheme="minorHAnsi" w:hAnsiTheme="minorHAnsi"/>
          <w:szCs w:val="24"/>
        </w:rPr>
      </w:pPr>
    </w:p>
    <w:p w14:paraId="05E089CC" w14:textId="77777777" w:rsidR="001925CE" w:rsidRPr="000D3432" w:rsidRDefault="001925CE" w:rsidP="00A95498">
      <w:pPr>
        <w:jc w:val="center"/>
        <w:rPr>
          <w:rFonts w:asciiTheme="minorHAnsi" w:hAnsiTheme="minorHAnsi"/>
          <w:szCs w:val="24"/>
        </w:rPr>
      </w:pPr>
      <w:r w:rsidRPr="000D3432">
        <w:rPr>
          <w:rFonts w:asciiTheme="minorHAnsi" w:hAnsiTheme="minorHAnsi"/>
          <w:b/>
          <w:szCs w:val="24"/>
        </w:rPr>
        <w:t>EL MEDIO AMBIENTE QUE YO QUISIERA</w:t>
      </w:r>
    </w:p>
    <w:p w14:paraId="12130FD5" w14:textId="77777777" w:rsidR="001925CE" w:rsidRPr="000D3432" w:rsidRDefault="001925CE" w:rsidP="00A95498">
      <w:pPr>
        <w:jc w:val="center"/>
        <w:rPr>
          <w:rFonts w:asciiTheme="minorHAnsi" w:hAnsiTheme="minorHAnsi"/>
          <w:szCs w:val="24"/>
        </w:rPr>
      </w:pPr>
    </w:p>
    <w:p w14:paraId="0053251E" w14:textId="77777777" w:rsidR="001925CE" w:rsidRPr="000D3432" w:rsidRDefault="001925CE" w:rsidP="00A95498">
      <w:pPr>
        <w:jc w:val="both"/>
        <w:rPr>
          <w:rFonts w:asciiTheme="minorHAnsi" w:hAnsiTheme="minorHAnsi"/>
          <w:szCs w:val="24"/>
        </w:rPr>
      </w:pPr>
    </w:p>
    <w:p w14:paraId="10C38EF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Casi nadie se da cuenta que “hay un riesgo real para la vida” cuando abusamos de la naturaleza y la ensuciamos, o la descuidamos; y aunque existen ya comisiones e instituciones que se encargan y encaran el problema a través de la ecología y la protección del medio ambiente, no hay una real y clara percepción del “real riesgo para la vida”, al atentar contra la naturaleza y el medio ambiente.</w:t>
      </w:r>
    </w:p>
    <w:p w14:paraId="39518EBA" w14:textId="77777777" w:rsidR="001925CE" w:rsidRPr="000D3432" w:rsidRDefault="001925CE" w:rsidP="00A95498">
      <w:pPr>
        <w:jc w:val="both"/>
        <w:rPr>
          <w:rFonts w:asciiTheme="minorHAnsi" w:hAnsiTheme="minorHAnsi"/>
          <w:szCs w:val="24"/>
        </w:rPr>
      </w:pPr>
    </w:p>
    <w:p w14:paraId="08DD3F5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Lo más patético es que se trata de una especie de suicidio, pero colectivo, y el término no es exagerado, sino peligrosamente verídico, así que ningún esfuerzo por arreglar el asunto será en vano, y ni siquiera suficiente.</w:t>
      </w:r>
    </w:p>
    <w:p w14:paraId="2AD4648B" w14:textId="77777777" w:rsidR="001925CE" w:rsidRPr="000D3432" w:rsidRDefault="001925CE" w:rsidP="00A95498">
      <w:pPr>
        <w:jc w:val="both"/>
        <w:rPr>
          <w:rFonts w:asciiTheme="minorHAnsi" w:hAnsiTheme="minorHAnsi"/>
          <w:szCs w:val="24"/>
        </w:rPr>
      </w:pPr>
    </w:p>
    <w:p w14:paraId="3122043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dimensión del daño al medio ambiente es siempre humano, dañar el medio ambiente significa dañarnos a nosotros mismos. Y no es un simple dicho, porque si, por ejemplo, ensuciamos el aire, sucede luego que respiramos ese mismo aire que ensuciamos. El problema es que no logramos percibir esto porque nuestros sentidos son limitados, y por lo tanto no podemos darnos cuenta de la real dimensión del daño causado a nosotros mismos; así es que nuestros límites sensoriales impiden que veamos el aire que respiramos, así no podemos percibir si el aire  está sucio o no. Conclusión de la conducta: seguimos ensuciando el aire.</w:t>
      </w:r>
    </w:p>
    <w:p w14:paraId="01084BAF" w14:textId="77777777" w:rsidR="001925CE" w:rsidRPr="000D3432" w:rsidRDefault="001925CE" w:rsidP="00A95498">
      <w:pPr>
        <w:jc w:val="both"/>
        <w:rPr>
          <w:rFonts w:asciiTheme="minorHAnsi" w:hAnsiTheme="minorHAnsi"/>
          <w:szCs w:val="24"/>
        </w:rPr>
      </w:pPr>
    </w:p>
    <w:p w14:paraId="364C37A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problema es más grave cuando sabemos que incluso no es a través de la conciencia que lograremos protegernos de nosotros mismos, y de nuestros malos hábitos contaminantes, sino la necesidad, y ésta se tiene que presentar como apremiante, como ineludible, como primaria e impostergable. No para mañana, sino para hoy, debe ser el arreglo de la naturaleza, y la determinación de cuidar nuestro medio ambiente, puesto que “todo esfuerzo de conservación de la naturaleza es, en el fondo, un esfuerzo de autoconservación del hombre mismo”.</w:t>
      </w:r>
    </w:p>
    <w:p w14:paraId="25004C5A" w14:textId="77777777" w:rsidR="001925CE" w:rsidRPr="000D3432" w:rsidRDefault="001925CE" w:rsidP="00A95498">
      <w:pPr>
        <w:jc w:val="both"/>
        <w:rPr>
          <w:rFonts w:asciiTheme="minorHAnsi" w:hAnsiTheme="minorHAnsi"/>
          <w:szCs w:val="24"/>
        </w:rPr>
      </w:pPr>
    </w:p>
    <w:p w14:paraId="177DE49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Nos estamos olvidando de que la vida responde a una experiencia sistémica, que el hombre vive en el mundo y el mundo tiene al hombre en su seno, que en fin, el mundo y el hombre forman parte de un mismo sistema, que son un sistema llamado vida. Así si no hay mundo, o si no hay hombre no hay vida humana. “La ecología nos muestra que vivimos de manera interdependiente y que, aun en </w:t>
      </w:r>
      <w:r w:rsidRPr="000D3432">
        <w:rPr>
          <w:rFonts w:asciiTheme="minorHAnsi" w:hAnsiTheme="minorHAnsi"/>
          <w:szCs w:val="24"/>
        </w:rPr>
        <w:lastRenderedPageBreak/>
        <w:t>actos que parecen más individuales, hay una perspectiva sistémica insoslayable. Y el sistema no está formado únicamente por la sociedad humana, sino por el mundo como una totalidad: cada parte de la realidad, humana o no, recibe la influencia de las otras e influye sobre todas las demás.” explica Trazegnies. Y es esta constitución sistémica de la vida la que tenemos que percibir a riesgo de perder la vida, o de empeorarla.</w:t>
      </w:r>
    </w:p>
    <w:p w14:paraId="53B79B7F" w14:textId="77777777" w:rsidR="001925CE" w:rsidRPr="000D3432" w:rsidRDefault="001925CE" w:rsidP="00A95498">
      <w:pPr>
        <w:jc w:val="both"/>
        <w:rPr>
          <w:rFonts w:asciiTheme="minorHAnsi" w:hAnsiTheme="minorHAnsi"/>
          <w:szCs w:val="24"/>
        </w:rPr>
      </w:pPr>
    </w:p>
    <w:p w14:paraId="45D52FC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daño a la ecología se produce porque el hombre tiene la posibilidad de reinventar de alguna forma la naturaleza, de crear nuevas condiciones de vida, de mejorarla o de empeorarla. El ser humano otorga o crea cosas más allá de la naturaleza. </w:t>
      </w:r>
    </w:p>
    <w:p w14:paraId="1E96BA90" w14:textId="77777777" w:rsidR="001925CE" w:rsidRPr="000D3432" w:rsidRDefault="001925CE" w:rsidP="00A95498">
      <w:pPr>
        <w:jc w:val="both"/>
        <w:rPr>
          <w:rFonts w:asciiTheme="minorHAnsi" w:hAnsiTheme="minorHAnsi"/>
          <w:szCs w:val="24"/>
        </w:rPr>
      </w:pPr>
    </w:p>
    <w:p w14:paraId="177FF4E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Evitar el daño al medio ambiente y a la naturaleza es una fórmula que tenemos que adoptar imperativamente, para poder seguir viviendo, para lograr vivir.  Y eso es cierto aunque las limitaciones de nuestros sentidos no nos permitan observar aquello.</w:t>
      </w:r>
    </w:p>
    <w:p w14:paraId="22E37D3E"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p>
    <w:p w14:paraId="0C486AE6"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p>
    <w:p w14:paraId="5139B5F2"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r w:rsidRPr="000D3432">
        <w:rPr>
          <w:rFonts w:asciiTheme="minorHAnsi" w:hAnsiTheme="minorHAnsi"/>
          <w:b/>
          <w:szCs w:val="24"/>
        </w:rPr>
        <w:br w:type="page"/>
      </w:r>
    </w:p>
    <w:p w14:paraId="2E05EE31"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p>
    <w:p w14:paraId="348F8925"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p>
    <w:p w14:paraId="018D24E4" w14:textId="77777777" w:rsidR="001925CE" w:rsidRPr="000D3432" w:rsidRDefault="001925CE" w:rsidP="00A95498">
      <w:pPr>
        <w:jc w:val="both"/>
        <w:rPr>
          <w:rFonts w:asciiTheme="minorHAnsi" w:hAnsiTheme="minorHAnsi"/>
          <w:b/>
          <w:szCs w:val="24"/>
        </w:rPr>
      </w:pPr>
    </w:p>
    <w:p w14:paraId="1ECCE724"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p>
    <w:p w14:paraId="35CC1F48"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p>
    <w:p w14:paraId="72D8CBE8"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0213750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3F7D36D4"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41AD4014"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p>
    <w:p w14:paraId="2E8020A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u w:val="single"/>
        </w:rPr>
      </w:pPr>
      <w:r w:rsidRPr="000D3432">
        <w:rPr>
          <w:rFonts w:asciiTheme="minorHAnsi" w:hAnsiTheme="minorHAnsi"/>
          <w:b/>
          <w:szCs w:val="24"/>
          <w:u w:val="single"/>
        </w:rPr>
        <w:t>CAPÍTULO X</w:t>
      </w:r>
    </w:p>
    <w:p w14:paraId="0472456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rPr>
      </w:pPr>
      <w:r w:rsidRPr="000D3432">
        <w:rPr>
          <w:rFonts w:asciiTheme="minorHAnsi" w:hAnsiTheme="minorHAnsi"/>
          <w:b/>
          <w:szCs w:val="24"/>
        </w:rPr>
        <w:t>PESANDO DERECHO</w:t>
      </w:r>
    </w:p>
    <w:p w14:paraId="2EDDF908"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Un mal contagioso</w:t>
      </w:r>
    </w:p>
    <w:p w14:paraId="14A7759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757A302"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8156C8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rPr>
      </w:pPr>
      <w:r w:rsidRPr="000D3432">
        <w:rPr>
          <w:rFonts w:asciiTheme="minorHAnsi" w:hAnsiTheme="minorHAnsi"/>
          <w:b/>
          <w:szCs w:val="24"/>
        </w:rPr>
        <w:t>PENSAR EL DERECHO</w:t>
      </w:r>
    </w:p>
    <w:p w14:paraId="68F23B8E"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FE3AACD"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Un primer planteamiento metafísico: ¿qué es pensamiento? Pensamiento es lenguaje, es signo y significado, es codificación y decodificación. Es, en último término, una prótesis, una estructura creada o inventada por el hombre. Es técnica, capacidad de adaptación de la naturaleza a las necesidades del hombre, no del hombre a la naturaleza; es, otra vez, técnica, “reacción contra el medio” (Ortega y Gasset). </w:t>
      </w:r>
    </w:p>
    <w:p w14:paraId="4C1C49BF"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El hombre crea el pensamiento como técnica, es decir como “la reacción enérgica contra la naturaleza o su circunstancia” (Ortega y Gasset). Eso significa que el homo sapiens, no conforme con su circunstancia, con lo que la naturaleza le provee, o le dispone, actúa, creando el pensamiento para poder, a través de él, “reformar la naturaleza” que intenta imponérsele, y la desafía. Si hace frío -por ejemplo- el hombre crea abrigos, casas, etc., con ayuda de su pensamiento.  El pensamiento, es entonces, el más grande invento técnico del hombre. Este es un fenómeno indiferente a cualquier otro ser vivo, incluso al más cercano: los animales. Eso supondría que ¿somos la especie superior? ¿Pensar nos hace diferentes, y por lo tanto superiores? No podemos olvidar que “el hombre es, entre los animales, el único  dominado por la cultura(Darwkins)”, -otro invento del pensamiento-; es decir, dominado por el propio pensamiento. Tengo por ello la extraña sospecha de que esa facultad, ese invento grandioso y milagroso no nos hace necesariamente superiores, sino también dialéctica, potencial y desgraciadamente “inferiores” frente a los otros seres vivos. El pensamiento es un mal contagioso y transmisible del que no adolecen los animales. En esa óptica el pensamiento incluso podría ser más bien un rasgo de decadencia, seríamos luego, decadentes (es decir, aquel que elige siempre los medios que le perjudican / Nietzsche). El  hecho de que pensamos podría, además, ser la determinación de que somos por excelencia un ser sin “tipo definido”, sin naturaleza, sino, más bien, con historia, o sea creación de nuestro destino y vida.</w:t>
      </w:r>
    </w:p>
    <w:p w14:paraId="744604F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rPr>
          <w:rFonts w:asciiTheme="minorHAnsi" w:hAnsiTheme="minorHAnsi"/>
          <w:szCs w:val="24"/>
        </w:rPr>
      </w:pPr>
      <w:r w:rsidRPr="000D3432">
        <w:rPr>
          <w:rFonts w:asciiTheme="minorHAnsi" w:hAnsiTheme="minorHAnsi"/>
          <w:szCs w:val="24"/>
        </w:rPr>
        <w:t xml:space="preserve">El pensamiento sería, luego, el error, el primer pecado, la fractura, la ruptura de nuestra primera inocencia (la del Edén); una fractura al conocimiento, un desequilibrio, una puñalada a la sana ignorancia. </w:t>
      </w:r>
    </w:p>
    <w:p w14:paraId="3D397D1A"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rPr>
          <w:rFonts w:asciiTheme="minorHAnsi" w:hAnsiTheme="minorHAnsi"/>
          <w:szCs w:val="24"/>
        </w:rPr>
      </w:pPr>
      <w:r w:rsidRPr="000D3432">
        <w:rPr>
          <w:rFonts w:asciiTheme="minorHAnsi" w:hAnsiTheme="minorHAnsi"/>
          <w:szCs w:val="24"/>
        </w:rPr>
        <w:t xml:space="preserve">Somos, por lo tanto tan diferentes del  animal que, por no tener el rasgo mental  de la envidia -por ejemplo-, seguiría en naturaleza. Somos la especie </w:t>
      </w:r>
      <w:r w:rsidRPr="000D3432">
        <w:rPr>
          <w:rFonts w:asciiTheme="minorHAnsi" w:hAnsiTheme="minorHAnsi"/>
          <w:szCs w:val="24"/>
        </w:rPr>
        <w:lastRenderedPageBreak/>
        <w:t xml:space="preserve">inferior, la raza maldita. </w:t>
      </w:r>
    </w:p>
    <w:p w14:paraId="61813492"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rPr>
          <w:rFonts w:asciiTheme="minorHAnsi" w:hAnsiTheme="minorHAnsi"/>
          <w:szCs w:val="24"/>
        </w:rPr>
      </w:pPr>
      <w:r w:rsidRPr="000D3432">
        <w:rPr>
          <w:rFonts w:asciiTheme="minorHAnsi" w:hAnsiTheme="minorHAnsi"/>
          <w:szCs w:val="24"/>
        </w:rPr>
        <w:t>Para reafirmar mi sospecha bastaría leer a Cioran quien con su bastarda manía de malograrnos la certeza de nuestros conocimientos escribe: “El animal más inmundo vive, en cierto sentido, mejor que nosotros. Sin necesidad de ir a buscar fórmulas de sabiduría en las cloacas, ¿cómo no reconocer las ventajas que tiene sobre nosotros una rata, justamente porque es rata y nada más?”</w:t>
      </w:r>
    </w:p>
    <w:p w14:paraId="34CAB4F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rPr>
          <w:rFonts w:asciiTheme="minorHAnsi" w:hAnsiTheme="minorHAnsi"/>
          <w:i/>
          <w:szCs w:val="24"/>
        </w:rPr>
      </w:pPr>
      <w:r w:rsidRPr="000D3432">
        <w:rPr>
          <w:rFonts w:asciiTheme="minorHAnsi" w:hAnsiTheme="minorHAnsi"/>
          <w:szCs w:val="24"/>
        </w:rPr>
        <w:t>Sigue en el aire la pregunta ¿qué es el pensamiento? Mario Bunge diría: “...el pensamiento no existe de por sí, sino que es un proceso neurofisiológico.”</w:t>
      </w:r>
    </w:p>
    <w:p w14:paraId="5F8DE942"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Y, bueno, ¿podría haber alguien dicho algo más claro y científico que eso? Pero, ¡qué cosa es neurofisiológico! Eso sí es todo un enredo.</w:t>
      </w:r>
    </w:p>
    <w:p w14:paraId="623A6E4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Desglosemos un poquito el asunto, desmenuzémoslo, disolvámoslo. Veamos. Bunge nos ha dicho que el pensamiento es “un proceso neurofisiológico”, ¿qué es neurofisiológico?</w:t>
      </w:r>
    </w:p>
    <w:p w14:paraId="76A589CF"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rPr>
          <w:rFonts w:asciiTheme="minorHAnsi" w:hAnsiTheme="minorHAnsi"/>
          <w:szCs w:val="24"/>
        </w:rPr>
      </w:pPr>
      <w:r w:rsidRPr="000D3432">
        <w:rPr>
          <w:rFonts w:asciiTheme="minorHAnsi" w:hAnsiTheme="minorHAnsi"/>
          <w:szCs w:val="24"/>
        </w:rPr>
        <w:t xml:space="preserve">Vamos al diccionario, y encontramos: </w:t>
      </w:r>
      <w:r w:rsidRPr="000D3432">
        <w:rPr>
          <w:rFonts w:asciiTheme="minorHAnsi" w:hAnsiTheme="minorHAnsi"/>
          <w:i/>
          <w:szCs w:val="24"/>
        </w:rPr>
        <w:t>Neurona</w:t>
      </w:r>
      <w:r w:rsidRPr="000D3432">
        <w:rPr>
          <w:rFonts w:asciiTheme="minorHAnsi" w:hAnsiTheme="minorHAnsi"/>
          <w:szCs w:val="24"/>
        </w:rPr>
        <w:t xml:space="preserve">:   Célula nerviosa, unidad funcional del sistema nervioso. </w:t>
      </w:r>
      <w:r w:rsidRPr="000D3432">
        <w:rPr>
          <w:rFonts w:asciiTheme="minorHAnsi" w:hAnsiTheme="minorHAnsi"/>
          <w:i/>
          <w:szCs w:val="24"/>
        </w:rPr>
        <w:t>Fisiología</w:t>
      </w:r>
      <w:r w:rsidRPr="000D3432">
        <w:rPr>
          <w:rFonts w:asciiTheme="minorHAnsi" w:hAnsiTheme="minorHAnsi"/>
          <w:szCs w:val="24"/>
        </w:rPr>
        <w:t>:  Ciencia  que estudia las funciones de los organismos vivientes. Rama de la biología vinculada con la medicina</w:t>
      </w:r>
    </w:p>
    <w:p w14:paraId="47A4B93E"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Y bueno. Se trata de un concepto científico, que indica nada más y nada menos que el pensamiento es un fenómeno orgánico. O al menos eso parece decir, según mi arbitraria interpretación.</w:t>
      </w:r>
    </w:p>
    <w:p w14:paraId="156360DC"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Veamos un concepto más fácil: </w:t>
      </w:r>
      <w:r w:rsidRPr="000D3432">
        <w:rPr>
          <w:rFonts w:asciiTheme="minorHAnsi" w:hAnsiTheme="minorHAnsi"/>
          <w:i/>
          <w:szCs w:val="24"/>
        </w:rPr>
        <w:t>Pensamiento:</w:t>
      </w:r>
      <w:r w:rsidRPr="000D3432">
        <w:rPr>
          <w:rFonts w:asciiTheme="minorHAnsi" w:hAnsiTheme="minorHAnsi"/>
          <w:szCs w:val="24"/>
        </w:rPr>
        <w:t xml:space="preserve"> Ejercitar la facultad del espíritu de imaginar, concebir, examinar o inferir. </w:t>
      </w:r>
      <w:r w:rsidRPr="000D3432">
        <w:rPr>
          <w:rFonts w:asciiTheme="minorHAnsi" w:hAnsiTheme="minorHAnsi"/>
          <w:i/>
          <w:szCs w:val="24"/>
        </w:rPr>
        <w:t xml:space="preserve">Pensamiento: </w:t>
      </w:r>
      <w:r w:rsidRPr="000D3432">
        <w:rPr>
          <w:rFonts w:asciiTheme="minorHAnsi" w:hAnsiTheme="minorHAnsi"/>
          <w:szCs w:val="24"/>
        </w:rPr>
        <w:t>Operación mental</w:t>
      </w:r>
    </w:p>
    <w:p w14:paraId="20878987" w14:textId="77777777" w:rsidR="001925CE" w:rsidRPr="000D3432" w:rsidRDefault="001925CE"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t xml:space="preserve">Salgamos del lío con Voltaire, quien escribe que realmente hay en el hecho y en la acción de pensar (de ser un ser pensante) algo de divino. ¿Habrá querido decir que pensar es algo que nunca podremos comprender del todo?. </w:t>
      </w:r>
    </w:p>
    <w:p w14:paraId="0AB3BCF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 xml:space="preserve">Preferimos el siguiente concepto, transcrito por Fernando Savater -un pensador, ensayista Español-, quien hablando de Diderot parafrasea: “Para Diderot, contradictoriamente obsesionado por la paternidad (como culminación y coartada negativa del erotismo), el pensamiento es la función viril por excelencia, lo que empeña la mayor potencia seminal y diseminadora. ¿No fue Ortega quien dijo que tener un pensamiento es como tener una erección?   (Fernando Savater. </w:t>
      </w:r>
      <w:r w:rsidRPr="000D3432">
        <w:rPr>
          <w:rFonts w:asciiTheme="minorHAnsi" w:hAnsiTheme="minorHAnsi"/>
          <w:i/>
          <w:szCs w:val="24"/>
        </w:rPr>
        <w:t>Instrucciones para olvidar el Quijote. ).</w:t>
      </w:r>
      <w:r w:rsidRPr="000D3432">
        <w:rPr>
          <w:rFonts w:asciiTheme="minorHAnsi" w:hAnsiTheme="minorHAnsi"/>
          <w:szCs w:val="24"/>
        </w:rPr>
        <w:t xml:space="preserve"> Eso es todo, se trata de una erección. </w:t>
      </w:r>
    </w:p>
    <w:p w14:paraId="2C64F6B2" w14:textId="77777777" w:rsidR="001925CE" w:rsidRPr="000D3432" w:rsidRDefault="001925CE" w:rsidP="00A95498">
      <w:pPr>
        <w:jc w:val="center"/>
        <w:rPr>
          <w:rFonts w:asciiTheme="minorHAnsi" w:hAnsiTheme="minorHAnsi"/>
          <w:szCs w:val="24"/>
        </w:rPr>
      </w:pPr>
    </w:p>
    <w:p w14:paraId="3858CF86"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br w:type="page"/>
      </w:r>
    </w:p>
    <w:p w14:paraId="421E1EBF" w14:textId="77777777" w:rsidR="001925CE" w:rsidRPr="000D3432" w:rsidRDefault="001925CE" w:rsidP="00A95498">
      <w:pPr>
        <w:jc w:val="center"/>
        <w:rPr>
          <w:rFonts w:asciiTheme="minorHAnsi" w:hAnsiTheme="minorHAnsi"/>
          <w:szCs w:val="24"/>
        </w:rPr>
      </w:pPr>
    </w:p>
    <w:p w14:paraId="188E61C7" w14:textId="77777777" w:rsidR="001925CE" w:rsidRPr="000D3432" w:rsidRDefault="001925CE" w:rsidP="00A95498">
      <w:pPr>
        <w:jc w:val="center"/>
        <w:rPr>
          <w:rFonts w:asciiTheme="minorHAnsi" w:hAnsiTheme="minorHAnsi"/>
          <w:szCs w:val="24"/>
        </w:rPr>
      </w:pPr>
    </w:p>
    <w:p w14:paraId="2949C159" w14:textId="77777777" w:rsidR="001925CE" w:rsidRPr="000D3432" w:rsidRDefault="001925CE" w:rsidP="00A95498">
      <w:pPr>
        <w:jc w:val="center"/>
        <w:rPr>
          <w:rFonts w:asciiTheme="minorHAnsi" w:hAnsiTheme="minorHAnsi"/>
          <w:szCs w:val="24"/>
        </w:rPr>
      </w:pPr>
    </w:p>
    <w:p w14:paraId="0D8B33B3" w14:textId="77777777" w:rsidR="001925CE" w:rsidRPr="000D3432" w:rsidRDefault="001925CE" w:rsidP="00A95498">
      <w:pPr>
        <w:jc w:val="center"/>
        <w:rPr>
          <w:rFonts w:asciiTheme="minorHAnsi" w:hAnsiTheme="minorHAnsi"/>
          <w:szCs w:val="24"/>
        </w:rPr>
      </w:pPr>
    </w:p>
    <w:p w14:paraId="304B0EA1" w14:textId="77777777" w:rsidR="001925CE" w:rsidRPr="000D3432" w:rsidRDefault="001925CE" w:rsidP="00A95498">
      <w:pPr>
        <w:jc w:val="center"/>
        <w:rPr>
          <w:rFonts w:asciiTheme="minorHAnsi" w:hAnsiTheme="minorHAnsi"/>
          <w:szCs w:val="24"/>
        </w:rPr>
      </w:pPr>
    </w:p>
    <w:p w14:paraId="4A7CFD98" w14:textId="77777777" w:rsidR="001925CE" w:rsidRPr="000D3432" w:rsidRDefault="001925CE" w:rsidP="00A95498">
      <w:pPr>
        <w:jc w:val="center"/>
        <w:rPr>
          <w:rFonts w:asciiTheme="minorHAnsi" w:hAnsiTheme="minorHAnsi"/>
          <w:szCs w:val="24"/>
        </w:rPr>
      </w:pPr>
    </w:p>
    <w:p w14:paraId="38199885" w14:textId="77777777" w:rsidR="001925CE" w:rsidRPr="000D3432" w:rsidRDefault="001925CE" w:rsidP="00A95498">
      <w:pPr>
        <w:jc w:val="center"/>
        <w:rPr>
          <w:rFonts w:asciiTheme="minorHAnsi" w:hAnsiTheme="minorHAnsi"/>
          <w:szCs w:val="24"/>
        </w:rPr>
      </w:pPr>
    </w:p>
    <w:p w14:paraId="48FCFA29" w14:textId="77777777" w:rsidR="001925CE" w:rsidRPr="000D3432" w:rsidRDefault="001925CE" w:rsidP="00A95498">
      <w:pPr>
        <w:jc w:val="center"/>
        <w:rPr>
          <w:rFonts w:asciiTheme="minorHAnsi" w:hAnsiTheme="minorHAnsi"/>
          <w:szCs w:val="24"/>
        </w:rPr>
      </w:pPr>
    </w:p>
    <w:p w14:paraId="2C15DA8D" w14:textId="77777777" w:rsidR="001925CE" w:rsidRPr="000D3432" w:rsidRDefault="001925CE" w:rsidP="00A95498">
      <w:pPr>
        <w:jc w:val="center"/>
        <w:rPr>
          <w:rFonts w:asciiTheme="minorHAnsi" w:hAnsiTheme="minorHAnsi"/>
          <w:szCs w:val="24"/>
        </w:rPr>
      </w:pPr>
    </w:p>
    <w:p w14:paraId="5D6E1D07" w14:textId="77777777" w:rsidR="001925CE" w:rsidRPr="000D3432" w:rsidRDefault="001925CE" w:rsidP="00A95498">
      <w:pPr>
        <w:jc w:val="center"/>
        <w:rPr>
          <w:rFonts w:asciiTheme="minorHAnsi" w:hAnsiTheme="minorHAnsi"/>
          <w:szCs w:val="24"/>
        </w:rPr>
      </w:pPr>
      <w:r w:rsidRPr="000D3432">
        <w:rPr>
          <w:rFonts w:asciiTheme="minorHAnsi" w:hAnsiTheme="minorHAnsi"/>
          <w:b/>
          <w:szCs w:val="24"/>
          <w:u w:val="single"/>
        </w:rPr>
        <w:t>CAPÍTULO X</w:t>
      </w:r>
    </w:p>
    <w:p w14:paraId="645C6C28"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 xml:space="preserve">DERECHO Y MERCADO </w:t>
      </w:r>
    </w:p>
    <w:p w14:paraId="48AE39D6" w14:textId="77777777" w:rsidR="001925CE" w:rsidRPr="000D3432" w:rsidRDefault="001925CE" w:rsidP="00A95498">
      <w:pPr>
        <w:jc w:val="center"/>
        <w:rPr>
          <w:rFonts w:asciiTheme="minorHAnsi" w:hAnsiTheme="minorHAnsi"/>
          <w:b/>
          <w:szCs w:val="24"/>
        </w:rPr>
      </w:pPr>
    </w:p>
    <w:p w14:paraId="77E551A3" w14:textId="77777777" w:rsidR="001925CE" w:rsidRPr="000D3432" w:rsidRDefault="001925CE" w:rsidP="00F95A20">
      <w:pPr>
        <w:rPr>
          <w:rFonts w:asciiTheme="minorHAnsi" w:hAnsiTheme="minorHAnsi"/>
          <w:b/>
          <w:szCs w:val="24"/>
        </w:rPr>
      </w:pPr>
    </w:p>
    <w:p w14:paraId="3379DF4A"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LA LIBERTAD EN EL MERCADO</w:t>
      </w:r>
    </w:p>
    <w:p w14:paraId="6577E423" w14:textId="77777777" w:rsidR="001925CE" w:rsidRPr="000D3432" w:rsidRDefault="001925CE" w:rsidP="00A95498">
      <w:pPr>
        <w:pStyle w:val="Textodecuerpo"/>
        <w:spacing w:line="240" w:lineRule="auto"/>
        <w:jc w:val="center"/>
        <w:rPr>
          <w:rFonts w:asciiTheme="minorHAnsi" w:hAnsiTheme="minorHAnsi"/>
          <w:b/>
          <w:sz w:val="24"/>
          <w:szCs w:val="24"/>
        </w:rPr>
      </w:pPr>
    </w:p>
    <w:p w14:paraId="4377ECC7" w14:textId="77777777" w:rsidR="001925CE" w:rsidRPr="000D3432" w:rsidRDefault="001925CE"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Lo caro que resulta usar el Estado.Aunque aún no tengo las cosas muy claras, lo que si tengo claro es que usar el Estado nos está resultando muy caro en muchos aspectos. Y que los servicios prestados por él o son ineficientes, o no son suficientes. Por lo mismo, la sociedad ha tenido que crear sus propios medios alternativos, paralelos o complementarios de servicios. </w:t>
      </w:r>
    </w:p>
    <w:p w14:paraId="6AC374DE" w14:textId="77777777" w:rsidR="001925CE" w:rsidRPr="000D3432" w:rsidRDefault="001925CE" w:rsidP="00A95498">
      <w:pPr>
        <w:pStyle w:val="Textodecuerpo"/>
        <w:spacing w:line="240" w:lineRule="auto"/>
        <w:rPr>
          <w:rFonts w:asciiTheme="minorHAnsi" w:hAnsiTheme="minorHAnsi"/>
          <w:sz w:val="24"/>
          <w:szCs w:val="24"/>
        </w:rPr>
      </w:pPr>
    </w:p>
    <w:p w14:paraId="67675C09" w14:textId="77777777" w:rsidR="001925CE" w:rsidRPr="000D3432" w:rsidRDefault="001925CE" w:rsidP="00A95498">
      <w:pPr>
        <w:pStyle w:val="Textodecuerpo"/>
        <w:spacing w:line="240" w:lineRule="auto"/>
        <w:rPr>
          <w:rFonts w:asciiTheme="minorHAnsi" w:hAnsiTheme="minorHAnsi"/>
          <w:sz w:val="24"/>
          <w:szCs w:val="24"/>
        </w:rPr>
      </w:pPr>
      <w:r w:rsidRPr="000D3432">
        <w:rPr>
          <w:rFonts w:asciiTheme="minorHAnsi" w:hAnsiTheme="minorHAnsi"/>
          <w:b/>
          <w:sz w:val="24"/>
          <w:szCs w:val="24"/>
        </w:rPr>
        <w:t>El Derecho a la seguridad.</w:t>
      </w:r>
      <w:r w:rsidRPr="000D3432">
        <w:rPr>
          <w:rFonts w:asciiTheme="minorHAnsi" w:hAnsiTheme="minorHAnsi"/>
          <w:sz w:val="24"/>
          <w:szCs w:val="24"/>
        </w:rPr>
        <w:t xml:space="preserve"> Frente a la poca efectividad de la policía de darnos seguridad,  se han creado los servicios de vigilancia privada (todo un batallón, a nivel nacional de personas no militares, no policiales, debidamente uniformadas e implementadas con instrumentos para la seguridad), que se encargan de dar aquella seguridad que el Estado nos debiera dar, puesto que ese era el trato, el contrato social: “pago impuestos para que tú, Estado me protejas. Hay libertad de crear ese tipo de empresas,  pero esta libertad se deriva de una falla en el funcionamiento del Estado, y aún así tenemos que pagar impuestos por ese servicio, seguridad estatal. Eso afecta a mi libertad para decidir qué pagar o no pagar. Si la sociedad privada crea y paga su propia seguridad, por qué pagar al Estado para que haga lo que esa sociedad privada hace. </w:t>
      </w:r>
    </w:p>
    <w:p w14:paraId="0342BAFC" w14:textId="77777777" w:rsidR="001925CE" w:rsidRPr="000D3432" w:rsidRDefault="001925CE" w:rsidP="00A95498">
      <w:pPr>
        <w:pStyle w:val="Textodecuerpo"/>
        <w:spacing w:line="240" w:lineRule="auto"/>
        <w:rPr>
          <w:rFonts w:asciiTheme="minorHAnsi" w:hAnsiTheme="minorHAnsi"/>
          <w:sz w:val="24"/>
          <w:szCs w:val="24"/>
        </w:rPr>
      </w:pPr>
    </w:p>
    <w:p w14:paraId="320C16BC" w14:textId="77777777" w:rsidR="001925CE" w:rsidRPr="000D3432" w:rsidRDefault="001925CE" w:rsidP="00A95498">
      <w:pPr>
        <w:pStyle w:val="Textodecuerpo"/>
        <w:spacing w:line="240" w:lineRule="auto"/>
        <w:rPr>
          <w:rFonts w:asciiTheme="minorHAnsi" w:hAnsiTheme="minorHAnsi"/>
          <w:sz w:val="24"/>
          <w:szCs w:val="24"/>
        </w:rPr>
      </w:pPr>
    </w:p>
    <w:p w14:paraId="14D10531" w14:textId="77777777" w:rsidR="001925CE" w:rsidRPr="000D3432" w:rsidRDefault="001925CE" w:rsidP="00A95498">
      <w:pPr>
        <w:pStyle w:val="Textodecuerpo"/>
        <w:spacing w:line="240" w:lineRule="auto"/>
        <w:rPr>
          <w:rFonts w:asciiTheme="minorHAnsi" w:hAnsiTheme="minorHAnsi"/>
          <w:sz w:val="24"/>
          <w:szCs w:val="24"/>
        </w:rPr>
      </w:pPr>
      <w:r w:rsidRPr="000D3432">
        <w:rPr>
          <w:rFonts w:asciiTheme="minorHAnsi" w:hAnsiTheme="minorHAnsi"/>
          <w:b/>
          <w:sz w:val="24"/>
          <w:szCs w:val="24"/>
        </w:rPr>
        <w:t>La distribución de la riqueza.</w:t>
      </w:r>
      <w:r w:rsidRPr="000D3432">
        <w:rPr>
          <w:rFonts w:asciiTheme="minorHAnsi" w:hAnsiTheme="minorHAnsi"/>
          <w:sz w:val="24"/>
          <w:szCs w:val="24"/>
        </w:rPr>
        <w:t xml:space="preserve"> Dentro de una concepción teórica, el dinero recaudado mediante impuestos por el Estado está determinado por los servicios que tiene que cumplir, dentro de esos servicios está la de organizar a la sociedad, procurar y promover una mejor vida, el bienestar común. Pero este bienestar común está tomando a todos como generalidad, y no hay  identificación de ciertos elementos que se constituyen como factores de proposición tributaria. Nos explicamos. La existencia de un ciudadano común y corriente significa ya un elemento a contar dentro de la planificación del Estado para lograr el bienestar común y la paz social, y la libertad, etc. Eso significa que la sola existencia de este individuo representa ya un gasto para el Estado, porque éste tiene que darle educación (si no se la pueden dar sus padres, que es la generalidad), tiene que procurarle salud, trabajo, etc. Estos servicios y su implementación han sido los justificantes del Estado para imponer los tributos. </w:t>
      </w:r>
      <w:r w:rsidRPr="000D3432">
        <w:rPr>
          <w:rFonts w:asciiTheme="minorHAnsi" w:hAnsiTheme="minorHAnsi"/>
          <w:sz w:val="24"/>
          <w:szCs w:val="24"/>
        </w:rPr>
        <w:lastRenderedPageBreak/>
        <w:t>Sólo que falta una tuerca en el sistema. Si este hombre trabaja</w:t>
      </w:r>
      <w:r w:rsidRPr="000D3432">
        <w:rPr>
          <w:rStyle w:val="Refdenotaalpie"/>
          <w:rFonts w:asciiTheme="minorHAnsi" w:hAnsiTheme="minorHAnsi"/>
          <w:sz w:val="24"/>
          <w:szCs w:val="24"/>
        </w:rPr>
        <w:footnoteReference w:id="421"/>
      </w:r>
      <w:r w:rsidRPr="000D3432">
        <w:rPr>
          <w:rFonts w:asciiTheme="minorHAnsi" w:hAnsiTheme="minorHAnsi"/>
          <w:sz w:val="24"/>
          <w:szCs w:val="24"/>
        </w:rPr>
        <w:t xml:space="preserve"> el asunto esta más o menos bien dirigido, pero si no trabaja, el asunto cambia. ¿Qué sucede? Pasa lo que al parecer decía Gandhi, “quien no trabaja roba”. Y no me estoy refiriendo al hecho o acto de arrancar una cartera a otro individuo. </w:t>
      </w:r>
    </w:p>
    <w:p w14:paraId="31C0D995" w14:textId="77777777" w:rsidR="001925CE" w:rsidRPr="000D3432" w:rsidRDefault="001925CE" w:rsidP="00A95498">
      <w:pPr>
        <w:pStyle w:val="Textodecuerpo"/>
        <w:spacing w:line="240" w:lineRule="auto"/>
        <w:rPr>
          <w:rFonts w:asciiTheme="minorHAnsi" w:hAnsiTheme="minorHAnsi"/>
          <w:sz w:val="24"/>
          <w:szCs w:val="24"/>
        </w:rPr>
      </w:pPr>
    </w:p>
    <w:p w14:paraId="4E67E61F" w14:textId="77777777" w:rsidR="001925CE" w:rsidRPr="000D3432" w:rsidRDefault="001925CE" w:rsidP="00A95498">
      <w:pPr>
        <w:pStyle w:val="Textodecuerpo"/>
        <w:spacing w:line="240" w:lineRule="auto"/>
        <w:rPr>
          <w:rFonts w:asciiTheme="minorHAnsi" w:hAnsiTheme="minorHAnsi"/>
          <w:sz w:val="24"/>
          <w:szCs w:val="24"/>
        </w:rPr>
      </w:pPr>
      <w:r w:rsidRPr="000D3432">
        <w:rPr>
          <w:rFonts w:asciiTheme="minorHAnsi" w:hAnsiTheme="minorHAnsi"/>
          <w:sz w:val="24"/>
          <w:szCs w:val="24"/>
        </w:rPr>
        <w:t>Expliquemos el asunto. Supongamos que la sociedad lo constituyen sólo 50 personas. Para sobrevivir estos cincuenta tienen que trabajar, y como están ocupados en eso, no pueden dedicarse a ordenar la sociedad, a vigilarla, dotarla de una administración de justicia, etc. Así que pagan a una entidad llamada Estado, al cual le dan el poder de arreglar estos asuntos. Y para eso crea los tributos</w:t>
      </w:r>
      <w:r w:rsidRPr="000D3432">
        <w:rPr>
          <w:rStyle w:val="Refdenotaalpie"/>
          <w:rFonts w:asciiTheme="minorHAnsi" w:hAnsiTheme="minorHAnsi"/>
          <w:sz w:val="24"/>
          <w:szCs w:val="24"/>
        </w:rPr>
        <w:footnoteReference w:id="422"/>
      </w:r>
      <w:r w:rsidRPr="000D3432">
        <w:rPr>
          <w:rFonts w:asciiTheme="minorHAnsi" w:hAnsiTheme="minorHAnsi"/>
          <w:sz w:val="24"/>
          <w:szCs w:val="24"/>
        </w:rPr>
        <w:t>, afirma. Ahora supongamos que cinco ciudadanos no trabajan, por lo tanto lo que hacen es vivir a expensas de los demás, porque los demás les pagan su seguridad, su administración de justicia, etc.  Pero bien, digamos que estos cinco no pueden conseguir trabajo. Tienen mucho tiempo para hacer todo lo que quieran y para más, hacen hijos. Estos hijos representan ya una carga para el Estado, pues este tiene que proveerles de educación, seguridad, etc. Y la historia no acaba allí. El Estado como benefactor, entendiendo mal su roll, el roll asignado, usa del dinero, distribuye su riqueza, que es de todos, por ser pública, o producto de los impuestos, de forma inequívoca. Crea viviendas para los hombres que no pueden tenerla, y da prioridades. ¿Quienes tienen prioridad? Pues los casados, los que tienen hijos, etc.? Indistintamente de si estos sean o no buenos ciudadanos, o si hayan formado una familia como un acto responsable. ¿Cuál la fundamentación? Tienen mayor necesidad, dice el Estado. Con eso sólo se está ampliando la irresponsabilidad. ¿Y quien paga eso? Pues todos. Allí no hay preferencias o prioridad. Todos pagan, aunque se beneficien los más irresponsables. Aquí no existe tampoco libertad. Libertad de mercado. Si de nuestros impuestos dan beneficios a los más irresponsables, porqué no se puede dejar de pagar estos impuestos?</w:t>
      </w:r>
      <w:r w:rsidRPr="000D3432">
        <w:rPr>
          <w:rStyle w:val="Refdenotaalpie"/>
          <w:rFonts w:asciiTheme="minorHAnsi" w:hAnsiTheme="minorHAnsi"/>
          <w:sz w:val="24"/>
          <w:szCs w:val="24"/>
        </w:rPr>
        <w:footnoteReference w:id="423"/>
      </w:r>
    </w:p>
    <w:p w14:paraId="02F4078F" w14:textId="77777777" w:rsidR="001925CE" w:rsidRPr="000D3432" w:rsidRDefault="001925CE" w:rsidP="00A95498">
      <w:pPr>
        <w:jc w:val="both"/>
        <w:rPr>
          <w:rFonts w:asciiTheme="minorHAnsi" w:hAnsiTheme="minorHAnsi"/>
          <w:szCs w:val="24"/>
        </w:rPr>
      </w:pPr>
    </w:p>
    <w:p w14:paraId="66D2B9AF" w14:textId="77777777" w:rsidR="001925CE" w:rsidRPr="000D3432" w:rsidRDefault="001925CE" w:rsidP="00A95498">
      <w:pPr>
        <w:pStyle w:val="Textodecuerpo"/>
        <w:spacing w:line="240" w:lineRule="auto"/>
        <w:rPr>
          <w:rFonts w:asciiTheme="minorHAnsi" w:hAnsiTheme="minorHAnsi"/>
          <w:sz w:val="24"/>
          <w:szCs w:val="24"/>
        </w:rPr>
      </w:pPr>
    </w:p>
    <w:p w14:paraId="3D2A6C62" w14:textId="77777777" w:rsidR="001925CE" w:rsidRPr="000D3432" w:rsidRDefault="001925CE" w:rsidP="00A95498">
      <w:pPr>
        <w:pStyle w:val="Textodecuerpo"/>
        <w:spacing w:line="240" w:lineRule="auto"/>
        <w:rPr>
          <w:rFonts w:asciiTheme="minorHAnsi" w:hAnsiTheme="minorHAnsi"/>
          <w:sz w:val="24"/>
          <w:szCs w:val="24"/>
        </w:rPr>
      </w:pPr>
      <w:r w:rsidRPr="000D3432">
        <w:rPr>
          <w:rFonts w:asciiTheme="minorHAnsi" w:hAnsiTheme="minorHAnsi"/>
          <w:b/>
          <w:sz w:val="24"/>
          <w:szCs w:val="24"/>
        </w:rPr>
        <w:t xml:space="preserve">Monumentos históricos. </w:t>
      </w:r>
      <w:r w:rsidRPr="000D3432">
        <w:rPr>
          <w:rFonts w:asciiTheme="minorHAnsi" w:hAnsiTheme="minorHAnsi"/>
          <w:sz w:val="24"/>
          <w:szCs w:val="24"/>
        </w:rPr>
        <w:t>La historia a veces se impone como obstáculo, u lo pasado no sirve de ayuda sino de bloque, de obstáculo para vivir el presente y proyectarnos hacia el futuro. Hemos olvidado que la historia es conciencia, conciencia de nuestro tiempo y de nuestro espacio. Técnica, y cómo tal, es un instrumento para transformar la naturaleza y adecuarla a nuestras necesidades. Pero en el Perú eso no se tiene muy claro. Es la historia, o su representación la que nos envuelve y nos ahoga. El fundamento histórico está unido a conceptos como patria, identidad nacional, patrimonio nacional, etc.</w:t>
      </w:r>
    </w:p>
    <w:p w14:paraId="1F8CB51C" w14:textId="77777777" w:rsidR="001925CE" w:rsidRPr="000D3432" w:rsidRDefault="001925CE" w:rsidP="00A95498">
      <w:pPr>
        <w:pStyle w:val="Textodecuerpo"/>
        <w:spacing w:line="240" w:lineRule="auto"/>
        <w:rPr>
          <w:rFonts w:asciiTheme="minorHAnsi" w:hAnsiTheme="minorHAnsi"/>
          <w:sz w:val="24"/>
          <w:szCs w:val="24"/>
        </w:rPr>
      </w:pPr>
    </w:p>
    <w:p w14:paraId="740CADEA" w14:textId="77777777" w:rsidR="001925CE" w:rsidRPr="000D3432" w:rsidRDefault="001925CE" w:rsidP="00A95498">
      <w:pPr>
        <w:pStyle w:val="Textodecuerpo"/>
        <w:spacing w:line="240" w:lineRule="auto"/>
        <w:rPr>
          <w:rFonts w:asciiTheme="minorHAnsi" w:hAnsiTheme="minorHAnsi"/>
          <w:sz w:val="24"/>
          <w:szCs w:val="24"/>
        </w:rPr>
      </w:pPr>
      <w:r w:rsidRPr="000D3432">
        <w:rPr>
          <w:rFonts w:asciiTheme="minorHAnsi" w:hAnsiTheme="minorHAnsi"/>
          <w:sz w:val="24"/>
          <w:szCs w:val="24"/>
        </w:rPr>
        <w:t>Los edificios que representan monumentos históricos, patrimonio cultural, por ejemplo, no puedenser derrumbados, aún si son sólo pequeños trozos de tierra. Los huacos encontrados no pueden ser vendidos por los halladores, y tienen que verse contrabandeados al exterior, sin considerar que en este proceso de traslación, subterránea, a escondidas, se gasta más y se pierden, por la destrucción, etc., mucho dinero.</w:t>
      </w:r>
    </w:p>
    <w:p w14:paraId="2578D36F" w14:textId="77777777" w:rsidR="001925CE" w:rsidRPr="000D3432" w:rsidRDefault="001925CE" w:rsidP="00A95498">
      <w:pPr>
        <w:pStyle w:val="Textodecuerpo"/>
        <w:spacing w:line="240" w:lineRule="auto"/>
        <w:rPr>
          <w:rFonts w:asciiTheme="minorHAnsi" w:hAnsiTheme="minorHAnsi"/>
          <w:sz w:val="24"/>
          <w:szCs w:val="24"/>
        </w:rPr>
      </w:pPr>
    </w:p>
    <w:p w14:paraId="275412AE" w14:textId="77777777" w:rsidR="001925CE" w:rsidRPr="000D3432" w:rsidRDefault="001925CE" w:rsidP="00A95498">
      <w:pPr>
        <w:pStyle w:val="Textodecuerpo"/>
        <w:spacing w:line="240" w:lineRule="auto"/>
        <w:rPr>
          <w:rFonts w:asciiTheme="minorHAnsi" w:hAnsiTheme="minorHAnsi"/>
          <w:b/>
          <w:sz w:val="24"/>
          <w:szCs w:val="24"/>
        </w:rPr>
      </w:pPr>
      <w:r w:rsidRPr="000D3432">
        <w:rPr>
          <w:rFonts w:asciiTheme="minorHAnsi" w:hAnsiTheme="minorHAnsi"/>
          <w:sz w:val="24"/>
          <w:szCs w:val="24"/>
        </w:rPr>
        <w:t>Entonces el Estado dice: “Es patrimonio cultural”, por lo tanto no se puede enajenar. Absurda reacción, puesto que el mercado si es libre no tendría que ser así. Lo máximo sería pagar un impuesto. El resultado del bloqueo comercial -de huacos prehispánicos, por ejemplo- ha sido que se armen enormes museos en el extranjero. El extranjero sabe aprovechar las ventajas del mercado. El estado es un mal negociante. Y lo peor es que este negocio no le afecta solo a él, sino que son todos los ciudadanos, los afectados por su mala gestión. El asunto sin embargo no es tan simple, porque si el Estado somos todos -gran mentira-, somos todos, los que permitimos estas acciones de derroche y despilfarro. Libertad de comercio es lo que se necesita, pero antes liberarnos de todos los complejos nacionalistas. Creer en la nación está bien, pero no sus extremos paralizantes.</w:t>
      </w:r>
    </w:p>
    <w:p w14:paraId="5F5D7061" w14:textId="77777777" w:rsidR="001925CE" w:rsidRPr="000D3432" w:rsidRDefault="001925CE" w:rsidP="00A95498">
      <w:pPr>
        <w:pStyle w:val="Textodecuerpo"/>
        <w:spacing w:line="240" w:lineRule="auto"/>
        <w:jc w:val="center"/>
        <w:rPr>
          <w:rFonts w:asciiTheme="minorHAnsi" w:hAnsiTheme="minorHAnsi"/>
          <w:b/>
          <w:sz w:val="24"/>
          <w:szCs w:val="24"/>
        </w:rPr>
      </w:pPr>
    </w:p>
    <w:p w14:paraId="1EAD2AE8"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t xml:space="preserve">ECONOMÍA, MERCADO, ADMISTRACIÓN DE EMPRESAS Y DERECHO. LO QUE NO SÉ  DEL MERCADO </w:t>
      </w:r>
    </w:p>
    <w:p w14:paraId="7453CECF" w14:textId="77777777" w:rsidR="001925CE" w:rsidRPr="000D3432" w:rsidRDefault="001925CE" w:rsidP="00A95498">
      <w:pPr>
        <w:rPr>
          <w:rFonts w:asciiTheme="minorHAnsi" w:hAnsiTheme="minorHAnsi"/>
          <w:szCs w:val="24"/>
        </w:rPr>
      </w:pPr>
    </w:p>
    <w:p w14:paraId="4E31D4CF" w14:textId="77777777" w:rsidR="001925CE" w:rsidRPr="000D3432" w:rsidRDefault="001925CE" w:rsidP="00A95498">
      <w:pPr>
        <w:rPr>
          <w:rFonts w:asciiTheme="minorHAnsi" w:hAnsiTheme="minorHAnsi"/>
          <w:szCs w:val="24"/>
        </w:rPr>
      </w:pPr>
      <w:r w:rsidRPr="000D3432">
        <w:rPr>
          <w:rFonts w:asciiTheme="minorHAnsi" w:hAnsiTheme="minorHAnsi"/>
          <w:szCs w:val="24"/>
        </w:rPr>
        <w:t>Estudiar el mercado o partir de allí para visualizar la mecánica del derecho:</w:t>
      </w:r>
    </w:p>
    <w:p w14:paraId="68BDDB8B" w14:textId="77777777" w:rsidR="001925CE" w:rsidRPr="000D3432" w:rsidRDefault="001925CE" w:rsidP="00A95498">
      <w:pPr>
        <w:rPr>
          <w:rFonts w:asciiTheme="minorHAnsi" w:hAnsiTheme="minorHAnsi"/>
          <w:szCs w:val="24"/>
        </w:rPr>
      </w:pPr>
    </w:p>
    <w:p w14:paraId="569C553C" w14:textId="77777777" w:rsidR="001925CE" w:rsidRPr="000D3432" w:rsidRDefault="001925CE" w:rsidP="00A95498">
      <w:pPr>
        <w:rPr>
          <w:rFonts w:asciiTheme="minorHAnsi" w:hAnsiTheme="minorHAnsi"/>
          <w:szCs w:val="24"/>
        </w:rPr>
      </w:pPr>
      <w:r w:rsidRPr="000D3432">
        <w:rPr>
          <w:rFonts w:asciiTheme="minorHAnsi" w:hAnsiTheme="minorHAnsi"/>
          <w:szCs w:val="24"/>
        </w:rPr>
        <w:t>Dos formas de ver el mundo de la economía. La impuesta por el Estado (Socialismo) y la impuesta por el propio individuo (liberalismo).</w:t>
      </w:r>
    </w:p>
    <w:p w14:paraId="467ED4A9" w14:textId="77777777" w:rsidR="001925CE" w:rsidRPr="000D3432" w:rsidRDefault="001925CE" w:rsidP="00A95498">
      <w:pPr>
        <w:rPr>
          <w:rFonts w:asciiTheme="minorHAnsi" w:hAnsiTheme="minorHAnsi"/>
          <w:szCs w:val="24"/>
        </w:rPr>
      </w:pPr>
    </w:p>
    <w:p w14:paraId="0AB1268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Dos modelos de vida son los adoptados por los humanos. En economía podemos usar al estado (el padre qué nos solucionará todo y nos dirá que o no hacer, qué vale o no vale cualquier objeto. El Estado es quien da la medida del valor de nuestra relaciones intersubjetivas, entre sujetos), pero también podemos usar al mercado (son los procesos, las relaciones intersubjetivas, las personas que intervienen en este proceso las que determinan cuanto vale algo, cuánto vale esa relación. Los hombres, individuales, únicos, irrepetibles, singulares son los que ponen la medida del valor. El mercado es entonces el mecanismo que marca la pauta</w:t>
      </w:r>
    </w:p>
    <w:p w14:paraId="491F8EF6" w14:textId="77777777" w:rsidR="001925CE" w:rsidRPr="000D3432" w:rsidRDefault="001925CE" w:rsidP="00A95498">
      <w:pPr>
        <w:jc w:val="both"/>
        <w:rPr>
          <w:rFonts w:asciiTheme="minorHAnsi" w:hAnsiTheme="minorHAnsi"/>
          <w:szCs w:val="24"/>
        </w:rPr>
      </w:pPr>
    </w:p>
    <w:p w14:paraId="5ABC5A9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mercado funciona “sin compulsiones ni coerción”(Mises). </w:t>
      </w:r>
    </w:p>
    <w:p w14:paraId="06ED44C8" w14:textId="77777777" w:rsidR="001925CE" w:rsidRPr="000D3432" w:rsidRDefault="001925CE" w:rsidP="00A95498">
      <w:pPr>
        <w:rPr>
          <w:rFonts w:asciiTheme="minorHAnsi" w:hAnsiTheme="minorHAnsi"/>
          <w:szCs w:val="24"/>
        </w:rPr>
      </w:pPr>
    </w:p>
    <w:p w14:paraId="577456EA" w14:textId="77777777" w:rsidR="001925CE" w:rsidRPr="000D3432" w:rsidRDefault="001925CE" w:rsidP="00A95498">
      <w:pPr>
        <w:ind w:firstLine="708"/>
        <w:jc w:val="both"/>
        <w:rPr>
          <w:rFonts w:asciiTheme="minorHAnsi" w:hAnsiTheme="minorHAnsi"/>
          <w:b/>
          <w:szCs w:val="24"/>
        </w:rPr>
      </w:pPr>
    </w:p>
    <w:p w14:paraId="253739EF" w14:textId="77777777" w:rsidR="001925CE" w:rsidRPr="000D3432" w:rsidRDefault="001925CE" w:rsidP="00A95498">
      <w:pPr>
        <w:ind w:firstLine="708"/>
        <w:jc w:val="both"/>
        <w:rPr>
          <w:rFonts w:asciiTheme="minorHAnsi" w:hAnsiTheme="minorHAnsi"/>
          <w:b/>
          <w:szCs w:val="24"/>
        </w:rPr>
      </w:pPr>
    </w:p>
    <w:p w14:paraId="52B64104" w14:textId="77777777" w:rsidR="001925CE" w:rsidRPr="000D3432" w:rsidRDefault="001925CE" w:rsidP="00A95498">
      <w:pPr>
        <w:jc w:val="both"/>
        <w:rPr>
          <w:rFonts w:asciiTheme="minorHAnsi" w:hAnsiTheme="minorHAnsi"/>
          <w:b/>
          <w:szCs w:val="24"/>
        </w:rPr>
      </w:pPr>
      <w:r w:rsidRPr="000D3432">
        <w:rPr>
          <w:rFonts w:asciiTheme="minorHAnsi" w:hAnsiTheme="minorHAnsi"/>
          <w:b/>
          <w:szCs w:val="24"/>
        </w:rPr>
        <w:br w:type="page"/>
      </w:r>
    </w:p>
    <w:p w14:paraId="34E92353" w14:textId="77777777" w:rsidR="001925CE" w:rsidRPr="000D3432" w:rsidRDefault="001925CE" w:rsidP="00A95498">
      <w:pPr>
        <w:jc w:val="both"/>
        <w:rPr>
          <w:rFonts w:asciiTheme="minorHAnsi" w:hAnsiTheme="minorHAnsi"/>
          <w:b/>
          <w:szCs w:val="24"/>
        </w:rPr>
      </w:pPr>
    </w:p>
    <w:p w14:paraId="6EFCFE11" w14:textId="77777777" w:rsidR="001925CE" w:rsidRPr="000D3432" w:rsidRDefault="001925CE" w:rsidP="00A95498">
      <w:pPr>
        <w:jc w:val="both"/>
        <w:rPr>
          <w:rFonts w:asciiTheme="minorHAnsi" w:hAnsiTheme="minorHAnsi"/>
          <w:b/>
          <w:szCs w:val="24"/>
        </w:rPr>
      </w:pPr>
    </w:p>
    <w:p w14:paraId="7AABC6FC" w14:textId="77777777" w:rsidR="001925CE" w:rsidRPr="000D3432" w:rsidRDefault="001925CE" w:rsidP="00A95498">
      <w:pPr>
        <w:jc w:val="both"/>
        <w:rPr>
          <w:rFonts w:asciiTheme="minorHAnsi" w:hAnsiTheme="minorHAnsi"/>
          <w:b/>
          <w:szCs w:val="24"/>
        </w:rPr>
      </w:pPr>
    </w:p>
    <w:p w14:paraId="7EF2F0E4" w14:textId="77777777" w:rsidR="001925CE" w:rsidRPr="000D3432" w:rsidRDefault="001925CE" w:rsidP="00F95A20">
      <w:pPr>
        <w:jc w:val="both"/>
        <w:rPr>
          <w:rFonts w:asciiTheme="minorHAnsi" w:hAnsiTheme="minorHAnsi"/>
          <w:b/>
          <w:szCs w:val="24"/>
        </w:rPr>
      </w:pPr>
    </w:p>
    <w:p w14:paraId="49106299" w14:textId="77777777" w:rsidR="001925CE" w:rsidRPr="000D3432" w:rsidRDefault="001925CE" w:rsidP="00A95498">
      <w:pPr>
        <w:jc w:val="both"/>
        <w:rPr>
          <w:rFonts w:asciiTheme="minorHAnsi" w:hAnsiTheme="minorHAnsi"/>
          <w:b/>
          <w:szCs w:val="24"/>
        </w:rPr>
      </w:pPr>
    </w:p>
    <w:p w14:paraId="14A36685" w14:textId="77777777" w:rsidR="001925CE" w:rsidRPr="000D3432" w:rsidRDefault="001925CE" w:rsidP="00A95498">
      <w:pPr>
        <w:jc w:val="center"/>
        <w:rPr>
          <w:rFonts w:asciiTheme="minorHAnsi" w:hAnsiTheme="minorHAnsi"/>
          <w:b/>
          <w:szCs w:val="24"/>
        </w:rPr>
      </w:pPr>
    </w:p>
    <w:p w14:paraId="5BA0B51C"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 xml:space="preserve">- CAPÍTULO XII -  </w:t>
      </w:r>
    </w:p>
    <w:p w14:paraId="3F50E73C"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DERECHO Y ADMINISTRACIÓN DE EMPRESAS</w:t>
      </w:r>
    </w:p>
    <w:p w14:paraId="4D8E5672" w14:textId="77777777" w:rsidR="001925CE" w:rsidRPr="000D3432" w:rsidRDefault="001925CE" w:rsidP="00A95498">
      <w:pPr>
        <w:jc w:val="both"/>
        <w:rPr>
          <w:rFonts w:asciiTheme="minorHAnsi" w:hAnsiTheme="minorHAnsi"/>
          <w:b/>
          <w:szCs w:val="24"/>
        </w:rPr>
      </w:pPr>
    </w:p>
    <w:p w14:paraId="0AC40762" w14:textId="77777777" w:rsidR="001925CE" w:rsidRPr="000D3432" w:rsidRDefault="001925CE" w:rsidP="00A95498">
      <w:pPr>
        <w:ind w:firstLine="708"/>
        <w:jc w:val="both"/>
        <w:rPr>
          <w:rFonts w:asciiTheme="minorHAnsi" w:hAnsiTheme="minorHAnsi"/>
          <w:szCs w:val="24"/>
        </w:rPr>
      </w:pPr>
    </w:p>
    <w:p w14:paraId="1D5BF725"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La profesión de Administración de empresas tiene relevancia en el mundo de las finanzas y de la economía por diversos factores. Uno de ellos es que gracias a ella se logra capacidad y método para gobernar mejor los recursos económicos de  una empresa, y por ende de la propia sociedad. Administrar una empresa no es un asunto trivial, ni menos un fenómeno aislado de la sociedad, sino todo lo contrario, una alternativa para ordenar la sociedad en relación directa con los intereses individuales y los intereses colectivos, todo esto dentro del mercado.</w:t>
      </w:r>
    </w:p>
    <w:p w14:paraId="6C251749"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Por eso uno de los términos eje en la administración de empresas  es el interés. El interés no es más que una “posición determinada para la satisfacción de una necesidad”, pero la sociedad, al no ser natural, sino histórica, crea algunas necesidades,  más allá de las básicas o primarias. La administración de empresas trabaja con esas necesidades básicas, o con las creadas. Luego, a la búsqueda de satisfacción de esas necesidades se le llama interés. </w:t>
      </w:r>
    </w:p>
    <w:p w14:paraId="65FB4B58"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Ahora bien, la empresa es una unidad de producción de bienes y/o servicios, y los últimos tienen que entrar en el juego del mercado, de las necesidades, de los costos, beneficios, etc., que son algunos elementos con los que tiene que vérselas la administración de empresas. Y que desarrollaremos en práctica más adelante.</w:t>
      </w:r>
    </w:p>
    <w:p w14:paraId="74866AAC" w14:textId="77777777" w:rsidR="001925CE" w:rsidRPr="000D3432" w:rsidRDefault="001925CE" w:rsidP="00A95498">
      <w:pPr>
        <w:ind w:firstLine="708"/>
        <w:jc w:val="both"/>
        <w:rPr>
          <w:rFonts w:asciiTheme="minorHAnsi" w:hAnsiTheme="minorHAnsi"/>
          <w:szCs w:val="24"/>
        </w:rPr>
      </w:pPr>
    </w:p>
    <w:p w14:paraId="63B7446A"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 *</w:t>
      </w:r>
    </w:p>
    <w:p w14:paraId="08C88122" w14:textId="77777777" w:rsidR="001925CE" w:rsidRPr="000D3432" w:rsidRDefault="001925CE" w:rsidP="00A95498">
      <w:pPr>
        <w:jc w:val="center"/>
        <w:rPr>
          <w:rFonts w:asciiTheme="minorHAnsi" w:hAnsiTheme="minorHAnsi"/>
          <w:szCs w:val="24"/>
        </w:rPr>
      </w:pPr>
    </w:p>
    <w:p w14:paraId="0F0EBB0A"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No obstante lo reseñado brevemente líneas arriba, hemos de explicar, y ampliar  nuestra cosmovisión, y empezaremos diciendo, primero, que la Administración de Empresas tiene “principios dominantes de organización”, que son la búsqueda de utilidades a través del uso de dos medios: a) el uso de los beneficios proporcionados por el Estado, en la asignación de recursos económicos a un área, o áreas determinadas; y b) el uso del mercado, descubriendo y determinando la demanda, ya no por la asignación de recursos económicos impuesta por el Estado, sino por la asignación de recursos determinado por la demanda de la satisfacción de ciertas necesidades prioritarias en determinado tiempo y espacio.</w:t>
      </w:r>
    </w:p>
    <w:p w14:paraId="432A1F43"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Pero eso no es todo. En el mundo de la Administración de Empresas la economía y el mercado cumplen un relevante factor. Así, Administración de empresas y Economía se entrelazan perfectamente. Se desarrolla a través de ellas “racionalidad” e “intuición”. Es decir, se conoce racionalmente a través de los datos; y se logra intuir a través de la experiencia. Lo que afecta o determina las decisiones empresariales, puesto que se decide por razón, pero también por </w:t>
      </w:r>
      <w:r w:rsidRPr="000D3432">
        <w:rPr>
          <w:rFonts w:asciiTheme="minorHAnsi" w:hAnsiTheme="minorHAnsi"/>
          <w:szCs w:val="24"/>
        </w:rPr>
        <w:lastRenderedPageBreak/>
        <w:t xml:space="preserve">pálpito. Es más, en la racionalidad de la administración de una empresa se manifiesta la “tecnificación y la búsqueda del incremento de la productividad basado en el cálculo y la planificación”. Eso indica determinar el futuro </w:t>
      </w:r>
      <w:r w:rsidRPr="000D3432">
        <w:rPr>
          <w:rFonts w:asciiTheme="minorHAnsi" w:hAnsiTheme="minorHAnsi"/>
          <w:i/>
          <w:szCs w:val="24"/>
        </w:rPr>
        <w:t xml:space="preserve">a priori </w:t>
      </w:r>
      <w:r w:rsidRPr="000D3432">
        <w:rPr>
          <w:rFonts w:asciiTheme="minorHAnsi" w:hAnsiTheme="minorHAnsi"/>
          <w:szCs w:val="24"/>
        </w:rPr>
        <w:t xml:space="preserve">de la empresa; diríamos racionalidad moderna de la administración de empresas. Previsibilidad de los hechos económicos busca la administración de empresas, dentro del principio de la racionalidad moderna. Racionalidad que abrió las puertas al sistema liberal, a la economía liberal, por medio de la cual se podía usar el mercado mundial, es decir se aperturaba la posibilidad de importación y exportación; fenómeno que hoy se le conoce mejor con el signo de globalización. El principio rector es la “posibilidad de elegir en el mercado y plasmar un camino autónomo”, y el mercado no sería local, nacional, sino mundial o global. </w:t>
      </w:r>
    </w:p>
    <w:p w14:paraId="41FE22C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La administración de empresas tiene que vérselas con la economía como un “tejido de relaciones privadas libremente decididas a través de un mercado” , y tendrá en cuenta al Estado sólo como un garante para el “libre juego de la libertad individual, empresarial”. Esta es la referencia económica que manejamos.</w:t>
      </w:r>
    </w:p>
    <w:p w14:paraId="4D884903"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 xml:space="preserve">Además, para una eficaz administración de empresas es necesario saber y medir dentro de qué política o sistema económico se desarrolla nuestras operaciones mercantiles, y dentro de que esfera geográfica experimentamos. Los métodos, las estrategias y técnicas tienen en cuenta trascendentalmente esto, porque, aunque el mercado se pretende autónomo, los sistemas económicos, las políticas económicas de un país, siempre afectan de una u otra manera el funcionamiento del mercado, el flujo de capitales, la o”peracionalización” de la oferta y la demanda. Así, administrar una empresa requiere saber si estamos dentro del marco de una economía planificada, o dentro de una economía social de mercado. En realidad no existe tendencia absoluta, pero por lo general predomina una de ellas sobre la otra, y el manejo empresarial debe tener en cuenta esta disposición o política económica del Estado, dentro del cual se halla inserta la empresa; puesto que de acuerdo a la asignación de recursos económicos se crea o direcciona la demanda y la oferta. </w:t>
      </w:r>
    </w:p>
    <w:p w14:paraId="0065DE72"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b/>
        <w:t xml:space="preserve">En nuestro caso, el hecho de que el Estado haya fomentado y creado la ZOTAC,  CETICOS, ha sido un medio, sino determinante, al menos si importante para saber hacia dónde va el flujo de capitales, hacia donde se dirige el consumo. Y el consumo es otro de los principios fundamentales con los que la administración de empresas tiene que vérselas. Administrar empresas no sólo es organizarlas estructuralmente, sino armarlas dentro de un contexto económico, como es el consumo. En la administración de empresas otro  elemento eje son los actos de comercio, estos son hechos económicos, es decir la búsqueda de la satisfacción de la necesidad, o sea la necesidad de consumo. </w:t>
      </w:r>
    </w:p>
    <w:p w14:paraId="5F137389"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El consumo tiene relación directa con nuestros deseos, con nuestras necesidades, y el hombre es necesidad. Fenómeno perfectamente utilizado por el  mercado. Se vende aquello que representa una necesidad. Es la representación y no el objeto lo importante. Son las expresiones de utilidad lo que el mercado busca poner en relieve, o mejor son estas expresiones lo que hace del mercado tal: transacciones comerciales. Necesidades inventadas, nacidas de su condición existencial, de la conciencia de su existencia. Por ejemplo, lo importante en la empresa no es ya la propiedad, sino la utilidad que </w:t>
      </w:r>
      <w:r w:rsidRPr="000D3432">
        <w:rPr>
          <w:rFonts w:asciiTheme="minorHAnsi" w:hAnsiTheme="minorHAnsi"/>
          <w:szCs w:val="24"/>
        </w:rPr>
        <w:lastRenderedPageBreak/>
        <w:t>representa esta propiedad, la propiedad es un poder, por el cual nosotros excluimos a los demás. Lo relevante de la propiedad, por ejemplo, en la administración de empresas es que al ser nuestra y ser para el mercado sufre un aumento de valor, esose denomina valor agregado, es decir la cantidad que nosotros le imputamos por los costos que nos ha supuesto su obtención. Sumamos costos de transacción, de adquisición, y costos humanos, de esfuerzo humano. Con lo cual la propiedad adquirida aumenta de valor. Esto es un hecho económico y no sólo un hecho social. El mercado nunca deja de estar presente, porque mercado es relación, y el hombre, o mujer, lo que necesita, es relacionarse. Y relacionarse es mercado: transacciones comerciales. La mercancía es el objeto del mercado. Así todos los objetos no valen por su configuración material sino por su “plusválica” consistencia, por su valor agregado.</w:t>
      </w:r>
    </w:p>
    <w:p w14:paraId="08442A7D"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En este tenemos un punto de apoyo exclusivo: el Mercado, el uso del mercado para el tráfico comercial. Ese tráfico comercial se realiza a través de los contratos, produciéndose el comercio que -según reseña Ihering utilizando la expresión alemana Verkehr- implica una “idea central: la idea del cambio de las cosas de un lugar a otro”. Ahora bien, “La expresión latina correspondiente: </w:t>
      </w:r>
      <w:r w:rsidRPr="000D3432">
        <w:rPr>
          <w:rFonts w:asciiTheme="minorHAnsi" w:hAnsiTheme="minorHAnsi"/>
          <w:i/>
          <w:szCs w:val="24"/>
        </w:rPr>
        <w:t>commercium,</w:t>
      </w:r>
      <w:r w:rsidRPr="000D3432">
        <w:rPr>
          <w:rFonts w:asciiTheme="minorHAnsi" w:hAnsiTheme="minorHAnsi"/>
          <w:szCs w:val="24"/>
        </w:rPr>
        <w:t xml:space="preserve"> está tomada del nombre de la mercancía: </w:t>
      </w:r>
      <w:r w:rsidRPr="000D3432">
        <w:rPr>
          <w:rFonts w:asciiTheme="minorHAnsi" w:hAnsiTheme="minorHAnsi"/>
          <w:i/>
          <w:szCs w:val="24"/>
        </w:rPr>
        <w:t>merx, mercari,</w:t>
      </w:r>
      <w:r w:rsidRPr="000D3432">
        <w:rPr>
          <w:rFonts w:asciiTheme="minorHAnsi" w:hAnsiTheme="minorHAnsi"/>
          <w:szCs w:val="24"/>
        </w:rPr>
        <w:t xml:space="preserve"> querefleja el elemento de la comunidad de las partes (com-mercium), que es el resultado”.. “Verkehr equivale a comercio de cambio”.</w:t>
      </w:r>
    </w:p>
    <w:p w14:paraId="3A1EA57F"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El Mercado como punto de referencia de la Administración de empresas ha sido nuestra matriz. ¿Qué es el mercado, entonces? No es ese satánico fenómeno que se traga a las gentes de bajos recursos económicos, no es el arma del salvaje capitalismo, aunque se le haya colocado como “punto exterior de satanización”. El mercado es un conglomerado de relaciones intersubjetivas, relaciones de contraprestaciones (relaciones de intereses). En realidad el mercado “somos nosotros; hombres que se relacionan todos los días motivados por sus necesidades, intereses y expectativas. El mercado no es esencialmente un lugar. Son nexos o vínculos entre seres de carne y hueso”; “el mercado no es otra cosa que un inmenso conglomerado de transacciones (contractuales)”; y la administración de empresas actúa específicamente dentro del radio de acción del mercado. Por eso nuestra preocupación por analizar este asunto, no desde una visión teórica de la administración  de empresas, desde una perspectiva experimental del mercado y de la economía dentro del cual funciona la administración de empresas; eso significa que nuestra cosmovisión intenta desentrañar las acciones o respuestas dadas a un fenómeno económico, empresarial, un fenómeno del mercado: la interrelación de personas para lograr un interés, interés con contenido económico. Interrelaciones económicas organizadas a través de la administración de empresas; empresa administrada desde la perspectiva del mercado, es decir no desde la geografía, sino desde el comercio; administración de empresas estudiada no cómo especie, sino como género, que se constituye como un poder que tenemos los seres humanos para gobernar eficientemente nuestros intereses privados. </w:t>
      </w:r>
    </w:p>
    <w:p w14:paraId="44BFD9CB" w14:textId="77777777" w:rsidR="001925CE" w:rsidRPr="000D3432" w:rsidRDefault="001925CE" w:rsidP="00A95498">
      <w:pPr>
        <w:jc w:val="center"/>
        <w:rPr>
          <w:rFonts w:asciiTheme="minorHAnsi" w:hAnsiTheme="minorHAnsi"/>
          <w:szCs w:val="24"/>
        </w:rPr>
      </w:pPr>
    </w:p>
    <w:p w14:paraId="0F1326BA" w14:textId="77777777" w:rsidR="001925CE" w:rsidRPr="000D3432" w:rsidRDefault="001925CE" w:rsidP="00A95498">
      <w:pPr>
        <w:jc w:val="both"/>
        <w:rPr>
          <w:rFonts w:asciiTheme="minorHAnsi" w:hAnsiTheme="minorHAnsi"/>
          <w:szCs w:val="24"/>
        </w:rPr>
      </w:pPr>
      <w:r w:rsidRPr="000D3432">
        <w:rPr>
          <w:rFonts w:asciiTheme="minorHAnsi" w:hAnsiTheme="minorHAnsi"/>
          <w:b/>
          <w:szCs w:val="24"/>
        </w:rPr>
        <w:t>CONCLUSIONES</w:t>
      </w:r>
    </w:p>
    <w:p w14:paraId="6CC16936"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Douglas C. North hablando del desarrollo económico apuntala una idea: que la causa del desarrollo económico está en “el aumento de la productividad”, </w:t>
      </w:r>
      <w:r w:rsidRPr="000D3432">
        <w:rPr>
          <w:rFonts w:asciiTheme="minorHAnsi" w:hAnsiTheme="minorHAnsi"/>
          <w:szCs w:val="24"/>
        </w:rPr>
        <w:lastRenderedPageBreak/>
        <w:t>y para eso no es suficiente la inversión en educación y conocimientos, es necesario, además, “una mejora en la organización económica: una mejora en la forma en que estructuramos el juego de la economía de modo que los costos de transacción sean bajos”. Dicho en términos económicos, se trata de lograr la “obtención de mayores resultados por unidad de insumo”. Y North nos sigue aclarando las cosas, e insiste diciendo que esto último se consigue maximizando los resultados, por medio de dos procesos: a) la reducción de costos, y b) mediante un aumento de la calidad.</w:t>
      </w:r>
    </w:p>
    <w:p w14:paraId="52EE2CEF"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En la experiencia de la empresa Full llantas E.I.R.L. hemos intentado observar cómo se ha logrado maximizar lo resultados, cómo se ha obtenido mayores resultados por unidad de insumo, cómo se logra el aumento de productividad.  Y en las páginas antecedentes hemos descrito esas formas, esos métodos, esos medios usados. Que armonizados, producen un resultado positivo. Por ejemplo, la reducción de costos se ha logrado a través de la utilización de ciertos beneficios, en el momento de las transacciones de importación, usando los beneficios del Pacto Andino, reduciendo el monto de inversión a la vez que aumentando el monto de ganancias precisamente por acogerse a este beneficio internacional. </w:t>
      </w:r>
    </w:p>
    <w:p w14:paraId="163EB175"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Otra forma de reducir los costos de operación mercantil ha sido la forma sistémica con la cual se ha trabajado, coordinando los movimientos de todos los integrantes de la empresa, en relación a un fin: la productividad. </w:t>
      </w:r>
    </w:p>
    <w:p w14:paraId="7E2A86CE" w14:textId="77777777" w:rsidR="001925CE" w:rsidRPr="000D3432" w:rsidRDefault="001925CE" w:rsidP="00A95498">
      <w:pPr>
        <w:ind w:firstLine="708"/>
        <w:jc w:val="both"/>
        <w:rPr>
          <w:rFonts w:asciiTheme="minorHAnsi" w:hAnsiTheme="minorHAnsi"/>
          <w:szCs w:val="24"/>
        </w:rPr>
      </w:pPr>
      <w:r w:rsidRPr="000D3432">
        <w:rPr>
          <w:rFonts w:asciiTheme="minorHAnsi" w:hAnsiTheme="minorHAnsi"/>
          <w:szCs w:val="24"/>
        </w:rPr>
        <w:t xml:space="preserve">La reducción de los costos ha sido también a través del fenómeno tiempo. Se ha utilizado los instrumentos de cambio bancario que hayan resultado menos costosos, no por su diseño material, sino por la gestión y rapidez institucional requerida. Así, los bancos usados para realizar las operaciones transaccionales de compra y venta han sido los que sean más rápidos, y no los más cómodos o baratos, usando una política diferente a la manejada en otras empresas. Eso significa que en la empresa Full Llantas el tiempo es oro, constituye dinero. Y perder tiempo es perder dinero. </w:t>
      </w:r>
    </w:p>
    <w:p w14:paraId="40827A9B"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Otro fenómeno observado es la estrategia usada como “un plan que integra las principales metas y políticas de la organización” (James Brian Quinn). La empresa  ha ordenado su gestión en base a la venta, al consumo, a la demanda, por lo tanto ha asignado los recursos necesarios a esta función: la venta. Todo se ha asignado a ello: tiempo y dinero, organización y distribución de funciones. Relevando los atributos y focalizando o descubriendo las deficiencias internas. Por ejemplo, Full llantas ha sido una empresa nacida paralelamente a otra anterior, Comercial Lucy. Su creación ha sido una respuesta a la exigencia de coordinar tanto el nombre de la empresa como el rubro de ventas a la cual se dedicaba. Decir en unas palabras el producto ofertado,  la cantidad, y la especialización: neumáticos, o llantas. El fenómeno radica en adecuarse al marco de ventas. </w:t>
      </w:r>
    </w:p>
    <w:p w14:paraId="68A66A31" w14:textId="77777777" w:rsidR="001925CE" w:rsidRPr="000D3432" w:rsidRDefault="001925CE" w:rsidP="00A95498">
      <w:pPr>
        <w:ind w:firstLine="425"/>
        <w:jc w:val="both"/>
        <w:rPr>
          <w:rFonts w:asciiTheme="minorHAnsi" w:hAnsiTheme="minorHAnsi"/>
          <w:szCs w:val="24"/>
        </w:rPr>
      </w:pPr>
    </w:p>
    <w:p w14:paraId="5344CA7E"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Otro fenómeno observado es que en el área de adquisición de propiedades de los neumáticos, lo importante es el valor agregado obtenido, y no su propiedad, por lo que la empresa no es un ente depositario, no basa su riqueza en cuánto tiene como propiedad, sino en cuanto puede hacer circular, en cuanta transferencia de propiedad logra. Eso indica que no es la propiedad propiamente dicha, sino el flujo de capital lo que hace a la empresa.  </w:t>
      </w:r>
    </w:p>
    <w:p w14:paraId="111924CF"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lastRenderedPageBreak/>
        <w:br w:type="page"/>
      </w:r>
    </w:p>
    <w:p w14:paraId="0CA5D54C" w14:textId="77777777" w:rsidR="001925CE" w:rsidRPr="000D3432" w:rsidRDefault="001925CE" w:rsidP="00A95498">
      <w:pPr>
        <w:jc w:val="center"/>
        <w:rPr>
          <w:rFonts w:asciiTheme="minorHAnsi" w:hAnsiTheme="minorHAnsi"/>
          <w:szCs w:val="24"/>
        </w:rPr>
      </w:pPr>
    </w:p>
    <w:p w14:paraId="50F46BA5" w14:textId="77777777" w:rsidR="001925CE" w:rsidRPr="000D3432" w:rsidRDefault="001925CE" w:rsidP="00A95498">
      <w:pPr>
        <w:jc w:val="center"/>
        <w:rPr>
          <w:rFonts w:asciiTheme="minorHAnsi" w:hAnsiTheme="minorHAnsi"/>
          <w:szCs w:val="24"/>
        </w:rPr>
      </w:pPr>
    </w:p>
    <w:p w14:paraId="65AF8B67" w14:textId="77777777" w:rsidR="001925CE" w:rsidRPr="000D3432" w:rsidRDefault="001925CE" w:rsidP="00F95A20">
      <w:pPr>
        <w:rPr>
          <w:rFonts w:asciiTheme="minorHAnsi" w:hAnsiTheme="minorHAnsi"/>
          <w:b/>
          <w:szCs w:val="24"/>
        </w:rPr>
      </w:pPr>
    </w:p>
    <w:p w14:paraId="1A83E6E8" w14:textId="77777777" w:rsidR="001925CE" w:rsidRPr="000D3432" w:rsidRDefault="001925CE" w:rsidP="00A95498">
      <w:pPr>
        <w:jc w:val="center"/>
        <w:rPr>
          <w:rFonts w:asciiTheme="minorHAnsi" w:hAnsiTheme="minorHAnsi"/>
          <w:b/>
          <w:szCs w:val="24"/>
        </w:rPr>
      </w:pPr>
    </w:p>
    <w:p w14:paraId="513E08C1" w14:textId="77777777" w:rsidR="001925CE" w:rsidRPr="000D3432" w:rsidRDefault="001925CE" w:rsidP="00A95498">
      <w:pPr>
        <w:jc w:val="center"/>
        <w:rPr>
          <w:rFonts w:asciiTheme="minorHAnsi" w:hAnsiTheme="minorHAnsi"/>
          <w:b/>
          <w:szCs w:val="24"/>
        </w:rPr>
      </w:pPr>
    </w:p>
    <w:p w14:paraId="53E2AFF9"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CAPÍTULO XIII</w:t>
      </w:r>
    </w:p>
    <w:p w14:paraId="3A85D7D2"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EL ESTADO Y LA ECONOMÍA DE MERCADO</w:t>
      </w:r>
    </w:p>
    <w:p w14:paraId="3BB57080" w14:textId="77777777" w:rsidR="001925CE" w:rsidRPr="000D3432" w:rsidRDefault="001925CE" w:rsidP="00A95498">
      <w:pPr>
        <w:jc w:val="both"/>
        <w:rPr>
          <w:rFonts w:asciiTheme="minorHAnsi" w:hAnsiTheme="minorHAnsi"/>
          <w:szCs w:val="24"/>
        </w:rPr>
      </w:pPr>
    </w:p>
    <w:p w14:paraId="3AA9B6D7" w14:textId="77777777" w:rsidR="001925CE" w:rsidRPr="000D3432" w:rsidRDefault="001925CE" w:rsidP="00A95498">
      <w:pPr>
        <w:jc w:val="both"/>
        <w:rPr>
          <w:rFonts w:asciiTheme="minorHAnsi" w:hAnsiTheme="minorHAnsi"/>
          <w:szCs w:val="24"/>
        </w:rPr>
      </w:pPr>
    </w:p>
    <w:p w14:paraId="1BD835D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El Estado ha sido el mayor invento de la economía. Arropada bajo conceptos políticos-jurídicos el Estado es un monstruo económico, un producto de la economía, del mercado. </w:t>
      </w:r>
    </w:p>
    <w:p w14:paraId="50973E5E" w14:textId="77777777" w:rsidR="001925CE" w:rsidRPr="000D3432" w:rsidRDefault="001925CE" w:rsidP="00A95498">
      <w:pPr>
        <w:jc w:val="both"/>
        <w:rPr>
          <w:rFonts w:asciiTheme="minorHAnsi" w:hAnsiTheme="minorHAnsi"/>
          <w:szCs w:val="24"/>
        </w:rPr>
      </w:pPr>
    </w:p>
    <w:p w14:paraId="5540893E"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Desde que existe el Estado ya deja de haber economía libre, o economía de mercado, o mejor, ya no existe en la economía de mercado la no intervención del Estado, porque este -el Estado- siempre está presente, en todas las sociedades, a través de sus impuestos, aranceles, etc., etc. Así que la libertad de mercado, o la teoría de que en una economía de mercado no interviene el Estado es falsa. Y nunca habrá tal economía de mercado, en el concepto que Ludwig von Mises explica: "El Estado es un aparato social de fuerza y coacción" "no interfiere en su mecánica -dentro del mercado, o de la economía de mercado-, ni interviene en aquellas actividades de los ciudadanos que el propio mercado encauza", porque aunque el Estado no inteviene directamente, si interviene, siempre. Así que es una estafa eso de la economía de mercado. El Estado interviene siempre por su sola existencia. ¿Cómo habría economía de  mercado?, pues, si seguimos la teoría explicada, tendríamos que prescindir del Estado. </w:t>
      </w:r>
    </w:p>
    <w:p w14:paraId="27DDFB59"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Sin embargo la economía de mercado intenta explicar otra cosa: el uso del mercado, es decir el hecho de poder hacer transacciones al costo mínimo, reducción de los gastos o costos de transacción.</w:t>
      </w:r>
    </w:p>
    <w:p w14:paraId="0A00476C"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Además, estas transacciones, dentro del mercado, solo son reflejo de  ciertos juicios de valor, que se expresan en las "estructura de precios", es decir en los "tipos de cambio". Es decir que todas las transacciones -dice Mises- pueden retrotraerse a ciertos "actos electivos". Pero no me queda claro mucho esto, porque todos los actos electivos, todas nuestras decisiones no responden siempre a juicios de valor, como uso y definición de la razón, sino que responden a actos instintivos; y estos actos instintivos, son producto ya no de la naturaleza, de los instintos primarios, sino productos que son transformados por los conceptos culturales, así se forman nuevos instintos que responden más bien a una creación cultural, a una determinación conceptual. Yo creo a veces que no hay juicios de valor, como elemento primigenio de la elección, sino actos instintivos, y son estos los que tienen una carga valorativa, y provocan una dirección.</w:t>
      </w:r>
    </w:p>
    <w:p w14:paraId="47C0B5A7"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w:t>
      </w:r>
    </w:p>
    <w:p w14:paraId="4705A31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Ahora bien, si el mercado somos todos, el asunto es ubicarse en la mejor posición, es decir que la economía está en que posición del mercado nos ubicamos, esto viene a graficarse luego en la división del trabajo. </w:t>
      </w:r>
    </w:p>
    <w:p w14:paraId="3E4E272F" w14:textId="77777777" w:rsidR="001925CE" w:rsidRPr="000D3432" w:rsidRDefault="001925CE" w:rsidP="00A95498">
      <w:pPr>
        <w:jc w:val="both"/>
        <w:rPr>
          <w:rFonts w:asciiTheme="minorHAnsi" w:hAnsiTheme="minorHAnsi"/>
          <w:szCs w:val="24"/>
        </w:rPr>
      </w:pPr>
    </w:p>
    <w:p w14:paraId="574205A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Parece que los juicios de valor que tiene el ser humano son fácilmente </w:t>
      </w:r>
      <w:r w:rsidRPr="000D3432">
        <w:rPr>
          <w:rFonts w:asciiTheme="minorHAnsi" w:hAnsiTheme="minorHAnsi"/>
          <w:szCs w:val="24"/>
        </w:rPr>
        <w:lastRenderedPageBreak/>
        <w:t xml:space="preserve">determinables por el tipo de cambios que realizan, es decir el tipo de compra venta. </w:t>
      </w:r>
    </w:p>
    <w:p w14:paraId="1ADF8766" w14:textId="77777777" w:rsidR="001925CE" w:rsidRPr="000D3432" w:rsidRDefault="001925CE" w:rsidP="00A95498">
      <w:pPr>
        <w:jc w:val="both"/>
        <w:rPr>
          <w:rFonts w:asciiTheme="minorHAnsi" w:hAnsiTheme="minorHAnsi"/>
          <w:szCs w:val="24"/>
        </w:rPr>
      </w:pPr>
    </w:p>
    <w:p w14:paraId="0C5A229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El concepto de poder lo define todo, poder comprar, poder tener enamorada, poder, poder, poder.</w:t>
      </w:r>
    </w:p>
    <w:p w14:paraId="78ED6F63" w14:textId="77777777" w:rsidR="001925CE" w:rsidRPr="000D3432" w:rsidRDefault="001925CE" w:rsidP="00A95498">
      <w:pPr>
        <w:jc w:val="both"/>
        <w:rPr>
          <w:rFonts w:asciiTheme="minorHAnsi" w:hAnsiTheme="minorHAnsi"/>
          <w:szCs w:val="24"/>
        </w:rPr>
      </w:pPr>
    </w:p>
    <w:p w14:paraId="47D7312F"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Se dice que la economía descansa en la utilidad, pero no es la utilidad, sino las ganas lo que determina la economía.</w:t>
      </w:r>
    </w:p>
    <w:p w14:paraId="2586BA9B" w14:textId="77777777" w:rsidR="001925CE" w:rsidRPr="000D3432" w:rsidRDefault="001925CE" w:rsidP="00A95498">
      <w:pPr>
        <w:jc w:val="center"/>
        <w:rPr>
          <w:rFonts w:asciiTheme="minorHAnsi" w:hAnsiTheme="minorHAnsi"/>
          <w:b/>
          <w:szCs w:val="24"/>
        </w:rPr>
      </w:pPr>
    </w:p>
    <w:p w14:paraId="3CB1A0AE"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br w:type="page"/>
      </w:r>
    </w:p>
    <w:p w14:paraId="056DFAEC" w14:textId="77777777" w:rsidR="001925CE" w:rsidRPr="000D3432" w:rsidRDefault="001925CE" w:rsidP="00A95498">
      <w:pPr>
        <w:jc w:val="center"/>
        <w:rPr>
          <w:rFonts w:asciiTheme="minorHAnsi" w:hAnsiTheme="minorHAnsi"/>
          <w:b/>
          <w:szCs w:val="24"/>
        </w:rPr>
      </w:pPr>
    </w:p>
    <w:p w14:paraId="673FDCB0" w14:textId="77777777" w:rsidR="001925CE" w:rsidRPr="000D3432" w:rsidRDefault="001925CE" w:rsidP="00A95498">
      <w:pPr>
        <w:jc w:val="center"/>
        <w:rPr>
          <w:rFonts w:asciiTheme="minorHAnsi" w:hAnsiTheme="minorHAnsi"/>
          <w:b/>
          <w:szCs w:val="24"/>
        </w:rPr>
      </w:pPr>
    </w:p>
    <w:p w14:paraId="18024B8B" w14:textId="77777777" w:rsidR="001925CE" w:rsidRPr="000D3432" w:rsidRDefault="001925CE" w:rsidP="00A95498">
      <w:pPr>
        <w:jc w:val="both"/>
        <w:rPr>
          <w:rFonts w:asciiTheme="minorHAnsi" w:hAnsiTheme="minorHAnsi"/>
          <w:b/>
          <w:szCs w:val="24"/>
        </w:rPr>
      </w:pPr>
    </w:p>
    <w:p w14:paraId="2B18D3C9" w14:textId="77777777" w:rsidR="001925CE" w:rsidRPr="000D3432" w:rsidRDefault="001925CE" w:rsidP="00A95498">
      <w:pPr>
        <w:jc w:val="center"/>
        <w:rPr>
          <w:rFonts w:asciiTheme="minorHAnsi" w:hAnsiTheme="minorHAnsi"/>
          <w:b/>
          <w:szCs w:val="24"/>
        </w:rPr>
      </w:pPr>
    </w:p>
    <w:p w14:paraId="72819A03" w14:textId="77777777" w:rsidR="001925CE" w:rsidRPr="000D3432" w:rsidRDefault="001925CE" w:rsidP="00A95498">
      <w:pPr>
        <w:jc w:val="center"/>
        <w:rPr>
          <w:rFonts w:asciiTheme="minorHAnsi" w:hAnsiTheme="minorHAnsi"/>
          <w:szCs w:val="24"/>
        </w:rPr>
      </w:pPr>
    </w:p>
    <w:p w14:paraId="70FE56AE" w14:textId="77777777" w:rsidR="001925CE" w:rsidRPr="000D3432" w:rsidRDefault="001925CE" w:rsidP="00A95498">
      <w:pPr>
        <w:jc w:val="center"/>
        <w:rPr>
          <w:rFonts w:asciiTheme="minorHAnsi" w:hAnsiTheme="minorHAnsi"/>
          <w:b/>
          <w:bCs/>
          <w:szCs w:val="24"/>
          <w:u w:val="single"/>
        </w:rPr>
      </w:pPr>
    </w:p>
    <w:p w14:paraId="68503922" w14:textId="77777777" w:rsidR="001925CE" w:rsidRPr="000D3432" w:rsidRDefault="001925CE" w:rsidP="00A95498">
      <w:pPr>
        <w:jc w:val="center"/>
        <w:rPr>
          <w:rFonts w:asciiTheme="minorHAnsi" w:hAnsiTheme="minorHAnsi"/>
          <w:b/>
          <w:bCs/>
          <w:szCs w:val="24"/>
          <w:u w:val="single"/>
        </w:rPr>
      </w:pPr>
    </w:p>
    <w:p w14:paraId="68ACCB27" w14:textId="77777777" w:rsidR="001925CE" w:rsidRPr="000D3432" w:rsidRDefault="001925CE" w:rsidP="00A95498">
      <w:pPr>
        <w:jc w:val="center"/>
        <w:rPr>
          <w:rFonts w:asciiTheme="minorHAnsi" w:hAnsiTheme="minorHAnsi"/>
          <w:b/>
          <w:bCs/>
          <w:szCs w:val="24"/>
          <w:u w:val="single"/>
        </w:rPr>
      </w:pPr>
    </w:p>
    <w:p w14:paraId="47FA9665" w14:textId="77777777" w:rsidR="001925CE" w:rsidRPr="000D3432" w:rsidRDefault="001925CE" w:rsidP="00A95498">
      <w:pPr>
        <w:jc w:val="center"/>
        <w:rPr>
          <w:rFonts w:asciiTheme="minorHAnsi" w:hAnsiTheme="minorHAnsi"/>
          <w:b/>
          <w:bCs/>
          <w:szCs w:val="24"/>
          <w:u w:val="single"/>
        </w:rPr>
      </w:pPr>
      <w:r w:rsidRPr="000D3432">
        <w:rPr>
          <w:rFonts w:asciiTheme="minorHAnsi" w:hAnsiTheme="minorHAnsi"/>
          <w:b/>
          <w:bCs/>
          <w:szCs w:val="24"/>
          <w:u w:val="single"/>
        </w:rPr>
        <w:t>CAPÍTULO XIV</w:t>
      </w:r>
    </w:p>
    <w:p w14:paraId="73688ADD" w14:textId="77777777" w:rsidR="001925CE" w:rsidRPr="000D3432" w:rsidRDefault="001925CE" w:rsidP="00A95498">
      <w:pPr>
        <w:jc w:val="center"/>
        <w:rPr>
          <w:rFonts w:asciiTheme="minorHAnsi" w:hAnsiTheme="minorHAnsi"/>
          <w:b/>
          <w:bCs/>
          <w:szCs w:val="24"/>
        </w:rPr>
      </w:pPr>
      <w:r w:rsidRPr="000D3432">
        <w:rPr>
          <w:rFonts w:asciiTheme="minorHAnsi" w:hAnsiTheme="minorHAnsi"/>
          <w:b/>
          <w:bCs/>
          <w:szCs w:val="24"/>
        </w:rPr>
        <w:t>VOLUNTAD JURÍDICA</w:t>
      </w:r>
    </w:p>
    <w:p w14:paraId="0CA428E3" w14:textId="77777777" w:rsidR="001925CE" w:rsidRPr="000D3432" w:rsidRDefault="001925CE" w:rsidP="00A95498">
      <w:pPr>
        <w:jc w:val="center"/>
        <w:rPr>
          <w:rFonts w:asciiTheme="minorHAnsi" w:hAnsiTheme="minorHAnsi"/>
          <w:b/>
          <w:bCs/>
          <w:szCs w:val="24"/>
        </w:rPr>
      </w:pPr>
    </w:p>
    <w:p w14:paraId="10C155D3" w14:textId="77777777" w:rsidR="001925CE" w:rsidRPr="000D3432" w:rsidRDefault="001925CE" w:rsidP="00A95498">
      <w:pPr>
        <w:jc w:val="center"/>
        <w:rPr>
          <w:rFonts w:asciiTheme="minorHAnsi" w:hAnsiTheme="minorHAnsi"/>
          <w:b/>
          <w:bCs/>
          <w:szCs w:val="24"/>
        </w:rPr>
      </w:pPr>
    </w:p>
    <w:p w14:paraId="64062C75" w14:textId="77777777" w:rsidR="001925CE" w:rsidRPr="000D3432" w:rsidRDefault="001925CE" w:rsidP="00A95498">
      <w:pPr>
        <w:jc w:val="both"/>
        <w:rPr>
          <w:rFonts w:asciiTheme="minorHAnsi" w:hAnsiTheme="minorHAnsi"/>
          <w:szCs w:val="24"/>
        </w:rPr>
      </w:pPr>
    </w:p>
    <w:p w14:paraId="5BE4762B" w14:textId="77777777" w:rsidR="001925CE" w:rsidRPr="000D3432" w:rsidRDefault="001925CE" w:rsidP="00A95498">
      <w:pPr>
        <w:ind w:left="1275"/>
        <w:jc w:val="both"/>
        <w:rPr>
          <w:rFonts w:asciiTheme="minorHAnsi" w:hAnsiTheme="minorHAnsi"/>
          <w:szCs w:val="24"/>
        </w:rPr>
      </w:pPr>
      <w:r w:rsidRPr="000D3432">
        <w:rPr>
          <w:rFonts w:asciiTheme="minorHAnsi" w:hAnsiTheme="minorHAnsi"/>
          <w:szCs w:val="24"/>
        </w:rPr>
        <w:t>“En un sentido estricto, el usual, la voluntad supone la determinación libre y la facultad de elegir entre distintas posibilidades. “Querer -dice Ribot- es elegir para obrar”. Creemos ser la causa de nuestros actos voluntarios; nos atribuimos toda la responsabilidad en su formación y sus efectos. La voluntad aparece, pues, en aquellos fenómenos de los que somos o creemos ser nosotros mismos la causa.”</w:t>
      </w:r>
      <w:r w:rsidRPr="000D3432">
        <w:rPr>
          <w:rStyle w:val="Refdenotaalpie"/>
          <w:rFonts w:asciiTheme="minorHAnsi" w:hAnsiTheme="minorHAnsi"/>
          <w:sz w:val="24"/>
          <w:szCs w:val="24"/>
        </w:rPr>
        <w:footnoteReference w:id="424"/>
      </w:r>
    </w:p>
    <w:p w14:paraId="66963E83" w14:textId="77777777" w:rsidR="001925CE" w:rsidRPr="000D3432" w:rsidRDefault="001925CE" w:rsidP="00A95498">
      <w:pPr>
        <w:jc w:val="both"/>
        <w:rPr>
          <w:rFonts w:asciiTheme="minorHAnsi" w:hAnsiTheme="minorHAnsi"/>
          <w:szCs w:val="24"/>
        </w:rPr>
      </w:pPr>
    </w:p>
    <w:p w14:paraId="2CE92133"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 xml:space="preserve">La voluntad es el fenómeno más importante para el Derecho, si le creemos a Marco Aurelio Risolia en su libro </w:t>
      </w:r>
      <w:r w:rsidRPr="000D3432">
        <w:rPr>
          <w:rFonts w:asciiTheme="minorHAnsi" w:hAnsiTheme="minorHAnsi"/>
          <w:i/>
          <w:szCs w:val="24"/>
        </w:rPr>
        <w:t>Soberanía y crisis del contrato en nuestra legislación civil</w:t>
      </w:r>
      <w:r w:rsidRPr="000D3432">
        <w:rPr>
          <w:rFonts w:asciiTheme="minorHAnsi" w:hAnsiTheme="minorHAnsi"/>
          <w:szCs w:val="24"/>
        </w:rPr>
        <w:t xml:space="preserve">. Y más si empieza parafraseando a Portalis: “El derecho es la voluntad”. Pero no es cualquier voluntad es la voluntad coordinada con la voluntad de los demás. Y, entonces, ¿qué es la voluntad? Habría que problematizar el asunto para entenderlo, para disolverlo. La voluntad es un hacer o no hacer, podría decirse en términos del código. ¿Pero a qué responde este hacer o no hacer? Un hacer o no hacer que nace de nosotros, que depende de nosotros. Somos nosotros la causa. Pero la voluntad, como es un fenómeno interno, un proceso mental interno, se puede teorizar por medio de la psicología, pero jurídicamente sólo se puede apreciar mediante sus efectos. Somos la causa, pero son los efectos los que podemos tratar jurídicamente. </w:t>
      </w:r>
    </w:p>
    <w:p w14:paraId="06AB73CD" w14:textId="77777777" w:rsidR="001925CE" w:rsidRPr="000D3432" w:rsidRDefault="001925CE" w:rsidP="00A95498">
      <w:pPr>
        <w:jc w:val="both"/>
        <w:rPr>
          <w:rFonts w:asciiTheme="minorHAnsi" w:hAnsiTheme="minorHAnsi"/>
          <w:b/>
          <w:szCs w:val="24"/>
        </w:rPr>
      </w:pPr>
    </w:p>
    <w:p w14:paraId="7A8643E1"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La voluntad es difícil de reconocer objetivamente. No se sabe de ella más que de sus efectos. Son estos efectos los que la configuran, las que permiten una apreciación objetiva.  Sólo se “sabe reconocer la voluntad jurídica sobre todo por sus efectos, de los que la ley habla con detalle. Relega, pues, la determinación y la estimación del acto voluntario al dominio de la psicología; el estudio de sus conexiones con el  juicio, al de la lógica.”</w:t>
      </w:r>
      <w:r w:rsidRPr="000D3432">
        <w:rPr>
          <w:rStyle w:val="Refdenotaalpie"/>
          <w:rFonts w:asciiTheme="minorHAnsi" w:hAnsiTheme="minorHAnsi"/>
          <w:sz w:val="24"/>
          <w:szCs w:val="24"/>
        </w:rPr>
        <w:footnoteReference w:id="425"/>
      </w:r>
      <w:r w:rsidRPr="000D3432">
        <w:rPr>
          <w:rFonts w:asciiTheme="minorHAnsi" w:hAnsiTheme="minorHAnsi"/>
          <w:szCs w:val="24"/>
        </w:rPr>
        <w:t xml:space="preserve">. Causas y efectos separados inevitablemente. El estudio del proceso interno de la voluntad no está en el campo del derecho. No si entendemos al derecho como regulador de conductas, pero si de las conductas como fenómeno externo. La medicina mental, sicología y psicoanálisis, son más bien las que se encargan de estudiar y tratar los fenómenos internos, complejos de la voluntad, etc. Sin embargo, cabe </w:t>
      </w:r>
      <w:r w:rsidRPr="000D3432">
        <w:rPr>
          <w:rFonts w:asciiTheme="minorHAnsi" w:hAnsiTheme="minorHAnsi"/>
          <w:szCs w:val="24"/>
        </w:rPr>
        <w:lastRenderedPageBreak/>
        <w:t xml:space="preserve">recalcar que en el Derecho Penal lo más cercano al estudio de la voluntad es el dolo. Esta configura la intención del autor de hacer o no hacer algo. Pero esta intención sólo se puede probar objetivamente mediante representaciones externas de la voluntad, mediante aproximaciones, o indicios que, operadas a través del razonamiento lógico, puedan conducirnos a una conclusión posible de culpabilidad, consecuencia de una determinada voluntad, intención, o dolo. Cuando se habla de dolo se cree estar hablando de la voluntad: capacidad para decidir hacer o no hacer algo. Facultad para elegir y decidir nuestras conductas. El dolo es un elemento del delito. Pero lo que se castiga en el Derecho Penal no es el dolo, sino sus consecuencias. El dolo es sólo el nexo, la relación, indispensable, para determinar la culpabilidad responsable. Si el dolo se queda en la configuración mental, en un simple “yo quise o tenía la intención de hacerlo”, no surte efectos jurídicos. No es el querer, sino la obra, la exteriorización de nuestro dolo, lo organizado por el derecho. El dolo en materia civil, en el Derecho civil es “la voluntad maliciosa que persigue deslealmente el beneficio propio o el daño de otro al realizar cualquier acto o contrato, valiéndose de argucias y sutilezas o de la ignorancia ajena; pero sin intervención ni de la fuerza ni de amenazas, constitutivas una y otra de otros vicios jurídicos.” (Guillermo Cabanellas). Curioso inicio de la definición del dolo en el Derecho civil: “Voluntad maliciosa…”. Pero ¿puede ser malicioso buscar el beneficio propio? En estricto sensu creo que no. Lo malicioso es un convenio por el cual se pretende involucrar al otro como medida de nuestros actos, de la permisibilidad de nuestra voluntad. Es en referencia al otro, a los otros como puede configurarse social y jurídicamente nuestra voluntad. Nuestra voluntad, entonces, ya no es hacer lo que uno quiere, sin limitación alguna, sino hacer lo que nos está permitido hacer, esto jurídicamente hablando. O mejor, puede nuestra voluntad querer, pero este querer, esa exteriorización de nuestro querer siempre a de ser medida por la propia exterioridad, por el mundo de afuera. Es el mundo de afuera, entonces, el que intenta determinar nuestra voluntad, quienes intentan decirnos qué voluntad debemos tener. Pero como escribe Luis Diez Picazo no se puede imponernos deberes (tu voluntad debe ser); el derecho sólo impone sanciones. El derecho es normativo justamente por eso, porque impone sanciones frente a determinadas conductas. Olvidémonos, mediante una operación de abstracción, de los diferentes tipos de normas, como por ejemplo, las prescriptivas, dispositivas, etc. Aquellas sólo se refieren a los tipos de leyes, y no a las normas. Porque la norma es más una consecuencia determinada, es más imputación que hecho, que supuesto de hecho. El Derecho es también consecuencia, respuesta a un fenómeno social determinado. No es un hecho, sino consecuencia, otra vez, imputación kelseniana si se quiere. El Derecho es normativo porque es indicativo de las conductas intersubjetivas. Estas conductas tienen una causa. La causa es la voluntad, si hablamos del mundo consciente. El azar o las circunstancias, si hablamos desde otra perspectiva. ¿Y el contrato? ¿Dónde queda el contrato? El contrato es un mini derecho, construido, fabricado, como pequeños moldes, chiquititos y modestos, fabricados en la voluntad, en el querer consciente. Ese contrato surte efectos de norma jurídica, ¿por qué? Porque la norma jurídica es un mandato con eficacia social de organización (Luis Diez Picazo), ¿y no es precisamente lo que pretende ser un contrato? Lo que se puede decir es que el contrato es norma jurídica por </w:t>
      </w:r>
      <w:r w:rsidRPr="000D3432">
        <w:rPr>
          <w:rFonts w:asciiTheme="minorHAnsi" w:hAnsiTheme="minorHAnsi"/>
          <w:szCs w:val="24"/>
        </w:rPr>
        <w:lastRenderedPageBreak/>
        <w:t xml:space="preserve">querer, o pretender organizar socialmente a las partes, eficazmente. Y que estos acuerdos, acuerdos de voluntades de las partes, son tomados como mandatos, es decir como obligatorios. Son susceptibles de ser impuestos por la función coactiva del Estado. Creada ya una relación jurídica patrimonial, en caso de ser incumplida esta relación, el Estado tiene la facultad para usar su fuerza coactiva. El fin, hacer que el contrato se cumpla. </w:t>
      </w:r>
    </w:p>
    <w:p w14:paraId="0BE708BA" w14:textId="77777777" w:rsidR="001925CE" w:rsidRPr="000D3432" w:rsidRDefault="001925CE" w:rsidP="00A95498">
      <w:pPr>
        <w:ind w:firstLine="425"/>
        <w:jc w:val="both"/>
        <w:rPr>
          <w:rFonts w:asciiTheme="minorHAnsi" w:hAnsiTheme="minorHAnsi"/>
          <w:szCs w:val="24"/>
        </w:rPr>
      </w:pPr>
      <w:r w:rsidRPr="000D3432">
        <w:rPr>
          <w:rFonts w:asciiTheme="minorHAnsi" w:hAnsiTheme="minorHAnsi"/>
          <w:szCs w:val="24"/>
        </w:rPr>
        <w:t>No obstante, cuando la voluntad es representada, o exteriorizada en un contrato, el Derecho no se encarga de hacer cumplir esas voluntades concertadas, sino de imponer sanciones en caso de no cumplir con esas voluntades concertadas. Esta afirmación parece salir de Luis Diez Picazo que explica que la norma jurídica nunca impone deberes, sino sanciones: “No existen deberes, sólo existen sanciones”. “Las normas jurídicas únicamente pueden imponer sanciones”. “Los particulares no están obligados por las normas, sino simplemente expuestos a sufrir una sanción, si se presenta la hipótesis expuesta por la norma.”. “Las normas de derecho no pueden imponer conductas, porque el comportamiento humano es algo enteramente voluntario y libre. Las normas de derecho pueden únicamente imponer sanciones”</w:t>
      </w:r>
      <w:r w:rsidRPr="000D3432">
        <w:rPr>
          <w:rStyle w:val="Refdenotaalpie"/>
          <w:rFonts w:asciiTheme="minorHAnsi" w:hAnsiTheme="minorHAnsi"/>
          <w:sz w:val="24"/>
          <w:szCs w:val="24"/>
        </w:rPr>
        <w:footnoteReference w:id="426"/>
      </w:r>
      <w:r w:rsidRPr="000D3432">
        <w:rPr>
          <w:rFonts w:asciiTheme="minorHAnsi" w:hAnsiTheme="minorHAnsi"/>
          <w:szCs w:val="24"/>
        </w:rPr>
        <w:t xml:space="preserve">. Diez Picazo aplica aún más este razonamiento y dice que “en rigor, jurídicamente, no se debe, sino que se es responsable.”. Vaya lío. El contrato sería la voluntad como representación, el mundo como representación de la voluntad. </w:t>
      </w:r>
    </w:p>
    <w:p w14:paraId="39466FF5" w14:textId="77777777" w:rsidR="001925CE" w:rsidRPr="000D3432" w:rsidRDefault="001925CE" w:rsidP="00A95498">
      <w:pPr>
        <w:jc w:val="both"/>
        <w:rPr>
          <w:rFonts w:asciiTheme="minorHAnsi" w:hAnsiTheme="minorHAnsi"/>
          <w:szCs w:val="24"/>
        </w:rPr>
      </w:pPr>
    </w:p>
    <w:p w14:paraId="5E41E02B"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t>* * *</w:t>
      </w:r>
    </w:p>
    <w:p w14:paraId="2041CD7B" w14:textId="77777777" w:rsidR="001925CE" w:rsidRPr="000D3432" w:rsidRDefault="001925CE" w:rsidP="00A95498">
      <w:pPr>
        <w:jc w:val="both"/>
        <w:rPr>
          <w:rFonts w:asciiTheme="minorHAnsi" w:hAnsiTheme="minorHAnsi"/>
          <w:szCs w:val="24"/>
        </w:rPr>
      </w:pPr>
    </w:p>
    <w:p w14:paraId="1774A4D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Si continuamos con la idea planteada por Marco Aurelio Risolia, que parafraseando a Stammler  escribe: “…la noción misma del derecho no es más que un aspecto del problema de la voluntad;… el derecho es pura y simplemente una voluntad que tiende a la consecución de determinados fines, valiéndose de determinados medios aptos para su realización; que la génesis psicológica de la noción de derecho radica en el germen común de toda voluntad”</w:t>
      </w:r>
    </w:p>
    <w:p w14:paraId="70E414E1" w14:textId="77777777" w:rsidR="001925CE" w:rsidRPr="000D3432" w:rsidRDefault="001925CE" w:rsidP="00A95498">
      <w:pPr>
        <w:jc w:val="both"/>
        <w:rPr>
          <w:rFonts w:asciiTheme="minorHAnsi" w:hAnsiTheme="minorHAnsi"/>
          <w:szCs w:val="24"/>
        </w:rPr>
      </w:pPr>
    </w:p>
    <w:p w14:paraId="790200F5"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“La voluntad, como elemento de la psicología, sólo es determinable por abstracción. Ni conocemos su esencia individualizada ni nos es dado precisar sus caracteres genéricos y diferenciales. Nuestras observaciones se ciñen, en suma, a la consideración objetiva del acto voluntario y de los seres dotados de voluntad.”</w:t>
      </w:r>
      <w:r w:rsidRPr="000D3432">
        <w:rPr>
          <w:rStyle w:val="Refdenotaalpie"/>
          <w:rFonts w:asciiTheme="minorHAnsi" w:hAnsiTheme="minorHAnsi"/>
          <w:sz w:val="24"/>
          <w:szCs w:val="24"/>
        </w:rPr>
        <w:footnoteReference w:id="427"/>
      </w:r>
    </w:p>
    <w:p w14:paraId="5CEBB5B5" w14:textId="77777777" w:rsidR="001925CE" w:rsidRPr="000D3432" w:rsidRDefault="001925CE" w:rsidP="00A95498">
      <w:pPr>
        <w:jc w:val="both"/>
        <w:rPr>
          <w:rFonts w:asciiTheme="minorHAnsi" w:hAnsiTheme="minorHAnsi"/>
          <w:szCs w:val="24"/>
        </w:rPr>
      </w:pPr>
    </w:p>
    <w:p w14:paraId="59A6C09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“No existe, arguye Höffding, y Roustan lo ratifica, ningún estado que sea pura representación, puro sentimiento, o pura voluntad. Conocimiento, sensibilidad, voluntad, aparecen en cada acto de conciencia y se condicionan sin materializarse. La voluntad, sin embargo, que es como la síntesis -no la suma- de todas las fuerzas que implican los estados de conciencia, reúne lo diverso, y hace del conjunto, por su unión, ‘el contenido de una sola y misma conciencia’.</w:t>
      </w:r>
      <w:r w:rsidRPr="000D3432">
        <w:rPr>
          <w:rStyle w:val="Refdenotaalpie"/>
          <w:rFonts w:asciiTheme="minorHAnsi" w:hAnsiTheme="minorHAnsi"/>
          <w:sz w:val="24"/>
          <w:szCs w:val="24"/>
        </w:rPr>
        <w:footnoteReference w:id="428"/>
      </w:r>
    </w:p>
    <w:p w14:paraId="6D37208B" w14:textId="77777777" w:rsidR="001925CE" w:rsidRPr="000D3432" w:rsidRDefault="001925CE" w:rsidP="00A95498">
      <w:pPr>
        <w:jc w:val="both"/>
        <w:rPr>
          <w:rFonts w:asciiTheme="minorHAnsi" w:hAnsiTheme="minorHAnsi"/>
          <w:szCs w:val="24"/>
        </w:rPr>
      </w:pPr>
    </w:p>
    <w:p w14:paraId="76E85D78"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“De cualquier modo, la voluntad es el aspecto activo de la vida consciente. El signo que la denuncia es la acción; su manifestación objetiva, el acto </w:t>
      </w:r>
      <w:r w:rsidRPr="000D3432">
        <w:rPr>
          <w:rFonts w:asciiTheme="minorHAnsi" w:hAnsiTheme="minorHAnsi"/>
          <w:szCs w:val="24"/>
        </w:rPr>
        <w:lastRenderedPageBreak/>
        <w:t>voluntario.”</w:t>
      </w:r>
      <w:r w:rsidRPr="000D3432">
        <w:rPr>
          <w:rStyle w:val="Refdenotaalpie"/>
          <w:rFonts w:asciiTheme="minorHAnsi" w:hAnsiTheme="minorHAnsi"/>
          <w:sz w:val="24"/>
          <w:szCs w:val="24"/>
        </w:rPr>
        <w:footnoteReference w:id="429"/>
      </w:r>
    </w:p>
    <w:p w14:paraId="4B56B0DD" w14:textId="77777777" w:rsidR="001925CE" w:rsidRPr="000D3432" w:rsidRDefault="001925CE" w:rsidP="00A95498">
      <w:pPr>
        <w:jc w:val="both"/>
        <w:rPr>
          <w:rFonts w:asciiTheme="minorHAnsi" w:hAnsiTheme="minorHAnsi"/>
          <w:szCs w:val="24"/>
        </w:rPr>
      </w:pPr>
    </w:p>
    <w:p w14:paraId="57CBFA41"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“Prescindiremos de los actos espontáneos, reflejos, instintivos, habituales, que algunos autores hacen caber dentro del concepto de la </w:t>
      </w:r>
      <w:r w:rsidRPr="000D3432">
        <w:rPr>
          <w:rFonts w:asciiTheme="minorHAnsi" w:hAnsiTheme="minorHAnsi"/>
          <w:i/>
          <w:szCs w:val="24"/>
        </w:rPr>
        <w:t>voluntad automática,</w:t>
      </w:r>
      <w:r w:rsidRPr="000D3432">
        <w:rPr>
          <w:rFonts w:asciiTheme="minorHAnsi" w:hAnsiTheme="minorHAnsi"/>
          <w:szCs w:val="24"/>
        </w:rPr>
        <w:t xml:space="preserve"> con el que especula a veces el derecho, sobre todo en los casos de responsabilidad delictual. A nosotros nos interesa la voluntad como fórmula superior de la vida psíquica; la voluntad que elige y prefiere entre distintos impulsos; la voluntad que delibera y obra con eficacia. Nos interesa, pues, la voluntad reflexiva”.</w:t>
      </w:r>
      <w:r w:rsidRPr="000D3432">
        <w:rPr>
          <w:rStyle w:val="Refdenotaalpie"/>
          <w:rFonts w:asciiTheme="minorHAnsi" w:hAnsiTheme="minorHAnsi"/>
          <w:sz w:val="24"/>
          <w:szCs w:val="24"/>
        </w:rPr>
        <w:footnoteReference w:id="430"/>
      </w:r>
    </w:p>
    <w:p w14:paraId="474C8600" w14:textId="77777777" w:rsidR="001925CE" w:rsidRPr="000D3432" w:rsidRDefault="001925CE" w:rsidP="00A95498">
      <w:pPr>
        <w:jc w:val="both"/>
        <w:rPr>
          <w:rFonts w:asciiTheme="minorHAnsi" w:hAnsiTheme="minorHAnsi"/>
          <w:szCs w:val="24"/>
        </w:rPr>
      </w:pPr>
    </w:p>
    <w:p w14:paraId="5DBD878A" w14:textId="77777777" w:rsidR="001925CE" w:rsidRPr="000D3432" w:rsidRDefault="001925CE" w:rsidP="00A95498">
      <w:pPr>
        <w:jc w:val="both"/>
        <w:rPr>
          <w:rFonts w:asciiTheme="minorHAnsi" w:hAnsiTheme="minorHAnsi"/>
          <w:szCs w:val="24"/>
        </w:rPr>
      </w:pPr>
    </w:p>
    <w:p w14:paraId="4B05954B" w14:textId="77777777" w:rsidR="001925CE" w:rsidRPr="000D3432" w:rsidRDefault="001925CE" w:rsidP="00A95498">
      <w:pPr>
        <w:jc w:val="both"/>
        <w:rPr>
          <w:rFonts w:asciiTheme="minorHAnsi" w:hAnsiTheme="minorHAnsi"/>
          <w:szCs w:val="24"/>
        </w:rPr>
      </w:pPr>
    </w:p>
    <w:p w14:paraId="303D481F" w14:textId="77777777" w:rsidR="001925CE" w:rsidRPr="000D3432" w:rsidRDefault="001925CE" w:rsidP="00A95498">
      <w:pPr>
        <w:jc w:val="both"/>
        <w:rPr>
          <w:rFonts w:asciiTheme="minorHAnsi" w:hAnsiTheme="minorHAnsi"/>
          <w:szCs w:val="24"/>
        </w:rPr>
      </w:pPr>
    </w:p>
    <w:p w14:paraId="3A0499FD" w14:textId="77777777" w:rsidR="001925CE" w:rsidRPr="000D3432" w:rsidRDefault="001925CE" w:rsidP="00A95498">
      <w:pPr>
        <w:jc w:val="both"/>
        <w:rPr>
          <w:rFonts w:asciiTheme="minorHAnsi" w:hAnsiTheme="minorHAnsi"/>
          <w:szCs w:val="24"/>
        </w:rPr>
      </w:pPr>
    </w:p>
    <w:p w14:paraId="5D9458BF" w14:textId="77777777" w:rsidR="001925CE" w:rsidRPr="000D3432" w:rsidRDefault="001925CE" w:rsidP="00A95498">
      <w:pPr>
        <w:jc w:val="both"/>
        <w:rPr>
          <w:rFonts w:asciiTheme="minorHAnsi" w:hAnsiTheme="minorHAnsi"/>
          <w:szCs w:val="24"/>
        </w:rPr>
      </w:pPr>
    </w:p>
    <w:p w14:paraId="1F1D8F6D" w14:textId="77777777" w:rsidR="001925CE" w:rsidRPr="000D3432" w:rsidRDefault="001925CE" w:rsidP="00A95498">
      <w:pPr>
        <w:jc w:val="both"/>
        <w:rPr>
          <w:rFonts w:asciiTheme="minorHAnsi" w:hAnsiTheme="minorHAnsi"/>
          <w:szCs w:val="24"/>
        </w:rPr>
      </w:pPr>
    </w:p>
    <w:p w14:paraId="4C13FBA0" w14:textId="77777777" w:rsidR="001925CE" w:rsidRPr="000D3432" w:rsidRDefault="001925CE" w:rsidP="00A95498">
      <w:pPr>
        <w:jc w:val="both"/>
        <w:rPr>
          <w:rFonts w:asciiTheme="minorHAnsi" w:hAnsiTheme="minorHAnsi"/>
          <w:szCs w:val="24"/>
        </w:rPr>
      </w:pPr>
    </w:p>
    <w:p w14:paraId="35A8F75A"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br w:type="page"/>
      </w:r>
    </w:p>
    <w:p w14:paraId="2E260373" w14:textId="77777777" w:rsidR="001925CE" w:rsidRPr="000D3432" w:rsidRDefault="001925CE" w:rsidP="00A95498">
      <w:pPr>
        <w:jc w:val="both"/>
        <w:rPr>
          <w:rFonts w:asciiTheme="minorHAnsi" w:hAnsiTheme="minorHAnsi"/>
          <w:szCs w:val="24"/>
        </w:rPr>
      </w:pPr>
    </w:p>
    <w:p w14:paraId="035F1EC2" w14:textId="77777777" w:rsidR="001925CE" w:rsidRPr="000D3432" w:rsidRDefault="001925CE" w:rsidP="00A95498">
      <w:pPr>
        <w:jc w:val="both"/>
        <w:rPr>
          <w:rFonts w:asciiTheme="minorHAnsi" w:hAnsiTheme="minorHAnsi"/>
          <w:szCs w:val="24"/>
        </w:rPr>
      </w:pPr>
    </w:p>
    <w:p w14:paraId="732BB2FE" w14:textId="77777777" w:rsidR="001925CE" w:rsidRPr="000D3432" w:rsidRDefault="001925CE" w:rsidP="00A95498">
      <w:pPr>
        <w:jc w:val="both"/>
        <w:rPr>
          <w:rFonts w:asciiTheme="minorHAnsi" w:hAnsiTheme="minorHAnsi"/>
          <w:szCs w:val="24"/>
        </w:rPr>
      </w:pPr>
    </w:p>
    <w:p w14:paraId="6E7EB527" w14:textId="77777777" w:rsidR="001925CE" w:rsidRPr="000D3432" w:rsidRDefault="001925CE" w:rsidP="00A95498">
      <w:pPr>
        <w:jc w:val="both"/>
        <w:rPr>
          <w:rFonts w:asciiTheme="minorHAnsi" w:hAnsiTheme="minorHAnsi"/>
          <w:szCs w:val="24"/>
        </w:rPr>
      </w:pPr>
    </w:p>
    <w:p w14:paraId="0DF8952D" w14:textId="77777777" w:rsidR="001925CE" w:rsidRPr="000D3432" w:rsidRDefault="001925CE" w:rsidP="00A95498">
      <w:pPr>
        <w:jc w:val="center"/>
        <w:rPr>
          <w:rFonts w:asciiTheme="minorHAnsi" w:hAnsiTheme="minorHAnsi"/>
          <w:b/>
          <w:bCs/>
          <w:szCs w:val="24"/>
          <w:u w:val="single"/>
        </w:rPr>
      </w:pPr>
    </w:p>
    <w:p w14:paraId="147FAA81" w14:textId="77777777" w:rsidR="001925CE" w:rsidRPr="000D3432" w:rsidRDefault="001925CE" w:rsidP="00A95498">
      <w:pPr>
        <w:jc w:val="center"/>
        <w:rPr>
          <w:rFonts w:asciiTheme="minorHAnsi" w:hAnsiTheme="minorHAnsi"/>
          <w:b/>
          <w:bCs/>
          <w:szCs w:val="24"/>
          <w:u w:val="single"/>
        </w:rPr>
      </w:pPr>
    </w:p>
    <w:p w14:paraId="00BCD176" w14:textId="77777777" w:rsidR="001925CE" w:rsidRPr="000D3432" w:rsidRDefault="001925CE" w:rsidP="00A95498">
      <w:pPr>
        <w:jc w:val="center"/>
        <w:rPr>
          <w:rFonts w:asciiTheme="minorHAnsi" w:hAnsiTheme="minorHAnsi"/>
          <w:b/>
          <w:bCs/>
          <w:szCs w:val="24"/>
          <w:u w:val="single"/>
        </w:rPr>
      </w:pPr>
    </w:p>
    <w:p w14:paraId="66BC50FD" w14:textId="77777777" w:rsidR="001925CE" w:rsidRPr="000D3432" w:rsidRDefault="001925CE" w:rsidP="00A95498">
      <w:pPr>
        <w:jc w:val="center"/>
        <w:rPr>
          <w:rFonts w:asciiTheme="minorHAnsi" w:hAnsiTheme="minorHAnsi"/>
          <w:b/>
          <w:bCs/>
          <w:szCs w:val="24"/>
          <w:u w:val="single"/>
        </w:rPr>
      </w:pPr>
    </w:p>
    <w:p w14:paraId="617BF1CB" w14:textId="77777777" w:rsidR="001925CE" w:rsidRPr="000D3432" w:rsidRDefault="001925CE" w:rsidP="00A95498">
      <w:pPr>
        <w:jc w:val="center"/>
        <w:rPr>
          <w:rFonts w:asciiTheme="minorHAnsi" w:hAnsiTheme="minorHAnsi"/>
          <w:b/>
          <w:bCs/>
          <w:szCs w:val="24"/>
          <w:u w:val="single"/>
        </w:rPr>
      </w:pPr>
    </w:p>
    <w:p w14:paraId="6AF7F606" w14:textId="77777777" w:rsidR="001925CE" w:rsidRPr="000D3432" w:rsidRDefault="001925CE" w:rsidP="00A95498">
      <w:pPr>
        <w:jc w:val="center"/>
        <w:rPr>
          <w:rFonts w:asciiTheme="minorHAnsi" w:hAnsiTheme="minorHAnsi"/>
          <w:b/>
          <w:bCs/>
          <w:szCs w:val="24"/>
          <w:u w:val="single"/>
        </w:rPr>
      </w:pPr>
      <w:r w:rsidRPr="000D3432">
        <w:rPr>
          <w:rFonts w:asciiTheme="minorHAnsi" w:hAnsiTheme="minorHAnsi"/>
          <w:b/>
          <w:bCs/>
          <w:szCs w:val="24"/>
          <w:u w:val="single"/>
        </w:rPr>
        <w:t>CAPÍTULO XV</w:t>
      </w:r>
    </w:p>
    <w:p w14:paraId="45A638FE" w14:textId="77777777" w:rsidR="001925CE" w:rsidRPr="000D3432" w:rsidRDefault="001925CE" w:rsidP="00A95498">
      <w:pPr>
        <w:jc w:val="center"/>
        <w:rPr>
          <w:rFonts w:asciiTheme="minorHAnsi" w:hAnsiTheme="minorHAnsi"/>
          <w:szCs w:val="24"/>
        </w:rPr>
      </w:pPr>
      <w:r w:rsidRPr="000D3432">
        <w:rPr>
          <w:rFonts w:asciiTheme="minorHAnsi" w:hAnsiTheme="minorHAnsi"/>
          <w:b/>
          <w:bCs/>
          <w:szCs w:val="24"/>
        </w:rPr>
        <w:t>EPISTEMOLOGÍA DEL DERECHO</w:t>
      </w:r>
    </w:p>
    <w:p w14:paraId="14E54902" w14:textId="77777777" w:rsidR="001925CE" w:rsidRPr="000D3432" w:rsidRDefault="001925CE" w:rsidP="00A95498">
      <w:pPr>
        <w:jc w:val="both"/>
        <w:rPr>
          <w:rFonts w:asciiTheme="minorHAnsi" w:hAnsiTheme="minorHAnsi"/>
          <w:szCs w:val="24"/>
        </w:rPr>
      </w:pPr>
    </w:p>
    <w:p w14:paraId="639D813E" w14:textId="77777777" w:rsidR="001925CE" w:rsidRPr="000D3432" w:rsidRDefault="001925CE" w:rsidP="00A95498">
      <w:pPr>
        <w:jc w:val="both"/>
        <w:rPr>
          <w:rFonts w:asciiTheme="minorHAnsi" w:hAnsiTheme="minorHAnsi"/>
          <w:b/>
          <w:bCs/>
          <w:szCs w:val="24"/>
          <w:lang w:val="es-PE"/>
        </w:rPr>
      </w:pPr>
    </w:p>
    <w:p w14:paraId="2C741B4A" w14:textId="77777777" w:rsidR="001925CE" w:rsidRPr="000D3432" w:rsidRDefault="001925CE" w:rsidP="00A95498">
      <w:pPr>
        <w:jc w:val="both"/>
        <w:rPr>
          <w:rFonts w:asciiTheme="minorHAnsi" w:hAnsiTheme="minorHAnsi"/>
          <w:b/>
          <w:bCs/>
          <w:szCs w:val="24"/>
          <w:lang w:val="es-PE"/>
        </w:rPr>
      </w:pPr>
      <w:r w:rsidRPr="000D3432">
        <w:rPr>
          <w:rFonts w:asciiTheme="minorHAnsi" w:hAnsiTheme="minorHAnsi"/>
          <w:b/>
          <w:bCs/>
          <w:szCs w:val="24"/>
          <w:lang w:val="es-PE"/>
        </w:rPr>
        <w:t>1.- CONCEPTO DE EPISTEMOLOGÍA ACTUAL</w:t>
      </w:r>
    </w:p>
    <w:p w14:paraId="7D47B1B5" w14:textId="77777777" w:rsidR="001925CE" w:rsidRPr="000D3432" w:rsidRDefault="001925CE" w:rsidP="00A95498">
      <w:pPr>
        <w:jc w:val="both"/>
        <w:rPr>
          <w:rFonts w:asciiTheme="minorHAnsi" w:hAnsiTheme="minorHAnsi"/>
          <w:b/>
          <w:bCs/>
          <w:szCs w:val="24"/>
          <w:lang w:val="es-PE"/>
        </w:rPr>
      </w:pPr>
    </w:p>
    <w:p w14:paraId="42796610"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Es la rama de la Filosofía que estudia la investigación científica y su producto, el conocimiento científico, y consta de las siguientes ramas, de acuerdo a Fernando Salmerón: Lógica de la ciencia o investigación de los problemas lógicos y metodológicos concernientes a la lógica requerida por la ciencia. Así como la estructura lógica de las teorías científicas, 2, Semántica de la ciencia o investigación de los conceptos de referencia, representación, contenido, interpretación y afines que se presentan en la investigación científica o metacientífica.3. Teoría del Conocimiento científico, 4.- Metodología de la ciencia, 5.- Ontología de la ciencia, 6.- Axiología de la ciencia o estudio del sistema de valores de la comunidad científica, 7 .- Ética de la ciencia o investigación de las normas morales que cumplen o quiebran los investigadores científicos, 8.- Estética de la ciencia o estudio de los valores y canones estéticos de la investigación científica. </w:t>
      </w:r>
    </w:p>
    <w:p w14:paraId="464D50A6" w14:textId="77777777" w:rsidR="001925CE" w:rsidRPr="000D3432" w:rsidRDefault="001925CE" w:rsidP="00A95498">
      <w:pPr>
        <w:jc w:val="both"/>
        <w:rPr>
          <w:rFonts w:asciiTheme="minorHAnsi" w:hAnsiTheme="minorHAnsi"/>
          <w:b/>
          <w:bCs/>
          <w:szCs w:val="24"/>
          <w:lang w:val="es-PE"/>
        </w:rPr>
      </w:pPr>
    </w:p>
    <w:p w14:paraId="1F1BCC2B" w14:textId="77777777" w:rsidR="001925CE" w:rsidRPr="000D3432" w:rsidRDefault="001925CE" w:rsidP="00A95498">
      <w:pPr>
        <w:pStyle w:val="Textodecuerpo2"/>
        <w:spacing w:after="0" w:line="240" w:lineRule="auto"/>
        <w:rPr>
          <w:rFonts w:asciiTheme="minorHAnsi" w:hAnsiTheme="minorHAnsi"/>
          <w:szCs w:val="24"/>
        </w:rPr>
      </w:pPr>
      <w:r w:rsidRPr="000D3432">
        <w:rPr>
          <w:rFonts w:asciiTheme="minorHAnsi" w:hAnsiTheme="minorHAnsi"/>
          <w:szCs w:val="24"/>
        </w:rPr>
        <w:t>“Es la adopción de la lógica matemática como un nuevo instrumento del análisis del lenguaje científico” dice Luis Piscoya Hermosa</w:t>
      </w:r>
    </w:p>
    <w:p w14:paraId="08745BA0" w14:textId="77777777" w:rsidR="001925CE" w:rsidRPr="000D3432" w:rsidRDefault="001925CE" w:rsidP="00A95498">
      <w:pPr>
        <w:jc w:val="both"/>
        <w:rPr>
          <w:rFonts w:asciiTheme="minorHAnsi" w:hAnsiTheme="minorHAnsi"/>
          <w:szCs w:val="24"/>
          <w:lang w:val="es-PE"/>
        </w:rPr>
      </w:pPr>
    </w:p>
    <w:p w14:paraId="72EBBFF8" w14:textId="77777777" w:rsidR="001925CE" w:rsidRPr="000D3432" w:rsidRDefault="001925CE" w:rsidP="00A95498">
      <w:pPr>
        <w:jc w:val="both"/>
        <w:rPr>
          <w:rFonts w:asciiTheme="minorHAnsi" w:hAnsiTheme="minorHAnsi"/>
          <w:b/>
          <w:bCs/>
          <w:szCs w:val="24"/>
          <w:lang w:val="es-PE"/>
        </w:rPr>
      </w:pPr>
      <w:r w:rsidRPr="000D3432">
        <w:rPr>
          <w:rFonts w:asciiTheme="minorHAnsi" w:hAnsiTheme="minorHAnsi"/>
          <w:b/>
          <w:bCs/>
          <w:szCs w:val="24"/>
          <w:lang w:val="es-PE"/>
        </w:rPr>
        <w:t>2.- LA IMPORTANCIA DE LA EPISTEMOLOGÍA:</w:t>
      </w:r>
    </w:p>
    <w:p w14:paraId="59308BCC" w14:textId="77777777" w:rsidR="001925CE" w:rsidRPr="000D3432" w:rsidRDefault="001925CE" w:rsidP="00A95498">
      <w:pPr>
        <w:jc w:val="both"/>
        <w:rPr>
          <w:rFonts w:asciiTheme="minorHAnsi" w:hAnsiTheme="minorHAnsi"/>
          <w:szCs w:val="24"/>
          <w:lang w:val="es-PE"/>
        </w:rPr>
      </w:pPr>
    </w:p>
    <w:p w14:paraId="366FF0F2"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La historia de un nuevo tipo de conocimiento es siempre la historia del hombre enfrentado a la pregunta del porqué de la existencia, y del porqué del carácter o tipo de esta existencia; es una lucha entre el yo interno y el yo externo. Entre el yo y el ello; es buscar una explicación a nuestra propia existencia en relación directa con la existencia de los demás. Es preguntarse ¿Porqué existimos?, ¿porqué existen los demás?, ¿que implica esta existencia? Pues, nada menos que relación, relación intersubjetiva, entre sujetos de Derecho.</w:t>
      </w:r>
    </w:p>
    <w:p w14:paraId="7F7B3399" w14:textId="77777777" w:rsidR="001925CE" w:rsidRPr="000D3432" w:rsidRDefault="001925CE" w:rsidP="00A95498">
      <w:pPr>
        <w:jc w:val="both"/>
        <w:rPr>
          <w:rFonts w:asciiTheme="minorHAnsi" w:hAnsiTheme="minorHAnsi"/>
          <w:szCs w:val="24"/>
          <w:lang w:val="es-PE"/>
        </w:rPr>
      </w:pPr>
    </w:p>
    <w:p w14:paraId="347783EC"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La vida, es entonces, relación. Así, la existencia en sociedad deja de pertenecerle por completo al hombre, porque este ya no es un ente unidimensional, de una dimensión, sino, constituye una parte del todo, un órgano de la sociedad. Sociedad que le reclama deberes, y a la misma vez le otorga y promete derechos. Es esta conciencia internalizada lo que hace al hombre escribir, porque escribe sobre la relación, la relación de él con la sociedad, la relación que lo hace parte </w:t>
      </w:r>
      <w:r w:rsidRPr="000D3432">
        <w:rPr>
          <w:rFonts w:asciiTheme="minorHAnsi" w:hAnsiTheme="minorHAnsi"/>
          <w:szCs w:val="24"/>
          <w:lang w:val="es-PE"/>
        </w:rPr>
        <w:lastRenderedPageBreak/>
        <w:t xml:space="preserve">de esa sociedad. Por eso, en el fondo de todo escrito, de todo libro, existe no sólo conocimiento, sino relación del hombre con el mundo, con los demás. Un intento ineludible de darse y formularse explicaciones del porque de la existencia, del porqué de la relación con el mundo, de cómo, en fin de cuentas, hacer que esa relación sea mejor. De cómo hacer que la vida sea llevada lo mejor posible. </w:t>
      </w:r>
    </w:p>
    <w:p w14:paraId="680CBAA4" w14:textId="77777777" w:rsidR="001925CE" w:rsidRPr="000D3432" w:rsidRDefault="001925CE" w:rsidP="00A95498">
      <w:pPr>
        <w:jc w:val="both"/>
        <w:rPr>
          <w:rFonts w:asciiTheme="minorHAnsi" w:hAnsiTheme="minorHAnsi"/>
          <w:szCs w:val="24"/>
          <w:lang w:val="es-PE"/>
        </w:rPr>
      </w:pPr>
    </w:p>
    <w:p w14:paraId="4B611179"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Y, para que la vida sea lo mejor posible es necesario hacerla incorruptible, es decir, que no se filtren en ella elementos que la perturben, que la anulen, e impliquen un atentado contra nuestras sanas intenciones de vivir bien y mejor. Y entonces la nueva pregunta sería ¿cómo hacer incorruptible a la vida?, ¿cómo hacer que la corrupción no nos corrompa? Y esto es lo principal, porque hablar de corrupción no es sólo hablar de un tema moral, sino de un tema Ético, es decir: la corrupción es un atentado contra el propio individuo como fin supremo y último, como fin en sí mismo (como dijera Kant). Pues, entonces, ¿cómo hacer que la corrupción no nos corrompa, que no afecte nuestra constitución física y mental, y la desgarre hasta anularla?</w:t>
      </w:r>
    </w:p>
    <w:p w14:paraId="65E83E60" w14:textId="77777777" w:rsidR="001925CE" w:rsidRPr="000D3432" w:rsidRDefault="001925CE" w:rsidP="00A95498">
      <w:pPr>
        <w:jc w:val="both"/>
        <w:rPr>
          <w:rFonts w:asciiTheme="minorHAnsi" w:hAnsiTheme="minorHAnsi"/>
          <w:szCs w:val="24"/>
          <w:lang w:val="es-PE"/>
        </w:rPr>
      </w:pPr>
    </w:p>
    <w:p w14:paraId="19ADC68A"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¿Cómo eludir la corrupción, si esa parece ser la médula de la sociedad, de la vida en sociedad? Y aún más trágicocómico en el caso de los hombres del Derecho, que, según Friedrich Nietzsche, parecen ir siempre más allá del bien y del mal. ¿Cómo eludir la naturaleza extra formal del litigio y sus casi perfectas y lógicas formas de composición; que olvidan la naturaleza amoral de los intereses privados?</w:t>
      </w:r>
    </w:p>
    <w:p w14:paraId="3AA6518F" w14:textId="77777777" w:rsidR="001925CE" w:rsidRPr="000D3432" w:rsidRDefault="001925CE" w:rsidP="00A95498">
      <w:pPr>
        <w:jc w:val="both"/>
        <w:rPr>
          <w:rFonts w:asciiTheme="minorHAnsi" w:hAnsiTheme="minorHAnsi"/>
          <w:szCs w:val="24"/>
          <w:lang w:val="es-PE"/>
        </w:rPr>
      </w:pPr>
    </w:p>
    <w:p w14:paraId="1993A1FC"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¿Cómo, pues, no corromperse? Muchos siglos han pasado los hombres haciéndose esa pregunta, desde todos los ámbitos del saber; formulando respuestas diversas. Por ejemplo,desde la religión con la invención del pecado –como fórmula para anular la corrupción-; hasta las ciencias ocultas y sagradas, como la Alquimia (que buscabaun método para convertir las piedras en oro). Pero en la Alquimia originaria esa concepción se refería a los seres humanos. Así las piedras eran los hombres en potencia de corrupción, y era menester por ello  transformarlos en oro, en incorruptibles, es decir en aquello que representaba lo incorruptible (el oro, como sabemos, es un metal incorruptible por naturaleza). </w:t>
      </w:r>
    </w:p>
    <w:p w14:paraId="4FB9FB84" w14:textId="77777777" w:rsidR="001925CE" w:rsidRPr="000D3432" w:rsidRDefault="001925CE" w:rsidP="00A95498">
      <w:pPr>
        <w:jc w:val="both"/>
        <w:rPr>
          <w:rFonts w:asciiTheme="minorHAnsi" w:hAnsiTheme="minorHAnsi"/>
          <w:szCs w:val="24"/>
          <w:lang w:val="es-PE"/>
        </w:rPr>
      </w:pPr>
    </w:p>
    <w:p w14:paraId="2CF2CEEC"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Y luego la Filosofía, el Derecho, entre otros conocimientos, han intentado también hacer incorruptible al hombre, imputando muchas razones de ello y por ello, pero en el fondo de todo está sólo la búsqueda de un sentido en la vida, un sentido que nos haga dignos de vivir, de vivir en sociedad. Y hoy el mayor sentido alcanzado parece ser el de la Epistemología, de aquella Filosofía de las Ciencias. Donde la corrupción se alterna con una idea fundamental: pensar correctamente. Es decir, hacer lógica, lógica jurídica. Pensar correctamente para no ser corrupto, porque la corrección del pensar es un problema del lenguaje, de la gramática, pero la vida es mucho más que gramática. Pensar correctamente lleva en sí, un método contra la corrupción, porque está previniendo la corrupción del lenguaje, lenguaje que hace al hombre, lenguaje que expolia y extiende valores, puesto que a fin de cuentas la corrupción es cuestión lingüística, es decir, de aquello, que por el lenguaje entendemos que es corrupto. </w:t>
      </w:r>
      <w:r w:rsidRPr="000D3432">
        <w:rPr>
          <w:rFonts w:asciiTheme="minorHAnsi" w:hAnsiTheme="minorHAnsi"/>
          <w:szCs w:val="24"/>
          <w:lang w:val="es-PE"/>
        </w:rPr>
        <w:lastRenderedPageBreak/>
        <w:t xml:space="preserve">Un acto multidimensional que engarza el yo interno con el ello externo. </w:t>
      </w:r>
    </w:p>
    <w:p w14:paraId="79F8F0A6" w14:textId="77777777" w:rsidR="001925CE" w:rsidRPr="000D3432" w:rsidRDefault="001925CE" w:rsidP="00A95498">
      <w:pPr>
        <w:jc w:val="both"/>
        <w:rPr>
          <w:rFonts w:asciiTheme="minorHAnsi" w:hAnsiTheme="minorHAnsi"/>
          <w:szCs w:val="24"/>
          <w:lang w:val="es-PE"/>
        </w:rPr>
      </w:pPr>
    </w:p>
    <w:p w14:paraId="5E3503FE"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El lenguaje de la lógica pues se convierte en metalenguaje, en lenguaje que trata sobre el lenguaje – diría Lyotard-.Y de eso trata la Epistemología del Derecho, sobre las formas de composición de la vida humana a través de la normatividad jurídica, sobre las formas y explicaciones de nuestra vida en relación, relación jurídica; o en otras palabras, sobre la justificación o razón suficiente para actuar de cual o tal manera, Sobre lo motivos – o razones para sea válida la existencia en relación-. Y fue Leibniz el escogido, el que  hizo pues esta pregunta: la del porqué tenemos que dar explicaciones de nuestra existencia, de lo que hacemos o no hacemos, si estos actos conciernen a todos, a la sociedad. Y hoy nuestro amable maestro nos ha regalado con las explicaciones del porqué los motivos de nuestra vida en relación. </w:t>
      </w:r>
    </w:p>
    <w:p w14:paraId="32E7127F" w14:textId="77777777" w:rsidR="001925CE" w:rsidRPr="000D3432" w:rsidRDefault="001925CE" w:rsidP="00A95498">
      <w:pPr>
        <w:jc w:val="both"/>
        <w:rPr>
          <w:rFonts w:asciiTheme="minorHAnsi" w:hAnsiTheme="minorHAnsi"/>
          <w:szCs w:val="24"/>
          <w:lang w:val="es-PE"/>
        </w:rPr>
      </w:pPr>
    </w:p>
    <w:p w14:paraId="65BD6934"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El libro en sí es una narrativa epistemológica sobre el porqué de las relaciones intersubjetivas, del porqué tenemos que dar explicaciones de nuestra existencia (existencia que es conducta). </w:t>
      </w:r>
    </w:p>
    <w:p w14:paraId="2E79CC47" w14:textId="77777777" w:rsidR="001925CE" w:rsidRPr="000D3432" w:rsidRDefault="001925CE" w:rsidP="00A95498">
      <w:pPr>
        <w:jc w:val="both"/>
        <w:rPr>
          <w:rFonts w:asciiTheme="minorHAnsi" w:hAnsiTheme="minorHAnsi"/>
          <w:szCs w:val="24"/>
          <w:lang w:val="es-PE"/>
        </w:rPr>
      </w:pPr>
    </w:p>
    <w:p w14:paraId="119E9836"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El libro es pues un hermoso retrato del porqué tenemos que dar explicaciones de nuestras relaciones con los demás. Y porqué tenemos que dar explicaciones de nuestros actos, de nuestras decisiones? Porque somos, como personas, un fin en sí mismo –como dijera Kant. </w:t>
      </w:r>
    </w:p>
    <w:p w14:paraId="0C420FFC" w14:textId="77777777" w:rsidR="001925CE" w:rsidRPr="000D3432" w:rsidRDefault="001925CE" w:rsidP="00A95498">
      <w:pPr>
        <w:jc w:val="both"/>
        <w:rPr>
          <w:rFonts w:asciiTheme="minorHAnsi" w:hAnsiTheme="minorHAnsi"/>
          <w:szCs w:val="24"/>
          <w:lang w:val="es-PE"/>
        </w:rPr>
      </w:pPr>
    </w:p>
    <w:p w14:paraId="5D6BEB25" w14:textId="77777777" w:rsidR="001925CE" w:rsidRPr="000D3432" w:rsidRDefault="001925CE" w:rsidP="00A95498">
      <w:pPr>
        <w:jc w:val="both"/>
        <w:rPr>
          <w:rFonts w:asciiTheme="minorHAnsi" w:hAnsiTheme="minorHAnsi"/>
          <w:szCs w:val="24"/>
          <w:lang w:val="es-PE"/>
        </w:rPr>
      </w:pPr>
      <w:r w:rsidRPr="000D3432">
        <w:rPr>
          <w:rFonts w:asciiTheme="minorHAnsi" w:hAnsiTheme="minorHAnsi"/>
          <w:szCs w:val="24"/>
          <w:lang w:val="es-PE"/>
        </w:rPr>
        <w:t xml:space="preserve">La Epistemología del Derecho es importante, pues, por la consistencia e insistencia en crear un nuevo sistema de composición normativa de la sociedad. </w:t>
      </w:r>
    </w:p>
    <w:p w14:paraId="1028D7EA" w14:textId="77777777" w:rsidR="001925CE" w:rsidRPr="000D3432" w:rsidRDefault="001925CE" w:rsidP="00A95498">
      <w:pPr>
        <w:jc w:val="both"/>
        <w:rPr>
          <w:rFonts w:asciiTheme="minorHAnsi" w:hAnsiTheme="minorHAnsi"/>
          <w:szCs w:val="24"/>
          <w:lang w:val="es-PE"/>
        </w:rPr>
      </w:pPr>
    </w:p>
    <w:p w14:paraId="09EFEDF3" w14:textId="77777777" w:rsidR="001925CE" w:rsidRPr="000D3432" w:rsidRDefault="001925CE" w:rsidP="00A95498">
      <w:pPr>
        <w:jc w:val="both"/>
        <w:rPr>
          <w:rFonts w:asciiTheme="minorHAnsi" w:hAnsiTheme="minorHAnsi"/>
          <w:szCs w:val="24"/>
          <w:lang w:val="es-PE"/>
        </w:rPr>
      </w:pPr>
    </w:p>
    <w:p w14:paraId="548830C2" w14:textId="77777777" w:rsidR="001925CE" w:rsidRPr="000D3432" w:rsidRDefault="001925CE" w:rsidP="00A95498">
      <w:pPr>
        <w:rPr>
          <w:rFonts w:asciiTheme="minorHAnsi" w:hAnsiTheme="minorHAnsi"/>
          <w:szCs w:val="24"/>
        </w:rPr>
      </w:pPr>
    </w:p>
    <w:p w14:paraId="07C36623" w14:textId="77777777" w:rsidR="001925CE" w:rsidRPr="000D3432" w:rsidRDefault="001925CE" w:rsidP="00A95498">
      <w:pPr>
        <w:jc w:val="center"/>
        <w:rPr>
          <w:rFonts w:asciiTheme="minorHAnsi" w:hAnsiTheme="minorHAnsi"/>
          <w:szCs w:val="24"/>
        </w:rPr>
      </w:pPr>
      <w:r w:rsidRPr="000D3432">
        <w:rPr>
          <w:rFonts w:asciiTheme="minorHAnsi" w:hAnsiTheme="minorHAnsi"/>
          <w:szCs w:val="24"/>
        </w:rPr>
        <w:br w:type="page"/>
      </w:r>
    </w:p>
    <w:p w14:paraId="6E31F027" w14:textId="77777777" w:rsidR="001925CE" w:rsidRPr="000D3432" w:rsidRDefault="001925CE" w:rsidP="00A95498">
      <w:pPr>
        <w:jc w:val="center"/>
        <w:rPr>
          <w:rFonts w:asciiTheme="minorHAnsi" w:hAnsiTheme="minorHAnsi"/>
          <w:szCs w:val="24"/>
        </w:rPr>
      </w:pPr>
    </w:p>
    <w:p w14:paraId="0CD70527" w14:textId="77777777" w:rsidR="001925CE" w:rsidRPr="000D3432" w:rsidRDefault="001925CE" w:rsidP="00A95498">
      <w:pPr>
        <w:jc w:val="center"/>
        <w:rPr>
          <w:rFonts w:asciiTheme="minorHAnsi" w:hAnsiTheme="minorHAnsi"/>
          <w:szCs w:val="24"/>
        </w:rPr>
      </w:pPr>
    </w:p>
    <w:p w14:paraId="2FED5BBF" w14:textId="77777777" w:rsidR="001925CE" w:rsidRPr="000D3432" w:rsidRDefault="001925CE" w:rsidP="00A95498">
      <w:pPr>
        <w:jc w:val="center"/>
        <w:rPr>
          <w:rFonts w:asciiTheme="minorHAnsi" w:hAnsiTheme="minorHAnsi"/>
          <w:b/>
          <w:szCs w:val="24"/>
          <w:u w:val="single"/>
        </w:rPr>
      </w:pPr>
    </w:p>
    <w:p w14:paraId="3FE5792A" w14:textId="77777777" w:rsidR="001925CE" w:rsidRPr="000D3432" w:rsidRDefault="001925CE" w:rsidP="00A95498">
      <w:pPr>
        <w:jc w:val="center"/>
        <w:rPr>
          <w:rFonts w:asciiTheme="minorHAnsi" w:hAnsiTheme="minorHAnsi"/>
          <w:b/>
          <w:szCs w:val="24"/>
          <w:u w:val="single"/>
        </w:rPr>
      </w:pPr>
    </w:p>
    <w:p w14:paraId="616624BC" w14:textId="77777777" w:rsidR="001925CE" w:rsidRPr="000D3432" w:rsidRDefault="001925CE" w:rsidP="00A95498">
      <w:pPr>
        <w:jc w:val="center"/>
        <w:rPr>
          <w:rFonts w:asciiTheme="minorHAnsi" w:hAnsiTheme="minorHAnsi"/>
          <w:b/>
          <w:szCs w:val="24"/>
          <w:u w:val="single"/>
        </w:rPr>
      </w:pPr>
    </w:p>
    <w:p w14:paraId="269C3064" w14:textId="77777777" w:rsidR="001925CE" w:rsidRPr="000D3432" w:rsidRDefault="001925CE" w:rsidP="00A95498">
      <w:pPr>
        <w:jc w:val="center"/>
        <w:rPr>
          <w:rFonts w:asciiTheme="minorHAnsi" w:hAnsiTheme="minorHAnsi"/>
          <w:b/>
          <w:szCs w:val="24"/>
        </w:rPr>
      </w:pPr>
    </w:p>
    <w:p w14:paraId="50F93BFA" w14:textId="77777777" w:rsidR="001925CE" w:rsidRPr="000D3432" w:rsidRDefault="001925CE" w:rsidP="00A95498">
      <w:pPr>
        <w:jc w:val="center"/>
        <w:rPr>
          <w:rFonts w:asciiTheme="minorHAnsi" w:hAnsiTheme="minorHAnsi"/>
          <w:b/>
          <w:szCs w:val="24"/>
        </w:rPr>
      </w:pPr>
    </w:p>
    <w:p w14:paraId="047EC2E3" w14:textId="77777777" w:rsidR="001925CE" w:rsidRPr="000D3432" w:rsidRDefault="001925CE" w:rsidP="00A95498">
      <w:pPr>
        <w:jc w:val="center"/>
        <w:rPr>
          <w:rFonts w:asciiTheme="minorHAnsi" w:hAnsiTheme="minorHAnsi"/>
          <w:b/>
          <w:szCs w:val="24"/>
        </w:rPr>
      </w:pPr>
    </w:p>
    <w:p w14:paraId="0E072282" w14:textId="77777777" w:rsidR="001925CE" w:rsidRPr="000D3432" w:rsidRDefault="001925CE" w:rsidP="00A95498">
      <w:pPr>
        <w:jc w:val="center"/>
        <w:rPr>
          <w:rFonts w:asciiTheme="minorHAnsi" w:hAnsiTheme="minorHAnsi"/>
          <w:b/>
          <w:szCs w:val="24"/>
          <w:u w:val="single"/>
        </w:rPr>
      </w:pPr>
      <w:r w:rsidRPr="000D3432">
        <w:rPr>
          <w:rFonts w:asciiTheme="minorHAnsi" w:hAnsiTheme="minorHAnsi"/>
          <w:b/>
          <w:szCs w:val="24"/>
          <w:u w:val="single"/>
        </w:rPr>
        <w:t>CAPÍTULO XVI</w:t>
      </w:r>
    </w:p>
    <w:p w14:paraId="42C396DD" w14:textId="77777777" w:rsidR="001925CE" w:rsidRPr="000D3432" w:rsidRDefault="001925CE" w:rsidP="00A95498">
      <w:pPr>
        <w:jc w:val="center"/>
        <w:rPr>
          <w:rFonts w:asciiTheme="minorHAnsi" w:hAnsiTheme="minorHAnsi"/>
          <w:b/>
          <w:szCs w:val="24"/>
        </w:rPr>
      </w:pPr>
      <w:r w:rsidRPr="000D3432">
        <w:rPr>
          <w:rFonts w:asciiTheme="minorHAnsi" w:hAnsiTheme="minorHAnsi"/>
          <w:b/>
          <w:szCs w:val="24"/>
        </w:rPr>
        <w:t>DERECHO Y AMOR</w:t>
      </w:r>
    </w:p>
    <w:p w14:paraId="42594490" w14:textId="75A8328F" w:rsidR="00616998" w:rsidRPr="000D3432" w:rsidRDefault="00616998" w:rsidP="00A95498">
      <w:pPr>
        <w:jc w:val="center"/>
        <w:rPr>
          <w:rFonts w:asciiTheme="minorHAnsi" w:hAnsiTheme="minorHAnsi"/>
          <w:b/>
          <w:szCs w:val="24"/>
        </w:rPr>
      </w:pPr>
      <w:r w:rsidRPr="000D3432">
        <w:rPr>
          <w:rFonts w:asciiTheme="minorHAnsi" w:hAnsiTheme="minorHAnsi"/>
          <w:b/>
          <w:szCs w:val="24"/>
        </w:rPr>
        <w:t>(La muerte del Derecho)</w:t>
      </w:r>
    </w:p>
    <w:p w14:paraId="647F7A9E" w14:textId="77777777" w:rsidR="001925CE" w:rsidRPr="000D3432" w:rsidRDefault="001925CE" w:rsidP="00A95498">
      <w:pPr>
        <w:jc w:val="both"/>
        <w:rPr>
          <w:rFonts w:asciiTheme="minorHAnsi" w:hAnsiTheme="minorHAnsi"/>
          <w:b/>
          <w:szCs w:val="24"/>
        </w:rPr>
      </w:pPr>
    </w:p>
    <w:p w14:paraId="03365665" w14:textId="77777777" w:rsidR="001925CE" w:rsidRPr="000D3432" w:rsidRDefault="001925CE" w:rsidP="00A95498">
      <w:pPr>
        <w:jc w:val="both"/>
        <w:rPr>
          <w:rFonts w:asciiTheme="minorHAnsi" w:hAnsiTheme="minorHAnsi"/>
          <w:b/>
          <w:szCs w:val="24"/>
        </w:rPr>
      </w:pPr>
    </w:p>
    <w:p w14:paraId="569D18F6"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No se puede decir que el Derecho no tiene nada que ver con el amor. Eso sería una canallada al ser humano, porque el ser humano, la persona (ese centro o eje ideal de imputación de derechos y deberes) está hecho también de amor. Y el amor es más que una construcción, un producto de la educación, de las relaciones sociales que algo innato. No existe amor si no hay conocimiento, como no existe derecho si no hay conocimiento. El amor no es un sentimiento y nada más; es mucho más. Implica sentimiento y conocimiento. Un sentimiento como el amor no nace de la nada, un sentimiento no es sólo sentir. El sentir parece partir de un conocimiento. “No existe, arguye Hoffding, y Roustan lo ratifica, ningún estado que sea pura representación, puro sentimiento, o pura voluntad. Conocimiento, sensibilidad, voluntad, aparecen en cada acto de conciencia y se condicionan sin materializarse.”</w:t>
      </w:r>
      <w:r w:rsidRPr="000D3432">
        <w:rPr>
          <w:rStyle w:val="Refdenotaalpie"/>
          <w:rFonts w:asciiTheme="minorHAnsi" w:hAnsiTheme="minorHAnsi"/>
          <w:sz w:val="24"/>
          <w:szCs w:val="24"/>
        </w:rPr>
        <w:footnoteReference w:id="431"/>
      </w:r>
    </w:p>
    <w:p w14:paraId="63D37F04" w14:textId="77777777" w:rsidR="001925CE" w:rsidRPr="000D3432" w:rsidRDefault="001925CE" w:rsidP="00A95498">
      <w:pPr>
        <w:jc w:val="both"/>
        <w:rPr>
          <w:rFonts w:asciiTheme="minorHAnsi" w:hAnsiTheme="minorHAnsi"/>
          <w:szCs w:val="24"/>
        </w:rPr>
      </w:pPr>
    </w:p>
    <w:p w14:paraId="43BCB1A4"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Carnelutti propone una teoría. El amor puede reemplazar al derecho. Sólo necesitamos derecho porque no tenemos suficiente amor para auto organizarnos -dice. Y pone un ejemplo de su teoría:</w:t>
      </w:r>
    </w:p>
    <w:p w14:paraId="38F7BDB7" w14:textId="77777777" w:rsidR="001925CE" w:rsidRPr="000D3432" w:rsidRDefault="001925CE" w:rsidP="00A95498">
      <w:pPr>
        <w:jc w:val="both"/>
        <w:rPr>
          <w:rFonts w:asciiTheme="minorHAnsi" w:hAnsiTheme="minorHAnsi"/>
          <w:szCs w:val="24"/>
        </w:rPr>
      </w:pPr>
    </w:p>
    <w:p w14:paraId="1335E6DB" w14:textId="77777777" w:rsidR="001925CE" w:rsidRPr="000D3432" w:rsidRDefault="001925CE" w:rsidP="00A95498">
      <w:pPr>
        <w:jc w:val="both"/>
        <w:rPr>
          <w:rFonts w:asciiTheme="minorHAnsi" w:hAnsiTheme="minorHAnsi"/>
          <w:szCs w:val="24"/>
        </w:rPr>
      </w:pPr>
      <w:r w:rsidRPr="000D3432">
        <w:rPr>
          <w:rFonts w:asciiTheme="minorHAnsi" w:hAnsiTheme="minorHAnsi"/>
          <w:szCs w:val="24"/>
        </w:rPr>
        <w:t xml:space="preserve">“¿Por qué el padre y el hijo cristianos, para regular sus relaciones, aún las más importantes relaciones, no necesitan derecho? Porque, sencillamente, el padre ama al hijo y el hijo ama al padre. Ahora bien, la sabiduría del pueblo traduce </w:t>
      </w:r>
      <w:r w:rsidRPr="000D3432">
        <w:rPr>
          <w:rFonts w:asciiTheme="minorHAnsi" w:hAnsiTheme="minorHAnsi"/>
          <w:i/>
          <w:szCs w:val="24"/>
        </w:rPr>
        <w:t>amar</w:t>
      </w:r>
      <w:r w:rsidRPr="000D3432">
        <w:rPr>
          <w:rFonts w:asciiTheme="minorHAnsi" w:hAnsiTheme="minorHAnsi"/>
          <w:szCs w:val="24"/>
        </w:rPr>
        <w:t xml:space="preserve"> por </w:t>
      </w:r>
      <w:r w:rsidRPr="000D3432">
        <w:rPr>
          <w:rFonts w:asciiTheme="minorHAnsi" w:hAnsiTheme="minorHAnsi"/>
          <w:i/>
          <w:szCs w:val="24"/>
        </w:rPr>
        <w:t>querer bien</w:t>
      </w:r>
      <w:r w:rsidRPr="000D3432">
        <w:rPr>
          <w:rFonts w:asciiTheme="minorHAnsi" w:hAnsiTheme="minorHAnsi"/>
          <w:szCs w:val="24"/>
        </w:rPr>
        <w:t xml:space="preserve">, es decir, </w:t>
      </w:r>
      <w:r w:rsidRPr="000D3432">
        <w:rPr>
          <w:rFonts w:asciiTheme="minorHAnsi" w:hAnsiTheme="minorHAnsi"/>
          <w:i/>
          <w:szCs w:val="24"/>
        </w:rPr>
        <w:t>querer el bien del amado,</w:t>
      </w:r>
      <w:r w:rsidRPr="000D3432">
        <w:rPr>
          <w:rFonts w:asciiTheme="minorHAnsi" w:hAnsiTheme="minorHAnsi"/>
          <w:szCs w:val="24"/>
        </w:rPr>
        <w:t xml:space="preserve"> lo que no se explica de otro modo que reconociendo que el bien del amado es el bien del amante y recíprocamente. Así el bien del uno y del otro es el bien de la misma persona. Como los ladrillos se mantienen unidos, después que el arco está construido, en virtud de una fuerza interior, también una fuerza interior une a los hombres y hace de una muchedumbre una unidad: </w:t>
      </w:r>
      <w:r w:rsidRPr="000D3432">
        <w:rPr>
          <w:rFonts w:asciiTheme="minorHAnsi" w:hAnsiTheme="minorHAnsi"/>
          <w:i/>
          <w:szCs w:val="24"/>
        </w:rPr>
        <w:t>universum</w:t>
      </w:r>
      <w:r w:rsidRPr="000D3432">
        <w:rPr>
          <w:rFonts w:asciiTheme="minorHAnsi" w:hAnsiTheme="minorHAnsi"/>
          <w:szCs w:val="24"/>
        </w:rPr>
        <w:t xml:space="preserve">, dijeron los romanos, para significar el milagro de la </w:t>
      </w:r>
      <w:r w:rsidRPr="000D3432">
        <w:rPr>
          <w:rFonts w:asciiTheme="minorHAnsi" w:hAnsiTheme="minorHAnsi"/>
          <w:i/>
          <w:szCs w:val="24"/>
        </w:rPr>
        <w:t>versio in inum,</w:t>
      </w:r>
      <w:r w:rsidRPr="000D3432">
        <w:rPr>
          <w:rFonts w:asciiTheme="minorHAnsi" w:hAnsiTheme="minorHAnsi"/>
          <w:szCs w:val="24"/>
        </w:rPr>
        <w:t xml:space="preserve"> es decir el de las partes que forman el todo.”</w:t>
      </w:r>
      <w:r w:rsidRPr="000D3432">
        <w:rPr>
          <w:rStyle w:val="Refdenotaalpie"/>
          <w:rFonts w:asciiTheme="minorHAnsi" w:hAnsiTheme="minorHAnsi"/>
          <w:sz w:val="24"/>
          <w:szCs w:val="24"/>
        </w:rPr>
        <w:footnoteReference w:id="432"/>
      </w:r>
      <w:r w:rsidRPr="000D3432">
        <w:rPr>
          <w:rFonts w:asciiTheme="minorHAnsi" w:hAnsiTheme="minorHAnsi"/>
          <w:szCs w:val="24"/>
        </w:rPr>
        <w:t>.</w:t>
      </w:r>
    </w:p>
    <w:p w14:paraId="15E61D14" w14:textId="77777777" w:rsidR="001925CE" w:rsidRPr="000D3432" w:rsidRDefault="001925CE" w:rsidP="00A95498">
      <w:pPr>
        <w:jc w:val="both"/>
        <w:rPr>
          <w:rFonts w:asciiTheme="minorHAnsi" w:hAnsiTheme="minorHAnsi"/>
          <w:b/>
          <w:szCs w:val="24"/>
        </w:rPr>
      </w:pPr>
    </w:p>
    <w:p w14:paraId="37F6409D" w14:textId="77777777" w:rsidR="001925CE" w:rsidRPr="000D3432" w:rsidRDefault="001925CE" w:rsidP="00A95498">
      <w:pPr>
        <w:jc w:val="both"/>
        <w:rPr>
          <w:rFonts w:asciiTheme="minorHAnsi" w:hAnsiTheme="minorHAnsi"/>
          <w:b/>
          <w:szCs w:val="24"/>
        </w:rPr>
      </w:pPr>
    </w:p>
    <w:p w14:paraId="7D199149" w14:textId="77777777" w:rsidR="001925CE" w:rsidRPr="000D3432" w:rsidRDefault="001925CE" w:rsidP="00A95498">
      <w:pPr>
        <w:jc w:val="both"/>
        <w:rPr>
          <w:rFonts w:asciiTheme="minorHAnsi" w:hAnsiTheme="minorHAnsi"/>
          <w:b/>
          <w:szCs w:val="24"/>
        </w:rPr>
      </w:pPr>
    </w:p>
    <w:p w14:paraId="58E79DF2" w14:textId="77777777" w:rsidR="003279D3" w:rsidRPr="000D3432" w:rsidRDefault="003279D3" w:rsidP="00A95498">
      <w:pPr>
        <w:jc w:val="center"/>
        <w:rPr>
          <w:rFonts w:asciiTheme="minorHAnsi" w:hAnsiTheme="minorHAnsi"/>
          <w:b/>
          <w:szCs w:val="24"/>
        </w:rPr>
      </w:pPr>
    </w:p>
    <w:p w14:paraId="48A333A4" w14:textId="77777777" w:rsidR="003279D3" w:rsidRPr="000D3432" w:rsidRDefault="003279D3" w:rsidP="00A95498">
      <w:pPr>
        <w:jc w:val="center"/>
        <w:rPr>
          <w:rFonts w:asciiTheme="minorHAnsi" w:hAnsiTheme="minorHAnsi"/>
          <w:b/>
          <w:szCs w:val="24"/>
        </w:rPr>
      </w:pPr>
    </w:p>
    <w:p w14:paraId="3800F58B" w14:textId="77777777" w:rsidR="003279D3" w:rsidRPr="000D3432" w:rsidRDefault="003279D3" w:rsidP="00A95498">
      <w:pPr>
        <w:jc w:val="center"/>
        <w:rPr>
          <w:rFonts w:asciiTheme="minorHAnsi" w:hAnsiTheme="minorHAnsi"/>
          <w:b/>
          <w:szCs w:val="24"/>
        </w:rPr>
      </w:pPr>
    </w:p>
    <w:p w14:paraId="17D89C9B" w14:textId="77777777" w:rsidR="003279D3" w:rsidRPr="000D3432" w:rsidRDefault="003279D3" w:rsidP="00A95498">
      <w:pPr>
        <w:jc w:val="center"/>
        <w:rPr>
          <w:rFonts w:asciiTheme="minorHAnsi" w:hAnsiTheme="minorHAnsi"/>
          <w:b/>
          <w:szCs w:val="24"/>
        </w:rPr>
      </w:pPr>
    </w:p>
    <w:p w14:paraId="6BFCA83E" w14:textId="77777777" w:rsidR="003279D3" w:rsidRPr="000D3432" w:rsidRDefault="003279D3" w:rsidP="00A95498">
      <w:pPr>
        <w:jc w:val="center"/>
        <w:rPr>
          <w:rFonts w:asciiTheme="minorHAnsi" w:hAnsiTheme="minorHAnsi"/>
          <w:b/>
          <w:szCs w:val="24"/>
        </w:rPr>
      </w:pPr>
    </w:p>
    <w:p w14:paraId="56CF4CBB" w14:textId="77777777" w:rsidR="003279D3" w:rsidRPr="000D3432" w:rsidRDefault="003279D3" w:rsidP="00A95498">
      <w:pPr>
        <w:jc w:val="center"/>
        <w:rPr>
          <w:rFonts w:asciiTheme="minorHAnsi" w:hAnsiTheme="minorHAnsi"/>
          <w:b/>
          <w:szCs w:val="24"/>
        </w:rPr>
      </w:pPr>
    </w:p>
    <w:p w14:paraId="69BF85A9" w14:textId="77777777" w:rsidR="003279D3" w:rsidRPr="000D3432" w:rsidRDefault="003279D3" w:rsidP="00A95498">
      <w:pPr>
        <w:jc w:val="center"/>
        <w:rPr>
          <w:rFonts w:asciiTheme="minorHAnsi" w:hAnsiTheme="minorHAnsi"/>
          <w:b/>
          <w:szCs w:val="24"/>
        </w:rPr>
      </w:pPr>
    </w:p>
    <w:p w14:paraId="615E8DF7" w14:textId="2DA23348" w:rsidR="00FA0266" w:rsidRPr="000D3432" w:rsidRDefault="00677266" w:rsidP="00677266">
      <w:pPr>
        <w:jc w:val="both"/>
        <w:rPr>
          <w:rFonts w:asciiTheme="minorHAnsi" w:hAnsiTheme="minorHAnsi"/>
          <w:szCs w:val="24"/>
          <w:lang w:val="es-ES_tradnl"/>
        </w:rPr>
      </w:pPr>
      <w:r w:rsidRPr="000D3432">
        <w:rPr>
          <w:rFonts w:asciiTheme="minorHAnsi" w:hAnsiTheme="minorHAnsi"/>
          <w:szCs w:val="24"/>
          <w:lang w:val="es-ES_tradnl"/>
        </w:rPr>
        <w:br/>
      </w:r>
    </w:p>
    <w:p w14:paraId="03793512" w14:textId="77777777" w:rsidR="00FA0266" w:rsidRPr="000D3432" w:rsidRDefault="00FA0266" w:rsidP="00A95498">
      <w:pPr>
        <w:rPr>
          <w:rFonts w:asciiTheme="minorHAnsi" w:hAnsiTheme="minorHAnsi"/>
          <w:szCs w:val="24"/>
        </w:rPr>
      </w:pPr>
    </w:p>
    <w:p w14:paraId="5BF59C13" w14:textId="77777777" w:rsidR="00FA0266" w:rsidRPr="000D3432" w:rsidRDefault="00FA0266" w:rsidP="00A95498">
      <w:pPr>
        <w:rPr>
          <w:rFonts w:asciiTheme="minorHAnsi" w:hAnsiTheme="minorHAnsi"/>
          <w:szCs w:val="24"/>
        </w:rPr>
      </w:pPr>
    </w:p>
    <w:p w14:paraId="78716901" w14:textId="77777777" w:rsidR="00FA0266" w:rsidRPr="000D3432" w:rsidRDefault="00FA0266" w:rsidP="00A95498">
      <w:pPr>
        <w:jc w:val="center"/>
        <w:rPr>
          <w:rFonts w:asciiTheme="minorHAnsi" w:hAnsiTheme="minorHAnsi"/>
          <w:b/>
          <w:szCs w:val="24"/>
        </w:rPr>
      </w:pPr>
      <w:r w:rsidRPr="000D3432">
        <w:rPr>
          <w:rFonts w:asciiTheme="minorHAnsi" w:hAnsiTheme="minorHAnsi"/>
          <w:b/>
          <w:szCs w:val="24"/>
        </w:rPr>
        <w:t>SEGUNDA PARTE</w:t>
      </w:r>
    </w:p>
    <w:p w14:paraId="31D63EFB" w14:textId="77777777" w:rsidR="00FA0266" w:rsidRPr="000D3432" w:rsidRDefault="00FA0266" w:rsidP="00A95498">
      <w:pPr>
        <w:rPr>
          <w:rFonts w:asciiTheme="minorHAnsi" w:hAnsiTheme="minorHAnsi"/>
          <w:szCs w:val="24"/>
        </w:rPr>
      </w:pPr>
    </w:p>
    <w:p w14:paraId="033AE127" w14:textId="77777777" w:rsidR="00FA0266" w:rsidRPr="000D3432" w:rsidRDefault="00FA0266" w:rsidP="00A95498">
      <w:pPr>
        <w:jc w:val="center"/>
        <w:rPr>
          <w:rFonts w:asciiTheme="minorHAnsi" w:hAnsiTheme="minorHAnsi" w:cstheme="minorHAnsi"/>
          <w:b/>
          <w:bCs/>
          <w:color w:val="1F497D" w:themeColor="text2"/>
          <w:szCs w:val="24"/>
        </w:rPr>
      </w:pPr>
    </w:p>
    <w:p w14:paraId="04DC50F7" w14:textId="77777777" w:rsidR="00FA0266" w:rsidRPr="000D3432" w:rsidRDefault="00FA0266" w:rsidP="00A95498">
      <w:pPr>
        <w:jc w:val="center"/>
        <w:rPr>
          <w:rFonts w:asciiTheme="minorHAnsi" w:hAnsiTheme="minorHAnsi" w:cstheme="minorHAnsi"/>
          <w:b/>
          <w:bCs/>
          <w:color w:val="1F497D" w:themeColor="text2"/>
          <w:szCs w:val="24"/>
        </w:rPr>
      </w:pPr>
    </w:p>
    <w:p w14:paraId="131AC543" w14:textId="77777777" w:rsidR="00FA0266" w:rsidRPr="000D3432" w:rsidRDefault="00FA0266" w:rsidP="00A95498">
      <w:pPr>
        <w:jc w:val="center"/>
        <w:rPr>
          <w:rFonts w:asciiTheme="minorHAnsi" w:hAnsiTheme="minorHAnsi" w:cstheme="minorHAnsi"/>
          <w:b/>
          <w:bCs/>
          <w:color w:val="1F497D" w:themeColor="text2"/>
          <w:szCs w:val="24"/>
        </w:rPr>
      </w:pPr>
    </w:p>
    <w:p w14:paraId="1D0DDF44" w14:textId="77777777" w:rsidR="00FA0266" w:rsidRPr="000D3432" w:rsidRDefault="00FA0266" w:rsidP="00A95498">
      <w:pPr>
        <w:jc w:val="both"/>
        <w:rPr>
          <w:rFonts w:asciiTheme="minorHAnsi" w:hAnsiTheme="minorHAnsi" w:cs="Arial"/>
          <w:b/>
          <w:szCs w:val="24"/>
          <w:lang w:val="es-ES_tradnl"/>
        </w:rPr>
      </w:pPr>
    </w:p>
    <w:p w14:paraId="383AEB60" w14:textId="77777777" w:rsidR="00FA0266" w:rsidRPr="000D3432" w:rsidRDefault="00FA0266" w:rsidP="00A95498">
      <w:pPr>
        <w:jc w:val="both"/>
        <w:rPr>
          <w:rFonts w:asciiTheme="minorHAnsi" w:hAnsiTheme="minorHAnsi" w:cs="Arial"/>
          <w:b/>
          <w:szCs w:val="24"/>
          <w:lang w:val="es-ES_tradnl"/>
        </w:rPr>
      </w:pPr>
      <w:r w:rsidRPr="000D3432">
        <w:rPr>
          <w:rFonts w:asciiTheme="minorHAnsi" w:hAnsiTheme="minorHAnsi" w:cs="Arial"/>
          <w:b/>
          <w:szCs w:val="24"/>
          <w:lang w:val="es-ES_tradnl"/>
        </w:rPr>
        <w:br w:type="page"/>
      </w:r>
    </w:p>
    <w:p w14:paraId="47649A24" w14:textId="77777777" w:rsidR="00FA0266" w:rsidRPr="000D3432" w:rsidRDefault="00FA0266" w:rsidP="00A95498">
      <w:pPr>
        <w:jc w:val="both"/>
        <w:rPr>
          <w:rFonts w:asciiTheme="minorHAnsi" w:hAnsiTheme="minorHAnsi" w:cs="Arial"/>
          <w:b/>
          <w:szCs w:val="24"/>
          <w:lang w:val="es-ES_tradnl"/>
        </w:rPr>
      </w:pPr>
    </w:p>
    <w:p w14:paraId="797A2FDD" w14:textId="77777777" w:rsidR="00FA0266" w:rsidRPr="000D3432" w:rsidRDefault="00FA0266" w:rsidP="00A95498">
      <w:pPr>
        <w:jc w:val="both"/>
        <w:rPr>
          <w:rFonts w:asciiTheme="minorHAnsi" w:hAnsiTheme="minorHAnsi" w:cs="Arial"/>
          <w:b/>
          <w:szCs w:val="24"/>
          <w:lang w:val="es-ES_tradnl"/>
        </w:rPr>
      </w:pPr>
    </w:p>
    <w:p w14:paraId="5F8B3ADA" w14:textId="77777777" w:rsidR="00FA0266" w:rsidRPr="000D3432" w:rsidRDefault="00FA0266" w:rsidP="00A95498">
      <w:pPr>
        <w:jc w:val="both"/>
        <w:rPr>
          <w:rFonts w:asciiTheme="minorHAnsi" w:hAnsiTheme="minorHAnsi" w:cs="Arial"/>
          <w:b/>
          <w:szCs w:val="24"/>
          <w:lang w:val="es-ES_tradnl"/>
        </w:rPr>
      </w:pPr>
    </w:p>
    <w:p w14:paraId="7B5DA9EA" w14:textId="77777777" w:rsidR="00FA0266" w:rsidRPr="000D3432" w:rsidRDefault="00FA0266" w:rsidP="00A95498">
      <w:pPr>
        <w:jc w:val="both"/>
        <w:rPr>
          <w:rFonts w:asciiTheme="minorHAnsi" w:hAnsiTheme="minorHAnsi" w:cs="Arial"/>
          <w:b/>
          <w:szCs w:val="24"/>
          <w:lang w:val="es-ES_tradnl"/>
        </w:rPr>
      </w:pPr>
    </w:p>
    <w:p w14:paraId="534C655A" w14:textId="77777777" w:rsidR="00FA0266" w:rsidRPr="000D3432" w:rsidRDefault="00FA0266" w:rsidP="00A95498">
      <w:pPr>
        <w:jc w:val="center"/>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¡ARRIBA LAS MANOS!</w:t>
      </w:r>
    </w:p>
    <w:p w14:paraId="34D9048A" w14:textId="77777777" w:rsidR="00FA0266" w:rsidRPr="000D3432" w:rsidRDefault="00FA0266" w:rsidP="00A95498">
      <w:pPr>
        <w:jc w:val="center"/>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Y ENTREGA TU DINERO AL ESTADO</w:t>
      </w:r>
    </w:p>
    <w:p w14:paraId="048FE99E" w14:textId="77777777" w:rsidR="00FA0266" w:rsidRPr="000D3432" w:rsidRDefault="00FA0266" w:rsidP="00A95498">
      <w:pPr>
        <w:jc w:val="center"/>
        <w:rPr>
          <w:rFonts w:asciiTheme="minorHAnsi" w:hAnsiTheme="minorHAnsi" w:cs="Andalus"/>
          <w:bCs/>
          <w:color w:val="1F497D" w:themeColor="text2"/>
          <w:szCs w:val="24"/>
        </w:rPr>
      </w:pPr>
      <w:r w:rsidRPr="000D3432">
        <w:rPr>
          <w:rFonts w:asciiTheme="minorHAnsi" w:hAnsiTheme="minorHAnsi" w:cs="Andalus"/>
          <w:bCs/>
          <w:color w:val="1F497D" w:themeColor="text2"/>
          <w:szCs w:val="24"/>
        </w:rPr>
        <w:t>(Esbozos marginales sobre el Derecho Tributario)</w:t>
      </w:r>
    </w:p>
    <w:p w14:paraId="200210D1" w14:textId="77777777" w:rsidR="00FA0266" w:rsidRPr="000D3432" w:rsidRDefault="00FA0266" w:rsidP="00A95498">
      <w:pPr>
        <w:jc w:val="center"/>
        <w:rPr>
          <w:rFonts w:asciiTheme="minorHAnsi" w:hAnsiTheme="minorHAnsi"/>
          <w:b/>
          <w:szCs w:val="24"/>
        </w:rPr>
      </w:pPr>
    </w:p>
    <w:p w14:paraId="1C09EDCA" w14:textId="77777777" w:rsidR="00FA0266" w:rsidRPr="000D3432" w:rsidRDefault="00FA0266" w:rsidP="00A95498">
      <w:pPr>
        <w:jc w:val="both"/>
        <w:rPr>
          <w:rFonts w:asciiTheme="minorHAnsi" w:hAnsiTheme="minorHAnsi"/>
          <w:b/>
          <w:szCs w:val="24"/>
        </w:rPr>
      </w:pPr>
    </w:p>
    <w:p w14:paraId="43F41694" w14:textId="77777777" w:rsidR="00FA0266" w:rsidRPr="000D3432" w:rsidRDefault="00FA0266" w:rsidP="00A95498">
      <w:pPr>
        <w:jc w:val="both"/>
        <w:rPr>
          <w:rFonts w:asciiTheme="minorHAnsi" w:hAnsiTheme="minorHAnsi" w:cs="Arial"/>
          <w:b/>
          <w:szCs w:val="24"/>
          <w:lang w:val="es-ES_tradnl"/>
        </w:rPr>
      </w:pPr>
    </w:p>
    <w:p w14:paraId="06130E73" w14:textId="77777777" w:rsidR="00FA0266" w:rsidRPr="000D3432" w:rsidRDefault="00FA0266" w:rsidP="00A95498">
      <w:pPr>
        <w:pStyle w:val="Textodecuerpo21"/>
        <w:rPr>
          <w:rFonts w:asciiTheme="minorHAnsi" w:hAnsiTheme="minorHAnsi" w:cs="Arial"/>
          <w:b w:val="0"/>
          <w:sz w:val="24"/>
          <w:szCs w:val="24"/>
          <w:lang w:val="es-ES_tradnl"/>
        </w:rPr>
      </w:pPr>
    </w:p>
    <w:p w14:paraId="241E0DB9" w14:textId="77777777" w:rsidR="00FA0266" w:rsidRPr="000D3432" w:rsidRDefault="00FA0266" w:rsidP="00A95498">
      <w:pPr>
        <w:pStyle w:val="Ttulo1"/>
        <w:spacing w:line="240" w:lineRule="auto"/>
        <w:jc w:val="center"/>
        <w:rPr>
          <w:rFonts w:asciiTheme="minorHAnsi" w:hAnsiTheme="minorHAnsi"/>
          <w:sz w:val="24"/>
          <w:szCs w:val="24"/>
          <w:lang w:val="es-ES_tradnl"/>
        </w:rPr>
      </w:pPr>
      <w:bookmarkStart w:id="45" w:name="_Toc318102859"/>
      <w:r w:rsidRPr="000D3432">
        <w:rPr>
          <w:rFonts w:asciiTheme="minorHAnsi" w:hAnsiTheme="minorHAnsi"/>
          <w:sz w:val="24"/>
          <w:szCs w:val="24"/>
          <w:lang w:val="es-ES_tradnl"/>
        </w:rPr>
        <w:t>I.- INTRODUCCIÓN</w:t>
      </w:r>
      <w:bookmarkEnd w:id="45"/>
    </w:p>
    <w:p w14:paraId="300131AC" w14:textId="77777777" w:rsidR="00FA0266" w:rsidRPr="000D3432" w:rsidRDefault="00FA0266" w:rsidP="00A95498">
      <w:pPr>
        <w:jc w:val="center"/>
        <w:rPr>
          <w:rFonts w:asciiTheme="minorHAnsi" w:hAnsiTheme="minorHAnsi" w:cs="Arial"/>
          <w:b/>
          <w:color w:val="000000"/>
          <w:szCs w:val="24"/>
        </w:rPr>
      </w:pPr>
      <w:r w:rsidRPr="000D3432">
        <w:rPr>
          <w:rFonts w:asciiTheme="minorHAnsi" w:hAnsiTheme="minorHAnsi" w:cs="Arial"/>
          <w:b/>
          <w:color w:val="000000"/>
          <w:szCs w:val="24"/>
        </w:rPr>
        <w:t>El asalto del Estado o del Derecho Tributario</w:t>
      </w:r>
    </w:p>
    <w:p w14:paraId="38DB678E" w14:textId="77777777" w:rsidR="00FA0266" w:rsidRPr="000D3432" w:rsidRDefault="00FA0266" w:rsidP="00A95498">
      <w:pPr>
        <w:pStyle w:val="Textodecuerpo21"/>
        <w:rPr>
          <w:rFonts w:asciiTheme="minorHAnsi" w:hAnsiTheme="minorHAnsi" w:cs="Arial"/>
          <w:sz w:val="24"/>
          <w:szCs w:val="24"/>
          <w:lang w:val="es-ES_tradnl"/>
        </w:rPr>
      </w:pPr>
    </w:p>
    <w:p w14:paraId="542084C8" w14:textId="77777777" w:rsidR="00FA0266" w:rsidRPr="000D3432" w:rsidRDefault="00FA0266" w:rsidP="00A95498">
      <w:pPr>
        <w:ind w:left="2832"/>
        <w:jc w:val="both"/>
        <w:rPr>
          <w:rFonts w:asciiTheme="minorHAnsi" w:hAnsiTheme="minorHAnsi" w:cs="Arial"/>
          <w:szCs w:val="24"/>
          <w:lang w:val="es-ES_tradnl"/>
        </w:rPr>
      </w:pPr>
      <w:r w:rsidRPr="000D3432">
        <w:rPr>
          <w:rFonts w:asciiTheme="minorHAnsi" w:hAnsiTheme="minorHAnsi" w:cs="Arial"/>
          <w:i/>
          <w:szCs w:val="24"/>
          <w:lang w:val="es-ES_tradnl"/>
        </w:rPr>
        <w:t>“...Derecho Tributario es aquella que contiene el mandato: ‘entréguese dinero al Estado’.” Geraldo Ataliba</w:t>
      </w:r>
      <w:r w:rsidRPr="000D3432">
        <w:rPr>
          <w:rStyle w:val="Refdenotaalpie"/>
          <w:rFonts w:asciiTheme="minorHAnsi" w:hAnsiTheme="minorHAnsi" w:cs="Arial"/>
          <w:sz w:val="24"/>
          <w:szCs w:val="24"/>
          <w:lang w:val="es-ES_tradnl"/>
        </w:rPr>
        <w:footnoteReference w:id="433"/>
      </w:r>
    </w:p>
    <w:p w14:paraId="7E92D075" w14:textId="77777777" w:rsidR="00FA0266" w:rsidRPr="000D3432" w:rsidRDefault="00FA0266" w:rsidP="00A95498">
      <w:pPr>
        <w:pStyle w:val="Textodecuerpo21"/>
        <w:rPr>
          <w:rFonts w:asciiTheme="minorHAnsi" w:hAnsiTheme="minorHAnsi" w:cs="Arial"/>
          <w:sz w:val="24"/>
          <w:szCs w:val="24"/>
          <w:lang w:val="es-ES_tradnl"/>
        </w:rPr>
      </w:pPr>
    </w:p>
    <w:p w14:paraId="6154169B"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Para entender en qué consiste el Derecho Tributario podemos partir de la siguiente pregunta: ¿Porqué tributamos?, o dicho en otras palabras, ¿porqué entregamos parte de nuestra riqueza al Estado? Como se ve, desde ya estamos definiendo el objeto de estudio y regulación del Derecho Tributario: la relación jurídica nacida del acto de “entregar parte de nuestra riqueza al Estado”. Definidos también están los sujetos de esta relación jurídica: el Estado y la persona, enlazadas por el acto de tributar. Desde allí podemos definir al Derecho Tributario como un sistema normativo que regula las relaciones jurídicas nacidas de la determinación legal del acto de tributar, es decir, de aquellas relaciones que se derivan del acto de entregar parte de nuestra riqueza – dinero, etc.- al Estado.</w:t>
      </w:r>
    </w:p>
    <w:p w14:paraId="71F42D1E" w14:textId="77777777" w:rsidR="00FA0266" w:rsidRPr="000D3432" w:rsidRDefault="00FA0266" w:rsidP="00A95498">
      <w:pPr>
        <w:pStyle w:val="Textodecuerpo21"/>
        <w:rPr>
          <w:rFonts w:asciiTheme="minorHAnsi" w:hAnsiTheme="minorHAnsi" w:cs="Arial"/>
          <w:b w:val="0"/>
          <w:sz w:val="24"/>
          <w:szCs w:val="24"/>
          <w:lang w:val="es-ES_tradnl"/>
        </w:rPr>
      </w:pPr>
    </w:p>
    <w:p w14:paraId="3F73DEEB"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El Derecho Tributario se expresa, entonces, como la regulación de cierto tipo de acto: entrega de dinero al Estado. Cabe anotar, sin embargo, que este fenómeno –tributar- lleva en si una carga o “resistencia mental” que consiste en negarse a pagar tributos, en pensar cómo eludir, evadir, o pagar menos tributos. Esta resistencia mental se debe a la interiorización y conciencia de los posibles efectos y alcances particulares inmediatos del acto de tributar, es decir, de la afectación de nuestro patrimonio o riqueza; y del olvido o escepticismo respecto de los efectos sociales (Educación gratuita, salud, seguridad jurídica, servicios públicos, etc.) del sistema tributario. Así todo lo que tiene que ver con lo tributario se ve más bien como una intromisión en la vida económica, en la riqueza, de la persona. Y la validez y obediencia de la norma tributaria no alcanza a explicar y justificar su existencia.</w:t>
      </w:r>
    </w:p>
    <w:p w14:paraId="5B3BC37F" w14:textId="77777777" w:rsidR="00FA0266" w:rsidRPr="000D3432" w:rsidRDefault="00FA0266" w:rsidP="00A95498">
      <w:pPr>
        <w:pStyle w:val="Textodecuerpo21"/>
        <w:rPr>
          <w:rFonts w:asciiTheme="minorHAnsi" w:hAnsiTheme="minorHAnsi" w:cs="Arial"/>
          <w:b w:val="0"/>
          <w:sz w:val="24"/>
          <w:szCs w:val="24"/>
          <w:lang w:val="es-ES_tradnl"/>
        </w:rPr>
      </w:pPr>
    </w:p>
    <w:p w14:paraId="1EC7CF15"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Esta resistencia mental a tributar sólo puede ser vencida ejerciendo una </w:t>
      </w:r>
      <w:r w:rsidRPr="000D3432">
        <w:rPr>
          <w:rFonts w:asciiTheme="minorHAnsi" w:hAnsiTheme="minorHAnsi" w:cs="Arial"/>
          <w:b w:val="0"/>
          <w:sz w:val="24"/>
          <w:szCs w:val="24"/>
          <w:lang w:val="es-ES_tradnl"/>
        </w:rPr>
        <w:lastRenderedPageBreak/>
        <w:t>fuerza</w:t>
      </w:r>
      <w:r w:rsidRPr="000D3432">
        <w:rPr>
          <w:rFonts w:asciiTheme="minorHAnsi" w:hAnsiTheme="minorHAnsi" w:cs="Arial"/>
          <w:b w:val="0"/>
          <w:sz w:val="24"/>
          <w:szCs w:val="24"/>
          <w:vertAlign w:val="superscript"/>
          <w:lang w:val="es-ES_tradnl"/>
        </w:rPr>
        <w:footnoteReference w:id="434"/>
      </w:r>
      <w:r w:rsidRPr="000D3432">
        <w:rPr>
          <w:rFonts w:asciiTheme="minorHAnsi" w:hAnsiTheme="minorHAnsi" w:cs="Arial"/>
          <w:b w:val="0"/>
          <w:sz w:val="24"/>
          <w:szCs w:val="24"/>
          <w:lang w:val="es-ES_tradnl"/>
        </w:rPr>
        <w:t>, que no puede ser simplemente el uso físico o material de los mecanismos coactivos del Estado para hacerse obedecer; es necesario usar otro tipo de fuerza, la de  los motivos, o razones intelectuales que persuadan y convenzan al contribuyente a aceptar la imposición tributaria. Es decir se trata de razones jurídicas, porque disciplinan, “a través del raciocinio”, la conducta del ser humano, en orden a un interés superior, a una fuerza superior: la fuerza de la necesidad colectiva.</w:t>
      </w:r>
    </w:p>
    <w:p w14:paraId="72601A57" w14:textId="77777777" w:rsidR="00FA0266" w:rsidRPr="000D3432" w:rsidRDefault="00FA0266" w:rsidP="00A95498">
      <w:pPr>
        <w:pStyle w:val="Textodecuerpo21"/>
        <w:rPr>
          <w:rFonts w:asciiTheme="minorHAnsi" w:hAnsiTheme="minorHAnsi" w:cs="Arial"/>
          <w:b w:val="0"/>
          <w:sz w:val="24"/>
          <w:szCs w:val="24"/>
          <w:lang w:val="es-ES_tradnl"/>
        </w:rPr>
      </w:pPr>
    </w:p>
    <w:p w14:paraId="6BDF60E8"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Por eso para una persona que trabaja (como dependiente de una institución o  empresario, etc.), saber en qué consiste la tributación y cuales son sus razones de ser o existir, es un hecho trascendental, por presentarse más como acto económico que jurídico, acto económico que nace precisamente de una determinación legal. Tributar es pues, para la persona, un acto económico que afectará a su riqueza, el margen de las ganancias por su trabajo, por ejemplo. Así una persona tiene que habérselas con dos factores que inciden significativamente en su desarrollo económico, en su riqueza: El Estado (que le cobra tributos y por lo tanto afecta en su riqueza) y el Mercado (que traslada los tributos en el consumidor final a través de los precios, y por lo tanto también afecta a su riqueza).</w:t>
      </w:r>
    </w:p>
    <w:p w14:paraId="7395944C" w14:textId="77777777" w:rsidR="00FA0266" w:rsidRPr="000D3432" w:rsidRDefault="00FA0266" w:rsidP="00A95498">
      <w:pPr>
        <w:pStyle w:val="Textodecuerpo21"/>
        <w:rPr>
          <w:rFonts w:asciiTheme="minorHAnsi" w:hAnsiTheme="minorHAnsi" w:cs="Arial"/>
          <w:sz w:val="24"/>
          <w:szCs w:val="24"/>
          <w:lang w:val="es-ES_tradnl"/>
        </w:rPr>
      </w:pPr>
    </w:p>
    <w:p w14:paraId="4C6716BA"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Frente a este panorama, y como todos tienen el deber de pagar tributos, surge la necesidad de saber ¡el porqué de esto!, ¡porqué parte de nuestra riqueza tiene que ser entregada al Estado!, ¡y a cambio de qué! Por eso es imprescindible conocer cuál es la mecánica que da origen a los tributos, cómo funcionan y se aplican en la sociedad; y verificar si es realmente necesaria y justa, si la distribución de la carga tributaria está socialmente bien determinada, etc.</w:t>
      </w:r>
    </w:p>
    <w:p w14:paraId="29DFC5CC" w14:textId="77777777" w:rsidR="00FA0266" w:rsidRPr="000D3432" w:rsidRDefault="00FA0266" w:rsidP="00A95498">
      <w:pPr>
        <w:jc w:val="both"/>
        <w:rPr>
          <w:rFonts w:asciiTheme="minorHAnsi" w:hAnsiTheme="minorHAnsi" w:cs="Arial"/>
          <w:szCs w:val="24"/>
          <w:lang w:val="es-ES_tradnl"/>
        </w:rPr>
      </w:pPr>
    </w:p>
    <w:p w14:paraId="08B3EFFD"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En principio, las explicaciones que el Estado da sobre el destino y uso de los tributos recaudados son siempre oscuras y no evidencian nada tangible, por la imposibilidad del tributante de medir estos gastos, de sopesar la contraprestación. Pero este hecho (que las cosas tributarias no estén tan claras) no es un equívoco, el Estado no lo hace por imposibilidad, sino por estrategia; puesto que su genialidad está precisamente en lograr el mayor grado de imperceptibilidad de la carga  tributaria, con el objetivo de anular la resistencia mental a tributar; por eso, “La enorme complejidad de los modernos esquemas fiscales deriva, sin duda, en buena parte, de ese constante intento de conseguir que el ciudadano entregue un volumen de recursos superior al que en realidad estaría dispuesto a aportar si dispusiese de la pertinente información al respecto.”</w:t>
      </w:r>
      <w:r w:rsidRPr="000D3432">
        <w:rPr>
          <w:rStyle w:val="Refdenotaalpie"/>
          <w:rFonts w:asciiTheme="minorHAnsi" w:hAnsiTheme="minorHAnsi" w:cs="Arial"/>
          <w:sz w:val="24"/>
          <w:szCs w:val="24"/>
          <w:lang w:val="es-ES_tradnl"/>
        </w:rPr>
        <w:footnoteReference w:id="435"/>
      </w:r>
    </w:p>
    <w:p w14:paraId="7A0A7E52" w14:textId="77777777" w:rsidR="00FA0266" w:rsidRPr="000D3432" w:rsidRDefault="00FA0266" w:rsidP="00A95498">
      <w:pPr>
        <w:jc w:val="both"/>
        <w:rPr>
          <w:rFonts w:asciiTheme="minorHAnsi" w:hAnsiTheme="minorHAnsi" w:cs="Arial"/>
          <w:b/>
          <w:szCs w:val="24"/>
          <w:lang w:val="es-ES_tradnl"/>
        </w:rPr>
      </w:pPr>
    </w:p>
    <w:p w14:paraId="7F9CFF94"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46" w:name="_Toc318102860"/>
      <w:r w:rsidRPr="000D3432">
        <w:rPr>
          <w:rFonts w:asciiTheme="minorHAnsi" w:hAnsiTheme="minorHAnsi" w:cs="Arial"/>
          <w:sz w:val="24"/>
          <w:szCs w:val="24"/>
          <w:lang w:val="es-ES_tradnl"/>
        </w:rPr>
        <w:t>1.- El CARÁCTER SISTÉMICO DE LA TRIBUTACIÓN</w:t>
      </w:r>
      <w:bookmarkEnd w:id="46"/>
    </w:p>
    <w:p w14:paraId="4505D145" w14:textId="77777777" w:rsidR="00FA0266" w:rsidRPr="000D3432" w:rsidRDefault="00FA0266" w:rsidP="00A95498">
      <w:pPr>
        <w:pStyle w:val="Textodecuerpo21"/>
        <w:rPr>
          <w:rFonts w:asciiTheme="minorHAnsi" w:hAnsiTheme="minorHAnsi" w:cs="Arial"/>
          <w:sz w:val="24"/>
          <w:szCs w:val="24"/>
          <w:lang w:val="es-ES_tradnl"/>
        </w:rPr>
      </w:pPr>
    </w:p>
    <w:p w14:paraId="0B3A0B54"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Todos los fenómenos sociales tienen que ver de alguna forma con la tributación. Así el desarrollo o subdesarrollo disminuye o aumenta la carga tributaria. </w:t>
      </w:r>
      <w:r w:rsidRPr="000D3432">
        <w:rPr>
          <w:rFonts w:asciiTheme="minorHAnsi" w:hAnsiTheme="minorHAnsi" w:cs="Arial"/>
          <w:b w:val="0"/>
          <w:sz w:val="24"/>
          <w:szCs w:val="24"/>
          <w:lang w:val="es-ES_tradnl"/>
        </w:rPr>
        <w:lastRenderedPageBreak/>
        <w:t>Tributar, por ello, no es un acto exclusivo del contribuyente aislado del resto de sujetos que componen la sociedad, sino responde a cierto carácter sistémico de la vida misma, es decir, tiene sus efectos en todos, porque el contribuyente es tomado como parte de un todo, de toda la sociedad, por los efectos que produce su propia vida, sus actos positivos o negativos. Por eso nuestro desarrollo social, cultural, etc., inciden directamente en nuestro sistema tributario, la determinación del cuándo, cómo y porqué hechos tenemos que pagar tributos. Tributar tiene una incidencia a nivel micro y macroeconómico en la sociedad</w:t>
      </w:r>
      <w:r w:rsidRPr="000D3432">
        <w:rPr>
          <w:rStyle w:val="Refdenotaalpie"/>
          <w:rFonts w:asciiTheme="minorHAnsi" w:eastAsiaTheme="majorEastAsia" w:hAnsiTheme="minorHAnsi" w:cs="Arial"/>
          <w:b w:val="0"/>
          <w:sz w:val="24"/>
          <w:szCs w:val="24"/>
          <w:lang w:val="es-ES_tradnl"/>
        </w:rPr>
        <w:footnoteReference w:id="436"/>
      </w:r>
      <w:r w:rsidRPr="000D3432">
        <w:rPr>
          <w:rFonts w:asciiTheme="minorHAnsi" w:hAnsiTheme="minorHAnsi" w:cs="Arial"/>
          <w:b w:val="0"/>
          <w:sz w:val="24"/>
          <w:szCs w:val="24"/>
          <w:lang w:val="es-ES_tradnl"/>
        </w:rPr>
        <w:t>.</w:t>
      </w:r>
    </w:p>
    <w:p w14:paraId="4CD13F07" w14:textId="77777777" w:rsidR="00FA0266" w:rsidRPr="000D3432" w:rsidRDefault="00FA0266" w:rsidP="00A95498">
      <w:pPr>
        <w:pStyle w:val="Textodecuerpo21"/>
        <w:rPr>
          <w:rFonts w:asciiTheme="minorHAnsi" w:hAnsiTheme="minorHAnsi" w:cs="Arial"/>
          <w:b w:val="0"/>
          <w:sz w:val="24"/>
          <w:szCs w:val="24"/>
          <w:lang w:val="es-ES_tradnl"/>
        </w:rPr>
      </w:pPr>
    </w:p>
    <w:p w14:paraId="126BBB26"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Incluso actos aparentemente tan ajenos a nosotros –como el que los demás tengan hijos, les roben a otros y no a nosotros, etc- afectan indirectamente a nuestra riqueza, a nuestro patrimonio, a través de la tributación. Porque, en el caso del nacimiento de niños, independientemente que hayan sido concebidos planificadamente o no, su existencia en la sociedad implica un costo, un costo a la sociedad entera y no sólo a los padres. ¿Porqué? Pues porque los niños tienen ciertos derechos –a la vida, salud, educación, etc.- Garantizar estos derechos es un deber de los padres, y del Estado. En el caso del Estado, éste tiene que agenciarse de los recursos necesarios para construir toda la estructura necesaria que posibilite la efectividad y ejecución de estos derechos reconocidos –educación, salud, etc.-. ¿Con qué recursos cumple esta función? Con los tributos cobrados a toda la sociedad. Por eso, los padres tienen el deber de educar, alimentar, darles salud, vivienda, etc, a sus hijos, porque de no hacerlo transforman la necesidad privada en necesidad pública, y trasladan al Estado esta responsabilidad, y éste traslada la carga a la sociedad. Así todas las personas terminan asumiendo indirectamente –a través de los tributos- el deber de alimentar, dar educación, salud, etc., a los nuevos integrantes de la sociedad. </w:t>
      </w:r>
    </w:p>
    <w:p w14:paraId="49F75ED8" w14:textId="77777777" w:rsidR="00FA0266" w:rsidRPr="000D3432" w:rsidRDefault="00FA0266" w:rsidP="00A95498">
      <w:pPr>
        <w:pStyle w:val="Textodecuerpo21"/>
        <w:rPr>
          <w:rFonts w:asciiTheme="minorHAnsi" w:hAnsiTheme="minorHAnsi" w:cs="Arial"/>
          <w:b w:val="0"/>
          <w:sz w:val="24"/>
          <w:szCs w:val="24"/>
          <w:lang w:val="es-ES_tradnl"/>
        </w:rPr>
      </w:pPr>
    </w:p>
    <w:p w14:paraId="31FE6D98"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Puesto que por lo general los padres trasladan casi siempre el costo de sus hijos a toda la sociedad, los hijos de los  demás terminan costándole a toda la sociedad y no sólo a los padres. Afectada estaría, pues, nuestra riqueza, porque, a través de los tributos, tenemos que pagar para que se organice el sistema normativo que garantice los derechos del nuevo ser humano. Así, todos pagamos al Estado para que construya hospitales, centros educativos, para contratar médicos, profesores, etc. Por lo demás, ésta es sólo una visión objetiva, estadística. Lo mismo ocurre cuando existen ladrones, por ejemplo. En este caso, el Estado tiene que invertir recursos en construir los mecanismos necesarios para evitar estos robos (departamentos de policía), o para juzgar (Juzgados Penales) a los delincuentes. Los recursos utilizados son también sacados de los tributos, es decir, de todos nosotros. Por eso el subdesarrollo de los demás afecta directamente en nuestro desarrollo. Y parece necesario plantear que no es justo que unos pocos paguen por los deslices, desvíos, o errores de otros. Cada quien debe pagar en proporción directa por sus beneficios y por sus propios errores. Sin embargo el problema está en que las normas son generales, es decir, se han hecho para todos como objeto de normatividad, y no individualizando. Y puesto que toda norma jurídica es general, esta marginará, </w:t>
      </w:r>
      <w:r w:rsidRPr="000D3432">
        <w:rPr>
          <w:rFonts w:asciiTheme="minorHAnsi" w:hAnsiTheme="minorHAnsi" w:cs="Arial"/>
          <w:b w:val="0"/>
          <w:sz w:val="24"/>
          <w:szCs w:val="24"/>
          <w:lang w:val="es-ES_tradnl"/>
        </w:rPr>
        <w:lastRenderedPageBreak/>
        <w:t xml:space="preserve">de alguna forma, los intereses individuales minoritarios. </w:t>
      </w:r>
    </w:p>
    <w:p w14:paraId="08BF33FE" w14:textId="77777777" w:rsidR="00FA0266" w:rsidRPr="000D3432" w:rsidRDefault="00FA0266" w:rsidP="00A95498">
      <w:pPr>
        <w:pStyle w:val="Ttulo1"/>
        <w:spacing w:line="240" w:lineRule="auto"/>
        <w:jc w:val="center"/>
        <w:rPr>
          <w:rFonts w:asciiTheme="minorHAnsi" w:hAnsiTheme="minorHAnsi"/>
          <w:sz w:val="24"/>
          <w:szCs w:val="24"/>
          <w:lang w:val="es-ES_tradnl"/>
        </w:rPr>
      </w:pPr>
    </w:p>
    <w:p w14:paraId="2A3A4D99" w14:textId="77777777" w:rsidR="00FA0266" w:rsidRPr="000D3432" w:rsidRDefault="00FA0266" w:rsidP="00A95498">
      <w:pPr>
        <w:pStyle w:val="Ttulo1"/>
        <w:spacing w:line="240" w:lineRule="auto"/>
        <w:rPr>
          <w:rFonts w:asciiTheme="minorHAnsi" w:hAnsiTheme="minorHAnsi"/>
          <w:sz w:val="24"/>
          <w:szCs w:val="24"/>
          <w:lang w:val="es-ES_tradnl"/>
        </w:rPr>
      </w:pPr>
      <w:bookmarkStart w:id="47" w:name="_Toc318102861"/>
      <w:r w:rsidRPr="000D3432">
        <w:rPr>
          <w:rFonts w:asciiTheme="minorHAnsi" w:hAnsiTheme="minorHAnsi"/>
          <w:sz w:val="24"/>
          <w:szCs w:val="24"/>
          <w:lang w:val="es-ES_tradnl"/>
        </w:rPr>
        <w:t>II.- DERECHO TRIBUTARIO</w:t>
      </w:r>
      <w:bookmarkEnd w:id="47"/>
    </w:p>
    <w:p w14:paraId="19BFB483" w14:textId="77777777" w:rsidR="00FA0266" w:rsidRPr="000D3432" w:rsidRDefault="00FA0266" w:rsidP="00A95498">
      <w:pPr>
        <w:jc w:val="both"/>
        <w:rPr>
          <w:rFonts w:asciiTheme="minorHAnsi" w:hAnsiTheme="minorHAnsi" w:cs="Arial"/>
          <w:smallCaps/>
          <w:szCs w:val="24"/>
          <w:lang w:val="es-ES_tradnl"/>
        </w:rPr>
      </w:pPr>
    </w:p>
    <w:p w14:paraId="6A7CB577"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Derecho Tributario  “se refiere propiamente a las relaciones entre el Fisco y los contribuyentes, teniendo como objeto primordial el campo de los ingresos de carácter compulsorio relativos a la imposición, fiscalización y arrendamiento de impuestos, tasas y contribuciones, determinándose de manera complementaria los poderes del Estado y la situación subjetiva de los contribuyentes en forma de complejo de derechos y deberes.”</w:t>
      </w:r>
      <w:r w:rsidRPr="000D3432">
        <w:rPr>
          <w:rStyle w:val="Refdenotaalpie"/>
          <w:rFonts w:asciiTheme="minorHAnsi" w:hAnsiTheme="minorHAnsi" w:cs="Arial"/>
          <w:sz w:val="24"/>
          <w:szCs w:val="24"/>
          <w:lang w:val="es-ES_tradnl"/>
        </w:rPr>
        <w:footnoteReference w:id="437"/>
      </w:r>
      <w:r w:rsidRPr="000D3432">
        <w:rPr>
          <w:rFonts w:asciiTheme="minorHAnsi" w:hAnsiTheme="minorHAnsi" w:cs="Arial"/>
          <w:szCs w:val="24"/>
          <w:lang w:val="es-ES_tradnl"/>
        </w:rPr>
        <w:t>. En otros términos el Derecho Tributario es un sistema de composición de los conflictos nacidos de la contradicción entre el derecho privado (la riqueza de los particulares)  y el derecho público (la riqueza del Tesoro Público, es decir del Estado). Composición que tiene como objeto de regulación los hechos generados por los actos de tributación.</w:t>
      </w:r>
    </w:p>
    <w:p w14:paraId="4D4A990E" w14:textId="77777777" w:rsidR="00FA0266" w:rsidRPr="000D3432" w:rsidRDefault="00FA0266" w:rsidP="00A95498">
      <w:pPr>
        <w:jc w:val="both"/>
        <w:rPr>
          <w:rFonts w:asciiTheme="minorHAnsi" w:hAnsiTheme="minorHAnsi" w:cs="Arial"/>
          <w:smallCaps/>
          <w:szCs w:val="24"/>
          <w:lang w:val="es-ES_tradnl"/>
        </w:rPr>
      </w:pPr>
    </w:p>
    <w:p w14:paraId="41DE8D78" w14:textId="77777777" w:rsidR="00FA0266" w:rsidRPr="000D3432" w:rsidRDefault="00FA0266" w:rsidP="00A95498">
      <w:pPr>
        <w:jc w:val="both"/>
        <w:rPr>
          <w:rFonts w:asciiTheme="minorHAnsi" w:hAnsiTheme="minorHAnsi" w:cs="Arial"/>
          <w:smallCaps/>
          <w:szCs w:val="24"/>
          <w:lang w:val="es-ES_tradnl"/>
        </w:rPr>
      </w:pPr>
    </w:p>
    <w:p w14:paraId="11E61734"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48" w:name="_Toc318102862"/>
      <w:r w:rsidRPr="000D3432">
        <w:rPr>
          <w:rFonts w:asciiTheme="minorHAnsi" w:hAnsiTheme="minorHAnsi" w:cs="Arial"/>
          <w:smallCaps/>
          <w:sz w:val="24"/>
          <w:szCs w:val="24"/>
          <w:lang w:val="es-ES_tradnl"/>
        </w:rPr>
        <w:t>1.- El Derecho Tributario como acto de poder</w:t>
      </w:r>
      <w:bookmarkEnd w:id="48"/>
    </w:p>
    <w:p w14:paraId="4314DADD" w14:textId="77777777" w:rsidR="00FA0266" w:rsidRPr="000D3432" w:rsidRDefault="00FA0266" w:rsidP="00A95498">
      <w:pPr>
        <w:pStyle w:val="Textodecuerpo21"/>
        <w:rPr>
          <w:rFonts w:asciiTheme="minorHAnsi" w:hAnsiTheme="minorHAnsi" w:cs="Arial"/>
          <w:sz w:val="24"/>
          <w:szCs w:val="24"/>
          <w:lang w:val="es-ES_tradnl"/>
        </w:rPr>
      </w:pPr>
    </w:p>
    <w:p w14:paraId="121D3A3D"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Para ubicar metodológicamente el sentido del Derecho Tributario lo esencial es encontrar aquello que lo distingue del resto de ramas del Derecho (Derecho Constitucional, Civil, etc.). Y como en el centro de todo el Derecho está la norma como objeto, Geraldo Ataliba hace con esta lógica una disección de la norma jurídica tributaria y la distingue del resto de normas jurídicas. En primer lugar –explica-, toda norma jurídica contiene un mandato del Estado. En la norma jurídica tributaria el mandato es que se “entregue dinero al Estado”, es decir que se tribute. La diferencia de este grupo de normas está, pues, en la relación de subordinación al Estado que provoca e impone; en el tipo de relación jurídica que crea, y en la determinación de aquello que da origen o es la relación jurídica. Por todo eso, el fenómeno tributario consiste en la disposición de un sistema de determinación y regulación de cierto tipo de conductas humanas frente al Estado, e imposición del mismo como mecanismo de subordinación y obediencia a los mandatos del Estado. Es decir es un acto de dominio, de poder. </w:t>
      </w:r>
    </w:p>
    <w:p w14:paraId="064FE37F" w14:textId="77777777" w:rsidR="00FA0266" w:rsidRPr="000D3432" w:rsidRDefault="00FA0266" w:rsidP="00A95498">
      <w:pPr>
        <w:pStyle w:val="Textodecuerpo21"/>
        <w:rPr>
          <w:rFonts w:asciiTheme="minorHAnsi" w:hAnsiTheme="minorHAnsi" w:cs="Arial"/>
          <w:sz w:val="24"/>
          <w:szCs w:val="24"/>
          <w:lang w:val="es-ES_tradnl"/>
        </w:rPr>
      </w:pPr>
    </w:p>
    <w:p w14:paraId="41D72E7E"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La relación jurídica que se impone y regula dentro de una norma tributaria no es entre los individuos, sino entre la persona (natural o jurídica) y el Estado.  El mandato (“entréguese dinero al Estado”) que contiene toda norma jurídica tributaria no consiste simplemente en el comportamiento de llevar dinero a las arcas del Estado, sino en asumir una conducta de subordinación y obediencia a un poder supremo, que permita la ratificación, autoridad y permanencia del mismo, y motive la legitimidad del ejercicio de su poder. Por eso la tributación es más una reafirmación del poderío o soberanía del Estado. </w:t>
      </w:r>
    </w:p>
    <w:p w14:paraId="771F69D1" w14:textId="77777777" w:rsidR="00FA0266" w:rsidRPr="000D3432" w:rsidRDefault="00FA0266" w:rsidP="00A95498">
      <w:pPr>
        <w:jc w:val="both"/>
        <w:rPr>
          <w:rFonts w:asciiTheme="minorHAnsi" w:hAnsiTheme="minorHAnsi" w:cs="Arial"/>
          <w:szCs w:val="24"/>
          <w:lang w:val="es-ES_tradnl"/>
        </w:rPr>
      </w:pPr>
    </w:p>
    <w:p w14:paraId="0B2B7329" w14:textId="77777777" w:rsidR="00FA0266" w:rsidRPr="000D3432" w:rsidRDefault="00FA0266" w:rsidP="00A95498">
      <w:pPr>
        <w:jc w:val="both"/>
        <w:rPr>
          <w:rFonts w:asciiTheme="minorHAnsi" w:hAnsiTheme="minorHAnsi" w:cs="Arial"/>
          <w:b/>
          <w:szCs w:val="24"/>
          <w:lang w:val="es-ES_tradnl"/>
        </w:rPr>
      </w:pPr>
      <w:r w:rsidRPr="000D3432">
        <w:rPr>
          <w:rFonts w:asciiTheme="minorHAnsi" w:hAnsiTheme="minorHAnsi" w:cs="Arial"/>
          <w:szCs w:val="24"/>
          <w:lang w:val="es-ES_tradnl"/>
        </w:rPr>
        <w:t xml:space="preserve">Es en ese sentido que Geraldo Ataliba  afirma que no es el comportamiento de llevar dinero a las arcas del fisco el objeto de la norma tributaria, sino el comportamiento de “obediencia y subordinación”. Así, el Derecho Tributario es </w:t>
      </w:r>
      <w:r w:rsidRPr="000D3432">
        <w:rPr>
          <w:rFonts w:asciiTheme="minorHAnsi" w:hAnsiTheme="minorHAnsi" w:cs="Arial"/>
          <w:szCs w:val="24"/>
          <w:lang w:val="es-ES_tradnl"/>
        </w:rPr>
        <w:lastRenderedPageBreak/>
        <w:t>un fenómeno político (de poder) antes que jurídico. Es político porque tiene como fin último lograr la obediencia de las personas; y es jurídico porque esta subordinación se da a través de un sistema normativo que tiene su fundamento en el carácter colectivo de la necesidad de dominación. Es decir, el fundamento del tributo está en el carácter colectivo de su fin. Y si su fin es colectivo, el área que debe ocupar es el público. De esta manera el Derecho Tributario queda identificado como una rama del Derecho público</w:t>
      </w:r>
      <w:r w:rsidRPr="000D3432">
        <w:rPr>
          <w:rStyle w:val="Refdenotaalpie"/>
          <w:rFonts w:asciiTheme="minorHAnsi" w:hAnsiTheme="minorHAnsi" w:cs="Arial"/>
          <w:sz w:val="24"/>
          <w:szCs w:val="24"/>
          <w:lang w:val="es-ES_tradnl"/>
        </w:rPr>
        <w:footnoteReference w:id="438"/>
      </w:r>
      <w:r w:rsidRPr="000D3432">
        <w:rPr>
          <w:rFonts w:asciiTheme="minorHAnsi" w:hAnsiTheme="minorHAnsi" w:cs="Arial"/>
          <w:szCs w:val="24"/>
          <w:lang w:val="es-ES_tradnl"/>
        </w:rPr>
        <w:t xml:space="preserve">, porque se trata de la regulación de las relaciones entre la persona y el Estado, del interés privado subordinado al interés público. El Derecho Tributario es, entonces, un sistema normativo de regulación de las conductas como fenómenos de poder (de relación de mandato-obediencia-subordinación). </w:t>
      </w:r>
    </w:p>
    <w:p w14:paraId="1CEDA5AB" w14:textId="77777777" w:rsidR="00FA0266" w:rsidRPr="000D3432" w:rsidRDefault="00FA0266" w:rsidP="00A95498">
      <w:pPr>
        <w:jc w:val="both"/>
        <w:rPr>
          <w:rFonts w:asciiTheme="minorHAnsi" w:hAnsiTheme="minorHAnsi" w:cs="Arial"/>
          <w:b/>
          <w:szCs w:val="24"/>
          <w:lang w:val="es-ES_tradnl"/>
        </w:rPr>
      </w:pPr>
    </w:p>
    <w:p w14:paraId="63F94651"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49" w:name="_Toc318102863"/>
      <w:r w:rsidRPr="000D3432">
        <w:rPr>
          <w:rFonts w:asciiTheme="minorHAnsi" w:hAnsiTheme="minorHAnsi" w:cs="Arial"/>
          <w:smallCaps/>
          <w:sz w:val="24"/>
          <w:szCs w:val="24"/>
          <w:lang w:val="es-ES_tradnl"/>
        </w:rPr>
        <w:t>2.- Justificación del Derecho Tributario</w:t>
      </w:r>
      <w:bookmarkEnd w:id="49"/>
      <w:r w:rsidRPr="000D3432">
        <w:rPr>
          <w:rFonts w:asciiTheme="minorHAnsi" w:hAnsiTheme="minorHAnsi" w:cs="Arial"/>
          <w:smallCaps/>
          <w:sz w:val="24"/>
          <w:szCs w:val="24"/>
          <w:lang w:val="es-ES_tradnl"/>
        </w:rPr>
        <w:t xml:space="preserve"> </w:t>
      </w:r>
    </w:p>
    <w:p w14:paraId="6D0B9047" w14:textId="77777777" w:rsidR="00FA0266" w:rsidRPr="000D3432" w:rsidRDefault="00FA0266" w:rsidP="00A95498">
      <w:pPr>
        <w:jc w:val="both"/>
        <w:rPr>
          <w:rFonts w:asciiTheme="minorHAnsi" w:hAnsiTheme="minorHAnsi" w:cs="Arial"/>
          <w:smallCaps/>
          <w:szCs w:val="24"/>
          <w:lang w:val="es-ES_tradnl"/>
        </w:rPr>
      </w:pPr>
    </w:p>
    <w:p w14:paraId="6FAAE17C"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Derecho Tributario es un sistema normativo que tiene como eje u objeto de regulación las conductas que se derivan de la tributación. Esta última (la tributación), como fenómeno social, es una afectación a la economía de la persona, y por lo tanto a su derecho a la riqueza. De tal forma el Derecho Tributario se justifica -da las razones del porqué de la validez de su existencia- por ser un medio de composición y control de los diversos problemas que puedan surgir de la relación persona-tributación-Estado. Es pues la necesidad de regular las relaciones entre la persona y el Estado lo esencial, para que exista coincidencia entre el interés privado y el interés público, y se pueda vivir de acuerdo a una ley universal de la razón. </w:t>
      </w:r>
    </w:p>
    <w:p w14:paraId="09994F41" w14:textId="77777777" w:rsidR="00FA0266" w:rsidRPr="000D3432" w:rsidRDefault="00FA0266" w:rsidP="00A95498">
      <w:pPr>
        <w:jc w:val="both"/>
        <w:rPr>
          <w:rFonts w:asciiTheme="minorHAnsi" w:hAnsiTheme="minorHAnsi" w:cs="Arial"/>
          <w:szCs w:val="24"/>
          <w:lang w:val="es-ES_tradnl"/>
        </w:rPr>
      </w:pPr>
    </w:p>
    <w:p w14:paraId="5982382B"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justificación confirma la existencia y concreción de una relación jurídica, es decir de un derecho-deber, mediante el cual el Estado al imponer los tributos se compromete a proporcionar ciertos bienes y servicios públicos, y a cambio de esto la persona aporta un capital. Ambos sujetos  (persona –natural o jurídica- y el Estado) quedan, pues, enlazados por un principio de subordinación al orden jurídico. Así la persona queda subordinada al Estado.  Sin embargo, esta subordinación tiene que ser justificada por el Derecho porque la existencia de la tributación importa la autorización para ingresar en el derecho privado de las personas, y éstas son el fin supremo de la sociedad, el principio soberano al que todo debe subordinarse, puesto que la persona constituye “un fin en si mismo” –como explicaba Kant.</w:t>
      </w:r>
    </w:p>
    <w:p w14:paraId="73B1B55D" w14:textId="77777777" w:rsidR="00FA0266" w:rsidRPr="000D3432" w:rsidRDefault="00FA0266" w:rsidP="00A95498">
      <w:pPr>
        <w:jc w:val="both"/>
        <w:rPr>
          <w:rFonts w:asciiTheme="minorHAnsi" w:hAnsiTheme="minorHAnsi" w:cs="Arial"/>
          <w:szCs w:val="24"/>
          <w:lang w:val="es-ES_tradnl"/>
        </w:rPr>
      </w:pPr>
    </w:p>
    <w:p w14:paraId="0387B8A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Podría, sin embargo, alegarse que el Derecho Tributario no debería justificarse puesto que la simple existencia del Estado determina la necesidad de los mecanismos necesarios que afirmen su soberanía, y el instrumento para ello es el Derecho Tributario, porque a través de él se logra la recaudación de los fondos económicos y políticos que el Estado requiere para existir. Así que antes que justificar el Derecho Tributario tendríamos que justificar al Estado. Hoy sin embargo nadie se atrevería a pedir la justificación de la existencia del Estado y </w:t>
      </w:r>
      <w:r w:rsidRPr="000D3432">
        <w:rPr>
          <w:rFonts w:asciiTheme="minorHAnsi" w:hAnsiTheme="minorHAnsi" w:cs="Arial"/>
          <w:szCs w:val="24"/>
          <w:lang w:val="es-ES_tradnl"/>
        </w:rPr>
        <w:lastRenderedPageBreak/>
        <w:t>menos a vivir fuera del marco de un Estado. El Estado como institución que organiza y administra el poder político jurídico no necesita justificación, pero sí sus métodos de funcionamiento y operación, porque estos pueden no conformarse a las reglas jurídicas</w:t>
      </w:r>
      <w:r w:rsidRPr="000D3432">
        <w:rPr>
          <w:rStyle w:val="Refdenotaalpie"/>
          <w:rFonts w:asciiTheme="minorHAnsi" w:hAnsiTheme="minorHAnsi" w:cs="Arial"/>
          <w:sz w:val="24"/>
          <w:szCs w:val="24"/>
          <w:lang w:val="es-ES_tradnl"/>
        </w:rPr>
        <w:footnoteReference w:id="439"/>
      </w:r>
      <w:r w:rsidRPr="000D3432">
        <w:rPr>
          <w:rFonts w:asciiTheme="minorHAnsi" w:hAnsiTheme="minorHAnsi" w:cs="Arial"/>
          <w:szCs w:val="24"/>
          <w:lang w:val="es-ES_tradnl"/>
        </w:rPr>
        <w:t xml:space="preserve">. El Derecho Tributario trata, pues, de regular el funcionamiento y operación del Estado en el ejercicio de agenciamiento de los recursos necesarios para su existencia y soberanía. </w:t>
      </w:r>
    </w:p>
    <w:p w14:paraId="08C2DE78" w14:textId="77777777" w:rsidR="00FA0266" w:rsidRPr="000D3432" w:rsidRDefault="00FA0266" w:rsidP="00A95498">
      <w:pPr>
        <w:pStyle w:val="Textodecuerpo21"/>
        <w:rPr>
          <w:rFonts w:asciiTheme="minorHAnsi" w:hAnsiTheme="minorHAnsi" w:cs="Arial"/>
          <w:sz w:val="24"/>
          <w:szCs w:val="24"/>
          <w:lang w:val="es-ES_tradnl"/>
        </w:rPr>
      </w:pPr>
    </w:p>
    <w:p w14:paraId="36DD5D3D"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50" w:name="_Toc318102864"/>
      <w:r w:rsidRPr="000D3432">
        <w:rPr>
          <w:rFonts w:asciiTheme="minorHAnsi" w:hAnsiTheme="minorHAnsi" w:cs="Arial"/>
          <w:sz w:val="24"/>
          <w:szCs w:val="24"/>
          <w:lang w:val="es-ES_tradnl"/>
        </w:rPr>
        <w:t xml:space="preserve">3.- </w:t>
      </w:r>
      <w:r w:rsidRPr="000D3432">
        <w:rPr>
          <w:rFonts w:asciiTheme="minorHAnsi" w:hAnsiTheme="minorHAnsi" w:cs="Arial"/>
          <w:smallCaps/>
          <w:sz w:val="24"/>
          <w:szCs w:val="24"/>
          <w:lang w:val="es-ES_tradnl"/>
        </w:rPr>
        <w:t>El Derecho Tributario y la relación costo-beneficio</w:t>
      </w:r>
      <w:bookmarkEnd w:id="50"/>
    </w:p>
    <w:p w14:paraId="654EB71D" w14:textId="77777777" w:rsidR="00FA0266" w:rsidRPr="000D3432" w:rsidRDefault="00FA0266" w:rsidP="00A95498">
      <w:pPr>
        <w:pStyle w:val="Textodecuerpo21"/>
        <w:rPr>
          <w:rFonts w:asciiTheme="minorHAnsi" w:hAnsiTheme="minorHAnsi" w:cs="Arial"/>
          <w:sz w:val="24"/>
          <w:szCs w:val="24"/>
          <w:lang w:val="es-ES_tradnl"/>
        </w:rPr>
      </w:pPr>
    </w:p>
    <w:p w14:paraId="17D3B817"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Podemos analizar el Derecho Tributario desde una fórmula económica: costo-beneficio. De tal forma la persona resulta un objeto que produce costos o beneficios a la sociedad. En el primer supuesto, la persona constituye un costo a la sociedad –desde su nacimiento-, puesto que genera gastos sociales (organización, seguridad, educación, justicia, etc). La sociedad tiene que sufragar estos gastos por un principio de organización de la posibilidad de coexistencia y supervivencia de la propia sociedad. En el segundo caso la persona –al tributar por ejemplo- colabora, es benéfico, para solventar estos gastos sociales. Y es a través del Derecho Tributario que se relaciona e interconecta esa condición del ser humano de ser un costo-beneficio. Es necesario, pues, determinar las necesidades públicas que generan esta relación costo-beneficio. </w:t>
      </w:r>
    </w:p>
    <w:p w14:paraId="304A1B0E" w14:textId="77777777" w:rsidR="00FA0266" w:rsidRPr="000D3432" w:rsidRDefault="00FA0266" w:rsidP="00A95498">
      <w:pPr>
        <w:pStyle w:val="Textodecuerpo21"/>
        <w:rPr>
          <w:rFonts w:asciiTheme="minorHAnsi" w:hAnsiTheme="minorHAnsi" w:cs="Arial"/>
          <w:sz w:val="24"/>
          <w:szCs w:val="24"/>
          <w:lang w:val="es-ES_tradnl"/>
        </w:rPr>
      </w:pPr>
    </w:p>
    <w:p w14:paraId="25FCB39E"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La justificación de los tributos -como se ve- está en la imposibilidad del ser humano de resolver y satisfacer todas sus necesidades por sí mismo. Porque existen bienes que requieren para su realización de la concurrencia de un ente superior, o de la reunión de individuos que hagan factible esta acción. Por eso Raúl Barrios Orbegozo empieza haciendo una clarificación. Existen dos tipos de necesidades: 1) Necesidades individuales, y 2) Necesidades colectivas. Las primeras pueden ser adquiridas “por el propio esfuerzo”. Es suficiente, pues, este para lograr satisfacer las necesidades requeridas. Pero frente a estas existe el segundo grupo de necesidades en las cuales el individuo no puede usar ya sólo de su esfuerzo propio, no puede depender de su sola presencia corporal y mental. Es necesario, e ineludible, recurrir a los demás, al concierto, reunión y participación de los demás. El “esfuerzo individual” ya no basta, porque es insuficiente, porque las fuerzas del individuo, su capacidad de accionar no es suficiente, no cubre los requerimientos necesarios para hacer factible la satisfacción de las necesidades pretendidas. Y es por ello que requiere del Estado, que bajo este fundamento crea en la modernidad los tributos, es decir, le </w:t>
      </w:r>
      <w:r w:rsidRPr="000D3432">
        <w:rPr>
          <w:rFonts w:asciiTheme="minorHAnsi" w:hAnsiTheme="minorHAnsi" w:cs="Arial"/>
          <w:b w:val="0"/>
          <w:sz w:val="24"/>
          <w:szCs w:val="24"/>
          <w:lang w:val="es-ES_tradnl"/>
        </w:rPr>
        <w:lastRenderedPageBreak/>
        <w:t xml:space="preserve">cobra al ser humano por los costos que supone vivir en sociedad (dado que la mayor necesidad colectiva que tiene el ser humano es vivir en sociedad). Así, vivir en sociedad representa un costo que tiene que asumir el propio individuo o persona –natural o jurídica-, transformándose de esta manera algunos actos o hechos en tributos. Así pues queda justificada la existencia de los tributos. </w:t>
      </w:r>
    </w:p>
    <w:p w14:paraId="6A836B78" w14:textId="77777777" w:rsidR="00FA0266" w:rsidRPr="000D3432" w:rsidRDefault="00FA0266" w:rsidP="00A95498">
      <w:pPr>
        <w:jc w:val="both"/>
        <w:rPr>
          <w:rFonts w:asciiTheme="minorHAnsi" w:hAnsiTheme="minorHAnsi" w:cs="Arial"/>
          <w:szCs w:val="24"/>
          <w:lang w:val="es-ES_tradnl"/>
        </w:rPr>
      </w:pPr>
    </w:p>
    <w:p w14:paraId="4EBEC7D7"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De la conciencia de “necesidades colectivas” surgió el fundamento para la existencia de los Estados modernos. Pero realizar y satisfacer las necesidades colectivas (seguridad, justicia, etc.) requiere de organización social, del concierto voluntario o no de todos, es decir, de cierta forma de controlar la vida de los demás. Poner en funcionamiento esta organización social implica el establecimiento de jerarquías, la distribución de funciones, etc., y esta administración es asumida por el Estado, que cómo va a generar gastos en su organización requiere de fondos, los cuales logra a través de la recaudación tributaria. Así toda la organización social para la satisfacción de las necesidades colectivas suponen un costo, también social. La organización social, por lo tanto, cuesta; y este costo es trasladado a la persona –natural o jurídica-, a través de los tributos. Además Barrios explica que el Estado moderno, al asumir la organización, control, distribución de funciones, etc., para el logro de la satisfacción de las necesidades colectivas, tiene necesidad de formar un patrimonio, y es por ello que inventa una categoría política jurídica: la del tributante; y da forma a un nuevo hecho económico: el tributo, y por consiguiente nace también el Derecho Tributario.</w:t>
      </w:r>
    </w:p>
    <w:p w14:paraId="08055681" w14:textId="77777777" w:rsidR="00FA0266" w:rsidRPr="000D3432" w:rsidRDefault="00FA0266" w:rsidP="00A95498">
      <w:pPr>
        <w:jc w:val="both"/>
        <w:rPr>
          <w:rFonts w:asciiTheme="minorHAnsi" w:hAnsiTheme="minorHAnsi" w:cs="Arial"/>
          <w:szCs w:val="24"/>
          <w:lang w:val="es-ES_tradnl"/>
        </w:rPr>
      </w:pPr>
    </w:p>
    <w:p w14:paraId="4FD44CB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Pero la invención del Derecho Tributario ha pasado por un largo periodo histórico, que ha reformulado sus planteamiento iniciales consistentes simplemente en la afirmación del dominio o poderío del gobernante, hasta llegar a la justificación de este poderío en la voluntad general. Así, en épocas pasadas, por ejemplo, la satisfacción de las necesidades colectivas (como construcción de puentes, etc.) eran trabajos designados a los esclavos. Los tributos no eran para solventar las necesidades colectivas, sino para la riqueza y poderío del gobernante, como un fenómeno de fuerza. Con la modernidad el concepto de tributo varía su sentido y se afianza como prestación o pago por pertenecer a una sociedad. Por eso, una vez abolida la esclavitud se anulaba la fuerza que soluciona el requerimiento de bienes y servicios colectivos en el pasado. </w:t>
      </w:r>
    </w:p>
    <w:p w14:paraId="1E8F9E49" w14:textId="77777777" w:rsidR="00FA0266" w:rsidRPr="000D3432" w:rsidRDefault="00FA0266" w:rsidP="00A95498">
      <w:pPr>
        <w:jc w:val="both"/>
        <w:rPr>
          <w:rFonts w:asciiTheme="minorHAnsi" w:hAnsiTheme="minorHAnsi" w:cs="Arial"/>
          <w:szCs w:val="24"/>
          <w:lang w:val="es-ES_tradnl"/>
        </w:rPr>
      </w:pPr>
    </w:p>
    <w:p w14:paraId="06B82AE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Barrios hace una explicación teórica del origen de los tributos, y le asigna un carácter de prestación, es decir, de algo que se presta o da a cambio de una contraprestación. Prestación que nace como consecuencia de la necesidad del Estado de hacerse de un patrimonio para satisfacer los requerimientos colectivos. Pero el asunto se complica cuando, luego del acto de tributar, el Estado tiene que cumplir con su parte, es decir, con devolver la contraprestación en bienes y servicios colectivos. Puesto que la consecuencia de la tributación debiera ser que “el Estado devuelve en forma de beneficios los tributos recaudados” . Esto, sin embargo, sólo explica el deber ser y no el ser de los hechos. Si bien la fórmula: recaudación tributaria es igual a beneficios colectivos, es perfecta en su construcción lógica y teórica, no se puede precisar </w:t>
      </w:r>
      <w:r w:rsidRPr="000D3432">
        <w:rPr>
          <w:rFonts w:asciiTheme="minorHAnsi" w:hAnsiTheme="minorHAnsi" w:cs="Arial"/>
          <w:szCs w:val="24"/>
          <w:lang w:val="es-ES_tradnl"/>
        </w:rPr>
        <w:lastRenderedPageBreak/>
        <w:t xml:space="preserve">la eficacia y perfección del segundo supuesto (beneficios colectivos). Por ello, son los efectos de la recaudación tributaria lo que está en entredicho, más que los mismos tributos. </w:t>
      </w:r>
    </w:p>
    <w:p w14:paraId="62523488" w14:textId="77777777" w:rsidR="00FA0266" w:rsidRPr="000D3432" w:rsidRDefault="00FA0266" w:rsidP="00A95498">
      <w:pPr>
        <w:jc w:val="both"/>
        <w:rPr>
          <w:rFonts w:asciiTheme="minorHAnsi" w:hAnsiTheme="minorHAnsi" w:cs="Arial"/>
          <w:szCs w:val="24"/>
          <w:lang w:val="es-ES_tradnl"/>
        </w:rPr>
      </w:pPr>
    </w:p>
    <w:p w14:paraId="2DCB63DF" w14:textId="7DC5D018"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En la actualidad, la orientación en aumento es a inventar nuevos tributos, en descubrir nuevos hechos imponibles, que permitan acrecentar el tesoro público, y den la posibilidad de estructurar también mejoras sociales. No obstante, en una sociedad como la nuestra, con poca mentalidad empresarial, lo conveniente –a nuestro parecer- no es generar cargas tributarias, sino descubrir mecanismos que reduzcan los costos de funcionamiento del Estado para cumplir sus fines primordiales. En una sociedad con baja capacidad tributaria debe incentivarse la actividad privada, empresarial, y ella no puede generarse si el sistema impositivo (tributación) es anterior a la incertidumbre de los beneficios colectivos. </w:t>
      </w:r>
    </w:p>
    <w:p w14:paraId="6EC33601" w14:textId="77777777" w:rsidR="00FA0266" w:rsidRPr="000D3432" w:rsidRDefault="00FA0266" w:rsidP="00A95498">
      <w:pPr>
        <w:pStyle w:val="Ttulo1"/>
        <w:spacing w:line="240" w:lineRule="auto"/>
        <w:rPr>
          <w:rFonts w:asciiTheme="minorHAnsi" w:hAnsiTheme="minorHAnsi"/>
          <w:sz w:val="24"/>
          <w:szCs w:val="24"/>
          <w:lang w:val="es-ES_tradnl"/>
        </w:rPr>
      </w:pPr>
    </w:p>
    <w:p w14:paraId="51FBB5F4" w14:textId="77777777" w:rsidR="00FA0266" w:rsidRPr="000D3432" w:rsidRDefault="00FA0266" w:rsidP="00A95498">
      <w:pPr>
        <w:pStyle w:val="Ttulo1"/>
        <w:spacing w:line="240" w:lineRule="auto"/>
        <w:rPr>
          <w:rFonts w:asciiTheme="minorHAnsi" w:hAnsiTheme="minorHAnsi"/>
          <w:sz w:val="24"/>
          <w:szCs w:val="24"/>
          <w:lang w:val="es-ES_tradnl"/>
        </w:rPr>
      </w:pPr>
      <w:bookmarkStart w:id="51" w:name="_Toc318102865"/>
      <w:r w:rsidRPr="000D3432">
        <w:rPr>
          <w:rFonts w:asciiTheme="minorHAnsi" w:hAnsiTheme="minorHAnsi"/>
          <w:sz w:val="24"/>
          <w:szCs w:val="24"/>
          <w:lang w:val="es-ES_tradnl"/>
        </w:rPr>
        <w:t>III. PODER O POTESTAD TRIBUTARIA</w:t>
      </w:r>
      <w:bookmarkEnd w:id="51"/>
      <w:r w:rsidRPr="000D3432">
        <w:rPr>
          <w:rFonts w:asciiTheme="minorHAnsi" w:hAnsiTheme="minorHAnsi"/>
          <w:sz w:val="24"/>
          <w:szCs w:val="24"/>
          <w:lang w:val="es-ES_tradnl"/>
        </w:rPr>
        <w:t xml:space="preserve"> </w:t>
      </w:r>
    </w:p>
    <w:p w14:paraId="40803991" w14:textId="77777777" w:rsidR="00FA0266" w:rsidRPr="000D3432" w:rsidRDefault="00FA0266" w:rsidP="00A95498">
      <w:pPr>
        <w:jc w:val="both"/>
        <w:rPr>
          <w:rFonts w:asciiTheme="minorHAnsi" w:hAnsiTheme="minorHAnsi" w:cs="Arial"/>
          <w:szCs w:val="24"/>
          <w:lang w:val="es-ES_tradnl"/>
        </w:rPr>
      </w:pPr>
    </w:p>
    <w:p w14:paraId="122D470C"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52" w:name="_Toc318102866"/>
      <w:r w:rsidRPr="000D3432">
        <w:rPr>
          <w:rFonts w:asciiTheme="minorHAnsi" w:hAnsiTheme="minorHAnsi" w:cs="Arial"/>
          <w:smallCaps/>
          <w:sz w:val="24"/>
          <w:szCs w:val="24"/>
          <w:lang w:val="es-ES_tradnl"/>
        </w:rPr>
        <w:t>1.- El concepto de Poder o potestad tributaria</w:t>
      </w:r>
      <w:bookmarkEnd w:id="52"/>
      <w:r w:rsidRPr="000D3432">
        <w:rPr>
          <w:rFonts w:asciiTheme="minorHAnsi" w:hAnsiTheme="minorHAnsi" w:cs="Arial"/>
          <w:smallCaps/>
          <w:sz w:val="24"/>
          <w:szCs w:val="24"/>
          <w:lang w:val="es-ES_tradnl"/>
        </w:rPr>
        <w:t xml:space="preserve"> </w:t>
      </w:r>
    </w:p>
    <w:p w14:paraId="6E0B42E4" w14:textId="77777777" w:rsidR="00FA0266" w:rsidRPr="000D3432" w:rsidRDefault="00FA0266" w:rsidP="00A95498">
      <w:pPr>
        <w:jc w:val="both"/>
        <w:rPr>
          <w:rFonts w:asciiTheme="minorHAnsi" w:hAnsiTheme="minorHAnsi" w:cs="Arial"/>
          <w:szCs w:val="24"/>
          <w:lang w:val="es-ES_tradnl"/>
        </w:rPr>
      </w:pPr>
    </w:p>
    <w:p w14:paraId="4112131F"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poder es capacidad de afectar y ser afectado -según Michel Foucault-. El Poder Tributario sería así esa capacidad de afectar o no afectar en la riqueza de las personas a través de los tributos.</w:t>
      </w:r>
    </w:p>
    <w:p w14:paraId="6D74747C" w14:textId="77777777" w:rsidR="00FA0266" w:rsidRPr="000D3432" w:rsidRDefault="00FA0266" w:rsidP="00A95498">
      <w:pPr>
        <w:jc w:val="both"/>
        <w:rPr>
          <w:rFonts w:asciiTheme="minorHAnsi" w:hAnsiTheme="minorHAnsi" w:cs="Arial"/>
          <w:szCs w:val="24"/>
          <w:lang w:val="es-ES_tradnl"/>
        </w:rPr>
      </w:pPr>
    </w:p>
    <w:p w14:paraId="27A5AC4A"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clásica definición del poder tributario es, pues, aquella capacidad del Estado de crear, modificar o suprimir tributos. Su estructura es a nivel macro. Y está dentro del Derecho Constitucional Tributario, por ser general y universal, es decir macro. Luis Hernández Berenguel definía al Poder Tributario como “el poder del Estado para crear, modificar y suprimir tributos y para eximir de ellos.”</w:t>
      </w:r>
    </w:p>
    <w:p w14:paraId="19CF5473" w14:textId="77777777" w:rsidR="00FA0266" w:rsidRPr="000D3432" w:rsidRDefault="00FA0266" w:rsidP="00A95498">
      <w:pPr>
        <w:jc w:val="both"/>
        <w:rPr>
          <w:rFonts w:asciiTheme="minorHAnsi" w:hAnsiTheme="minorHAnsi" w:cs="Arial"/>
          <w:szCs w:val="24"/>
          <w:lang w:val="es-ES_tradnl"/>
        </w:rPr>
      </w:pPr>
    </w:p>
    <w:p w14:paraId="41E770C8"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Al decir el Estado se está delimitando la monopolización de  la creación normativa-legislativa. Así sólo el Estado, como ente supremo podrá crear, mediante ley, los tributos. No el vecino de al lado, ni el empresario, ni la muchacha de la casa, sino el Estado. Es un fenómeno de carácter público y no privado, por ser representación del colectivo y no de un individuo. Puede darse, pues, por autoridad, y autoridad supone subordinación a un orden público, a un ente mayor, que es el Estado. </w:t>
      </w:r>
    </w:p>
    <w:p w14:paraId="66DE7A8D" w14:textId="77777777" w:rsidR="00FA0266" w:rsidRPr="000D3432" w:rsidRDefault="00FA0266" w:rsidP="00A95498">
      <w:pPr>
        <w:jc w:val="both"/>
        <w:rPr>
          <w:rFonts w:asciiTheme="minorHAnsi" w:hAnsiTheme="minorHAnsi" w:cs="Arial"/>
          <w:szCs w:val="24"/>
          <w:lang w:val="es-ES_tradnl"/>
        </w:rPr>
      </w:pPr>
    </w:p>
    <w:p w14:paraId="0010618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Es pues la Constitución (por ser la máxima representación de la sociedad) quién debe determinar cómo y quienes pueden crear tributos, por que decir el Estado es sólo alusión a la monopolización de este poder en un ente público, en un ente representativo de la voluntad social.</w:t>
      </w:r>
    </w:p>
    <w:p w14:paraId="0F79ED2F" w14:textId="77777777" w:rsidR="00FA0266" w:rsidRPr="000D3432" w:rsidRDefault="00FA0266" w:rsidP="00A95498">
      <w:pPr>
        <w:jc w:val="both"/>
        <w:rPr>
          <w:rFonts w:asciiTheme="minorHAnsi" w:hAnsiTheme="minorHAnsi" w:cs="Arial"/>
          <w:szCs w:val="24"/>
          <w:lang w:val="es-ES_tradnl"/>
        </w:rPr>
      </w:pPr>
    </w:p>
    <w:p w14:paraId="538CCA9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Dr. Francisco Ruiz de Castilla Ponce de León afirma que en el derecho tributario moderno no puede hablarse ya de ‘poder tributario’, sino más bien de ‘potestad tributaria’. Pero, independientemente del término que se use, lo que </w:t>
      </w:r>
      <w:r w:rsidRPr="000D3432">
        <w:rPr>
          <w:rFonts w:asciiTheme="minorHAnsi" w:hAnsiTheme="minorHAnsi" w:cs="Arial"/>
          <w:szCs w:val="24"/>
          <w:lang w:val="es-ES_tradnl"/>
        </w:rPr>
        <w:lastRenderedPageBreak/>
        <w:t>está en juego es el contenido de la facultad legislativa del Estado. Que se diga poder o potestad sólo refiere la capacidad normativa de crear, modificar y extinguir tributos. Parece, sin embargo, que la preocupación de definir esta capacidad como poder o potestad está en el marco operativo, jurisdicción, del mismo término. Decir ‘poder’ alude a un fenómeno político; decir potestad es más bien un acto administrativo. En el campo interno de estos conceptos lo que se quiere definir es la jurisdicción que tienen. Porque evidentemente el poder es más un fenómeno político que jurídico, puesto que poder es ejercicio y no una justificación, y si hablamos de poder tributario este tiene una justificación jurídica. Poder es un término político, pero cuando se habla de órgano es un término administrativo. Lo importante es que mediante este poder o potestad tributaria se sabe quién tiene la capacidad para crear, modificar y extinguir tributos.</w:t>
      </w:r>
    </w:p>
    <w:p w14:paraId="5B44D1EC" w14:textId="77777777" w:rsidR="00FA0266" w:rsidRPr="000D3432" w:rsidRDefault="00FA0266" w:rsidP="00A95498">
      <w:pPr>
        <w:jc w:val="both"/>
        <w:rPr>
          <w:rFonts w:asciiTheme="minorHAnsi" w:hAnsiTheme="minorHAnsi" w:cs="Arial"/>
          <w:szCs w:val="24"/>
          <w:lang w:val="es-ES_tradnl"/>
        </w:rPr>
      </w:pPr>
    </w:p>
    <w:p w14:paraId="7A3634E8" w14:textId="77777777" w:rsidR="00FA0266" w:rsidRPr="000D3432" w:rsidRDefault="00FA0266" w:rsidP="00A95498">
      <w:pPr>
        <w:pStyle w:val="Ttulo2"/>
        <w:spacing w:line="240" w:lineRule="auto"/>
        <w:rPr>
          <w:rFonts w:asciiTheme="minorHAnsi" w:hAnsiTheme="minorHAnsi" w:cs="Arial"/>
          <w:b w:val="0"/>
          <w:bCs/>
          <w:sz w:val="24"/>
          <w:szCs w:val="24"/>
          <w:lang w:val="es-ES_tradnl"/>
        </w:rPr>
      </w:pPr>
      <w:bookmarkStart w:id="53" w:name="_Toc318102867"/>
      <w:r w:rsidRPr="000D3432">
        <w:rPr>
          <w:rFonts w:asciiTheme="minorHAnsi" w:hAnsiTheme="minorHAnsi" w:cs="Arial"/>
          <w:b w:val="0"/>
          <w:sz w:val="24"/>
          <w:szCs w:val="24"/>
          <w:lang w:val="es-ES_tradnl"/>
        </w:rPr>
        <w:t xml:space="preserve">2.- </w:t>
      </w:r>
      <w:r w:rsidRPr="000D3432">
        <w:rPr>
          <w:rFonts w:asciiTheme="minorHAnsi" w:hAnsiTheme="minorHAnsi" w:cs="Arial"/>
          <w:b w:val="0"/>
          <w:smallCaps/>
          <w:sz w:val="24"/>
          <w:szCs w:val="24"/>
          <w:lang w:val="es-ES_tradnl"/>
        </w:rPr>
        <w:t>Tipos De Potestad Tributaria</w:t>
      </w:r>
      <w:bookmarkEnd w:id="53"/>
    </w:p>
    <w:p w14:paraId="0C9890E2" w14:textId="77777777" w:rsidR="00FA0266" w:rsidRPr="000D3432" w:rsidRDefault="00FA0266" w:rsidP="00A95498">
      <w:pPr>
        <w:jc w:val="both"/>
        <w:rPr>
          <w:rFonts w:asciiTheme="minorHAnsi" w:hAnsiTheme="minorHAnsi" w:cs="Arial"/>
          <w:szCs w:val="24"/>
          <w:lang w:val="es-ES_tradnl"/>
        </w:rPr>
      </w:pPr>
    </w:p>
    <w:p w14:paraId="53FAF77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Según el ingenioso Dr. Francisco Ruiz de Castilla Ponce de León, la potestad tributaria se divide en dos tipos: 1) Potestad tributaria originaria, y 2) Potestad tributaria derivada. Lo que las define y diferencia es el origen y calidad de esta potestad.</w:t>
      </w:r>
    </w:p>
    <w:p w14:paraId="5DF416AC" w14:textId="77777777" w:rsidR="00FA0266" w:rsidRPr="000D3432" w:rsidRDefault="00FA0266" w:rsidP="00A95498">
      <w:pPr>
        <w:jc w:val="both"/>
        <w:rPr>
          <w:rFonts w:asciiTheme="minorHAnsi" w:hAnsiTheme="minorHAnsi" w:cs="Arial"/>
          <w:szCs w:val="24"/>
          <w:lang w:val="es-ES_tradnl"/>
        </w:rPr>
      </w:pPr>
    </w:p>
    <w:p w14:paraId="7816B626" w14:textId="77777777" w:rsidR="00FA0266" w:rsidRPr="000D3432" w:rsidRDefault="00FA0266" w:rsidP="00A95498">
      <w:pPr>
        <w:pStyle w:val="Ttulo3"/>
        <w:rPr>
          <w:rFonts w:asciiTheme="minorHAnsi" w:hAnsiTheme="minorHAnsi" w:cs="Arial"/>
          <w:sz w:val="24"/>
          <w:szCs w:val="24"/>
        </w:rPr>
      </w:pPr>
      <w:bookmarkStart w:id="54" w:name="_Toc318102868"/>
      <w:r w:rsidRPr="000D3432">
        <w:rPr>
          <w:rFonts w:asciiTheme="minorHAnsi" w:hAnsiTheme="minorHAnsi" w:cs="Arial"/>
          <w:sz w:val="24"/>
          <w:szCs w:val="24"/>
        </w:rPr>
        <w:t xml:space="preserve">a) </w:t>
      </w:r>
      <w:r w:rsidRPr="000D3432">
        <w:rPr>
          <w:rFonts w:asciiTheme="minorHAnsi" w:hAnsiTheme="minorHAnsi" w:cs="Arial"/>
          <w:smallCaps/>
          <w:sz w:val="24"/>
          <w:szCs w:val="24"/>
        </w:rPr>
        <w:t>Potestad Tributaria Originaria</w:t>
      </w:r>
      <w:bookmarkEnd w:id="54"/>
    </w:p>
    <w:p w14:paraId="1A56BEB4" w14:textId="77777777" w:rsidR="00FA0266" w:rsidRPr="000D3432" w:rsidRDefault="00FA0266" w:rsidP="00A95498">
      <w:pPr>
        <w:jc w:val="both"/>
        <w:rPr>
          <w:rFonts w:asciiTheme="minorHAnsi" w:hAnsiTheme="minorHAnsi" w:cs="Arial"/>
          <w:szCs w:val="24"/>
          <w:lang w:val="es-ES_tradnl"/>
        </w:rPr>
      </w:pPr>
    </w:p>
    <w:p w14:paraId="0CDEAC47"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La potestad tributaria originaria tiene su fuente y su fuerza en ser una facultad para crear, modificar y extinguir tributos sin necesidad de trámite previo o autorización –nos dice el Dr. Francisco Ruiz de Castilla. ¿Y quién tiene este tipo de poder? ¿Quién tiene o debe tener el poder para crear tributos? Pues la sociedad. Pero como la sociedad es un conjunto de demasiadas personas, como para que puedan ponerse de acuerdo  y dictar qué tributos imponerse y cuáles no; tiene que haber, por cuestiones de racionalidad de tiempo y capacidad de operatividad, un representante. Este representante es el Estado, y como el Estado es también un tipo de organización social, un ente un tanto enorme, se necesita algo más concreto, algo más manejable, que represente a toda la sociedad; y en una sociedad moderna es el Congreso. Es pues el Congreso legislativo, como órgano del Estado, como órgano que representa a la voluntad de toda la sociedad, quien tiene potestad tributaria originaria, porque no tiene que hacer ningún trámite previo, ni pedir autorización alguna para  crear, modificar o extinguir tributos. La explicación es que la autorización para crear tributos la tiene que dar la sociedad, y el Congreso, o el Poder Legislativo, hace las veces de la sociedad, de la sociedad representada. </w:t>
      </w:r>
    </w:p>
    <w:p w14:paraId="5583CBB3" w14:textId="77777777" w:rsidR="00FA0266" w:rsidRPr="000D3432" w:rsidRDefault="00FA0266" w:rsidP="00A95498">
      <w:pPr>
        <w:jc w:val="both"/>
        <w:rPr>
          <w:rFonts w:asciiTheme="minorHAnsi" w:hAnsiTheme="minorHAnsi" w:cs="Arial"/>
          <w:szCs w:val="24"/>
          <w:lang w:val="es-ES_tradnl"/>
        </w:rPr>
      </w:pPr>
    </w:p>
    <w:p w14:paraId="3C2A7CCD" w14:textId="77777777" w:rsidR="00FA0266" w:rsidRPr="000D3432" w:rsidRDefault="00FA0266" w:rsidP="00A95498">
      <w:pPr>
        <w:pStyle w:val="Ttulo3"/>
        <w:rPr>
          <w:rFonts w:asciiTheme="minorHAnsi" w:hAnsiTheme="minorHAnsi" w:cs="Arial"/>
          <w:sz w:val="24"/>
          <w:szCs w:val="24"/>
        </w:rPr>
      </w:pPr>
      <w:bookmarkStart w:id="55" w:name="_Toc318102869"/>
      <w:r w:rsidRPr="000D3432">
        <w:rPr>
          <w:rFonts w:asciiTheme="minorHAnsi" w:hAnsiTheme="minorHAnsi" w:cs="Arial"/>
          <w:sz w:val="24"/>
          <w:szCs w:val="24"/>
        </w:rPr>
        <w:t>b)</w:t>
      </w:r>
      <w:r w:rsidRPr="000D3432">
        <w:rPr>
          <w:rFonts w:asciiTheme="minorHAnsi" w:hAnsiTheme="minorHAnsi" w:cs="Arial"/>
          <w:smallCaps/>
          <w:sz w:val="24"/>
          <w:szCs w:val="24"/>
        </w:rPr>
        <w:t xml:space="preserve"> Potestad Tributaria Derivada</w:t>
      </w:r>
      <w:bookmarkEnd w:id="55"/>
      <w:r w:rsidRPr="000D3432">
        <w:rPr>
          <w:rFonts w:asciiTheme="minorHAnsi" w:hAnsiTheme="minorHAnsi" w:cs="Arial"/>
          <w:smallCaps/>
          <w:sz w:val="24"/>
          <w:szCs w:val="24"/>
        </w:rPr>
        <w:t xml:space="preserve"> </w:t>
      </w:r>
    </w:p>
    <w:p w14:paraId="45029818" w14:textId="77777777" w:rsidR="00FA0266" w:rsidRPr="000D3432" w:rsidRDefault="00FA0266" w:rsidP="00A95498">
      <w:pPr>
        <w:jc w:val="both"/>
        <w:rPr>
          <w:rFonts w:asciiTheme="minorHAnsi" w:hAnsiTheme="minorHAnsi" w:cs="Arial"/>
          <w:szCs w:val="24"/>
          <w:lang w:val="es-ES_tradnl"/>
        </w:rPr>
      </w:pPr>
    </w:p>
    <w:p w14:paraId="0F919F79"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La potestad tributaria derivada es aquella que necesita de trámite previo o autorización –dice Francisco Ruiz de Castilla-. Por ejemplo, para que el Poder Ejecutivo pueda crear impuestos necesita previo trámite y autorización del Congreso, que mediante ley le da esta potestad, esta facultad delegada para crear impuestos. El Poder Ejecutivo tiene, sin embargo, también potestad </w:t>
      </w:r>
      <w:r w:rsidRPr="000D3432">
        <w:rPr>
          <w:rFonts w:asciiTheme="minorHAnsi" w:hAnsiTheme="minorHAnsi" w:cs="Arial"/>
          <w:szCs w:val="24"/>
          <w:lang w:val="es-ES_tradnl"/>
        </w:rPr>
        <w:lastRenderedPageBreak/>
        <w:t>tributaria originaria, según nuestra Constitución, en los casos de tasas y aranceles.  Lo esencial es que la potestad tributaria originaria no necesita de trámite previo o autorización; mientras que la potestad tributaria derivada si necesita este trámite previo o autorización.</w:t>
      </w:r>
    </w:p>
    <w:p w14:paraId="609F94C2" w14:textId="77777777" w:rsidR="00FA0266" w:rsidRPr="000D3432" w:rsidRDefault="00FA0266" w:rsidP="00A95498">
      <w:pPr>
        <w:jc w:val="both"/>
        <w:rPr>
          <w:rFonts w:asciiTheme="minorHAnsi" w:hAnsiTheme="minorHAnsi" w:cs="Arial"/>
          <w:szCs w:val="24"/>
          <w:lang w:val="es-ES_tradnl"/>
        </w:rPr>
      </w:pPr>
    </w:p>
    <w:p w14:paraId="651AD25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Ahora bien, la Constitución ha dispuesto que esta potestad o poder Tributario, para crear, modificar y extinguir o eximir de los tributos la tiene el Gobierno. Y este puede subdividirse en tres estadios: el Gobierno Central (Poder Ejecutivo, Legislativo), los Gobiernos Regionales y los Gobiernos Locales (Municipalidades Provinciales o Distritales). El Gobierno es la “Dirección o administración del Estado” –escribe Cabanellas. Se diferencia, pues, del propio Estado, aunque está dentro de él y fuera de él. El Gobierno es “la organización específica del poder constituido en y por el Estado y al servicio del Estado.”</w:t>
      </w:r>
      <w:r w:rsidRPr="000D3432">
        <w:rPr>
          <w:rStyle w:val="Refdenotaalpie"/>
          <w:rFonts w:asciiTheme="minorHAnsi" w:hAnsiTheme="minorHAnsi" w:cs="Arial"/>
          <w:sz w:val="24"/>
          <w:szCs w:val="24"/>
          <w:lang w:val="es-ES_tradnl"/>
        </w:rPr>
        <w:t xml:space="preserve"> </w:t>
      </w:r>
      <w:r w:rsidRPr="000D3432">
        <w:rPr>
          <w:rStyle w:val="Refdenotaalpie"/>
          <w:rFonts w:asciiTheme="minorHAnsi" w:hAnsiTheme="minorHAnsi" w:cs="Arial"/>
          <w:sz w:val="24"/>
          <w:szCs w:val="24"/>
          <w:lang w:val="es-ES_tradnl"/>
        </w:rPr>
        <w:footnoteReference w:id="440"/>
      </w:r>
      <w:r w:rsidRPr="000D3432">
        <w:rPr>
          <w:rFonts w:asciiTheme="minorHAnsi" w:hAnsiTheme="minorHAnsi" w:cs="Arial"/>
          <w:szCs w:val="24"/>
          <w:lang w:val="es-ES_tradnl"/>
        </w:rPr>
        <w:t>. El Gobierno es administración y gestión del poder. “Orden, régimen o sistema para regir la nación o alguna de sus provincias, regionales o municipios.”  -dice Cabanellas.</w:t>
      </w:r>
    </w:p>
    <w:p w14:paraId="5103EA62" w14:textId="77777777" w:rsidR="00FA0266" w:rsidRPr="000D3432" w:rsidRDefault="00FA0266" w:rsidP="00A95498">
      <w:pPr>
        <w:jc w:val="both"/>
        <w:rPr>
          <w:rFonts w:asciiTheme="minorHAnsi" w:hAnsiTheme="minorHAnsi" w:cs="Arial"/>
          <w:szCs w:val="24"/>
          <w:lang w:val="es-ES_tradnl"/>
        </w:rPr>
      </w:pPr>
    </w:p>
    <w:p w14:paraId="1E4393D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¿Cómo están compuestos estos gobiernos? El Gobierno Central está constituido por el Poder Legislativo y el Poder Ejecutivo -en materia tributaria- que tienen potestad de crear, modificar o extinguir tributos. El Poder Legislativo, como órgano representativo de la nación, de la sociedad, tiene la capacidad de crear, modificar y extinguir tributos. Y el Poder Ejecutivo también tiene esta potestad, pero por delegación del Poder Legislativo. Salvo en casos de aranceles y tasas en los cuales el Poder Ejecutivo también tiene potestad tributaria sin necesidad de delegación. La intervención del Gobierno Central puede delimitarse por la necesidad de tributos de carácter nacional. </w:t>
      </w:r>
    </w:p>
    <w:p w14:paraId="218B313E" w14:textId="77777777" w:rsidR="00FA0266" w:rsidRPr="000D3432" w:rsidRDefault="00FA0266" w:rsidP="00A95498">
      <w:pPr>
        <w:jc w:val="both"/>
        <w:rPr>
          <w:rFonts w:asciiTheme="minorHAnsi" w:hAnsiTheme="minorHAnsi" w:cs="Arial"/>
          <w:szCs w:val="24"/>
          <w:lang w:val="es-ES_tradnl"/>
        </w:rPr>
      </w:pPr>
    </w:p>
    <w:p w14:paraId="73ECC959"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potestad tributaria tiene que ser eminentemente concordante con la determinación política, con el régimen político, es decir democrático, que descentraliza el poder y lo traslada a la sociedad entera. La democracia implica que dentro de la sociedad, en la convivencia humana, hay conflictos, pero estos no tienen que ser negados, sino reconocidos y tratados o regulados para su solución. Esta regulación (Derecho) permite “el mantenimiento y estabilización de la unidad política dentro de un Estado”</w:t>
      </w:r>
      <w:r w:rsidRPr="000D3432">
        <w:rPr>
          <w:rStyle w:val="Refdenotaalpie"/>
          <w:rFonts w:asciiTheme="minorHAnsi" w:hAnsiTheme="minorHAnsi" w:cs="Arial"/>
          <w:sz w:val="24"/>
          <w:szCs w:val="24"/>
          <w:lang w:val="es-ES_tradnl"/>
        </w:rPr>
        <w:t xml:space="preserve"> </w:t>
      </w:r>
      <w:r w:rsidRPr="000D3432">
        <w:rPr>
          <w:rStyle w:val="Refdenotaalpie"/>
          <w:rFonts w:asciiTheme="minorHAnsi" w:hAnsiTheme="minorHAnsi" w:cs="Arial"/>
          <w:sz w:val="24"/>
          <w:szCs w:val="24"/>
          <w:lang w:val="es-ES_tradnl"/>
        </w:rPr>
        <w:footnoteReference w:id="441"/>
      </w:r>
      <w:r w:rsidRPr="000D3432">
        <w:rPr>
          <w:rFonts w:asciiTheme="minorHAnsi" w:hAnsiTheme="minorHAnsi" w:cs="Arial"/>
          <w:szCs w:val="24"/>
          <w:lang w:val="es-ES_tradnl"/>
        </w:rPr>
        <w:t xml:space="preserve"> </w:t>
      </w:r>
    </w:p>
    <w:p w14:paraId="5DF55384" w14:textId="77777777" w:rsidR="00FA0266" w:rsidRPr="000D3432" w:rsidRDefault="00FA0266" w:rsidP="00A95498">
      <w:pPr>
        <w:jc w:val="both"/>
        <w:rPr>
          <w:rFonts w:asciiTheme="minorHAnsi" w:hAnsiTheme="minorHAnsi" w:cs="Arial"/>
          <w:szCs w:val="24"/>
          <w:lang w:val="es-ES_tradnl"/>
        </w:rPr>
      </w:pPr>
    </w:p>
    <w:p w14:paraId="2791D648"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distribución de la potestad tributaria está en base a la función que cumple cada jurisdicción de Gobierno (Gobierno Central, Regional, Local) es decir, se tienen que determinar y fijar el papel y los fines de cada gobierno y de su jurisdicción legislativa (por qué y para qué se crean tributos dentro de un determinado territorio político  jurídico), para evitarse, por ejemplo, cualquier conflicto o problema de doble o triple imposición. Tienen que haber, por lo tanto, dos tipos de funciones o de jurisdicción legislativa en materia tributaria: la de responder al orden nacional, a los servicios de carácter nacional; y las que responden al margen jurisdiccional, (responsabilidad y finalidad, para consigo mismo, para con su jurisdicción).</w:t>
      </w:r>
    </w:p>
    <w:p w14:paraId="20D64E24" w14:textId="77777777" w:rsidR="00FA0266" w:rsidRPr="000D3432" w:rsidRDefault="00FA0266" w:rsidP="00A95498">
      <w:pPr>
        <w:jc w:val="both"/>
        <w:rPr>
          <w:rFonts w:asciiTheme="minorHAnsi" w:hAnsiTheme="minorHAnsi" w:cs="Arial"/>
          <w:szCs w:val="24"/>
          <w:lang w:val="es-ES_tradnl"/>
        </w:rPr>
      </w:pPr>
    </w:p>
    <w:p w14:paraId="58808794"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papel  objetivo general de esta división (Gobierno Central, Regional, Local) es el mejor desarrollo y representación del país. Por eso es importante determinar “...el papel que cumplen los mismos en el desarrollo del país, a partir del desarrollo de los distritos y de las provincias.” –escribe Luis Hernández Berenguel.</w:t>
      </w:r>
    </w:p>
    <w:p w14:paraId="55DE2410" w14:textId="77777777" w:rsidR="00FA0266" w:rsidRPr="000D3432" w:rsidRDefault="00FA0266" w:rsidP="00A95498">
      <w:pPr>
        <w:jc w:val="both"/>
        <w:rPr>
          <w:rFonts w:asciiTheme="minorHAnsi" w:hAnsiTheme="minorHAnsi" w:cs="Arial"/>
          <w:szCs w:val="24"/>
          <w:lang w:val="es-ES_tradnl"/>
        </w:rPr>
      </w:pPr>
    </w:p>
    <w:p w14:paraId="461A57D9"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Gobierno nacional ejerce potestad tributaria a través del Congreso. El Poder Ejecutivo tiene potestad tributaria en la creación de Tasas y Aranceles, por razones de agilidad del movimiento económico del país –explica Hernández Berenguer-, y para lograr el orden interno. Los Aranceles, por ejemplo, son “tributos sobre los cuales las exigencias de la vida moderna requiere decisiones inmediatas”, porque el Gobierno Central ha de vérselas con el orden externo, como el comercio exterior, internacional, y ello implica rapidez, e inmediatez, que en este caso el Congreso –como facultado para hacer las leyes, no puede cumplir con la velocidad necesaria y conveniente a las relaciones internacionales.</w:t>
      </w:r>
    </w:p>
    <w:p w14:paraId="7BA8F818" w14:textId="77777777" w:rsidR="00FA0266" w:rsidRPr="000D3432" w:rsidRDefault="00FA0266" w:rsidP="00A95498">
      <w:pPr>
        <w:jc w:val="both"/>
        <w:rPr>
          <w:rFonts w:asciiTheme="minorHAnsi" w:hAnsiTheme="minorHAnsi" w:cs="Arial"/>
          <w:szCs w:val="24"/>
          <w:lang w:val="es-ES_tradnl"/>
        </w:rPr>
      </w:pPr>
    </w:p>
    <w:p w14:paraId="1C42AFE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Gobierno Central es una división del Estado en su contenido orgánico, es decir “el conjunto de organismos que lo configuran y que ejercen sus funciones”</w:t>
      </w:r>
      <w:r w:rsidRPr="000D3432">
        <w:rPr>
          <w:rStyle w:val="Refdenotaalpie"/>
          <w:rFonts w:asciiTheme="minorHAnsi" w:hAnsiTheme="minorHAnsi" w:cs="Arial"/>
          <w:sz w:val="24"/>
          <w:szCs w:val="24"/>
          <w:lang w:val="es-ES_tradnl"/>
        </w:rPr>
        <w:footnoteReference w:id="442"/>
      </w:r>
      <w:r w:rsidRPr="000D3432">
        <w:rPr>
          <w:rFonts w:asciiTheme="minorHAnsi" w:hAnsiTheme="minorHAnsi" w:cs="Arial"/>
          <w:szCs w:val="24"/>
          <w:lang w:val="es-ES_tradnl"/>
        </w:rPr>
        <w:t>.  Rubio define al “Gobierno Central como órganos políticos y administrativos de nivel nacional”</w:t>
      </w:r>
      <w:r w:rsidRPr="000D3432">
        <w:rPr>
          <w:rStyle w:val="Refdenotaalpie"/>
          <w:rFonts w:asciiTheme="minorHAnsi" w:hAnsiTheme="minorHAnsi" w:cs="Arial"/>
          <w:sz w:val="24"/>
          <w:szCs w:val="24"/>
          <w:lang w:val="es-ES_tradnl"/>
        </w:rPr>
        <w:footnoteReference w:id="443"/>
      </w:r>
      <w:r w:rsidRPr="000D3432">
        <w:rPr>
          <w:rFonts w:asciiTheme="minorHAnsi" w:hAnsiTheme="minorHAnsi" w:cs="Arial"/>
          <w:szCs w:val="24"/>
          <w:lang w:val="es-ES_tradnl"/>
        </w:rPr>
        <w:t>.</w:t>
      </w:r>
    </w:p>
    <w:p w14:paraId="4561E14B" w14:textId="77777777" w:rsidR="00FA0266" w:rsidRPr="000D3432" w:rsidRDefault="00FA0266" w:rsidP="00A95498">
      <w:pPr>
        <w:jc w:val="both"/>
        <w:rPr>
          <w:rFonts w:asciiTheme="minorHAnsi" w:hAnsiTheme="minorHAnsi" w:cs="Arial"/>
          <w:szCs w:val="24"/>
          <w:lang w:val="es-ES_tradnl"/>
        </w:rPr>
      </w:pPr>
    </w:p>
    <w:p w14:paraId="570CC79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Gobierno Central responde a un principio de organización política del Estado, que es el sentido “unitario” de la misma sociedad. Es decir el Gobierno Central es un tipo de organización política del Estado de carácter unitario, o que comprende y tiene carácter unitario, general. Y es un tipo de organización política porque distribuye la administración de las facultades y finalidades del Estado. Además, el Gobierno Regional trae consigo resolver cuál es el ámbito de aplicación del mismo, de su poder político-jurídico. Las Regiones son unidades “geoeconómicas”, es decir es la combinación de un determinado espacio, territorio y su posibilidad de desarrollo, y de la riqueza que puede generar. Se trata de áreas “integradas histórica, económica, administrativa y culturalmente”.</w:t>
      </w:r>
    </w:p>
    <w:p w14:paraId="20511744" w14:textId="77777777" w:rsidR="00FA0266" w:rsidRPr="000D3432" w:rsidRDefault="00FA0266" w:rsidP="00A95498">
      <w:pPr>
        <w:jc w:val="both"/>
        <w:rPr>
          <w:rFonts w:asciiTheme="minorHAnsi" w:hAnsiTheme="minorHAnsi" w:cs="Arial"/>
          <w:szCs w:val="24"/>
          <w:lang w:val="es-ES_tradnl"/>
        </w:rPr>
      </w:pPr>
    </w:p>
    <w:p w14:paraId="61F63C68" w14:textId="77777777" w:rsidR="00FA0266" w:rsidRPr="000D3432" w:rsidRDefault="00FA0266" w:rsidP="00A95498">
      <w:pPr>
        <w:jc w:val="both"/>
        <w:rPr>
          <w:rFonts w:asciiTheme="minorHAnsi" w:hAnsiTheme="minorHAnsi" w:cs="Arial"/>
          <w:b/>
          <w:szCs w:val="24"/>
          <w:lang w:val="es-ES_tradnl"/>
        </w:rPr>
      </w:pPr>
    </w:p>
    <w:p w14:paraId="3E783E2B" w14:textId="77777777" w:rsidR="00FA0266" w:rsidRPr="000D3432" w:rsidRDefault="00FA0266" w:rsidP="00A95498">
      <w:pPr>
        <w:pStyle w:val="Ttulo1"/>
        <w:spacing w:line="240" w:lineRule="auto"/>
        <w:rPr>
          <w:rFonts w:asciiTheme="minorHAnsi" w:hAnsiTheme="minorHAnsi"/>
          <w:sz w:val="24"/>
          <w:szCs w:val="24"/>
          <w:lang w:val="es-ES_tradnl"/>
        </w:rPr>
      </w:pPr>
      <w:bookmarkStart w:id="56" w:name="_Toc318102870"/>
      <w:r w:rsidRPr="000D3432">
        <w:rPr>
          <w:rFonts w:asciiTheme="minorHAnsi" w:hAnsiTheme="minorHAnsi"/>
          <w:sz w:val="24"/>
          <w:szCs w:val="24"/>
          <w:lang w:val="es-ES_tradnl"/>
        </w:rPr>
        <w:t>IV.- PRINCIPIOS DEL DERECHO TRIBUTARIO</w:t>
      </w:r>
      <w:bookmarkEnd w:id="56"/>
    </w:p>
    <w:p w14:paraId="25F5D00A" w14:textId="77777777" w:rsidR="00FA0266" w:rsidRPr="000D3432" w:rsidRDefault="00FA0266" w:rsidP="00A95498">
      <w:pPr>
        <w:jc w:val="both"/>
        <w:rPr>
          <w:rFonts w:asciiTheme="minorHAnsi" w:hAnsiTheme="minorHAnsi" w:cs="Arial"/>
          <w:szCs w:val="24"/>
          <w:lang w:val="es-ES_tradnl"/>
        </w:rPr>
      </w:pPr>
    </w:p>
    <w:p w14:paraId="623ACFFF"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Hay, frente a la potestad tributaria, como un control, ciertos límites que son conocidos como principios de la tributación. </w:t>
      </w:r>
    </w:p>
    <w:p w14:paraId="054A449B" w14:textId="77777777" w:rsidR="00FA0266" w:rsidRPr="000D3432" w:rsidRDefault="00FA0266" w:rsidP="00A95498">
      <w:pPr>
        <w:jc w:val="both"/>
        <w:rPr>
          <w:rFonts w:asciiTheme="minorHAnsi" w:hAnsiTheme="minorHAnsi" w:cs="Arial"/>
          <w:szCs w:val="24"/>
          <w:lang w:val="es-ES_tradnl"/>
        </w:rPr>
      </w:pPr>
    </w:p>
    <w:p w14:paraId="0D368F0E"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Los principios son ideas sintéticas, síntesis geniales que sirven a manera de matrices generales de todo cosmos o dimensión del conocimiento. En Derecho  son conceptos fuerza, conceptos o proposiciones que explican, dan cuenta, y delimitan un determinado saber o conocimiento. Son “conceptos o </w:t>
      </w:r>
      <w:r w:rsidRPr="000D3432">
        <w:rPr>
          <w:rFonts w:asciiTheme="minorHAnsi" w:hAnsiTheme="minorHAnsi" w:cs="Arial"/>
          <w:szCs w:val="24"/>
          <w:lang w:val="es-ES_tradnl"/>
        </w:rPr>
        <w:lastRenderedPageBreak/>
        <w:t xml:space="preserve">proposiciones que inspiran e informan la creación, modificación y extinción de las normas jurídicas”. En el Derecho tributario estos existen por ser límites a la potestad tributaria, es decir existen como control del poder del Estado para crear, modificar y extinguir tributos. Así, la determinación del contenido de los principios tributarios tiene un ámbito específico: la potestad tributaria del Estado. Por consecuencia mediante estos principios se subordina al propio Estado a la voluntad general de la sociedad, protegiendo a la sociedad de cualquier arbitrariedad del uso del poder Estatal en el ejercicio de su potestad tributaria. </w:t>
      </w:r>
    </w:p>
    <w:p w14:paraId="011ACE07" w14:textId="77777777" w:rsidR="00FA0266" w:rsidRPr="000D3432" w:rsidRDefault="00FA0266" w:rsidP="00A95498">
      <w:pPr>
        <w:jc w:val="both"/>
        <w:rPr>
          <w:rFonts w:asciiTheme="minorHAnsi" w:hAnsiTheme="minorHAnsi" w:cs="Arial"/>
          <w:szCs w:val="24"/>
          <w:lang w:val="es-ES_tradnl"/>
        </w:rPr>
      </w:pPr>
    </w:p>
    <w:p w14:paraId="7C5E900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Por eso los principios tributarios “son el límite del Poder Tributario del Estado, a fin de que no se vulnere los derechos fundamentales de la persona, ni se colisione con otros sectores y potestades con las cuales se debe coexistir.” Y estos derechos fundamentales están preferentemente en, por ejemplo, el derecho a la propiedad privada y a la riqueza, porque como se sabe, los tributos son una afectación a la riqueza de las personas. </w:t>
      </w:r>
    </w:p>
    <w:p w14:paraId="52C819D6" w14:textId="77777777" w:rsidR="00FA0266" w:rsidRPr="000D3432" w:rsidRDefault="00FA0266" w:rsidP="00A95498">
      <w:pPr>
        <w:jc w:val="both"/>
        <w:rPr>
          <w:rFonts w:asciiTheme="minorHAnsi" w:hAnsiTheme="minorHAnsi" w:cs="Arial"/>
          <w:szCs w:val="24"/>
          <w:lang w:val="es-ES_tradnl"/>
        </w:rPr>
      </w:pPr>
    </w:p>
    <w:p w14:paraId="6193FC1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Según la doctrina existen los siguientes principios tributarios: Legalidad, Justicia, Uniformidad, Respeto de los Derechos Fundamentales, Publicidad, Obligatoriedad, Certeza, Economía en la recaudación, Igualdad, No confiscatoriedad, Capacidad contributiva, Redistribución o Proporcionalidad, Estabilidad económica, Eficacia en la asignación de recursos. De los cuales desarrollaremos sólo algunos.</w:t>
      </w:r>
    </w:p>
    <w:p w14:paraId="053AAD90" w14:textId="77777777" w:rsidR="00FA0266" w:rsidRPr="000D3432" w:rsidRDefault="00FA0266" w:rsidP="00A95498">
      <w:pPr>
        <w:jc w:val="both"/>
        <w:rPr>
          <w:rFonts w:asciiTheme="minorHAnsi" w:hAnsiTheme="minorHAnsi" w:cs="Arial"/>
          <w:szCs w:val="24"/>
          <w:lang w:val="es-ES_tradnl"/>
        </w:rPr>
      </w:pPr>
    </w:p>
    <w:p w14:paraId="3721316C"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57" w:name="_Toc318102871"/>
      <w:r w:rsidRPr="000D3432">
        <w:rPr>
          <w:rFonts w:asciiTheme="minorHAnsi" w:hAnsiTheme="minorHAnsi" w:cs="Arial"/>
          <w:smallCaps/>
          <w:sz w:val="24"/>
          <w:szCs w:val="24"/>
          <w:lang w:val="es-ES_tradnl"/>
        </w:rPr>
        <w:t>1.- Principio de Legalidad:</w:t>
      </w:r>
      <w:bookmarkEnd w:id="57"/>
    </w:p>
    <w:p w14:paraId="0F71DA59" w14:textId="77777777" w:rsidR="00FA0266" w:rsidRPr="000D3432" w:rsidRDefault="00FA0266" w:rsidP="00A95498">
      <w:pPr>
        <w:jc w:val="both"/>
        <w:rPr>
          <w:rFonts w:asciiTheme="minorHAnsi" w:hAnsiTheme="minorHAnsi" w:cs="Arial"/>
          <w:szCs w:val="24"/>
          <w:lang w:val="es-ES_tradnl"/>
        </w:rPr>
      </w:pPr>
    </w:p>
    <w:p w14:paraId="1DD24134"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En latín este principio es expresado bajo la siguiente frase: “Nullum tributum sine lege”; que significa “no hay tributo sin ley”. Este principio se explica como un sistema de subordinación a un poder superior o extraordinario, que en el derecho moderno no puede ser la voluntad del gobernante, sino la voluntad de aquello que representa el gobernante, es decir de la misma sociedad representada. Recordemos que es esta representación lo que le da legitimidad al ejercicio del poder del Estado, y por lo mismo a la potestad tributaria del Estado. Así el principio de Legalidad, o de Reserva de la Ley, delimita el campo y legitimidad del obrar del Estado para imponer tributos. No cualquier órgano puede imponer tributos, sino solo aquellos que pueden o tienen la potestad para ello, y sólo la tienen si están autorizados por ley, que resulta decir, “están autorizados por la sociedad”, puesto que la ley es la voluntad y/o autorización de la sociedad. Eso es lo que cautela este principio. En un Estado moderno la ley no es la boca del soberano, sino la boca de la sociedad. Este principio es, pues, un medio de garantizar cierta estabilidad y respeto por los derechos de toda la sociedad, fundados en el pacto social, y esta se expresa a través de la ley. </w:t>
      </w:r>
    </w:p>
    <w:p w14:paraId="261C3C90" w14:textId="77777777" w:rsidR="00FA0266" w:rsidRPr="000D3432" w:rsidRDefault="00FA0266" w:rsidP="00A95498">
      <w:pPr>
        <w:jc w:val="both"/>
        <w:rPr>
          <w:rFonts w:asciiTheme="minorHAnsi" w:hAnsiTheme="minorHAnsi" w:cs="Arial"/>
          <w:szCs w:val="24"/>
          <w:lang w:val="es-ES_tradnl"/>
        </w:rPr>
      </w:pPr>
    </w:p>
    <w:p w14:paraId="244C1D88"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Toda Ley, entonces, tiene en la forma, en su forma de creación, un sistema de seguridad. Es decir, no se acaba en ser representación o boca de la sociedad –como dijimos-, sino en constituirse en un medio de seguridad, un principio de certeza y predictibilidad de todo fenómeno jurídico.  Así que al lado de la delimitación de los órganos que tienen la facultad para crear, modificar o </w:t>
      </w:r>
      <w:r w:rsidRPr="000D3432">
        <w:rPr>
          <w:rFonts w:asciiTheme="minorHAnsi" w:hAnsiTheme="minorHAnsi" w:cs="Arial"/>
          <w:szCs w:val="24"/>
          <w:lang w:val="es-ES_tradnl"/>
        </w:rPr>
        <w:lastRenderedPageBreak/>
        <w:t>extinguir tributos, está el contenido interno que en si lleva la ley. Y ¿cuál es ese contenido interno? Que todo esté conforme a cierta razonabilidad, a cierto método que suponga un determinado orden social, que responda a una concepción jurídica, a un ordenamiento jurídico determinado temporal y espacialmente. La legalidad  es pues la representación del sentimiento cósmico, interno, de un tipo de visión social, de cierto paradigma social de vida. La legalidad responde, pues, a un orden político social e histórico. Lo jurídico en el principio de legalidad, es aquello que enlaza diversas dimensiones: política, sociedad, historia y juridicidad. Pero las enlaza a través del derecho positivo. De algo que puede crear certeza, seguridad, y capacidad de verificación, prueba, revisión, etc.</w:t>
      </w:r>
    </w:p>
    <w:p w14:paraId="1715AD3F" w14:textId="77777777" w:rsidR="00FA0266" w:rsidRPr="000D3432" w:rsidRDefault="00FA0266" w:rsidP="00A95498">
      <w:pPr>
        <w:jc w:val="both"/>
        <w:rPr>
          <w:rFonts w:asciiTheme="minorHAnsi" w:hAnsiTheme="minorHAnsi" w:cs="Arial"/>
          <w:szCs w:val="24"/>
          <w:lang w:val="es-ES_tradnl"/>
        </w:rPr>
      </w:pPr>
    </w:p>
    <w:p w14:paraId="35A3FE4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Por eso este principio se propone como método de discriminación a priori de actos incorrectos de creación de tributos. Es un acto previo. Es un conveniente sistema y mecanismo de protección contra el poder tributario del Estado. Es un acto que convierte los hechos en objetos de derecho.</w:t>
      </w:r>
    </w:p>
    <w:p w14:paraId="6F5E28E7" w14:textId="77777777" w:rsidR="00FA0266" w:rsidRPr="000D3432" w:rsidRDefault="00FA0266" w:rsidP="00A95498">
      <w:pPr>
        <w:jc w:val="both"/>
        <w:rPr>
          <w:rFonts w:asciiTheme="minorHAnsi" w:hAnsiTheme="minorHAnsi" w:cs="Arial"/>
          <w:szCs w:val="24"/>
          <w:lang w:val="es-ES_tradnl"/>
        </w:rPr>
      </w:pPr>
    </w:p>
    <w:p w14:paraId="0A541A9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En un concepto técnico Rubio Correa escribe, “La reserva de la ley, que quiere decir que sólo las normas con rango de ley pueden crear, modificar, suprimir o exonerar tributos. Nadie puede arrogarse esa función”</w:t>
      </w:r>
      <w:r w:rsidRPr="000D3432">
        <w:rPr>
          <w:rStyle w:val="Refdenotaalpie"/>
          <w:rFonts w:asciiTheme="minorHAnsi" w:hAnsiTheme="minorHAnsi" w:cs="Arial"/>
          <w:sz w:val="24"/>
          <w:szCs w:val="24"/>
          <w:lang w:val="es-ES_tradnl"/>
        </w:rPr>
        <w:footnoteReference w:id="444"/>
      </w:r>
      <w:r w:rsidRPr="000D3432">
        <w:rPr>
          <w:rFonts w:asciiTheme="minorHAnsi" w:hAnsiTheme="minorHAnsi" w:cs="Arial"/>
          <w:szCs w:val="24"/>
          <w:lang w:val="es-ES_tradnl"/>
        </w:rPr>
        <w:t xml:space="preserve">. ¿Y por qué solo las normas con rango de ley? Pues porque son estas normas con rango de ley una atribución o facultad legislativa. Sólo pueden son normas con rango de ley aquellas que derivan de órganos que tienen potestad legislativa, es decir, de potestad para crear normas. Y ¿quiénes tienen potestad legislativa? Pues sólo la sociedad representada. Así, crean leyes aquellas instituciones que representan a la sociedad como, por ejemplo, el Gobierno Central, el Gobierno Regional, y el Gobierno Local, que tienen por tal motivo potestad tributaria, y puesto que se constituyen como entes que representan a la sociedad. La potestad tributaria por eso la tienen quienes tienen facultad legislativa. No depende del órgano que las crea, sino de la facultad que tiene este órgano, facultad legislativa para crear tributos. </w:t>
      </w:r>
    </w:p>
    <w:p w14:paraId="578C98EC" w14:textId="77777777" w:rsidR="00FA0266" w:rsidRPr="000D3432" w:rsidRDefault="00FA0266" w:rsidP="00A95498">
      <w:pPr>
        <w:jc w:val="both"/>
        <w:rPr>
          <w:rFonts w:asciiTheme="minorHAnsi" w:hAnsiTheme="minorHAnsi" w:cs="Arial"/>
          <w:szCs w:val="24"/>
          <w:lang w:val="es-ES_tradnl"/>
        </w:rPr>
      </w:pPr>
    </w:p>
    <w:p w14:paraId="47D38AEC"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Luis Hernández Berenguel escribe que el principio de legalidad “Actúa como un límite formal al ejercicio del poder tributario. La sujeción a dicho principio supone que el poder tributario sea ejercido por quien la posee”, y no por cualquiera. Es la forma la que determina la jurisdicción, y/o competencia para crear tributos, y es esta creada por ley. </w:t>
      </w:r>
    </w:p>
    <w:p w14:paraId="19855CDF" w14:textId="77777777" w:rsidR="00FA0266" w:rsidRPr="000D3432" w:rsidRDefault="00FA0266" w:rsidP="00A95498">
      <w:pPr>
        <w:jc w:val="both"/>
        <w:rPr>
          <w:rFonts w:asciiTheme="minorHAnsi" w:hAnsiTheme="minorHAnsi" w:cs="Arial"/>
          <w:szCs w:val="24"/>
          <w:lang w:val="es-ES_tradnl"/>
        </w:rPr>
      </w:pPr>
    </w:p>
    <w:p w14:paraId="2C48A86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Es éste principio un método de razonabilidad, de tal manera que si mediante ley se da poder de crear tributos, etc, pues también mediante ley se tiene que ponerle límites a este poder, o facultad o potestad. De tal forma que se le opone a esta facultad tributaria una fuerza igual y superior que es la propia ley. </w:t>
      </w:r>
    </w:p>
    <w:p w14:paraId="7A709B7A" w14:textId="77777777" w:rsidR="00FA0266" w:rsidRPr="000D3432" w:rsidRDefault="00FA0266" w:rsidP="00A95498">
      <w:pPr>
        <w:jc w:val="both"/>
        <w:rPr>
          <w:rFonts w:asciiTheme="minorHAnsi" w:hAnsiTheme="minorHAnsi" w:cs="Arial"/>
          <w:szCs w:val="24"/>
          <w:lang w:val="es-ES_tradnl"/>
        </w:rPr>
      </w:pPr>
    </w:p>
    <w:p w14:paraId="4D099C64"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58" w:name="_Toc318102872"/>
      <w:r w:rsidRPr="000D3432">
        <w:rPr>
          <w:rFonts w:asciiTheme="minorHAnsi" w:hAnsiTheme="minorHAnsi" w:cs="Arial"/>
          <w:smallCaps/>
          <w:sz w:val="24"/>
          <w:szCs w:val="24"/>
          <w:lang w:val="es-ES_tradnl"/>
        </w:rPr>
        <w:t>2.- Principio de Justicia:</w:t>
      </w:r>
      <w:bookmarkEnd w:id="58"/>
    </w:p>
    <w:p w14:paraId="04C198F3" w14:textId="77777777" w:rsidR="00FA0266" w:rsidRPr="000D3432" w:rsidRDefault="00FA0266" w:rsidP="00A95498">
      <w:pPr>
        <w:jc w:val="both"/>
        <w:rPr>
          <w:rFonts w:asciiTheme="minorHAnsi" w:hAnsiTheme="minorHAnsi" w:cs="Arial"/>
          <w:szCs w:val="24"/>
          <w:lang w:val="es-ES_tradnl"/>
        </w:rPr>
      </w:pPr>
    </w:p>
    <w:p w14:paraId="121555FB"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Este principio parece basarse en un razonamiento de orden social, colectivo. Si </w:t>
      </w:r>
      <w:r w:rsidRPr="000D3432">
        <w:rPr>
          <w:rFonts w:asciiTheme="minorHAnsi" w:hAnsiTheme="minorHAnsi" w:cs="Arial"/>
          <w:szCs w:val="24"/>
          <w:lang w:val="es-ES_tradnl"/>
        </w:rPr>
        <w:lastRenderedPageBreak/>
        <w:t>la Sociedad es el Estado, entonces, esta sociedad tiene que realizar ciertos hechos que lleven a la realización de la protección y preservación del Estado y por lo tanto de la misma colectividad. Por eso se dice que “Todas las personas e integrantes de la colectividad de todo Estado, tienen el deber y la obligación de contribuir al sostenimiento del Estado, mediante la tributación, asumiendo la obligación de contribuir por medio del tributo, en virtud a sus capacidades respectivas, y en proporción a los ingresos que obtienen, esta carga tributaria debe ser en forma equitativa.”</w:t>
      </w:r>
    </w:p>
    <w:p w14:paraId="57903E65" w14:textId="77777777" w:rsidR="00FA0266" w:rsidRPr="000D3432" w:rsidRDefault="00FA0266" w:rsidP="00A95498">
      <w:pPr>
        <w:jc w:val="both"/>
        <w:rPr>
          <w:rFonts w:asciiTheme="minorHAnsi" w:hAnsiTheme="minorHAnsi" w:cs="Arial"/>
          <w:szCs w:val="24"/>
          <w:lang w:val="es-ES_tradnl"/>
        </w:rPr>
      </w:pPr>
    </w:p>
    <w:p w14:paraId="53B69C1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Este principio asegura la vida del Estado, pero no asegura la vida del individuo. Pagar tributos, a costa de nuestra propia vida no es algo que esta dentro de lo conveniente para la sociedad. Resulta que si tenemos la obligación de dar tributos, el Estado tiene la obligación de distribuir en forma correcta los tributos aportados por nosotros. Eso debería suponer que en cuanto el Estado deja de hacer eso -uso adecuado y correcto de los tributos, para los fines que fueron generados- entonces el ciudadano se vería liberado de la tributación.</w:t>
      </w:r>
    </w:p>
    <w:p w14:paraId="1F8EA0FB" w14:textId="77777777" w:rsidR="00FA0266" w:rsidRPr="000D3432" w:rsidRDefault="00FA0266" w:rsidP="00A95498">
      <w:pPr>
        <w:jc w:val="both"/>
        <w:rPr>
          <w:rFonts w:asciiTheme="minorHAnsi" w:hAnsiTheme="minorHAnsi" w:cs="Arial"/>
          <w:szCs w:val="24"/>
          <w:lang w:val="es-ES_tradnl"/>
        </w:rPr>
      </w:pPr>
    </w:p>
    <w:p w14:paraId="3DC27E5F"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La justicia ha sido un fundamento un poco oscuro, difícil de aprehender, de manejar, por eso primero habría que determinar qué es lo que constituye algo justo, y justo en referencia a qué. En el Derecho lo justo, desde Ulpiano, es la  “voluntad constante y permanente de darle a cada cual lo suyo.” Pero ¿qué es de cada quién? ¿Cómo se puede establecer esto? La constante ha sido determinar lo justo en referencia al derecho positivo. En Derecho Tributario se trata de ser justo en la distribución de la carga tributaria en la sociedad, de acuerdo a la capacidad tributaria, para tributar, de cada persona. La justicia en Derecho Tributario es visto desde la óptica de la distribución o justicia distributiva. Todos deben tributar, pero no de cualquier manera, sino de acuerdo a ciertas condiciones, a sus condiciones contributivas, y de acuerdo a su capacidad de generar, poseer, tener riqueza, patrimonio, etc. Esto establece una relación entre el Estado y las personas; esta relación es un deber, es decir, un acto imprescindible, que tiene carácter sistémico (Del incumplimiento de este deber se sucederían consecuencias sociales de real peligro para el ordenamiento social). Es decir es una imputación de carácter social, definido individualmente. Así, si todos conforman el Estado, si todos somos el Estado, todos tenemos el deber de procurar su sostenimiento, el sostenimiento del orden social que provoca como función el Estado. </w:t>
      </w:r>
    </w:p>
    <w:p w14:paraId="6976DD66" w14:textId="77777777" w:rsidR="00FA0266" w:rsidRPr="000D3432" w:rsidRDefault="00FA0266" w:rsidP="00A95498">
      <w:pPr>
        <w:jc w:val="both"/>
        <w:rPr>
          <w:rFonts w:asciiTheme="minorHAnsi" w:hAnsiTheme="minorHAnsi" w:cs="Arial"/>
          <w:szCs w:val="24"/>
          <w:lang w:val="es-ES_tradnl"/>
        </w:rPr>
      </w:pPr>
    </w:p>
    <w:p w14:paraId="1018788F"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Por último, hablar del principio de justicia implica, pues, que “la carga tributaria debe ser distribuida en forma equitativa”. Para ello se han creado divisiones de los tributos, que regulan o intentan regular este tipo de equilibrio pretendido. La clasificación es, como sabemos, impuestos, contribuciones y tasas; tributos que en si ya están determinando, de alguna forma, la capacidad contributiva de la persona. </w:t>
      </w:r>
    </w:p>
    <w:p w14:paraId="15D5CC03" w14:textId="77777777" w:rsidR="00FA0266" w:rsidRPr="000D3432" w:rsidRDefault="00FA0266" w:rsidP="00A95498">
      <w:pPr>
        <w:jc w:val="both"/>
        <w:rPr>
          <w:rFonts w:asciiTheme="minorHAnsi" w:hAnsiTheme="minorHAnsi" w:cs="Arial"/>
          <w:szCs w:val="24"/>
          <w:lang w:val="es-ES_tradnl"/>
        </w:rPr>
      </w:pPr>
    </w:p>
    <w:p w14:paraId="46003C32"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59" w:name="_Toc318102873"/>
      <w:r w:rsidRPr="000D3432">
        <w:rPr>
          <w:rFonts w:asciiTheme="minorHAnsi" w:hAnsiTheme="minorHAnsi" w:cs="Arial"/>
          <w:smallCaps/>
          <w:sz w:val="24"/>
          <w:szCs w:val="24"/>
          <w:lang w:val="es-ES_tradnl"/>
        </w:rPr>
        <w:t>3.- Principio de Uniformidad</w:t>
      </w:r>
      <w:r w:rsidRPr="000D3432">
        <w:rPr>
          <w:rFonts w:asciiTheme="minorHAnsi" w:hAnsiTheme="minorHAnsi" w:cs="Arial"/>
          <w:sz w:val="24"/>
          <w:szCs w:val="24"/>
          <w:lang w:val="es-ES_tradnl"/>
        </w:rPr>
        <w:t>:</w:t>
      </w:r>
      <w:bookmarkEnd w:id="59"/>
    </w:p>
    <w:p w14:paraId="12123158" w14:textId="77777777" w:rsidR="00FA0266" w:rsidRPr="000D3432" w:rsidRDefault="00FA0266" w:rsidP="00A95498">
      <w:pPr>
        <w:jc w:val="both"/>
        <w:rPr>
          <w:rFonts w:asciiTheme="minorHAnsi" w:hAnsiTheme="minorHAnsi" w:cs="Arial"/>
          <w:szCs w:val="24"/>
          <w:lang w:val="es-ES_tradnl"/>
        </w:rPr>
      </w:pPr>
    </w:p>
    <w:p w14:paraId="5EFBB50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principio de uniformidad pretende darle un mismo tipo de solución a tipos semejantes de problemas. Por lo mismo puede poner en evidencia otro </w:t>
      </w:r>
      <w:r w:rsidRPr="000D3432">
        <w:rPr>
          <w:rFonts w:asciiTheme="minorHAnsi" w:hAnsiTheme="minorHAnsi" w:cs="Arial"/>
          <w:szCs w:val="24"/>
          <w:lang w:val="es-ES_tradnl"/>
        </w:rPr>
        <w:lastRenderedPageBreak/>
        <w:t xml:space="preserve">fenómeno, el de la igualdad. La igualdad jurídica implica desigualdad contributiva, en materia tributaria, por eso se escribe que “La Ley establece que en materia tributaria en lo atinente al pago de los impuestos, todos somos y tenemos las mismas obligaciones. La igualdad jurídica implica la desigualdad contributiva, a mayor capacidad contributiva la aportación tributaria es mayor.”. Este planteamiento es sumamente trascendente, porque explica y distingue lo que es realmente la igualdad. Y lo explica como concepto, y no como dogma. Es decir, que deja sustentado que no puede haber uniformidad si se olvidan los principios primeros de toda relación jurídica, que es establecer cierto método de organización social, de resolución y administración de los fenómenos sociales con carácter de exigibles. </w:t>
      </w:r>
    </w:p>
    <w:p w14:paraId="795C2F32" w14:textId="77777777" w:rsidR="00FA0266" w:rsidRPr="000D3432" w:rsidRDefault="00FA0266" w:rsidP="00A95498">
      <w:pPr>
        <w:jc w:val="both"/>
        <w:rPr>
          <w:rFonts w:asciiTheme="minorHAnsi" w:hAnsiTheme="minorHAnsi" w:cs="Arial"/>
          <w:szCs w:val="24"/>
          <w:lang w:val="es-ES_tradnl"/>
        </w:rPr>
      </w:pPr>
    </w:p>
    <w:p w14:paraId="608B7BB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igualdad jurídica significa que todos somos iguales, solo por ficción, sólo como método para poder armar un esquema de organización social. No significa que todos somos iguales, sino que todos necesitamos, por igual, ciertas cosas. Necesitamos, por ejemplo, ciertos servicios, derechos, etc. Y, aún siendo realmente desiguales, hay algunas iguales necesidades. Por lo tanto, más que igualdad de personas hay igualdad en las “necesidades prioritarias” de estas personas, por lo que se llaman “necesidades colectivas”.</w:t>
      </w:r>
    </w:p>
    <w:p w14:paraId="6215DA58" w14:textId="77777777" w:rsidR="00FA0266" w:rsidRPr="000D3432" w:rsidRDefault="00FA0266" w:rsidP="00A95498">
      <w:pPr>
        <w:pStyle w:val="Textodecuerpo21"/>
        <w:rPr>
          <w:rFonts w:asciiTheme="minorHAnsi" w:hAnsiTheme="minorHAnsi" w:cs="Arial"/>
          <w:sz w:val="24"/>
          <w:szCs w:val="24"/>
          <w:lang w:val="es-ES_tradnl"/>
        </w:rPr>
      </w:pPr>
    </w:p>
    <w:p w14:paraId="7B664B04"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Lo que el principio de uniformidad pretende –en el Derecho Tributario- es determinar por intermedio de la igualdad jurídica cierta uniformidad en el pago, en el tributo, eso significaría  “desigualdad contributiva” justa, es decir: “a mayor capacidad contributiva la aportación tributaria es mayor”. En términos sencillos: si yo gano más debo pagar mayores impuestos, o porcentajes mayores de un mismo impuesto general; por ejemplo, el impuesto a las rentas; si se pasa de un estándar determinado de rentas, entonces se tendrá que pagar al Estado en proporción directa a esa renta. Eso significa uniformidad de los actos tributarios.</w:t>
      </w:r>
    </w:p>
    <w:p w14:paraId="1E58CB9F" w14:textId="77777777" w:rsidR="00FA0266" w:rsidRPr="000D3432" w:rsidRDefault="00FA0266" w:rsidP="00A95498">
      <w:pPr>
        <w:tabs>
          <w:tab w:val="left" w:pos="720"/>
        </w:tabs>
        <w:jc w:val="both"/>
        <w:rPr>
          <w:rFonts w:asciiTheme="minorHAnsi" w:hAnsiTheme="minorHAnsi" w:cs="Arial"/>
          <w:szCs w:val="24"/>
          <w:lang w:val="es-ES_tradnl"/>
        </w:rPr>
      </w:pPr>
    </w:p>
    <w:p w14:paraId="4F884D48"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0" w:name="_Toc318102874"/>
      <w:r w:rsidRPr="000D3432">
        <w:rPr>
          <w:rFonts w:asciiTheme="minorHAnsi" w:hAnsiTheme="minorHAnsi" w:cs="Arial"/>
          <w:smallCaps/>
          <w:sz w:val="24"/>
          <w:szCs w:val="24"/>
          <w:lang w:val="es-ES_tradnl"/>
        </w:rPr>
        <w:t>4.- Principio de Publicidad</w:t>
      </w:r>
      <w:bookmarkEnd w:id="60"/>
    </w:p>
    <w:p w14:paraId="3B0997AD" w14:textId="77777777" w:rsidR="00FA0266" w:rsidRPr="000D3432" w:rsidRDefault="00FA0266" w:rsidP="00A95498">
      <w:pPr>
        <w:tabs>
          <w:tab w:val="left" w:pos="720"/>
        </w:tabs>
        <w:jc w:val="both"/>
        <w:rPr>
          <w:rFonts w:asciiTheme="minorHAnsi" w:hAnsiTheme="minorHAnsi" w:cs="Arial"/>
          <w:szCs w:val="24"/>
          <w:lang w:val="es-ES_tradnl"/>
        </w:rPr>
      </w:pPr>
    </w:p>
    <w:p w14:paraId="7A0C9D7D"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 xml:space="preserve">En Derecho la publicidad nos recuerda a Pomponio, en la Roma de antaño, cuando se grababa en piedra las leyes de la comunidad. Las leyes eran puestas en el centro de la plaza para que puedan ser leídas y cumplidas. El efecto deseado no era el de responder a un principio de concordancia con la voluntad de la sociedad y de respetar el derecho de esta sociedad -como en el Derecho Moderno-, sino el de obediencia al soberano. La publicidad de las leyes era un medio de subordinación y no un medio de control del poder de los soberanos, como hoy. </w:t>
      </w:r>
    </w:p>
    <w:p w14:paraId="5102B5DA" w14:textId="77777777" w:rsidR="00FA0266" w:rsidRPr="000D3432" w:rsidRDefault="00FA0266" w:rsidP="00A95498">
      <w:pPr>
        <w:tabs>
          <w:tab w:val="left" w:pos="720"/>
        </w:tabs>
        <w:jc w:val="both"/>
        <w:rPr>
          <w:rFonts w:asciiTheme="minorHAnsi" w:hAnsiTheme="minorHAnsi" w:cs="Arial"/>
          <w:szCs w:val="24"/>
          <w:lang w:val="es-ES_tradnl"/>
        </w:rPr>
      </w:pPr>
    </w:p>
    <w:p w14:paraId="70074655"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 xml:space="preserve">La publicidad es actualmente un medio de control de la potestad tributaria del Estado, por medio del cual la sociedad entera tiene la posibilidad de saber, de antemano, a qué atenerse y cómo actuar en determinados casos. Pero en el Derecho tributario la publicidad, ese deber del Estado de anunciar, hacer de público conocimiento las normas emitidas, no es tan clara, por la infinidad de normatividad existente, y por las muy variadas modificaciones que se hacen. En el Derecho Tributario las normas parecen cambiar con reiterada frecuencia y la </w:t>
      </w:r>
      <w:r w:rsidRPr="000D3432">
        <w:rPr>
          <w:rFonts w:asciiTheme="minorHAnsi" w:hAnsiTheme="minorHAnsi" w:cs="Arial"/>
          <w:szCs w:val="24"/>
          <w:lang w:val="es-ES_tradnl"/>
        </w:rPr>
        <w:lastRenderedPageBreak/>
        <w:t xml:space="preserve">publicidad se muestra, por ello, como un principio urgente, pero a la vez muy difícil de apuntalar. Por que la publicidad de las normas no significa sólo que estas normas salgan publicadas en el Diario Oficial el Peruano, por ejemplo, sino que puedan ser usadas como “medios de defensa y de actividad jurídica”. Si las normas varían con demasiada frecuencia y en periodos muy cortos, es imposible que pueda haber cierta seguridad de usarlas como medios de defensa, e incluso como medios de trabajo. La multiplicidad de normas emitidas complica el asunto. </w:t>
      </w:r>
    </w:p>
    <w:p w14:paraId="6222186C" w14:textId="77777777" w:rsidR="00FA0266" w:rsidRPr="000D3432" w:rsidRDefault="00FA0266" w:rsidP="00A95498">
      <w:pPr>
        <w:tabs>
          <w:tab w:val="left" w:pos="720"/>
        </w:tabs>
        <w:jc w:val="both"/>
        <w:rPr>
          <w:rFonts w:asciiTheme="minorHAnsi" w:hAnsiTheme="minorHAnsi" w:cs="Arial"/>
          <w:szCs w:val="24"/>
          <w:lang w:val="es-ES_tradnl"/>
        </w:rPr>
      </w:pPr>
    </w:p>
    <w:p w14:paraId="510FD6A7"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 xml:space="preserve">Cuando un texto normativo a pesar de haber sido publicada, no surte efectos en el uso y función que cumple esta norma publicada, entonces estamos frente a un problema de publicidad normativa. Ya dijimos que la publicidad no significa que esté publicada, sino más bien se define por sus efectos; es decir, por las garantías que logra esta publicación. Por ejemplo, cuando se publica edictos de los remates en el periódico de mayor circulación, el objetivo es cautelar los derechos de cualquier tercero que pudiera tener derecho sobre los bienes materia del remate. No es sólo que se de a conocer, sino que este conocimiento de la “posibilidad de ejercitar un derecho”. </w:t>
      </w:r>
    </w:p>
    <w:p w14:paraId="67AAA254" w14:textId="77777777" w:rsidR="00FA0266" w:rsidRPr="000D3432" w:rsidRDefault="00FA0266" w:rsidP="00A95498">
      <w:pPr>
        <w:tabs>
          <w:tab w:val="left" w:pos="720"/>
        </w:tabs>
        <w:jc w:val="both"/>
        <w:rPr>
          <w:rFonts w:asciiTheme="minorHAnsi" w:hAnsiTheme="minorHAnsi" w:cs="Arial"/>
          <w:szCs w:val="24"/>
          <w:lang w:val="es-ES_tradnl"/>
        </w:rPr>
      </w:pPr>
    </w:p>
    <w:p w14:paraId="18224C4E"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En el derecho tributario el principio de publicidad tiene real importancia por la modalidad en que se organizan y norman las relaciones tributarias, puesto que este tipo de normatividad –en el Perú- generalmente no son propiamente normas jurídicas, pero cumplen la misma función. Así “...en el Estado contemporáneo la Administración Publica (dentro de la cual se halla la Tributaria), funciona con determinados criterios de uniformización, que normalmente están contenidos en circulares y órdenes internas que no constituyen normas jurídicas formales pero que actúan como tales.”</w:t>
      </w:r>
      <w:r w:rsidRPr="000D3432">
        <w:rPr>
          <w:rStyle w:val="Refdenotaalpie"/>
          <w:rFonts w:asciiTheme="minorHAnsi" w:hAnsiTheme="minorHAnsi" w:cs="Arial"/>
          <w:sz w:val="24"/>
          <w:szCs w:val="24"/>
          <w:lang w:val="es-ES_tradnl"/>
        </w:rPr>
        <w:footnoteReference w:id="445"/>
      </w:r>
      <w:r w:rsidRPr="000D3432">
        <w:rPr>
          <w:rFonts w:asciiTheme="minorHAnsi" w:hAnsiTheme="minorHAnsi" w:cs="Arial"/>
          <w:szCs w:val="24"/>
          <w:lang w:val="es-ES_tradnl"/>
        </w:rPr>
        <w:t xml:space="preserve"> Y estas circulares y órdenes internas regulan fenómenos de orden general para todos los que realicen una determinada hipótesis de incidencia. Estas circulares u órdenes internas de la administración de materia tributaria, tratan de la determinación del contribuyente, de la afectación a la riqueza de los contribuyentes, por eso “...la publicidad como requisito de la tributación en su conjunto, exige que no haya secretos frente al contribuyente, y que toda disposición que afecte a esta materia (tenga o no la formalidad de norma jurídica), sea públicamente conocida.”</w:t>
      </w:r>
      <w:r w:rsidRPr="000D3432">
        <w:rPr>
          <w:rStyle w:val="Refdenotaalpie"/>
          <w:rFonts w:asciiTheme="minorHAnsi" w:hAnsiTheme="minorHAnsi" w:cs="Arial"/>
          <w:sz w:val="24"/>
          <w:szCs w:val="24"/>
          <w:lang w:val="es-ES_tradnl"/>
        </w:rPr>
        <w:footnoteReference w:id="446"/>
      </w:r>
      <w:r w:rsidRPr="000D3432">
        <w:rPr>
          <w:rFonts w:asciiTheme="minorHAnsi" w:hAnsiTheme="minorHAnsi" w:cs="Arial"/>
          <w:szCs w:val="24"/>
          <w:lang w:val="es-ES_tradnl"/>
        </w:rPr>
        <w:t xml:space="preserve">. Y no puede haber secretos por que afectaría a un derecho fundamental de la persona, el derecho a la propiedad privada, de donde se desprenden los demás derechos. La publicidad cumple la función de ser un mecanismo de garantía de los derechos; y sólo mediante él se hace legítima una norma. Una norma de no ser pública, no puede ser aún norma jurídica, y menos legítima, es decir no tiene validez. </w:t>
      </w:r>
    </w:p>
    <w:p w14:paraId="76D6135D" w14:textId="77777777" w:rsidR="00FA0266" w:rsidRPr="000D3432" w:rsidRDefault="00FA0266" w:rsidP="00A95498">
      <w:pPr>
        <w:tabs>
          <w:tab w:val="left" w:pos="720"/>
        </w:tabs>
        <w:jc w:val="both"/>
        <w:rPr>
          <w:rFonts w:asciiTheme="minorHAnsi" w:hAnsiTheme="minorHAnsi" w:cs="Arial"/>
          <w:szCs w:val="24"/>
          <w:lang w:val="es-ES_tradnl"/>
        </w:rPr>
      </w:pPr>
    </w:p>
    <w:p w14:paraId="0DB1DE7C"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1" w:name="_Toc318102875"/>
      <w:r w:rsidRPr="000D3432">
        <w:rPr>
          <w:rFonts w:asciiTheme="minorHAnsi" w:hAnsiTheme="minorHAnsi" w:cs="Arial"/>
          <w:smallCaps/>
          <w:sz w:val="24"/>
          <w:szCs w:val="24"/>
          <w:lang w:val="es-ES_tradnl"/>
        </w:rPr>
        <w:t>5.- Principio de Obligatoriedad</w:t>
      </w:r>
      <w:bookmarkEnd w:id="61"/>
    </w:p>
    <w:p w14:paraId="7BB0ECB9" w14:textId="77777777" w:rsidR="00FA0266" w:rsidRPr="000D3432" w:rsidRDefault="00FA0266" w:rsidP="00A95498">
      <w:pPr>
        <w:tabs>
          <w:tab w:val="left" w:pos="720"/>
        </w:tabs>
        <w:jc w:val="both"/>
        <w:rPr>
          <w:rFonts w:asciiTheme="minorHAnsi" w:hAnsiTheme="minorHAnsi" w:cs="Arial"/>
          <w:szCs w:val="24"/>
          <w:lang w:val="es-ES_tradnl"/>
        </w:rPr>
      </w:pPr>
    </w:p>
    <w:p w14:paraId="4D765F74"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 xml:space="preserve">En Derecho tributario no se trata de un acto voluntario. Sino de una imposición. </w:t>
      </w:r>
      <w:r w:rsidRPr="000D3432">
        <w:rPr>
          <w:rFonts w:asciiTheme="minorHAnsi" w:hAnsiTheme="minorHAnsi" w:cs="Arial"/>
          <w:szCs w:val="24"/>
          <w:lang w:val="es-ES_tradnl"/>
        </w:rPr>
        <w:lastRenderedPageBreak/>
        <w:t xml:space="preserve">En la norma tributaria existe la determinación de una obligación (el deber es general, para con la sociedad),  que consiste en el acto del individuo de hacer entrega de parte de su patrimonio al Estado. La obligación comporta el establecimiento y sujeción a realizar un acto también determinado, la tributación. Obligación es nexo, vínculo, lazo que fuerza la voluntad individual. </w:t>
      </w:r>
    </w:p>
    <w:p w14:paraId="5138D4DC" w14:textId="77777777" w:rsidR="00FA0266" w:rsidRPr="000D3432" w:rsidRDefault="00FA0266" w:rsidP="00A95498">
      <w:pPr>
        <w:tabs>
          <w:tab w:val="left" w:pos="720"/>
        </w:tabs>
        <w:jc w:val="both"/>
        <w:rPr>
          <w:rFonts w:asciiTheme="minorHAnsi" w:hAnsiTheme="minorHAnsi" w:cs="Arial"/>
          <w:szCs w:val="24"/>
          <w:lang w:val="es-ES_tradnl"/>
        </w:rPr>
      </w:pPr>
    </w:p>
    <w:p w14:paraId="0C4ACF19"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Las disposiciones del Derecho tributario son obligatorias no porque exista una relación entre dos sujetos que responden a la coincidencia de voluntades, sino por imposición y preeminencia de una de las voluntades: la voluntad del Estado. Es decir, la voluntad colectiva que se impone sobre la voluntad individual.</w:t>
      </w:r>
    </w:p>
    <w:p w14:paraId="2CF79706" w14:textId="77777777" w:rsidR="00FA0266" w:rsidRPr="000D3432" w:rsidRDefault="00FA0266" w:rsidP="00A95498">
      <w:pPr>
        <w:tabs>
          <w:tab w:val="left" w:pos="720"/>
        </w:tabs>
        <w:jc w:val="both"/>
        <w:rPr>
          <w:rFonts w:asciiTheme="minorHAnsi" w:hAnsiTheme="minorHAnsi" w:cs="Arial"/>
          <w:szCs w:val="24"/>
          <w:lang w:val="es-ES_tradnl"/>
        </w:rPr>
      </w:pPr>
    </w:p>
    <w:p w14:paraId="316989B6"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José Osvaldo Casas parafrasea a Juan Bautista Alberti, quien escribe hablando del Tesoro Público: “...En la formación  del Tesoro puede ser saqueado el país, desconocida la propiedad privada y hoyada la seguridad personal; en la elección y cantidad de los gastos puede ser dilapidada la riqueza pública, embrutecido, oprimido, degrado el país”; concluyendo en lo estrictamente tributario: “No hay garantía de la Constitución, no hay uno de sus propósitos de progreso que no puedan ser atacados por la contribución” exorbitante, desproporcionada o el impuesto mal colocado o mal recaudado.”</w:t>
      </w:r>
    </w:p>
    <w:p w14:paraId="38D4DE5D" w14:textId="77777777" w:rsidR="00FA0266" w:rsidRPr="000D3432" w:rsidRDefault="00FA0266" w:rsidP="00A95498">
      <w:pPr>
        <w:tabs>
          <w:tab w:val="left" w:pos="720"/>
        </w:tabs>
        <w:jc w:val="both"/>
        <w:rPr>
          <w:rFonts w:asciiTheme="minorHAnsi" w:hAnsiTheme="minorHAnsi" w:cs="Arial"/>
          <w:szCs w:val="24"/>
          <w:lang w:val="es-ES_tradnl"/>
        </w:rPr>
      </w:pPr>
    </w:p>
    <w:p w14:paraId="5963680E"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2" w:name="_Toc318102876"/>
      <w:r w:rsidRPr="000D3432">
        <w:rPr>
          <w:rFonts w:asciiTheme="minorHAnsi" w:hAnsiTheme="minorHAnsi" w:cs="Arial"/>
          <w:smallCaps/>
          <w:sz w:val="24"/>
          <w:szCs w:val="24"/>
          <w:lang w:val="es-ES_tradnl"/>
        </w:rPr>
        <w:t>6.- Principio de Certeza</w:t>
      </w:r>
      <w:bookmarkEnd w:id="62"/>
    </w:p>
    <w:p w14:paraId="559BCBDC" w14:textId="77777777" w:rsidR="00FA0266" w:rsidRPr="000D3432" w:rsidRDefault="00FA0266" w:rsidP="00A95498">
      <w:pPr>
        <w:tabs>
          <w:tab w:val="left" w:pos="720"/>
        </w:tabs>
        <w:jc w:val="both"/>
        <w:rPr>
          <w:rFonts w:asciiTheme="minorHAnsi" w:hAnsiTheme="minorHAnsi" w:cs="Arial"/>
          <w:szCs w:val="24"/>
          <w:lang w:val="es-ES_tradnl"/>
        </w:rPr>
      </w:pPr>
    </w:p>
    <w:p w14:paraId="54E88A8A"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Tiene su base en la posibilidad de proyectarse en el futuro. Pedro Flores Polo, sin embargo, afirma que este principio viene de Adam Smith, “La certeza en la norma tributaria es un principio muy antiguo preconizado por Adam Smith en 1767, al exponer las clásicas máximas sobre la tributación.”</w:t>
      </w:r>
      <w:r w:rsidRPr="000D3432">
        <w:rPr>
          <w:rStyle w:val="Refdenotaalpie"/>
          <w:rFonts w:asciiTheme="minorHAnsi" w:hAnsiTheme="minorHAnsi" w:cs="Arial"/>
          <w:sz w:val="24"/>
          <w:szCs w:val="24"/>
          <w:lang w:val="es-ES_tradnl"/>
        </w:rPr>
        <w:footnoteReference w:id="447"/>
      </w:r>
      <w:r w:rsidRPr="000D3432">
        <w:rPr>
          <w:rFonts w:asciiTheme="minorHAnsi" w:hAnsiTheme="minorHAnsi" w:cs="Arial"/>
          <w:szCs w:val="24"/>
          <w:lang w:val="es-ES_tradnl"/>
        </w:rPr>
        <w:t xml:space="preserve">. Como sabemos  Smith es conocido por su libro “La riqueza de las naciones”. </w:t>
      </w:r>
    </w:p>
    <w:p w14:paraId="7817C53E" w14:textId="77777777" w:rsidR="00FA0266" w:rsidRPr="000D3432" w:rsidRDefault="00FA0266" w:rsidP="00A95498">
      <w:pPr>
        <w:tabs>
          <w:tab w:val="left" w:pos="720"/>
        </w:tabs>
        <w:jc w:val="both"/>
        <w:rPr>
          <w:rFonts w:asciiTheme="minorHAnsi" w:hAnsiTheme="minorHAnsi" w:cs="Arial"/>
          <w:szCs w:val="24"/>
          <w:lang w:val="es-ES_tradnl"/>
        </w:rPr>
      </w:pPr>
    </w:p>
    <w:p w14:paraId="42F6D80E"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Flores Polo enfatiza que “Establecer el impuesto con certeza es obligar al legislador a que produzca leyes claras en su enunciado, claras al señalar el objeto de la imposición, el sujeto pasivo, el hecho imponible, el nacimiento de la obligación tributaria, la tasa, etc.”</w:t>
      </w:r>
      <w:r w:rsidRPr="000D3432">
        <w:rPr>
          <w:rStyle w:val="Refdenotaalpie"/>
          <w:rFonts w:asciiTheme="minorHAnsi" w:hAnsiTheme="minorHAnsi" w:cs="Arial"/>
          <w:sz w:val="24"/>
          <w:szCs w:val="24"/>
          <w:lang w:val="es-ES_tradnl"/>
        </w:rPr>
        <w:t xml:space="preserve"> </w:t>
      </w:r>
      <w:r w:rsidRPr="000D3432">
        <w:rPr>
          <w:rStyle w:val="Refdenotaalpie"/>
          <w:rFonts w:asciiTheme="minorHAnsi" w:hAnsiTheme="minorHAnsi" w:cs="Arial"/>
          <w:sz w:val="24"/>
          <w:szCs w:val="24"/>
          <w:lang w:val="es-ES_tradnl"/>
        </w:rPr>
        <w:footnoteReference w:id="448"/>
      </w:r>
      <w:r w:rsidRPr="000D3432">
        <w:rPr>
          <w:rFonts w:asciiTheme="minorHAnsi" w:hAnsiTheme="minorHAnsi" w:cs="Arial"/>
          <w:szCs w:val="24"/>
          <w:vertAlign w:val="superscript"/>
          <w:lang w:val="es-ES_tradnl"/>
        </w:rPr>
        <w:t xml:space="preserve"> </w:t>
      </w:r>
      <w:r w:rsidRPr="000D3432">
        <w:rPr>
          <w:rFonts w:asciiTheme="minorHAnsi" w:hAnsiTheme="minorHAnsi" w:cs="Arial"/>
          <w:szCs w:val="24"/>
          <w:lang w:val="es-ES_tradnl"/>
        </w:rPr>
        <w:t>Por eso es imprescindible que “... no basta a la ley crear el tributo, sino establecer todos sus elementos esenciales.”</w:t>
      </w:r>
      <w:r w:rsidRPr="000D3432">
        <w:rPr>
          <w:rStyle w:val="Refdenotaalpie"/>
          <w:rFonts w:asciiTheme="minorHAnsi" w:hAnsiTheme="minorHAnsi" w:cs="Arial"/>
          <w:sz w:val="24"/>
          <w:szCs w:val="24"/>
          <w:lang w:val="es-ES_tradnl"/>
        </w:rPr>
        <w:footnoteReference w:id="449"/>
      </w:r>
      <w:r w:rsidRPr="000D3432">
        <w:rPr>
          <w:rFonts w:asciiTheme="minorHAnsi" w:hAnsiTheme="minorHAnsi" w:cs="Arial"/>
          <w:szCs w:val="24"/>
          <w:lang w:val="es-ES_tradnl"/>
        </w:rPr>
        <w:t xml:space="preserve"> Solo así podrá haber certeza. </w:t>
      </w:r>
    </w:p>
    <w:p w14:paraId="12CB66BB" w14:textId="77777777" w:rsidR="00FA0266" w:rsidRPr="000D3432" w:rsidRDefault="00FA0266" w:rsidP="00A95498">
      <w:pPr>
        <w:tabs>
          <w:tab w:val="left" w:pos="720"/>
        </w:tabs>
        <w:jc w:val="both"/>
        <w:rPr>
          <w:rFonts w:asciiTheme="minorHAnsi" w:hAnsiTheme="minorHAnsi" w:cs="Arial"/>
          <w:szCs w:val="24"/>
          <w:lang w:val="es-ES_tradnl"/>
        </w:rPr>
      </w:pPr>
    </w:p>
    <w:p w14:paraId="2030DF04"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3" w:name="_Toc318102877"/>
      <w:r w:rsidRPr="000D3432">
        <w:rPr>
          <w:rFonts w:asciiTheme="minorHAnsi" w:hAnsiTheme="minorHAnsi" w:cs="Arial"/>
          <w:smallCaps/>
          <w:sz w:val="24"/>
          <w:szCs w:val="24"/>
          <w:lang w:val="es-ES_tradnl"/>
        </w:rPr>
        <w:t>7.- Principio de Economía en la recaudación</w:t>
      </w:r>
      <w:bookmarkEnd w:id="63"/>
    </w:p>
    <w:p w14:paraId="0DE85015" w14:textId="77777777" w:rsidR="00FA0266" w:rsidRPr="000D3432" w:rsidRDefault="00FA0266" w:rsidP="00A95498">
      <w:pPr>
        <w:tabs>
          <w:tab w:val="left" w:pos="720"/>
        </w:tabs>
        <w:jc w:val="both"/>
        <w:rPr>
          <w:rFonts w:asciiTheme="minorHAnsi" w:hAnsiTheme="minorHAnsi" w:cs="Arial"/>
          <w:szCs w:val="24"/>
          <w:lang w:val="es-ES_tradnl"/>
        </w:rPr>
      </w:pPr>
    </w:p>
    <w:p w14:paraId="2454EEE0"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Rubio y Bernales dicen que los constituyentes se referían a “reducir la tributación a su finalidad de financiamiento”</w:t>
      </w:r>
      <w:r w:rsidRPr="000D3432">
        <w:rPr>
          <w:rStyle w:val="Refdenotaalpie"/>
          <w:rFonts w:asciiTheme="minorHAnsi" w:hAnsiTheme="minorHAnsi" w:cs="Arial"/>
          <w:sz w:val="24"/>
          <w:szCs w:val="24"/>
          <w:lang w:val="es-ES_tradnl"/>
        </w:rPr>
        <w:footnoteReference w:id="450"/>
      </w:r>
      <w:r w:rsidRPr="000D3432">
        <w:rPr>
          <w:rFonts w:asciiTheme="minorHAnsi" w:hAnsiTheme="minorHAnsi" w:cs="Arial"/>
          <w:szCs w:val="24"/>
          <w:lang w:val="es-ES_tradnl"/>
        </w:rPr>
        <w:t xml:space="preserve"> El Derecho tributario regula pues los actos tributarios en referencia directa a la finalidad de financiamiento. Sin embargo, parece más bien que el principio presente se amplía por ser un control al exceso de determinación de tributos por parte del Estado. El Estado </w:t>
      </w:r>
      <w:r w:rsidRPr="000D3432">
        <w:rPr>
          <w:rFonts w:asciiTheme="minorHAnsi" w:hAnsiTheme="minorHAnsi" w:cs="Arial"/>
          <w:szCs w:val="24"/>
          <w:lang w:val="es-ES_tradnl"/>
        </w:rPr>
        <w:lastRenderedPageBreak/>
        <w:t>no puede imponer a diestra y siniestra cualquier tributo, basado en su potestad tributaria, sino que tiene que limitar este poder tributario a sus funciones específicas, es decir a la finalidad de la propia tributación fiscal: la de financiamiento. Este debería ser el límite, el financiamiento del Estado para los gastos propios de su función y existencia. Ir más allá de estos gastos sería incurrir en lo arbitrario,  puesto que el Estado no puede afectar a la riqueza del patrimonio más que en la proporción de su necesidad de financiamiento para su existencia y cumplimiento de sus fines específicos.</w:t>
      </w:r>
    </w:p>
    <w:p w14:paraId="695CD885" w14:textId="77777777" w:rsidR="00FA0266" w:rsidRPr="000D3432" w:rsidRDefault="00FA0266" w:rsidP="00A95498">
      <w:pPr>
        <w:tabs>
          <w:tab w:val="left" w:pos="720"/>
        </w:tabs>
        <w:jc w:val="both"/>
        <w:rPr>
          <w:rFonts w:asciiTheme="minorHAnsi" w:hAnsiTheme="minorHAnsi" w:cs="Arial"/>
          <w:szCs w:val="24"/>
          <w:lang w:val="es-ES_tradnl"/>
        </w:rPr>
      </w:pPr>
    </w:p>
    <w:p w14:paraId="29EB5BA8"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4" w:name="_Toc318102878"/>
      <w:r w:rsidRPr="000D3432">
        <w:rPr>
          <w:rFonts w:asciiTheme="minorHAnsi" w:hAnsiTheme="minorHAnsi" w:cs="Arial"/>
          <w:sz w:val="24"/>
          <w:szCs w:val="24"/>
          <w:lang w:val="es-ES_tradnl"/>
        </w:rPr>
        <w:t xml:space="preserve">8.- </w:t>
      </w:r>
      <w:r w:rsidRPr="000D3432">
        <w:rPr>
          <w:rFonts w:asciiTheme="minorHAnsi" w:hAnsiTheme="minorHAnsi" w:cs="Arial"/>
          <w:smallCaps/>
          <w:sz w:val="24"/>
          <w:szCs w:val="24"/>
          <w:lang w:val="es-ES_tradnl"/>
        </w:rPr>
        <w:t>Principio de Igualdad</w:t>
      </w:r>
      <w:bookmarkEnd w:id="64"/>
    </w:p>
    <w:p w14:paraId="452800BE" w14:textId="77777777" w:rsidR="00FA0266" w:rsidRPr="000D3432" w:rsidRDefault="00FA0266" w:rsidP="00A95498">
      <w:pPr>
        <w:tabs>
          <w:tab w:val="left" w:pos="720"/>
        </w:tabs>
        <w:jc w:val="both"/>
        <w:rPr>
          <w:rFonts w:asciiTheme="minorHAnsi" w:hAnsiTheme="minorHAnsi" w:cs="Arial"/>
          <w:szCs w:val="24"/>
          <w:lang w:val="es-ES_tradnl"/>
        </w:rPr>
      </w:pPr>
    </w:p>
    <w:p w14:paraId="2AB14228" w14:textId="77777777" w:rsidR="00FA0266" w:rsidRPr="000D3432" w:rsidRDefault="00FA0266" w:rsidP="00A95498">
      <w:pPr>
        <w:pStyle w:val="Textodecuerpo21"/>
        <w:tabs>
          <w:tab w:val="left" w:pos="720"/>
        </w:tabs>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 xml:space="preserve">La igualdad es un valor jurídico, que Regis Debray resume en la siguiente frase: “sin discriminación a priori”. Este concepto no alude a la igualdad de los sujetos, no dice que los seres humanos son iguales, sino que deben ser tratados “sin discriminación a priori” por su desigualdad racial, sexual, social, etc. El concepto de igualdad se afianzó en la modernidad, con la Revolución Francesa y alocución a la Libertad, Igualdad y Fraternidad.  Consistía, pues, en una estrategia contra la discriminación del régimen anterior, de la Monarquía; y contra los privilegios, que según Friedrich Hayek, tenían los conservadores del régimen anterior a la independencia. La igualdad, para Hayek habría significado, entonces, sin privilegios a priori por la condición racial, social, sexual, etc. </w:t>
      </w:r>
    </w:p>
    <w:p w14:paraId="6D43B6CB" w14:textId="77777777" w:rsidR="00FA0266" w:rsidRPr="000D3432" w:rsidRDefault="00FA0266" w:rsidP="00A95498">
      <w:pPr>
        <w:tabs>
          <w:tab w:val="left" w:pos="720"/>
        </w:tabs>
        <w:jc w:val="both"/>
        <w:rPr>
          <w:rFonts w:asciiTheme="minorHAnsi" w:hAnsiTheme="minorHAnsi" w:cs="Arial"/>
          <w:szCs w:val="24"/>
          <w:lang w:val="es-ES_tradnl"/>
        </w:rPr>
      </w:pPr>
    </w:p>
    <w:p w14:paraId="59C887C6"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Dentro del Derecho Tributario Luis Hernández Berenguel afirma que existen tres aspectos fundamentales en este principio: a) “Imposibilidad de otorgar privilegios personales en materia tributaria, es decir ‘la inexistencia de privilegios’”. Nadie puede pagar menos tributos por cuestiones raciales, sociales, sexuales, sino en relación directa con su condición económica. Aquí la igualdad está en determinar la condición económica, y eludir o negar cualquier diferencia política. b) “Generalidad y/o universalidad de los tributos. Por tal ‘la norma tributaria debe aplicarse a todos los que realizan el hecho generador de la obligación’”. Otra vez la razón de la imputación tributaria es en la generación de la riqueza, en las rentas o en actos que tienen que ver con un factor económico. c) “Uniformidad”. La uniformalidad supone que ‘la norma tributaria debe estructurarse de forma tal que se grave según las distintas capacidades contributivas, lo que a su vez admite la posibilidad de aplicar el gravamen dividiendo a los contribuyentes en grupos o categorías según las distintas capacidades contributivas que posean y que se vean alcanzadas por el tributo.’”. La relación establecida debe ser entre capacidad contributiva y tributo. Para Marcial Rubio Correa este principio de la Igualdad se define como “la aplicación de los impuestos sin privilegios, a todos aquellos que deben pagarlos, según se establezca en la ley”</w:t>
      </w:r>
      <w:r w:rsidRPr="000D3432">
        <w:rPr>
          <w:rStyle w:val="Refdenotaalpie"/>
          <w:rFonts w:asciiTheme="minorHAnsi" w:hAnsiTheme="minorHAnsi" w:cs="Arial"/>
          <w:sz w:val="24"/>
          <w:szCs w:val="24"/>
          <w:lang w:val="es-ES_tradnl"/>
        </w:rPr>
        <w:footnoteReference w:id="451"/>
      </w:r>
      <w:r w:rsidRPr="000D3432">
        <w:rPr>
          <w:rFonts w:asciiTheme="minorHAnsi" w:hAnsiTheme="minorHAnsi" w:cs="Arial"/>
          <w:szCs w:val="24"/>
          <w:lang w:val="es-ES_tradnl"/>
        </w:rPr>
        <w:t xml:space="preserve">. </w:t>
      </w:r>
    </w:p>
    <w:p w14:paraId="7D0DA4D9" w14:textId="77777777" w:rsidR="00FA0266" w:rsidRPr="000D3432" w:rsidRDefault="00FA0266" w:rsidP="00A95498">
      <w:pPr>
        <w:tabs>
          <w:tab w:val="left" w:pos="720"/>
        </w:tabs>
        <w:jc w:val="both"/>
        <w:rPr>
          <w:rFonts w:asciiTheme="minorHAnsi" w:hAnsiTheme="minorHAnsi" w:cs="Arial"/>
          <w:b/>
          <w:szCs w:val="24"/>
          <w:lang w:val="es-ES_tradnl"/>
        </w:rPr>
      </w:pPr>
    </w:p>
    <w:p w14:paraId="0F7A0495"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5" w:name="_Toc318102879"/>
      <w:r w:rsidRPr="000D3432">
        <w:rPr>
          <w:rFonts w:asciiTheme="minorHAnsi" w:hAnsiTheme="minorHAnsi" w:cs="Arial"/>
          <w:sz w:val="24"/>
          <w:szCs w:val="24"/>
          <w:lang w:val="es-ES_tradnl"/>
        </w:rPr>
        <w:t xml:space="preserve">9.- </w:t>
      </w:r>
      <w:r w:rsidRPr="000D3432">
        <w:rPr>
          <w:rFonts w:asciiTheme="minorHAnsi" w:hAnsiTheme="minorHAnsi" w:cs="Arial"/>
          <w:smallCaps/>
          <w:sz w:val="24"/>
          <w:szCs w:val="24"/>
          <w:lang w:val="es-ES_tradnl"/>
        </w:rPr>
        <w:t>Principio de no Confiscatoriedad</w:t>
      </w:r>
      <w:bookmarkEnd w:id="65"/>
    </w:p>
    <w:p w14:paraId="570E8365" w14:textId="77777777" w:rsidR="00FA0266" w:rsidRPr="000D3432" w:rsidRDefault="00FA0266" w:rsidP="00A95498">
      <w:pPr>
        <w:tabs>
          <w:tab w:val="left" w:pos="720"/>
        </w:tabs>
        <w:jc w:val="both"/>
        <w:rPr>
          <w:rFonts w:asciiTheme="minorHAnsi" w:hAnsiTheme="minorHAnsi" w:cs="Arial"/>
          <w:szCs w:val="24"/>
          <w:lang w:val="es-ES_tradnl"/>
        </w:rPr>
      </w:pPr>
    </w:p>
    <w:p w14:paraId="62D3AD87"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 xml:space="preserve">Este límite a la potestad tributaria del Estado consiste en garantizar que éste último no tenga la posibilidad de atentar contra el derecho de propiedad. “Se </w:t>
      </w:r>
      <w:r w:rsidRPr="000D3432">
        <w:rPr>
          <w:rFonts w:asciiTheme="minorHAnsi" w:hAnsiTheme="minorHAnsi" w:cs="Arial"/>
          <w:szCs w:val="24"/>
          <w:lang w:val="es-ES_tradnl"/>
        </w:rPr>
        <w:lastRenderedPageBreak/>
        <w:t>refiere este principio a que, por la vía tributaria, el Estado no puede violar la garantía de inviolabilidad de la propiedad establecida en la norma pertinente.”</w:t>
      </w:r>
      <w:r w:rsidRPr="000D3432">
        <w:rPr>
          <w:rStyle w:val="Refdenotaalpie"/>
          <w:rFonts w:asciiTheme="minorHAnsi" w:hAnsiTheme="minorHAnsi" w:cs="Arial"/>
          <w:sz w:val="24"/>
          <w:szCs w:val="24"/>
          <w:lang w:val="es-ES_tradnl"/>
        </w:rPr>
        <w:footnoteReference w:id="452"/>
      </w:r>
      <w:r w:rsidRPr="000D3432">
        <w:rPr>
          <w:rFonts w:asciiTheme="minorHAnsi" w:hAnsiTheme="minorHAnsi" w:cs="Arial"/>
          <w:szCs w:val="24"/>
          <w:lang w:val="es-ES_tradnl"/>
        </w:rPr>
        <w:t xml:space="preserve"> Porque si se viola esta propiedad se estaría confiscando. Por eso Marcial Rubio escribe: “No confiscatoriedad, que significa que el Impuesto pagado sobre un bien no puede equivaler a todo el precio del bien,  a una parte apreciable de su valor. Técnicamente hablando, confiscar es quitar la propiedad de un bien sin pagar un precio a cambio. Aquí, obviamente, se utiliza el término en sentido analógico, no estricto.”</w:t>
      </w:r>
      <w:r w:rsidRPr="000D3432">
        <w:rPr>
          <w:rStyle w:val="Refdenotaalpie"/>
          <w:rFonts w:asciiTheme="minorHAnsi" w:hAnsiTheme="minorHAnsi" w:cs="Arial"/>
          <w:sz w:val="24"/>
          <w:szCs w:val="24"/>
          <w:lang w:val="es-ES_tradnl"/>
        </w:rPr>
        <w:footnoteReference w:id="453"/>
      </w:r>
      <w:r w:rsidRPr="000D3432">
        <w:rPr>
          <w:rFonts w:asciiTheme="minorHAnsi" w:hAnsiTheme="minorHAnsi" w:cs="Arial"/>
          <w:szCs w:val="24"/>
          <w:lang w:val="es-ES_tradnl"/>
        </w:rPr>
        <w:t>.</w:t>
      </w:r>
    </w:p>
    <w:p w14:paraId="6DB50D33" w14:textId="77777777" w:rsidR="00FA0266" w:rsidRPr="000D3432" w:rsidRDefault="00FA0266" w:rsidP="00A95498">
      <w:pPr>
        <w:tabs>
          <w:tab w:val="left" w:pos="720"/>
        </w:tabs>
        <w:jc w:val="both"/>
        <w:rPr>
          <w:rFonts w:asciiTheme="minorHAnsi" w:hAnsiTheme="minorHAnsi" w:cs="Arial"/>
          <w:szCs w:val="24"/>
          <w:lang w:val="es-ES_tradnl"/>
        </w:rPr>
      </w:pPr>
    </w:p>
    <w:p w14:paraId="55C852B7"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No puede atentarse contra la posibilidad de vida del contribuyente,  porque la propiedad es riqueza, pero esta riqueza tiene su referente en las posibilidades, o potenciamiento de la vida del ser humano. Cuando se tutela el patrimonio se tutela también la transferencia de esta, el valor del mismo. Algo es patrimonio, o riqueza, si tiene una carga de valor, si vale, si puede ser utilizado como instrumento de cambio. Y este instrumento, este valor, posibilita la vida del ser humano. El patrimonio está, pues, en conexión directa con la vida del ser humano, y de su superación. La riqueza no es sólo un lujo, sino una determinación de las posibilidades de vida. Determina incluso el desarrollo y tipo de vida del ser humano. La no confiscatoriedad, por ello, no resguarda simplemente al patrimonio, sino a la vida, a la posibilidad de vida. Por consiguiente no es estrictamente el patrimonio lo fundamental, porque este es sólo un instrumento de la posibilidad de vida del ser humano. No es el principio de no confiscatoriedad, pues, una garantía al patrimonio, o riqueza, sino a la posibilidad de vida.</w:t>
      </w:r>
    </w:p>
    <w:p w14:paraId="011A139F" w14:textId="77777777" w:rsidR="00FA0266" w:rsidRPr="000D3432" w:rsidRDefault="00FA0266" w:rsidP="00A95498">
      <w:pPr>
        <w:tabs>
          <w:tab w:val="left" w:pos="720"/>
        </w:tabs>
        <w:jc w:val="both"/>
        <w:rPr>
          <w:rFonts w:asciiTheme="minorHAnsi" w:hAnsiTheme="minorHAnsi" w:cs="Arial"/>
          <w:szCs w:val="24"/>
          <w:lang w:val="es-ES_tradnl"/>
        </w:rPr>
      </w:pPr>
    </w:p>
    <w:p w14:paraId="606F65C5" w14:textId="77777777" w:rsidR="00FA0266" w:rsidRPr="000D3432" w:rsidRDefault="00FA0266" w:rsidP="00A95498">
      <w:pPr>
        <w:tabs>
          <w:tab w:val="left" w:pos="720"/>
        </w:tabs>
        <w:jc w:val="both"/>
        <w:rPr>
          <w:rFonts w:asciiTheme="minorHAnsi" w:hAnsiTheme="minorHAnsi" w:cs="Arial"/>
          <w:szCs w:val="24"/>
          <w:lang w:val="es-ES_tradnl"/>
        </w:rPr>
      </w:pPr>
      <w:r w:rsidRPr="000D3432">
        <w:rPr>
          <w:rFonts w:asciiTheme="minorHAnsi" w:hAnsiTheme="minorHAnsi" w:cs="Arial"/>
          <w:szCs w:val="24"/>
          <w:lang w:val="es-ES_tradnl"/>
        </w:rPr>
        <w:t xml:space="preserve">Luis Hernández Berenguel explica que “la confiscatoriedad desde el punto de vista cuantitativo no es propiamente un principio de la tributación, sino más bien una consecuencia de la inobservancia del principio de capacidad contributiva.” Este principio puede definirse como una garantía contra el atentado a las posibilidades económicas del contribuyente. Es decir, cuando el tributo excede a las posibilidades económicas del contribuyente se produce un fenómeno confiscatorio – aclara Luis Hernández Berenguel. </w:t>
      </w:r>
    </w:p>
    <w:p w14:paraId="2CA01A73" w14:textId="77777777" w:rsidR="00FA0266" w:rsidRPr="000D3432" w:rsidRDefault="00FA0266" w:rsidP="00A95498">
      <w:pPr>
        <w:tabs>
          <w:tab w:val="left" w:pos="720"/>
        </w:tabs>
        <w:jc w:val="both"/>
        <w:rPr>
          <w:rFonts w:asciiTheme="minorHAnsi" w:hAnsiTheme="minorHAnsi" w:cs="Arial"/>
          <w:szCs w:val="24"/>
          <w:lang w:val="es-ES_tradnl"/>
        </w:rPr>
      </w:pPr>
    </w:p>
    <w:p w14:paraId="15237197"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6" w:name="_Toc318102880"/>
      <w:r w:rsidRPr="000D3432">
        <w:rPr>
          <w:rFonts w:asciiTheme="minorHAnsi" w:hAnsiTheme="minorHAnsi" w:cs="Arial"/>
          <w:sz w:val="24"/>
          <w:szCs w:val="24"/>
          <w:lang w:val="es-ES_tradnl"/>
        </w:rPr>
        <w:t xml:space="preserve">10.- </w:t>
      </w:r>
      <w:r w:rsidRPr="000D3432">
        <w:rPr>
          <w:rFonts w:asciiTheme="minorHAnsi" w:hAnsiTheme="minorHAnsi" w:cs="Arial"/>
          <w:smallCaps/>
          <w:sz w:val="24"/>
          <w:szCs w:val="24"/>
          <w:lang w:val="es-ES_tradnl"/>
        </w:rPr>
        <w:t>Principio de Capacidad Contributiva</w:t>
      </w:r>
      <w:bookmarkEnd w:id="66"/>
      <w:r w:rsidRPr="000D3432">
        <w:rPr>
          <w:rFonts w:asciiTheme="minorHAnsi" w:hAnsiTheme="minorHAnsi" w:cs="Arial"/>
          <w:smallCaps/>
          <w:sz w:val="24"/>
          <w:szCs w:val="24"/>
          <w:lang w:val="es-ES_tradnl"/>
        </w:rPr>
        <w:t xml:space="preserve"> </w:t>
      </w:r>
    </w:p>
    <w:p w14:paraId="0BC97018" w14:textId="77777777" w:rsidR="00FA0266" w:rsidRPr="000D3432" w:rsidRDefault="00FA0266" w:rsidP="00A95498">
      <w:pPr>
        <w:jc w:val="both"/>
        <w:rPr>
          <w:rFonts w:asciiTheme="minorHAnsi" w:hAnsiTheme="minorHAnsi" w:cs="Arial"/>
          <w:szCs w:val="24"/>
          <w:lang w:val="es-ES_tradnl"/>
        </w:rPr>
      </w:pPr>
    </w:p>
    <w:p w14:paraId="49DE121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Este principio redefine al ser humano como un sujeto económico, lo define por sus condiciones económicas y no sociales o culturales. No importa así la calidad intelectual, etc., sino la capacidad de generar rentas. El ser humano es medido por su potencia económica, por ser generador de riqueza, y esta es medida por su actividad, por sus rentas, etc. Esta medida sirve, pues, para lograr cierta conexión con la imposición tributaria. Por medio de la misma capacidad contributiva el sujeto de derecho, o persona –natural o jurídica- es afectado en relación directa con su condición económica, y con las características y elementos adheridos a este sujeto como generador de riqueza. Principio que se </w:t>
      </w:r>
      <w:r w:rsidRPr="000D3432">
        <w:rPr>
          <w:rFonts w:asciiTheme="minorHAnsi" w:hAnsiTheme="minorHAnsi" w:cs="Arial"/>
          <w:szCs w:val="24"/>
          <w:lang w:val="es-ES_tradnl"/>
        </w:rPr>
        <w:lastRenderedPageBreak/>
        <w:t>asocia con la desigualdad contributiva de la que habíamos tratado al referirnos al principio tributario de igualdad. Así, “La capacidad tributaria o contributiva, (...) puede definirse, siguiendo a Jarach, como ‘la potencialidad de contribuir a los gastos públicos que el legislador atribuye al sujeto particular’. Para nosotros es: la ‘aptitud para pagar tributos, que reposa en el patrimonio o riqueza propia del contribuyente”</w:t>
      </w:r>
      <w:r w:rsidRPr="000D3432">
        <w:rPr>
          <w:rStyle w:val="Refdenotaalpie"/>
          <w:rFonts w:asciiTheme="minorHAnsi" w:hAnsiTheme="minorHAnsi" w:cs="Arial"/>
          <w:sz w:val="24"/>
          <w:szCs w:val="24"/>
          <w:lang w:val="es-ES_tradnl"/>
        </w:rPr>
        <w:t xml:space="preserve"> </w:t>
      </w:r>
      <w:r w:rsidRPr="000D3432">
        <w:rPr>
          <w:rStyle w:val="Refdenotaalpie"/>
          <w:rFonts w:asciiTheme="minorHAnsi" w:hAnsiTheme="minorHAnsi" w:cs="Arial"/>
          <w:sz w:val="24"/>
          <w:szCs w:val="24"/>
          <w:lang w:val="es-ES_tradnl"/>
        </w:rPr>
        <w:footnoteReference w:id="454"/>
      </w:r>
      <w:r w:rsidRPr="000D3432">
        <w:rPr>
          <w:rFonts w:asciiTheme="minorHAnsi" w:hAnsiTheme="minorHAnsi" w:cs="Arial"/>
          <w:szCs w:val="24"/>
          <w:lang w:val="es-ES_tradnl"/>
        </w:rPr>
        <w:t>.</w:t>
      </w:r>
    </w:p>
    <w:p w14:paraId="67683612" w14:textId="77777777" w:rsidR="00FA0266" w:rsidRPr="000D3432" w:rsidRDefault="00FA0266" w:rsidP="00A95498">
      <w:pPr>
        <w:jc w:val="both"/>
        <w:rPr>
          <w:rFonts w:asciiTheme="minorHAnsi" w:hAnsiTheme="minorHAnsi" w:cs="Arial"/>
          <w:szCs w:val="24"/>
          <w:lang w:val="es-ES_tradnl"/>
        </w:rPr>
      </w:pPr>
    </w:p>
    <w:p w14:paraId="23EF4235" w14:textId="77777777" w:rsidR="00FA0266" w:rsidRPr="000D3432" w:rsidRDefault="00FA0266" w:rsidP="00A95498">
      <w:pPr>
        <w:jc w:val="both"/>
        <w:rPr>
          <w:rFonts w:asciiTheme="minorHAnsi" w:hAnsiTheme="minorHAnsi" w:cs="Arial"/>
          <w:szCs w:val="24"/>
          <w:lang w:val="es-ES_tradnl"/>
        </w:rPr>
      </w:pPr>
    </w:p>
    <w:p w14:paraId="2CCBB3C9" w14:textId="77777777" w:rsidR="00FA0266" w:rsidRPr="000D3432" w:rsidRDefault="00FA0266" w:rsidP="00A95498">
      <w:pPr>
        <w:jc w:val="both"/>
        <w:rPr>
          <w:rFonts w:asciiTheme="minorHAnsi" w:hAnsiTheme="minorHAnsi" w:cs="Arial"/>
          <w:szCs w:val="24"/>
          <w:lang w:val="es-ES_tradnl"/>
        </w:rPr>
      </w:pPr>
    </w:p>
    <w:p w14:paraId="1DBCF944" w14:textId="77777777" w:rsidR="00FA0266" w:rsidRPr="000D3432" w:rsidRDefault="00FA0266" w:rsidP="00A95498">
      <w:pPr>
        <w:jc w:val="both"/>
        <w:rPr>
          <w:rFonts w:asciiTheme="minorHAnsi" w:hAnsiTheme="minorHAnsi" w:cs="Arial"/>
          <w:szCs w:val="24"/>
          <w:lang w:val="es-ES_tradnl"/>
        </w:rPr>
      </w:pPr>
    </w:p>
    <w:p w14:paraId="75B377F9"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67" w:name="_Toc318102881"/>
      <w:r w:rsidRPr="000D3432">
        <w:rPr>
          <w:rFonts w:asciiTheme="minorHAnsi" w:hAnsiTheme="minorHAnsi" w:cs="Arial"/>
          <w:sz w:val="24"/>
          <w:szCs w:val="24"/>
          <w:lang w:val="es-ES_tradnl"/>
        </w:rPr>
        <w:t xml:space="preserve">11.- </w:t>
      </w:r>
      <w:r w:rsidRPr="000D3432">
        <w:rPr>
          <w:rFonts w:asciiTheme="minorHAnsi" w:hAnsiTheme="minorHAnsi" w:cs="Arial"/>
          <w:smallCaps/>
          <w:sz w:val="24"/>
          <w:szCs w:val="24"/>
          <w:lang w:val="es-ES_tradnl"/>
        </w:rPr>
        <w:t>Principio de defensa de los derechos fundamentales de la persona</w:t>
      </w:r>
      <w:bookmarkEnd w:id="67"/>
      <w:r w:rsidRPr="000D3432">
        <w:rPr>
          <w:rFonts w:asciiTheme="minorHAnsi" w:hAnsiTheme="minorHAnsi" w:cs="Arial"/>
          <w:smallCaps/>
          <w:sz w:val="24"/>
          <w:szCs w:val="24"/>
          <w:lang w:val="es-ES_tradnl"/>
        </w:rPr>
        <w:t xml:space="preserve"> </w:t>
      </w:r>
    </w:p>
    <w:p w14:paraId="010E763C" w14:textId="77777777" w:rsidR="00FA0266" w:rsidRPr="000D3432" w:rsidRDefault="00FA0266" w:rsidP="00A95498">
      <w:pPr>
        <w:jc w:val="both"/>
        <w:rPr>
          <w:rFonts w:asciiTheme="minorHAnsi" w:hAnsiTheme="minorHAnsi" w:cs="Arial"/>
          <w:szCs w:val="24"/>
          <w:lang w:val="es-ES_tradnl"/>
        </w:rPr>
      </w:pPr>
    </w:p>
    <w:p w14:paraId="22DA8921"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Los derechos fundamentales de la persona tienen un reconocimiento internacional, y se disponen como dogmas, o derechos universales que deben ser tutelados siempre por el Derecho. Hablar, pues, de Derechos Fundamentales es hablar de fundamentos, es decir de “fuerzas irresistibles y últimas” –según Bobbio-, que actúan como dogmas. Por eso, los derechos fundamentales son dogmas. Así, la igualdad, la libertad, con derechos fundamentales porque no están en debate su validez. Lo que puede estar en duda es el margen de estos derechos, pero no los derechos. Este principio alude, pues, a la protección o tutela de los Derechos Fundamentales, frente a los tributos, o a la potestad tributaria del Estado, que por tal motivo, no puede agredir estos derechos fundamentales de la persona.  </w:t>
      </w:r>
    </w:p>
    <w:p w14:paraId="34CB8CB5" w14:textId="77777777" w:rsidR="00FA0266" w:rsidRPr="000D3432" w:rsidRDefault="00FA0266" w:rsidP="00A95498">
      <w:pPr>
        <w:jc w:val="both"/>
        <w:rPr>
          <w:rFonts w:asciiTheme="minorHAnsi" w:hAnsiTheme="minorHAnsi" w:cs="Arial"/>
          <w:szCs w:val="24"/>
          <w:lang w:val="es-ES_tradnl"/>
        </w:rPr>
      </w:pPr>
    </w:p>
    <w:p w14:paraId="7FE1D94C" w14:textId="77777777" w:rsidR="00FA0266" w:rsidRPr="000D3432" w:rsidRDefault="00FA0266" w:rsidP="00A95498">
      <w:pPr>
        <w:jc w:val="both"/>
        <w:rPr>
          <w:rFonts w:asciiTheme="minorHAnsi" w:hAnsiTheme="minorHAnsi" w:cs="Arial"/>
          <w:szCs w:val="24"/>
          <w:lang w:val="es-ES_tradnl"/>
        </w:rPr>
      </w:pPr>
    </w:p>
    <w:p w14:paraId="165A437E" w14:textId="77777777" w:rsidR="00FA0266" w:rsidRPr="000D3432" w:rsidRDefault="00FA0266" w:rsidP="00A95498">
      <w:pPr>
        <w:pStyle w:val="Ttulo1"/>
        <w:spacing w:line="240" w:lineRule="auto"/>
        <w:rPr>
          <w:rFonts w:asciiTheme="minorHAnsi" w:hAnsiTheme="minorHAnsi"/>
          <w:sz w:val="24"/>
          <w:szCs w:val="24"/>
          <w:lang w:val="es-ES_tradnl"/>
        </w:rPr>
      </w:pPr>
      <w:bookmarkStart w:id="68" w:name="_Toc318102882"/>
      <w:r w:rsidRPr="000D3432">
        <w:rPr>
          <w:rFonts w:asciiTheme="minorHAnsi" w:hAnsiTheme="minorHAnsi"/>
          <w:sz w:val="24"/>
          <w:szCs w:val="24"/>
          <w:lang w:val="es-ES_tradnl"/>
        </w:rPr>
        <w:t>V.- FUENTES DEL DERECHO TRIBUTARIO</w:t>
      </w:r>
      <w:bookmarkEnd w:id="68"/>
    </w:p>
    <w:p w14:paraId="1FDBF2D8" w14:textId="77777777" w:rsidR="00FA0266" w:rsidRPr="000D3432" w:rsidRDefault="00FA0266" w:rsidP="00A95498">
      <w:pPr>
        <w:jc w:val="both"/>
        <w:rPr>
          <w:rFonts w:asciiTheme="minorHAnsi" w:hAnsiTheme="minorHAnsi" w:cs="Arial"/>
          <w:b/>
          <w:szCs w:val="24"/>
          <w:lang w:val="es-ES_tradnl"/>
        </w:rPr>
      </w:pPr>
    </w:p>
    <w:p w14:paraId="5400198A"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b w:val="0"/>
          <w:sz w:val="24"/>
          <w:szCs w:val="24"/>
        </w:rPr>
        <w:t xml:space="preserve">Según nuestra legislación son fuentes del Derecho Tributario: a) Las disposiciones constitucionales; b) Los tratados internacionales aprobados por el Congreso y ratificados por el Presidente de la República; c) Las leyes tributarias y las normas de rango equivalente; d) Las leyes orgánicas o especiales que norman la creación de tributos regionales o municipales; e) Los decretos supremos y las normas reglamentarias; f) La jurisprudencia; g) Las resoluciones de carácter general emitidas por la Administración Tributaria; y, h) La doctrina jurídica. Las cuales solo mencionaremos para tratarlas en otro oportunidad. </w:t>
      </w:r>
    </w:p>
    <w:p w14:paraId="22E0B181" w14:textId="77777777" w:rsidR="00FA0266" w:rsidRPr="000D3432" w:rsidRDefault="00FA0266" w:rsidP="00A95498">
      <w:pPr>
        <w:jc w:val="both"/>
        <w:rPr>
          <w:rFonts w:asciiTheme="minorHAnsi" w:hAnsiTheme="minorHAnsi" w:cs="Arial"/>
          <w:szCs w:val="24"/>
          <w:lang w:val="es-ES_tradnl"/>
        </w:rPr>
      </w:pPr>
    </w:p>
    <w:p w14:paraId="21066AB2" w14:textId="77777777" w:rsidR="00FA0266" w:rsidRPr="000D3432" w:rsidRDefault="00FA0266" w:rsidP="00A95498">
      <w:pPr>
        <w:pStyle w:val="Ttulo1"/>
        <w:spacing w:line="240" w:lineRule="auto"/>
        <w:rPr>
          <w:rFonts w:asciiTheme="minorHAnsi" w:hAnsiTheme="minorHAnsi"/>
          <w:sz w:val="24"/>
          <w:szCs w:val="24"/>
          <w:lang w:val="es-ES_tradnl"/>
        </w:rPr>
      </w:pPr>
      <w:bookmarkStart w:id="69" w:name="_Toc318102883"/>
      <w:r w:rsidRPr="000D3432">
        <w:rPr>
          <w:rFonts w:asciiTheme="minorHAnsi" w:hAnsiTheme="minorHAnsi"/>
          <w:sz w:val="24"/>
          <w:szCs w:val="24"/>
          <w:lang w:val="es-ES_tradnl"/>
        </w:rPr>
        <w:t>VI.- TRIBUTOS:</w:t>
      </w:r>
      <w:bookmarkEnd w:id="69"/>
    </w:p>
    <w:p w14:paraId="0E37F76C" w14:textId="77777777" w:rsidR="00FA0266" w:rsidRPr="000D3432" w:rsidRDefault="00FA0266" w:rsidP="00A95498">
      <w:pPr>
        <w:jc w:val="both"/>
        <w:rPr>
          <w:rFonts w:asciiTheme="minorHAnsi" w:hAnsiTheme="minorHAnsi" w:cs="Arial"/>
          <w:szCs w:val="24"/>
          <w:lang w:val="es-ES_tradnl"/>
        </w:rPr>
      </w:pPr>
    </w:p>
    <w:p w14:paraId="141BAC0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tributo es una imputación legal, mediante la cual se transforma ciertos hechos en deudas o créditos del Estado, que la persona -natural o jurídica- tiene el deber de cancelar.</w:t>
      </w:r>
    </w:p>
    <w:p w14:paraId="04A32817" w14:textId="77777777" w:rsidR="00FA0266" w:rsidRPr="000D3432" w:rsidRDefault="00FA0266" w:rsidP="00A95498">
      <w:pPr>
        <w:jc w:val="both"/>
        <w:rPr>
          <w:rFonts w:asciiTheme="minorHAnsi" w:hAnsiTheme="minorHAnsi" w:cs="Arial"/>
          <w:szCs w:val="24"/>
          <w:lang w:val="es-ES_tradnl"/>
        </w:rPr>
      </w:pPr>
    </w:p>
    <w:p w14:paraId="0245BFE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En un concepto técnico Guillermo Cabanellas, en su diccionario jurídico, escribe que el Tributo es “un impuesto, contribución u otra obligación fiscal”</w:t>
      </w:r>
      <w:r w:rsidRPr="000D3432">
        <w:rPr>
          <w:rStyle w:val="Refdenotaalpie"/>
          <w:rFonts w:asciiTheme="minorHAnsi" w:hAnsiTheme="minorHAnsi" w:cs="Arial"/>
          <w:sz w:val="24"/>
          <w:szCs w:val="24"/>
          <w:lang w:val="es-ES_tradnl"/>
        </w:rPr>
        <w:footnoteReference w:id="455"/>
      </w:r>
      <w:r w:rsidRPr="000D3432">
        <w:rPr>
          <w:rFonts w:asciiTheme="minorHAnsi" w:hAnsiTheme="minorHAnsi" w:cs="Arial"/>
          <w:szCs w:val="24"/>
          <w:lang w:val="es-ES_tradnl"/>
        </w:rPr>
        <w:t xml:space="preserve">. </w:t>
      </w:r>
      <w:r w:rsidRPr="000D3432">
        <w:rPr>
          <w:rFonts w:asciiTheme="minorHAnsi" w:hAnsiTheme="minorHAnsi" w:cs="Arial"/>
          <w:szCs w:val="24"/>
          <w:lang w:val="es-ES_tradnl"/>
        </w:rPr>
        <w:lastRenderedPageBreak/>
        <w:t xml:space="preserve">Concepto que nos deja en otro problema a resolver, saber qué es un impuesto, qué una contribución u otra obligación fiscal. Por lo pronto tenemos que encontrar aquello que los hace comunes, que los une, antes que sus diferencias, que son, como veremos, sólo de procedimiento. ¿Cuál pues sería este factor común? </w:t>
      </w:r>
    </w:p>
    <w:p w14:paraId="48DF56E2" w14:textId="77777777" w:rsidR="00FA0266" w:rsidRPr="000D3432" w:rsidRDefault="00FA0266" w:rsidP="00A95498">
      <w:pPr>
        <w:jc w:val="both"/>
        <w:rPr>
          <w:rFonts w:asciiTheme="minorHAnsi" w:hAnsiTheme="minorHAnsi" w:cs="Arial"/>
          <w:szCs w:val="24"/>
          <w:lang w:val="es-ES_tradnl"/>
        </w:rPr>
      </w:pPr>
    </w:p>
    <w:p w14:paraId="3B14F9C4"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Sabemos que los tributos son medios o instrumentos creados por el Estado para lograr una función principal: la recaudación. Pues bien, ese podría ser un elemento en común. Todos estos instrumentos fiscales son pues recaudatorios. Pero esta recaudación, por sí sola, no tiene efectos o relevancia jurídica. No es pues sólo la recaudación, sino la recaudación que tiene carga y fuerza obligatoria. La recaudación tiene carga coactiva, y por lo tanto es obligatorio su cumplimiento. </w:t>
      </w:r>
    </w:p>
    <w:p w14:paraId="2EBEA0A2" w14:textId="77777777" w:rsidR="00FA0266" w:rsidRPr="000D3432" w:rsidRDefault="00FA0266" w:rsidP="00A95498">
      <w:pPr>
        <w:jc w:val="both"/>
        <w:rPr>
          <w:rFonts w:asciiTheme="minorHAnsi" w:hAnsiTheme="minorHAnsi" w:cs="Arial"/>
          <w:szCs w:val="24"/>
          <w:lang w:val="es-ES_tradnl"/>
        </w:rPr>
      </w:pPr>
    </w:p>
    <w:p w14:paraId="622524D1"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Ya tenemos dos elementos: Se trata de “recaudaciones” que “tienen carga coactiva”. Sin embargo el primer elemento, que sea una recaudación, enuncia sólo al acto que lo define, pero no define al acto como actividad jurídica exclusiva del Estado. La recaudación no puede darse, luego, por cualquier persona sino por el Estado, ya sea en forma directa o por representación, pero siempre a cargo, o a títularidad del Estado. Tenemos, como ven, otro elemento: que esta recaudación tenga como “titular al Estado”. El cuarto elemento se desprende necesariamente de los anteriores: “el sujeto” a quien se le va a exigir entregue parte de su patrimonio al titular del Estado. Y aquí un fenómeno relevante: se trata de la afectación del patrimonio de la persona -natural o jurídica-. Es esta afectación lo que diferencia al resto de actos normativos de los actos normativos tributarios. Además los motivos de esta afectación al patrimonio determinarán el tipo de tributo. </w:t>
      </w:r>
    </w:p>
    <w:p w14:paraId="46024815" w14:textId="77777777" w:rsidR="00FA0266" w:rsidRPr="000D3432" w:rsidRDefault="00FA0266" w:rsidP="00A95498">
      <w:pPr>
        <w:jc w:val="both"/>
        <w:rPr>
          <w:rFonts w:asciiTheme="minorHAnsi" w:hAnsiTheme="minorHAnsi" w:cs="Arial"/>
          <w:szCs w:val="24"/>
          <w:lang w:val="es-ES_tradnl"/>
        </w:rPr>
      </w:pPr>
    </w:p>
    <w:p w14:paraId="60942585"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Como vemos, los tributos significan la afectación al patrimonio -o riqueza- del sujeto pasivo, por parte del sujeto activo -Estado-, y esta afectación se da por medio de la recaudación. La recaudación, es pues, el acto que vincula, de hecho, al Estado (sujeto activo) con la persona -natural o jurídica (sujeto pasivo); pero este acto de vinculación real es sólo derecho, es sólo válido, si está contenida en una ley expresa; con lo que se pretende darle las garantías adheridas a toda ley (la de ser un medio que ha sufrido, para su existencia, de ciertos requisitos que lo hagan válido como tal, como ley; como por ejemplo, la necesidad pública, la seguridad jurídica, el bien común, el interés público, la justicia, es decir, que no haya sido dado arbitrariamente, etc., sino como exigencia ineludible de organización social). </w:t>
      </w:r>
    </w:p>
    <w:p w14:paraId="2E703BA1" w14:textId="77777777" w:rsidR="00FA0266" w:rsidRPr="000D3432" w:rsidRDefault="00FA0266" w:rsidP="00A95498">
      <w:pPr>
        <w:jc w:val="both"/>
        <w:rPr>
          <w:rFonts w:asciiTheme="minorHAnsi" w:hAnsiTheme="minorHAnsi" w:cs="Arial"/>
          <w:szCs w:val="24"/>
          <w:lang w:val="es-ES_tradnl"/>
        </w:rPr>
      </w:pPr>
    </w:p>
    <w:p w14:paraId="22AC60F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Otro factor de los tributos es el de ratificación de la soberanía del Estado, es decir, de poder sobre una determinada sociedad, dentro de ciertos límites territoriales. Esta soberanía produce un acto de subordinación de la persona (sujeto pasivo) al Estado. Como dijimos, es una relación política más que jurídica, porque se trata de una relación de poder (de afectar y ser afectado) que legitima el derecho, porque lo instaura como institución, es decir, le da validez y efectividad, por su estructura orgánica.</w:t>
      </w:r>
    </w:p>
    <w:p w14:paraId="4A0F9BAC" w14:textId="77777777" w:rsidR="00FA0266" w:rsidRPr="000D3432" w:rsidRDefault="00FA0266" w:rsidP="00A95498">
      <w:pPr>
        <w:jc w:val="both"/>
        <w:rPr>
          <w:rFonts w:asciiTheme="minorHAnsi" w:hAnsiTheme="minorHAnsi" w:cs="Arial"/>
          <w:szCs w:val="24"/>
          <w:lang w:val="es-ES_tradnl"/>
        </w:rPr>
      </w:pPr>
    </w:p>
    <w:p w14:paraId="53D3F012"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70" w:name="_Toc318102884"/>
      <w:r w:rsidRPr="000D3432">
        <w:rPr>
          <w:rFonts w:asciiTheme="minorHAnsi" w:hAnsiTheme="minorHAnsi" w:cs="Arial"/>
          <w:sz w:val="24"/>
          <w:szCs w:val="24"/>
          <w:lang w:val="es-ES_tradnl"/>
        </w:rPr>
        <w:lastRenderedPageBreak/>
        <w:t xml:space="preserve">1.- </w:t>
      </w:r>
      <w:r w:rsidRPr="000D3432">
        <w:rPr>
          <w:rFonts w:asciiTheme="minorHAnsi" w:hAnsiTheme="minorHAnsi" w:cs="Arial"/>
          <w:smallCaps/>
          <w:sz w:val="24"/>
          <w:szCs w:val="24"/>
          <w:lang w:val="es-ES_tradnl"/>
        </w:rPr>
        <w:t>El Tributo Como Costo Social</w:t>
      </w:r>
      <w:bookmarkEnd w:id="70"/>
      <w:r w:rsidRPr="000D3432">
        <w:rPr>
          <w:rFonts w:asciiTheme="minorHAnsi" w:hAnsiTheme="minorHAnsi" w:cs="Arial"/>
          <w:smallCaps/>
          <w:sz w:val="24"/>
          <w:szCs w:val="24"/>
          <w:lang w:val="es-ES_tradnl"/>
        </w:rPr>
        <w:t xml:space="preserve"> </w:t>
      </w:r>
    </w:p>
    <w:p w14:paraId="04ADD389" w14:textId="77777777" w:rsidR="00FA0266" w:rsidRPr="000D3432" w:rsidRDefault="00FA0266" w:rsidP="00A95498">
      <w:pPr>
        <w:rPr>
          <w:rFonts w:asciiTheme="minorHAnsi" w:hAnsiTheme="minorHAnsi" w:cs="Arial"/>
          <w:szCs w:val="24"/>
          <w:lang w:val="es-ES_tradnl"/>
        </w:rPr>
      </w:pPr>
    </w:p>
    <w:p w14:paraId="1B98DEF3"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Como hemos visto, el fundamento del porqué tributamos resulta de un fenómeno social, que tiene carácter económico, y se  resuelve en última instancia como jurídico. Este fenómeno, pagar tributos, se produce por el hecho de que nosotros, como individuos integrados dentro de la sociedad, generamos un costo. Nuestra vida, nuestra vida en sociedad, genera un costo a esa sociedad. Eso indica que el simple hecho de vivir es ya costoso, costoso al resto. Gandhi explicaba esto en más o menos estas palabras: “Quien no trabaja está robando a la sociedad”. Por que la existencia en comunidad requiere organización y ésta toda una maquinaria que lo provoque; por eso hemos sido agrupados dentro de un ente artificial llamado Estado, ente que cobra fuerza material y deja de ser ficción cuando aplica su fuerza coactiva, cuando ejerce la potestad de cobrarnos por nuestra pertenencia a esa sociedad llamada Estado. Y a este cobro, transformado en pago, se le denomina tributo. Fenómeno económico (traslación de la riqueza de la persona –natural o jurídica- al Estado) y jurídico (porque implica subordinación al Estado).</w:t>
      </w:r>
    </w:p>
    <w:p w14:paraId="52ADE240" w14:textId="77777777" w:rsidR="00FA0266" w:rsidRPr="000D3432" w:rsidRDefault="00FA0266" w:rsidP="00A95498">
      <w:pPr>
        <w:jc w:val="both"/>
        <w:rPr>
          <w:rFonts w:asciiTheme="minorHAnsi" w:hAnsiTheme="minorHAnsi" w:cs="Arial"/>
          <w:szCs w:val="24"/>
          <w:lang w:val="es-ES_tradnl"/>
        </w:rPr>
      </w:pPr>
    </w:p>
    <w:p w14:paraId="73CD802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Derecho Tributario en la modernidad aparece como la imposición de una condición para la existencia del tributo: que el tributo no sea ya una decisión arbitraria del monarca, del señor feudal, o rey, etc., sino un acto generado en el pacto social, que incluye como fundamento esencial el “interés social”, el “interés común”, “el interés público”. Sólo puede haber tributos si existe un interés social que lo justifique. Y este interés social genera un costo. Así el primer costo que existe es el de organizarnos, el de establecer los márgenes de nuestro movimiento dentro de la sociedad, porque este (nuestro hacer o no hacer social) tiene efectos sociales que requieren también de cierta organización, para que no altere la vida en común. Son, pues, los costos que produce vivir en sociedad lo que le da legitimidad al Estado para convertirse en recaudador; y es la necesidad de regular estas relaciones nacidas de este fenómeno de recaudación lo que produce al Derecho Tributario. Si bien el hecho generador de la tributación está justificado en los costos sociales; el Derecho Tributario es más bien regulación de los hechos producto de esta acción recaudadora.  </w:t>
      </w:r>
    </w:p>
    <w:p w14:paraId="2DBA15E9" w14:textId="77777777" w:rsidR="00FA0266" w:rsidRPr="000D3432" w:rsidRDefault="00FA0266" w:rsidP="00A95498">
      <w:pPr>
        <w:jc w:val="both"/>
        <w:rPr>
          <w:rFonts w:asciiTheme="minorHAnsi" w:hAnsiTheme="minorHAnsi" w:cs="Arial"/>
          <w:szCs w:val="24"/>
          <w:lang w:val="es-ES_tradnl"/>
        </w:rPr>
      </w:pPr>
    </w:p>
    <w:p w14:paraId="56E758E5"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71" w:name="_Toc318102885"/>
      <w:r w:rsidRPr="000D3432">
        <w:rPr>
          <w:rFonts w:asciiTheme="minorHAnsi" w:hAnsiTheme="minorHAnsi" w:cs="Arial"/>
          <w:sz w:val="24"/>
          <w:szCs w:val="24"/>
          <w:lang w:val="es-ES_tradnl"/>
        </w:rPr>
        <w:t xml:space="preserve">2.- </w:t>
      </w:r>
      <w:r w:rsidRPr="000D3432">
        <w:rPr>
          <w:rFonts w:asciiTheme="minorHAnsi" w:hAnsiTheme="minorHAnsi" w:cs="Arial"/>
          <w:smallCaps/>
          <w:sz w:val="24"/>
          <w:szCs w:val="24"/>
          <w:lang w:val="es-ES_tradnl"/>
        </w:rPr>
        <w:t>El tributo como método de subordinación al ordenamiento jurídico</w:t>
      </w:r>
      <w:bookmarkEnd w:id="71"/>
    </w:p>
    <w:p w14:paraId="044A2D73" w14:textId="77777777" w:rsidR="00FA0266" w:rsidRPr="000D3432" w:rsidRDefault="00FA0266" w:rsidP="00A95498">
      <w:pPr>
        <w:jc w:val="both"/>
        <w:rPr>
          <w:rFonts w:asciiTheme="minorHAnsi" w:hAnsiTheme="minorHAnsi" w:cs="Arial"/>
          <w:szCs w:val="24"/>
          <w:lang w:val="es-ES_tradnl"/>
        </w:rPr>
      </w:pPr>
    </w:p>
    <w:p w14:paraId="2CBE499A"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concepto económico del tributo consiste en la recaudación de riqueza (el tributo sería así la entrega de dinero al Estado). No obstante –como dijimos- el tributo se convierte en jurídico cuando el objetivo del mismo no está ya en recaudar riqueza, sino en reafirmar el poderío y soberanía del Estado. Por eso, en el Derecho Moderno el tributo no es ya el dinero, sino un método de subordinación, una medida del grado de subordinación de los ciudadanos al orden jurídico, y digo al orden jurídico y no al Estado porque se trata de subordinación a una entidad social y jurídica; a una entidad que existe por el bien de todos, para posibilitar la existencia de todos. Eso significa que la tributación se encuentra subordinada al interés colectivo, al bien común, y éste es representado por el ordenamiento jurídico, porque el mismo es creado por </w:t>
      </w:r>
      <w:r w:rsidRPr="000D3432">
        <w:rPr>
          <w:rFonts w:asciiTheme="minorHAnsi" w:hAnsiTheme="minorHAnsi" w:cs="Arial"/>
          <w:szCs w:val="24"/>
          <w:lang w:val="es-ES_tradnl"/>
        </w:rPr>
        <w:lastRenderedPageBreak/>
        <w:t>un órgano o poder representativo de la voluntad social (El Poder Legislativo).</w:t>
      </w:r>
    </w:p>
    <w:p w14:paraId="1B1A74F6" w14:textId="77777777" w:rsidR="00FA0266" w:rsidRPr="000D3432" w:rsidRDefault="00FA0266" w:rsidP="00A95498">
      <w:pPr>
        <w:jc w:val="both"/>
        <w:rPr>
          <w:rFonts w:asciiTheme="minorHAnsi" w:hAnsiTheme="minorHAnsi" w:cs="Arial"/>
          <w:b/>
          <w:szCs w:val="24"/>
          <w:lang w:val="es-ES_tradnl"/>
        </w:rPr>
      </w:pPr>
    </w:p>
    <w:p w14:paraId="6105B6F0" w14:textId="77777777" w:rsidR="00FA0266" w:rsidRPr="000D3432" w:rsidRDefault="00FA0266" w:rsidP="00A95498">
      <w:pPr>
        <w:pStyle w:val="Ttulo2"/>
        <w:spacing w:line="240" w:lineRule="auto"/>
        <w:rPr>
          <w:rFonts w:asciiTheme="minorHAnsi" w:hAnsiTheme="minorHAnsi" w:cs="Arial"/>
          <w:smallCaps/>
          <w:sz w:val="24"/>
          <w:szCs w:val="24"/>
          <w:lang w:val="es-ES_tradnl"/>
        </w:rPr>
      </w:pPr>
      <w:bookmarkStart w:id="72" w:name="_Toc318102886"/>
      <w:r w:rsidRPr="000D3432">
        <w:rPr>
          <w:rFonts w:asciiTheme="minorHAnsi" w:hAnsiTheme="minorHAnsi" w:cs="Arial"/>
          <w:sz w:val="24"/>
          <w:szCs w:val="24"/>
          <w:lang w:val="es-ES_tradnl"/>
        </w:rPr>
        <w:t xml:space="preserve">3.- </w:t>
      </w:r>
      <w:r w:rsidRPr="000D3432">
        <w:rPr>
          <w:rFonts w:asciiTheme="minorHAnsi" w:hAnsiTheme="minorHAnsi" w:cs="Arial"/>
          <w:smallCaps/>
          <w:sz w:val="24"/>
          <w:szCs w:val="24"/>
          <w:lang w:val="es-ES_tradnl"/>
        </w:rPr>
        <w:t>El tributo como precio del compromiso y del equilibrio del estado:</w:t>
      </w:r>
      <w:bookmarkEnd w:id="72"/>
      <w:r w:rsidRPr="000D3432">
        <w:rPr>
          <w:rFonts w:asciiTheme="minorHAnsi" w:hAnsiTheme="minorHAnsi" w:cs="Arial"/>
          <w:smallCaps/>
          <w:sz w:val="24"/>
          <w:szCs w:val="24"/>
          <w:lang w:val="es-ES_tradnl"/>
        </w:rPr>
        <w:t xml:space="preserve"> </w:t>
      </w:r>
    </w:p>
    <w:p w14:paraId="33481085" w14:textId="77777777" w:rsidR="00FA0266" w:rsidRPr="000D3432" w:rsidRDefault="00FA0266" w:rsidP="00A95498">
      <w:pPr>
        <w:jc w:val="both"/>
        <w:rPr>
          <w:rFonts w:asciiTheme="minorHAnsi" w:hAnsiTheme="minorHAnsi" w:cs="Arial"/>
          <w:szCs w:val="24"/>
          <w:lang w:val="es-ES_tradnl"/>
        </w:rPr>
      </w:pPr>
    </w:p>
    <w:p w14:paraId="6EAE9767"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Cualquier concepto técnico del tributo no deja entrever otros elementos o factores que remodelan los efectos o condiciones del tributo, como por ejemplo, que este tributo sea el precio del compromiso y equilibrio del Estado. El Estado se compromete a darnos ciertos servicios, y también organiza su existencia, dando estabilidad y buscando el equilibrio del mismo Estado. La tributación, además, permite que la economía del Estado logre cierto equilibrio social. Así el Estado se propone como un medio de redistribución de la riqueza. </w:t>
      </w:r>
    </w:p>
    <w:p w14:paraId="3AF3497F" w14:textId="77777777" w:rsidR="00FA0266" w:rsidRPr="000D3432" w:rsidRDefault="00FA0266" w:rsidP="00A95498">
      <w:pPr>
        <w:jc w:val="both"/>
        <w:rPr>
          <w:rFonts w:asciiTheme="minorHAnsi" w:hAnsiTheme="minorHAnsi" w:cs="Arial"/>
          <w:szCs w:val="24"/>
          <w:lang w:val="es-ES_tradnl"/>
        </w:rPr>
      </w:pPr>
    </w:p>
    <w:p w14:paraId="2257696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forma de recaudación de recursos llamada tributación, que el Estado ha monopolizado, creado y generado, es sólo –dicen algunos- para lograr “atender el gasto público”. Es decir aquellos servicios que el Estado tiene que prestar porque la propia sociedad no podría hacerlo, o porque si la asume cada ciudadano el costo sería inmenso, impagable. Así el Estado realiza ciertos servicios que se etiquetan como “gasto público”, y que se justifican en la necesidad social. Que logran el equilibrio de la propia sociedad.</w:t>
      </w:r>
    </w:p>
    <w:p w14:paraId="0E72525B" w14:textId="77777777" w:rsidR="00FA0266" w:rsidRPr="000D3432" w:rsidRDefault="00FA0266" w:rsidP="00A95498">
      <w:pPr>
        <w:jc w:val="both"/>
        <w:rPr>
          <w:rFonts w:asciiTheme="minorHAnsi" w:hAnsiTheme="minorHAnsi" w:cs="Arial"/>
          <w:szCs w:val="24"/>
          <w:lang w:val="es-ES_tradnl"/>
        </w:rPr>
      </w:pPr>
    </w:p>
    <w:p w14:paraId="52CE35AA"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Pero como el mayor sistema de obtención de recursos del Estado es la recaudación tributaria, esta se establece como una respuesta a la necesidad de generar riqueza,  es decir que se grava con tributos por la falta riqueza. Así el Derecho Tributario es una respuesta a la falta de riqueza social. </w:t>
      </w:r>
    </w:p>
    <w:p w14:paraId="4BED94F9" w14:textId="77777777" w:rsidR="00FA0266" w:rsidRPr="000D3432" w:rsidRDefault="00FA0266" w:rsidP="00A95498">
      <w:pPr>
        <w:jc w:val="center"/>
        <w:rPr>
          <w:rFonts w:asciiTheme="minorHAnsi" w:hAnsiTheme="minorHAnsi" w:cs="Arial"/>
          <w:szCs w:val="24"/>
          <w:lang w:val="es-ES_tradnl"/>
        </w:rPr>
      </w:pPr>
    </w:p>
    <w:p w14:paraId="7478E29B" w14:textId="77777777" w:rsidR="00FA0266" w:rsidRPr="000D3432" w:rsidRDefault="00FA0266" w:rsidP="00A95498">
      <w:pPr>
        <w:jc w:val="center"/>
        <w:rPr>
          <w:rFonts w:asciiTheme="minorHAnsi" w:hAnsiTheme="minorHAnsi" w:cs="Arial"/>
          <w:szCs w:val="24"/>
          <w:lang w:val="es-ES_tradnl"/>
        </w:rPr>
      </w:pPr>
      <w:r w:rsidRPr="000D3432">
        <w:rPr>
          <w:rFonts w:asciiTheme="minorHAnsi" w:hAnsiTheme="minorHAnsi" w:cs="Arial"/>
          <w:szCs w:val="24"/>
          <w:lang w:val="es-ES_tradnl"/>
        </w:rPr>
        <w:t>*  *  *</w:t>
      </w:r>
    </w:p>
    <w:p w14:paraId="5C9A3F74"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Por último, podemos definir al tributo como la creación de un deuda con el Estado. Su origen está en la propia existencia y supervivencia del Estado. Por lo cual el Estado tiene el poder de “generar una deuda” en la persona que vive u opera dentro de sus límites (territorio, pueblo y soberanía), y a esta deuda o crédito le llama tributos, creados a su vez por un “vínculo jurídico”, llamado ley. La justificación teórica de los tributos está en la “satisfacción de las necesidades colectivas” y es este fundamento (lo colectivo) lo que le da legitimidad al poder coactivo del Estado para hacerlas cumplir, para que el crédito se ejecute o cobre. Lo curioso es que el crédito no se genera en una prestación sino en un hecho que el derecho considera materia de imposición tributaria (hecho imponible).</w:t>
      </w:r>
    </w:p>
    <w:p w14:paraId="24813BC1" w14:textId="77777777" w:rsidR="00FA0266" w:rsidRPr="000D3432" w:rsidRDefault="00FA0266" w:rsidP="00A95498">
      <w:pPr>
        <w:jc w:val="both"/>
        <w:rPr>
          <w:rFonts w:asciiTheme="minorHAnsi" w:hAnsiTheme="minorHAnsi" w:cs="Arial"/>
          <w:szCs w:val="24"/>
          <w:lang w:val="es-ES_tradnl"/>
        </w:rPr>
      </w:pPr>
    </w:p>
    <w:p w14:paraId="0CDE233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Entregar dinero al Estado es en esencia el Tributo. Pero aclaramos que no es el dinero sino el mandato lo que determina al tributo como una norma jurídica. El Tributo sólo será norma jurídica si existe la posibilidad, en caso de incumplimiento, de poder ser ejecutado el cobro, a través del poder coactivo del Estado.  Pero, en sentido técnico el tributo no es más que “la entrega de dinero al Estado, dispuesto por ley”. Una traslación de la riqueza particular y privada a la riqueza pública (hacienda pública, tesoro público). La ley crea pues el tributo; así, “De la misma forma que la ley nos atribuye la propiedad de nuestra casa, de nuestra ropa y de otros bienes (habidos por títulos jurídicos diversos), atribuye al Estado un crédito sobre una parte de nuestra riqueza (parte ésta que, a partir de esta atribución, constituye nuestro débito), como atribuye al Estado otras </w:t>
      </w:r>
      <w:r w:rsidRPr="000D3432">
        <w:rPr>
          <w:rFonts w:asciiTheme="minorHAnsi" w:hAnsiTheme="minorHAnsi" w:cs="Arial"/>
          <w:szCs w:val="24"/>
          <w:lang w:val="es-ES_tradnl"/>
        </w:rPr>
        <w:lastRenderedPageBreak/>
        <w:t>cosas además de nuestra riqueza: bienes naturales, poderes, competencias, derechos y el fruto de su propia actividad o patrimonio.”</w:t>
      </w:r>
      <w:r w:rsidRPr="000D3432">
        <w:rPr>
          <w:rStyle w:val="Refdenotaalpie"/>
          <w:rFonts w:asciiTheme="minorHAnsi" w:hAnsiTheme="minorHAnsi" w:cs="Arial"/>
          <w:sz w:val="24"/>
          <w:szCs w:val="24"/>
          <w:lang w:val="es-ES_tradnl"/>
        </w:rPr>
        <w:footnoteReference w:id="456"/>
      </w:r>
      <w:r w:rsidRPr="000D3432">
        <w:rPr>
          <w:rFonts w:asciiTheme="minorHAnsi" w:hAnsiTheme="minorHAnsi" w:cs="Arial"/>
          <w:szCs w:val="24"/>
          <w:lang w:val="es-ES_tradnl"/>
        </w:rPr>
        <w:t>.</w:t>
      </w:r>
    </w:p>
    <w:p w14:paraId="40F904F7" w14:textId="77777777" w:rsidR="00FA0266" w:rsidRPr="000D3432" w:rsidRDefault="00FA0266" w:rsidP="00A95498">
      <w:pPr>
        <w:jc w:val="both"/>
        <w:rPr>
          <w:rFonts w:asciiTheme="minorHAnsi" w:hAnsiTheme="minorHAnsi" w:cs="Arial"/>
          <w:szCs w:val="24"/>
          <w:lang w:val="es-ES_tradnl"/>
        </w:rPr>
      </w:pPr>
    </w:p>
    <w:p w14:paraId="2C403C5E"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73" w:name="_Toc318102887"/>
      <w:r w:rsidRPr="000D3432">
        <w:rPr>
          <w:rFonts w:asciiTheme="minorHAnsi" w:hAnsiTheme="minorHAnsi" w:cs="Arial"/>
          <w:sz w:val="24"/>
          <w:szCs w:val="24"/>
          <w:lang w:val="es-ES_tradnl"/>
        </w:rPr>
        <w:t xml:space="preserve">4.- </w:t>
      </w:r>
      <w:r w:rsidRPr="000D3432">
        <w:rPr>
          <w:rFonts w:asciiTheme="minorHAnsi" w:hAnsiTheme="minorHAnsi" w:cs="Arial"/>
          <w:smallCaps/>
          <w:sz w:val="24"/>
          <w:szCs w:val="24"/>
          <w:lang w:val="es-ES_tradnl"/>
        </w:rPr>
        <w:t>Concepto del Tributo</w:t>
      </w:r>
      <w:r w:rsidRPr="000D3432">
        <w:rPr>
          <w:rFonts w:asciiTheme="minorHAnsi" w:hAnsiTheme="minorHAnsi" w:cs="Arial"/>
          <w:sz w:val="24"/>
          <w:szCs w:val="24"/>
          <w:lang w:val="es-ES_tradnl"/>
        </w:rPr>
        <w:t>:</w:t>
      </w:r>
      <w:bookmarkEnd w:id="73"/>
    </w:p>
    <w:p w14:paraId="3758A450" w14:textId="77777777" w:rsidR="00FA0266" w:rsidRPr="000D3432" w:rsidRDefault="00FA0266" w:rsidP="00A95498">
      <w:pPr>
        <w:jc w:val="both"/>
        <w:rPr>
          <w:rFonts w:asciiTheme="minorHAnsi" w:hAnsiTheme="minorHAnsi" w:cs="Arial"/>
          <w:szCs w:val="24"/>
          <w:lang w:val="es-ES_tradnl"/>
        </w:rPr>
      </w:pPr>
    </w:p>
    <w:p w14:paraId="5EA4537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Pedro Flores Polo parafraseando a Dino Jarach escribe: “El tributo es una prestación pecuniaria coactiva de un sujeto (contribuyente) al Estado u otra entidad pública que tenga derecho a ingresarlo”</w:t>
      </w:r>
      <w:r w:rsidRPr="000D3432">
        <w:rPr>
          <w:rStyle w:val="Refdenotaalpie"/>
          <w:rFonts w:asciiTheme="minorHAnsi" w:hAnsiTheme="minorHAnsi" w:cs="Arial"/>
          <w:sz w:val="24"/>
          <w:szCs w:val="24"/>
          <w:lang w:val="es-ES_tradnl"/>
        </w:rPr>
        <w:footnoteReference w:id="457"/>
      </w:r>
      <w:r w:rsidRPr="000D3432">
        <w:rPr>
          <w:rFonts w:asciiTheme="minorHAnsi" w:hAnsiTheme="minorHAnsi" w:cs="Arial"/>
          <w:szCs w:val="24"/>
          <w:lang w:val="es-ES_tradnl"/>
        </w:rPr>
        <w:t>.</w:t>
      </w:r>
    </w:p>
    <w:p w14:paraId="61223A11" w14:textId="77777777" w:rsidR="00FA0266" w:rsidRPr="000D3432" w:rsidRDefault="00FA0266" w:rsidP="00A95498">
      <w:pPr>
        <w:jc w:val="both"/>
        <w:rPr>
          <w:rFonts w:asciiTheme="minorHAnsi" w:hAnsiTheme="minorHAnsi" w:cs="Arial"/>
          <w:szCs w:val="24"/>
          <w:lang w:val="es-ES_tradnl"/>
        </w:rPr>
      </w:pPr>
    </w:p>
    <w:p w14:paraId="791A8F77"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Si interpretamos a Jarach podríamos deducir que el tributo como prestación es diferente, por ejemplo, de una donación. No es un acto desinteresado, sino al contrario; porque al ser una prestación hay una invocación a la contraprestación. Sólo hay prestación cuando existe o debe existir en correspondencia una contraprestación. Es decir, se trata en fin de un préstamo, o un pago por un servicio público. Pero (a diferencia de una prestación civil) ésta no se da o constituye como producto de la voluntad de las partes. La persona que hace la prestación (contribuyente, sujeto pasivo) no la realiza por que le parece. Es más, si pudiera evitarlo lo haría, pero se ve impelido por la fuerza coactiva del Estado a hacer esta prestación. Y como es contra su voluntad tiene que haber, para acallar esta disconformidad, razones de esta tributación. Así el Estado alega que es el interés social. Y como este interés social no puede ser simplemente un concepto, se realiza una especie de contrato mediante el cual el Estado, por efecto de esta recaudación, se compromete a devolver la contraprestación -dar a cambio del tributo recaudado- en servicios y beneficios.</w:t>
      </w:r>
    </w:p>
    <w:p w14:paraId="0AFEBAA6" w14:textId="77777777" w:rsidR="00FA0266" w:rsidRPr="000D3432" w:rsidRDefault="00FA0266" w:rsidP="00A95498">
      <w:pPr>
        <w:jc w:val="both"/>
        <w:rPr>
          <w:rFonts w:asciiTheme="minorHAnsi" w:hAnsiTheme="minorHAnsi" w:cs="Arial"/>
          <w:szCs w:val="24"/>
          <w:lang w:val="es-ES_tradnl"/>
        </w:rPr>
      </w:pPr>
    </w:p>
    <w:p w14:paraId="694B33DD"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concepto de Jarach es importante desde este enfoque porque permite distinguir y diferenciar un hecho civil cualquiera de un hecho tributario, y por consiguiente el Derecho Tributario del Derecho Civil. Pero como aclara Pedro Flores Polo, el concepto de Dino Jarach ha sido superado por los hechos, puesto que materia de prestación no es ya sólo el dinero, lo pecuniario, sino pueden ser también otros instrumentos que sirven o cumplen igual función. Jarach lo que quiso fue describir  y definir el acto mediante el cual un individuo (contribuyente) hace traslación de parte de sus  bienes, o patrimonio al Estado (ente recaudador).  No obstante escribe: “...La consabida definición de Jarach: ‘Prestación pecuniaria coactiva’ resulta superada en el Perú, por que no todas las prestaciones tributarias son en dinero; ahora es posible pagar tributos en especie (petróleo, por ejemplo, si nos remitimos a los contratos petroleros celebrados por el Gobierno Peruano con inversionistas extranjeros, donde una parte del precio se paga en petróleo crudo); también es posible pagar en especie valorada (letras, pagarés) que no son dinero propiamente dicho, porque no son de efectivo e inmediato desembolso, ya que están sujetos a la eventualidad del rechazo por falta de fondos o el protesto por falta de pago. Prestación en dinero o en especie, diremos nosotros.”</w:t>
      </w:r>
      <w:r w:rsidRPr="000D3432">
        <w:rPr>
          <w:rStyle w:val="Refdenotaalpie"/>
          <w:rFonts w:asciiTheme="minorHAnsi" w:hAnsiTheme="minorHAnsi" w:cs="Arial"/>
          <w:sz w:val="24"/>
          <w:szCs w:val="24"/>
          <w:lang w:val="es-ES_tradnl"/>
        </w:rPr>
        <w:footnoteReference w:id="458"/>
      </w:r>
      <w:r w:rsidRPr="000D3432">
        <w:rPr>
          <w:rFonts w:asciiTheme="minorHAnsi" w:hAnsiTheme="minorHAnsi" w:cs="Arial"/>
          <w:szCs w:val="24"/>
          <w:lang w:val="es-ES_tradnl"/>
        </w:rPr>
        <w:t xml:space="preserve">. Como vemos la evolución humana a superado el concepto de Jarach, pero no el fenómeno descrito (traslación de la </w:t>
      </w:r>
      <w:r w:rsidRPr="000D3432">
        <w:rPr>
          <w:rFonts w:asciiTheme="minorHAnsi" w:hAnsiTheme="minorHAnsi" w:cs="Arial"/>
          <w:szCs w:val="24"/>
          <w:lang w:val="es-ES_tradnl"/>
        </w:rPr>
        <w:lastRenderedPageBreak/>
        <w:t xml:space="preserve">riqueza). Así, ha habido ampliación en los términos que se utilizan para ejecutar el acto de entrega y recaudación, pero aún se mantienen los fines últimos de estos actos: Subordinación al Estado implícito en estas acciones. </w:t>
      </w:r>
    </w:p>
    <w:p w14:paraId="0511A305" w14:textId="77777777" w:rsidR="00FA0266" w:rsidRPr="000D3432" w:rsidRDefault="00FA0266" w:rsidP="00A95498">
      <w:pPr>
        <w:jc w:val="both"/>
        <w:rPr>
          <w:rFonts w:asciiTheme="minorHAnsi" w:hAnsiTheme="minorHAnsi" w:cs="Arial"/>
          <w:szCs w:val="24"/>
          <w:lang w:val="es-ES_tradnl"/>
        </w:rPr>
      </w:pPr>
    </w:p>
    <w:p w14:paraId="10A7A25A"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Raúl Barrios Orbegozo, parafraseando a Dino Jarach escribe: “Este tributo, que según Dino Jarach es la ‘prestacón pecuniaria coactiva de un sujeto (contribuyente) al Estado u otra entidad pública que tenga derecho a ingresarlo’, tiene una serie de calidades que lo individualizan y le dan un carácter propio.”</w:t>
      </w:r>
      <w:r w:rsidRPr="000D3432">
        <w:rPr>
          <w:rStyle w:val="Refdenotaalpie"/>
          <w:rFonts w:asciiTheme="minorHAnsi" w:hAnsiTheme="minorHAnsi" w:cs="Arial"/>
          <w:sz w:val="24"/>
          <w:szCs w:val="24"/>
          <w:lang w:val="es-ES_tradnl"/>
        </w:rPr>
        <w:footnoteReference w:id="459"/>
      </w:r>
      <w:r w:rsidRPr="000D3432">
        <w:rPr>
          <w:rFonts w:asciiTheme="minorHAnsi" w:hAnsiTheme="minorHAnsi" w:cs="Arial"/>
          <w:szCs w:val="24"/>
          <w:lang w:val="es-ES_tradnl"/>
        </w:rPr>
        <w:t xml:space="preserve">. Y por la misma línea que Pedro Flores Polo, Barrios Orbegozo piensa que la esencia del Tributo no está en la prestación pecuniaria, sino en el vínculo que origina la prestación, la relación jurídica generada a partir de este acto (la tributación) entre la persona -natural o jurídica- y el Estado. Este vínculo es una relación jurídica porque está contenida en ella  -según la concepción de Bobbio- un derecho y un deber inseparables. Dada, pues, una relación jurídica, se predican a los sujetos de esa relación. </w:t>
      </w:r>
    </w:p>
    <w:p w14:paraId="0A0C1EA1" w14:textId="77777777" w:rsidR="00FA0266" w:rsidRPr="000D3432" w:rsidRDefault="00FA0266" w:rsidP="00A95498">
      <w:pPr>
        <w:jc w:val="both"/>
        <w:rPr>
          <w:rFonts w:asciiTheme="minorHAnsi" w:hAnsiTheme="minorHAnsi" w:cs="Arial"/>
          <w:szCs w:val="24"/>
          <w:lang w:val="es-ES_tradnl"/>
        </w:rPr>
      </w:pPr>
    </w:p>
    <w:p w14:paraId="0DFFC85B"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Barrios Orbegozo aclara: “el tributo no es una prestación pecuniaria, sino el vínculo que origina esta prestación, la que a su vez viene a ser simplemente el objeto de este vínculo. El vínculo que nosotros llamamos tributo es un vínculo sui géneris entre los miembros del Estado y el Estado mismo, y que origina para una de las partes (el Estado), el derecho de percibir una prestación pecuniaria, y para la otra, el deber de proporcionársela.”</w:t>
      </w:r>
      <w:r w:rsidRPr="000D3432">
        <w:rPr>
          <w:rStyle w:val="Refdenotaalpie"/>
          <w:rFonts w:asciiTheme="minorHAnsi" w:hAnsiTheme="minorHAnsi" w:cs="Arial"/>
          <w:sz w:val="24"/>
          <w:szCs w:val="24"/>
          <w:lang w:val="es-ES_tradnl"/>
        </w:rPr>
        <w:footnoteReference w:id="460"/>
      </w:r>
      <w:r w:rsidRPr="000D3432">
        <w:rPr>
          <w:rFonts w:asciiTheme="minorHAnsi" w:hAnsiTheme="minorHAnsi" w:cs="Arial"/>
          <w:szCs w:val="24"/>
          <w:lang w:val="es-ES_tradnl"/>
        </w:rPr>
        <w:t xml:space="preserve">. Sin embargo la aclaración que hace Barrios es sólo descriptiva puesto que deja de lado el fundamento de este vínculo. Sólo describe el hecho como un vínculo y quiénes están en este vínculo, pero no el porqué de todo esto. El concepto es sólo técnico, es decir, no explica las razones de su existencia, sino que se define simplemente como “instrumento” a utilizar. </w:t>
      </w:r>
    </w:p>
    <w:p w14:paraId="28B5F193" w14:textId="77777777" w:rsidR="00FA0266" w:rsidRPr="000D3432" w:rsidRDefault="00FA0266" w:rsidP="00A95498">
      <w:pPr>
        <w:jc w:val="both"/>
        <w:rPr>
          <w:rFonts w:asciiTheme="minorHAnsi" w:hAnsiTheme="minorHAnsi" w:cs="Arial"/>
          <w:szCs w:val="24"/>
          <w:lang w:val="es-ES_tradnl"/>
        </w:rPr>
      </w:pPr>
    </w:p>
    <w:p w14:paraId="670155D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tributo crea este vínculo, y es a través del Derecho –como vínculo- que se relaciona y obliga a ambas partes a cumplir su papel. Pero, como una soga que ata dos extremos, el tributo no es sólo aquel instrumento que vincula sino mucho más; el vínculo es la parte técnica, y el fondo está en lo que produce este vínculo: subordinación, y/o legitima la subordinación de una persona al Estado. Así, el acto (entrega o prestación al Estado -por parte del contribuyente-) no es lo importante en si, sino la voluntad doblegada, voluntad ajustada. Así lo que se hace con el tributo es ajustar la voluntad particular a la voluntad general, representada por el Estado; y este ajuste es a pesar de las resistencias mentales. La voluntad particular ha de transformarse, pues, en simple aceptación, y esta en acción (tributar). </w:t>
      </w:r>
    </w:p>
    <w:p w14:paraId="3945FC5B" w14:textId="77777777" w:rsidR="00FA0266" w:rsidRPr="000D3432" w:rsidRDefault="00FA0266" w:rsidP="00A95498">
      <w:pPr>
        <w:jc w:val="both"/>
        <w:rPr>
          <w:rFonts w:asciiTheme="minorHAnsi" w:hAnsiTheme="minorHAnsi" w:cs="Arial"/>
          <w:szCs w:val="24"/>
          <w:lang w:val="es-ES_tradnl"/>
        </w:rPr>
      </w:pPr>
    </w:p>
    <w:p w14:paraId="4CEF093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Por último Geraldo Ataliba define al tributo de la siguiente manera: “Jurídicamente se define al tributo como obligación jurídica pecuniaria, </w:t>
      </w:r>
      <w:r w:rsidRPr="000D3432">
        <w:rPr>
          <w:rFonts w:asciiTheme="minorHAnsi" w:hAnsiTheme="minorHAnsi" w:cs="Arial"/>
          <w:i/>
          <w:szCs w:val="24"/>
          <w:lang w:val="es-ES_tradnl"/>
        </w:rPr>
        <w:t>ex lege,</w:t>
      </w:r>
      <w:r w:rsidRPr="000D3432">
        <w:rPr>
          <w:rFonts w:asciiTheme="minorHAnsi" w:hAnsiTheme="minorHAnsi" w:cs="Arial"/>
          <w:szCs w:val="24"/>
          <w:lang w:val="es-ES_tradnl"/>
        </w:rPr>
        <w:t xml:space="preserve"> que no constituye sanción de acto ilícito, cuyo sujeto activo es, en principio una persona pública, y cuyo sujeto pasivo es alguien puesto en esa situación por la </w:t>
      </w:r>
      <w:r w:rsidRPr="000D3432">
        <w:rPr>
          <w:rFonts w:asciiTheme="minorHAnsi" w:hAnsiTheme="minorHAnsi" w:cs="Arial"/>
          <w:szCs w:val="24"/>
          <w:lang w:val="es-ES_tradnl"/>
        </w:rPr>
        <w:lastRenderedPageBreak/>
        <w:t>voluntad de la ley.”</w:t>
      </w:r>
      <w:r w:rsidRPr="000D3432">
        <w:rPr>
          <w:rStyle w:val="Refdenotaalpie"/>
          <w:rFonts w:asciiTheme="minorHAnsi" w:hAnsiTheme="minorHAnsi" w:cs="Arial"/>
          <w:sz w:val="24"/>
          <w:szCs w:val="24"/>
          <w:lang w:val="es-ES_tradnl"/>
        </w:rPr>
        <w:footnoteReference w:id="461"/>
      </w:r>
    </w:p>
    <w:p w14:paraId="0940B0B6" w14:textId="77777777" w:rsidR="00FA0266" w:rsidRPr="000D3432" w:rsidRDefault="00FA0266" w:rsidP="00A95498">
      <w:pPr>
        <w:jc w:val="both"/>
        <w:rPr>
          <w:rFonts w:asciiTheme="minorHAnsi" w:hAnsiTheme="minorHAnsi" w:cs="Arial"/>
          <w:szCs w:val="24"/>
          <w:lang w:val="es-ES_tradnl"/>
        </w:rPr>
      </w:pPr>
    </w:p>
    <w:p w14:paraId="11C7FF07" w14:textId="77777777" w:rsidR="00FA0266" w:rsidRPr="000D3432" w:rsidRDefault="00FA0266" w:rsidP="00A95498">
      <w:pPr>
        <w:pStyle w:val="Ttulo2"/>
        <w:spacing w:line="240" w:lineRule="auto"/>
        <w:rPr>
          <w:rFonts w:asciiTheme="minorHAnsi" w:hAnsiTheme="minorHAnsi" w:cs="Arial"/>
          <w:sz w:val="24"/>
          <w:szCs w:val="24"/>
          <w:lang w:val="es-ES_tradnl"/>
        </w:rPr>
      </w:pPr>
      <w:bookmarkStart w:id="74" w:name="_Toc318102888"/>
      <w:r w:rsidRPr="000D3432">
        <w:rPr>
          <w:rFonts w:asciiTheme="minorHAnsi" w:hAnsiTheme="minorHAnsi" w:cs="Arial"/>
          <w:sz w:val="24"/>
          <w:szCs w:val="24"/>
          <w:lang w:val="es-ES_tradnl"/>
        </w:rPr>
        <w:t xml:space="preserve">5.- </w:t>
      </w:r>
      <w:r w:rsidRPr="000D3432">
        <w:rPr>
          <w:rFonts w:asciiTheme="minorHAnsi" w:hAnsiTheme="minorHAnsi" w:cs="Arial"/>
          <w:smallCaps/>
          <w:sz w:val="24"/>
          <w:szCs w:val="24"/>
          <w:lang w:val="es-ES_tradnl"/>
        </w:rPr>
        <w:t>Elementos del Tributo</w:t>
      </w:r>
      <w:bookmarkEnd w:id="74"/>
      <w:r w:rsidRPr="000D3432">
        <w:rPr>
          <w:rFonts w:asciiTheme="minorHAnsi" w:hAnsiTheme="minorHAnsi" w:cs="Arial"/>
          <w:sz w:val="24"/>
          <w:szCs w:val="24"/>
          <w:lang w:val="es-ES_tradnl"/>
        </w:rPr>
        <w:t xml:space="preserve"> </w:t>
      </w:r>
    </w:p>
    <w:p w14:paraId="408F58E7" w14:textId="77777777" w:rsidR="00FA0266" w:rsidRPr="000D3432" w:rsidRDefault="00FA0266" w:rsidP="00A95498">
      <w:pPr>
        <w:jc w:val="both"/>
        <w:rPr>
          <w:rFonts w:asciiTheme="minorHAnsi" w:hAnsiTheme="minorHAnsi" w:cs="Arial"/>
          <w:b/>
          <w:szCs w:val="24"/>
          <w:lang w:val="es-ES_tradnl"/>
        </w:rPr>
      </w:pPr>
    </w:p>
    <w:p w14:paraId="565279F2" w14:textId="77777777" w:rsidR="00FA0266" w:rsidRPr="000D3432" w:rsidRDefault="00FA0266" w:rsidP="00A95498">
      <w:pPr>
        <w:pStyle w:val="Ttulo3"/>
        <w:rPr>
          <w:rFonts w:asciiTheme="minorHAnsi" w:hAnsiTheme="minorHAnsi" w:cs="Arial"/>
          <w:sz w:val="24"/>
          <w:szCs w:val="24"/>
        </w:rPr>
      </w:pPr>
      <w:bookmarkStart w:id="75" w:name="_Toc318102889"/>
      <w:r w:rsidRPr="000D3432">
        <w:rPr>
          <w:rFonts w:asciiTheme="minorHAnsi" w:hAnsiTheme="minorHAnsi" w:cs="Arial"/>
          <w:sz w:val="24"/>
          <w:szCs w:val="24"/>
        </w:rPr>
        <w:t>A) Elementos del tributo según Geraldo Ataliba</w:t>
      </w:r>
      <w:bookmarkEnd w:id="75"/>
    </w:p>
    <w:p w14:paraId="351D2590" w14:textId="77777777" w:rsidR="00FA0266" w:rsidRPr="000D3432" w:rsidRDefault="00FA0266" w:rsidP="00A95498">
      <w:pPr>
        <w:jc w:val="both"/>
        <w:rPr>
          <w:rFonts w:asciiTheme="minorHAnsi" w:hAnsiTheme="minorHAnsi" w:cs="Arial"/>
          <w:szCs w:val="24"/>
          <w:lang w:val="es-ES_tradnl"/>
        </w:rPr>
      </w:pPr>
    </w:p>
    <w:p w14:paraId="3A36C75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concepto de Tributo que da Ataliba es más completo y encierra en él una serie de </w:t>
      </w:r>
      <w:r w:rsidRPr="000D3432">
        <w:rPr>
          <w:rFonts w:asciiTheme="minorHAnsi" w:hAnsiTheme="minorHAnsi" w:cs="Arial"/>
          <w:b/>
          <w:szCs w:val="24"/>
          <w:lang w:val="es-ES_tradnl"/>
        </w:rPr>
        <w:t xml:space="preserve">elementos </w:t>
      </w:r>
      <w:r w:rsidRPr="000D3432">
        <w:rPr>
          <w:rFonts w:asciiTheme="minorHAnsi" w:hAnsiTheme="minorHAnsi" w:cs="Arial"/>
          <w:szCs w:val="24"/>
          <w:lang w:val="es-ES_tradnl"/>
        </w:rPr>
        <w:t>que luego explicados revelan el patrón básico del fenómeno tributario. Así enumeraremos y explicaremos los elementos en los cuales descompone –este autor- su definición de Tributo:</w:t>
      </w:r>
    </w:p>
    <w:p w14:paraId="628995F7" w14:textId="77777777" w:rsidR="00FA0266" w:rsidRPr="000D3432" w:rsidRDefault="00FA0266" w:rsidP="00A95498">
      <w:pPr>
        <w:jc w:val="both"/>
        <w:rPr>
          <w:rFonts w:asciiTheme="minorHAnsi" w:hAnsiTheme="minorHAnsi" w:cs="Arial"/>
          <w:szCs w:val="24"/>
          <w:lang w:val="es-ES_tradnl"/>
        </w:rPr>
      </w:pPr>
    </w:p>
    <w:p w14:paraId="534B0443" w14:textId="77777777" w:rsidR="00FA0266" w:rsidRPr="000D3432" w:rsidRDefault="00FA0266" w:rsidP="009E6E2E">
      <w:pPr>
        <w:pStyle w:val="Prrafodelista"/>
        <w:numPr>
          <w:ilvl w:val="0"/>
          <w:numId w:val="11"/>
        </w:numPr>
        <w:spacing w:after="0" w:line="240" w:lineRule="auto"/>
        <w:contextualSpacing w:val="0"/>
        <w:jc w:val="both"/>
        <w:outlineLvl w:val="3"/>
        <w:rPr>
          <w:rFonts w:cs="Arial"/>
          <w:i/>
          <w:sz w:val="24"/>
          <w:szCs w:val="24"/>
          <w:lang w:val="es-ES_tradnl"/>
        </w:rPr>
      </w:pPr>
      <w:r w:rsidRPr="000D3432">
        <w:rPr>
          <w:rFonts w:cs="Arial"/>
          <w:b/>
          <w:i/>
          <w:sz w:val="24"/>
          <w:szCs w:val="24"/>
          <w:lang w:val="es-ES_tradnl"/>
        </w:rPr>
        <w:t>Obligación.</w:t>
      </w:r>
      <w:r w:rsidRPr="000D3432">
        <w:rPr>
          <w:rFonts w:cs="Arial"/>
          <w:i/>
          <w:sz w:val="24"/>
          <w:szCs w:val="24"/>
          <w:lang w:val="es-ES_tradnl"/>
        </w:rPr>
        <w:t xml:space="preserve"> </w:t>
      </w:r>
    </w:p>
    <w:p w14:paraId="7FEF6EE1" w14:textId="77777777" w:rsidR="00FA0266" w:rsidRPr="000D3432" w:rsidRDefault="00FA0266" w:rsidP="00A95498">
      <w:pPr>
        <w:pStyle w:val="Prrafodelista"/>
        <w:spacing w:after="0" w:line="240" w:lineRule="auto"/>
        <w:contextualSpacing w:val="0"/>
        <w:jc w:val="both"/>
        <w:rPr>
          <w:rFonts w:cs="Arial"/>
          <w:sz w:val="24"/>
          <w:szCs w:val="24"/>
          <w:lang w:val="es-ES_tradnl"/>
        </w:rPr>
      </w:pPr>
      <w:r w:rsidRPr="000D3432">
        <w:rPr>
          <w:rFonts w:cs="Arial"/>
          <w:sz w:val="24"/>
          <w:szCs w:val="24"/>
          <w:lang w:val="es-ES_tradnl"/>
        </w:rPr>
        <w:t>Ataliba propone el fenómeno tributario como una obligación. Pero ¿qué es una obligación en derecho? Una visión etimológica del término nos llevaría inmediatamente a la idea de la obligación como “sujeción, sometimiento, ligamen, atadura de algo que limita a la persona sujeta a ella.”</w:t>
      </w:r>
      <w:r w:rsidRPr="000D3432">
        <w:rPr>
          <w:rStyle w:val="Refdenotaalpie"/>
          <w:rFonts w:cs="Arial"/>
          <w:sz w:val="24"/>
          <w:szCs w:val="24"/>
          <w:lang w:val="es-ES_tradnl"/>
        </w:rPr>
        <w:footnoteReference w:id="462"/>
      </w:r>
      <w:r w:rsidRPr="000D3432">
        <w:rPr>
          <w:rFonts w:cs="Arial"/>
          <w:sz w:val="24"/>
          <w:szCs w:val="24"/>
          <w:lang w:val="es-ES_tradnl"/>
        </w:rPr>
        <w:t>. Sin embargo es una expresión en latín, de las Institutas, quien nos define mejor a la obligación, para explicar ésta dentro del derecho tributario; así, escribe Raúl Ferrero Costa, “obligatio est iuris vinculm quo necessitate adstriguimur alicuius solvendae rei, secundum nostrae civitatis iure”</w:t>
      </w:r>
      <w:r w:rsidRPr="000D3432">
        <w:rPr>
          <w:rStyle w:val="Refdenotaalpie"/>
          <w:rFonts w:cs="Arial"/>
          <w:sz w:val="24"/>
          <w:szCs w:val="24"/>
          <w:lang w:val="es-ES_tradnl"/>
        </w:rPr>
        <w:footnoteReference w:id="463"/>
      </w:r>
      <w:r w:rsidRPr="000D3432">
        <w:rPr>
          <w:rFonts w:cs="Arial"/>
          <w:sz w:val="24"/>
          <w:szCs w:val="24"/>
          <w:lang w:val="es-ES_tradnl"/>
        </w:rPr>
        <w:t xml:space="preserve"> que significa: “La obligación es el vínculo de derecho por el que somos constreñidos con la necesidad de pagar alguna cosa según las leyes de nuestra ciudad”. La obligación es pues la creación de ese vínculo de derecho para sujetarnos a ciertas conductas: “pagar alguna cosa según las leyes de la ciudad”. Tener una obligación es quedar sujeto, y esto supone límites a nuestra conducta, condiciones en nuestra conducta de acumulación y propiedad de riqueza. Este vínculo genera derechos recíprocos; por eso según Larenz -parafraseado por Raúl Ferrero Costa-, la obligación es una “relación jurídica”; pero la fuerza de este concepto está en que mediante ella se adquiere “el derecho a exigir determinadas prestaciones”. Dado el vínculo, la relación jurídica, el efecto consiste en haber transformado una prestación (dar algo -parte de nuestro patrimonio) en un derecho. El contribuyente, por este acto, tiene el derecho a exigir se le otorguen ciertos servicios públicos. </w:t>
      </w:r>
    </w:p>
    <w:p w14:paraId="1F7DA733" w14:textId="77777777" w:rsidR="00FA0266" w:rsidRPr="000D3432" w:rsidRDefault="00FA0266" w:rsidP="00A95498">
      <w:pPr>
        <w:jc w:val="both"/>
        <w:rPr>
          <w:rFonts w:asciiTheme="minorHAnsi" w:hAnsiTheme="minorHAnsi" w:cs="Arial"/>
          <w:szCs w:val="24"/>
          <w:lang w:val="es-ES_tradnl"/>
        </w:rPr>
      </w:pPr>
    </w:p>
    <w:p w14:paraId="328413F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Geraldo Ataliba escribe que la obligación -como elemento del concepto del tributo- es un “vínculo jurídico transitorio, de cuño económico, que atribuye al sujeto activo el derecho de exigir del pasivo determinado comportamiento, y que pone a éste en la contingencia de practicarlo, en beneficio del sujeto activo.”</w:t>
      </w:r>
      <w:r w:rsidRPr="000D3432">
        <w:rPr>
          <w:rStyle w:val="Refdenotaalpie"/>
          <w:rFonts w:asciiTheme="minorHAnsi" w:hAnsiTheme="minorHAnsi" w:cs="Arial"/>
          <w:sz w:val="24"/>
          <w:szCs w:val="24"/>
          <w:lang w:val="es-ES_tradnl"/>
        </w:rPr>
        <w:footnoteReference w:id="464"/>
      </w:r>
      <w:r w:rsidRPr="000D3432">
        <w:rPr>
          <w:rFonts w:asciiTheme="minorHAnsi" w:hAnsiTheme="minorHAnsi" w:cs="Arial"/>
          <w:szCs w:val="24"/>
          <w:lang w:val="es-ES_tradnl"/>
        </w:rPr>
        <w:t xml:space="preserve">. El vínculo como se ve, es distinto en el tributo que en cualquier otra relación, porque se trata de una relación, de un vínculo que establece un ligamen del sujeto pasivo al sujeto activo, con el fin de que el primero cumpla </w:t>
      </w:r>
      <w:r w:rsidRPr="000D3432">
        <w:rPr>
          <w:rFonts w:asciiTheme="minorHAnsi" w:hAnsiTheme="minorHAnsi" w:cs="Arial"/>
          <w:szCs w:val="24"/>
          <w:lang w:val="es-ES_tradnl"/>
        </w:rPr>
        <w:lastRenderedPageBreak/>
        <w:t xml:space="preserve">con determinado comportamiento en beneficio del sujeto activo, que en este caso es el Estado. </w:t>
      </w:r>
    </w:p>
    <w:p w14:paraId="0FFDB1D0" w14:textId="77777777" w:rsidR="00FA0266" w:rsidRPr="000D3432" w:rsidRDefault="00FA0266" w:rsidP="00A95498">
      <w:pPr>
        <w:jc w:val="both"/>
        <w:rPr>
          <w:rFonts w:asciiTheme="minorHAnsi" w:hAnsiTheme="minorHAnsi" w:cs="Arial"/>
          <w:szCs w:val="24"/>
          <w:lang w:val="es-ES_tradnl"/>
        </w:rPr>
      </w:pPr>
    </w:p>
    <w:p w14:paraId="129B20F4" w14:textId="77777777" w:rsidR="00FA0266" w:rsidRPr="000D3432" w:rsidRDefault="00FA0266" w:rsidP="009E6E2E">
      <w:pPr>
        <w:pStyle w:val="Prrafodelista"/>
        <w:numPr>
          <w:ilvl w:val="0"/>
          <w:numId w:val="11"/>
        </w:numPr>
        <w:spacing w:after="0" w:line="240" w:lineRule="auto"/>
        <w:contextualSpacing w:val="0"/>
        <w:jc w:val="both"/>
        <w:outlineLvl w:val="3"/>
        <w:rPr>
          <w:rFonts w:cs="Arial"/>
          <w:sz w:val="24"/>
          <w:szCs w:val="24"/>
          <w:lang w:val="es-ES_tradnl"/>
        </w:rPr>
      </w:pPr>
      <w:r w:rsidRPr="000D3432">
        <w:rPr>
          <w:rFonts w:cs="Arial"/>
          <w:b/>
          <w:i/>
          <w:sz w:val="24"/>
          <w:szCs w:val="24"/>
          <w:lang w:val="es-ES_tradnl"/>
        </w:rPr>
        <w:t>Pecuniaria.</w:t>
      </w:r>
      <w:r w:rsidRPr="000D3432">
        <w:rPr>
          <w:rFonts w:cs="Arial"/>
          <w:sz w:val="24"/>
          <w:szCs w:val="24"/>
          <w:lang w:val="es-ES_tradnl"/>
        </w:rPr>
        <w:t xml:space="preserve"> </w:t>
      </w:r>
    </w:p>
    <w:p w14:paraId="644BE071" w14:textId="77777777" w:rsidR="00FA0266" w:rsidRPr="000D3432" w:rsidRDefault="00FA0266" w:rsidP="00A95498">
      <w:pPr>
        <w:pStyle w:val="Prrafodelista"/>
        <w:spacing w:after="0" w:line="240" w:lineRule="auto"/>
        <w:ind w:left="1068"/>
        <w:contextualSpacing w:val="0"/>
        <w:jc w:val="both"/>
        <w:rPr>
          <w:rFonts w:cs="Arial"/>
          <w:sz w:val="24"/>
          <w:szCs w:val="24"/>
          <w:lang w:val="es-ES_tradnl"/>
        </w:rPr>
      </w:pPr>
      <w:r w:rsidRPr="000D3432">
        <w:rPr>
          <w:rFonts w:cs="Arial"/>
          <w:sz w:val="24"/>
          <w:szCs w:val="24"/>
          <w:lang w:val="es-ES_tradnl"/>
        </w:rPr>
        <w:t xml:space="preserve">Esta obligación tributaria es pecuniaria, es decir tiene como objeto el patrimonio, no necesariamente el dinero, sino la riqueza del sujeto pasivo. Así Ataliba escribe: “circunscríbese, por este adjetivo, el objeto de la obligación tributaria: para que se caracterice como tal, actualmente, es necesario que su objeto sea: </w:t>
      </w:r>
      <w:r w:rsidRPr="000D3432">
        <w:rPr>
          <w:rFonts w:cs="Arial"/>
          <w:i/>
          <w:sz w:val="24"/>
          <w:szCs w:val="24"/>
          <w:lang w:val="es-ES_tradnl"/>
        </w:rPr>
        <w:t>comportamiento del sujeto pasivo consistente en entregar dinero al sujeto activo.”</w:t>
      </w:r>
      <w:r w:rsidRPr="000D3432">
        <w:rPr>
          <w:rStyle w:val="Refdenotaalpie"/>
          <w:rFonts w:cs="Arial"/>
          <w:i/>
          <w:sz w:val="24"/>
          <w:szCs w:val="24"/>
          <w:lang w:val="es-ES_tradnl"/>
        </w:rPr>
        <w:footnoteReference w:id="465"/>
      </w:r>
      <w:r w:rsidRPr="000D3432">
        <w:rPr>
          <w:rFonts w:cs="Arial"/>
          <w:sz w:val="24"/>
          <w:szCs w:val="24"/>
          <w:lang w:val="es-ES_tradnl"/>
        </w:rPr>
        <w:t>. Como volvemos a repetir, ya no es una entrega de dinero, sino de riqueza, de parte de la riqueza del sujeto, o persona natural jurídica, al Estado, que es el sujeto activo. Se trata de aquello que representa un valor de cambio, y que pueda ser apreciado como medida de riqueza. Recordemos que antaño incluso el ganado era considerado como objeto de riqueza. El Pecus, por ejemplo, de donde deriva el concepto de peculado, era el ganado público. Como dijimos anteriormente, no se define este elemento como dinero, sino como aquel valor o medio de cambio que pueda constituir una medida de valor, un medida de la riqueza.</w:t>
      </w:r>
    </w:p>
    <w:p w14:paraId="4DEE4AE8" w14:textId="77777777" w:rsidR="00FA0266" w:rsidRPr="000D3432" w:rsidRDefault="00FA0266" w:rsidP="00A95498">
      <w:pPr>
        <w:jc w:val="both"/>
        <w:rPr>
          <w:rFonts w:asciiTheme="minorHAnsi" w:hAnsiTheme="minorHAnsi" w:cs="Arial"/>
          <w:szCs w:val="24"/>
          <w:lang w:val="es-ES_tradnl"/>
        </w:rPr>
      </w:pPr>
    </w:p>
    <w:p w14:paraId="49BC89C9" w14:textId="77777777" w:rsidR="00FA0266" w:rsidRPr="000D3432" w:rsidRDefault="00FA0266" w:rsidP="009E6E2E">
      <w:pPr>
        <w:pStyle w:val="Prrafodelista"/>
        <w:numPr>
          <w:ilvl w:val="0"/>
          <w:numId w:val="11"/>
        </w:numPr>
        <w:spacing w:after="0" w:line="240" w:lineRule="auto"/>
        <w:contextualSpacing w:val="0"/>
        <w:jc w:val="both"/>
        <w:outlineLvl w:val="3"/>
        <w:rPr>
          <w:rFonts w:cs="Arial"/>
          <w:i/>
          <w:sz w:val="24"/>
          <w:szCs w:val="24"/>
          <w:lang w:val="es-ES_tradnl"/>
        </w:rPr>
      </w:pPr>
      <w:r w:rsidRPr="000D3432">
        <w:rPr>
          <w:rFonts w:cs="Arial"/>
          <w:b/>
          <w:i/>
          <w:sz w:val="24"/>
          <w:szCs w:val="24"/>
          <w:lang w:val="es-ES_tradnl"/>
        </w:rPr>
        <w:t>Ex lege.</w:t>
      </w:r>
      <w:r w:rsidRPr="000D3432">
        <w:rPr>
          <w:rFonts w:cs="Arial"/>
          <w:i/>
          <w:sz w:val="24"/>
          <w:szCs w:val="24"/>
          <w:lang w:val="es-ES_tradnl"/>
        </w:rPr>
        <w:t xml:space="preserve"> </w:t>
      </w:r>
    </w:p>
    <w:p w14:paraId="60FEC640" w14:textId="77777777" w:rsidR="00FA0266" w:rsidRPr="000D3432" w:rsidRDefault="00FA0266" w:rsidP="00A95498">
      <w:pPr>
        <w:pStyle w:val="Prrafodelista"/>
        <w:spacing w:after="0" w:line="240" w:lineRule="auto"/>
        <w:ind w:left="1068"/>
        <w:contextualSpacing w:val="0"/>
        <w:jc w:val="both"/>
        <w:rPr>
          <w:rFonts w:cs="Arial"/>
          <w:sz w:val="24"/>
          <w:szCs w:val="24"/>
          <w:lang w:val="es-ES_tradnl"/>
        </w:rPr>
      </w:pPr>
      <w:r w:rsidRPr="000D3432">
        <w:rPr>
          <w:rFonts w:cs="Arial"/>
          <w:sz w:val="24"/>
          <w:szCs w:val="24"/>
          <w:lang w:val="es-ES_tradnl"/>
        </w:rPr>
        <w:t>Para que algo sea tributo es necesario e imprescindible que sea concebido dentro de una ley, por eso “la obligación tributaria nace de la voluntad de la ley, mediante el acaecimiento de un hecho (hecho imponible) descrito en ella. No nace, como las obligaciones voluntarias (</w:t>
      </w:r>
      <w:r w:rsidRPr="000D3432">
        <w:rPr>
          <w:rFonts w:cs="Arial"/>
          <w:i/>
          <w:sz w:val="24"/>
          <w:szCs w:val="24"/>
          <w:lang w:val="es-ES_tradnl"/>
        </w:rPr>
        <w:t>ex voluntate</w:t>
      </w:r>
      <w:r w:rsidRPr="000D3432">
        <w:rPr>
          <w:rFonts w:cs="Arial"/>
          <w:sz w:val="24"/>
          <w:szCs w:val="24"/>
          <w:lang w:val="es-ES_tradnl"/>
        </w:rPr>
        <w:t>), de la voluntad de las partes; puesto que ésta última es irrelevante para determinar el nacimiento de este vínculo obligacional.”</w:t>
      </w:r>
      <w:r w:rsidRPr="000D3432">
        <w:rPr>
          <w:rStyle w:val="Refdenotaalpie"/>
          <w:rFonts w:cs="Arial"/>
          <w:sz w:val="24"/>
          <w:szCs w:val="24"/>
          <w:lang w:val="es-ES_tradnl"/>
        </w:rPr>
        <w:footnoteReference w:id="466"/>
      </w:r>
      <w:r w:rsidRPr="000D3432">
        <w:rPr>
          <w:rFonts w:cs="Arial"/>
          <w:sz w:val="24"/>
          <w:szCs w:val="24"/>
          <w:lang w:val="es-ES_tradnl"/>
        </w:rPr>
        <w:t>. El tributo deberá, pues, seguir los mecanismos necesarios para que sea proclamada como ley. Este permite conseguir estabilidad y seguridad jurídica, frente a posibles abusos arbitrarios de los gobernantes; porque una ley no es norma sencilla de dar, sino que tiene que formularse mediante un mecanismo especial, después del cual recién puede ser ley. El principio que explica este elemento es el de legalidad o reserva de la ley.</w:t>
      </w:r>
    </w:p>
    <w:p w14:paraId="2908641C" w14:textId="77777777" w:rsidR="00FA0266" w:rsidRPr="000D3432" w:rsidRDefault="00FA0266" w:rsidP="00A95498">
      <w:pPr>
        <w:jc w:val="both"/>
        <w:rPr>
          <w:rFonts w:asciiTheme="minorHAnsi" w:hAnsiTheme="minorHAnsi" w:cs="Arial"/>
          <w:szCs w:val="24"/>
          <w:lang w:val="es-ES_tradnl"/>
        </w:rPr>
      </w:pPr>
    </w:p>
    <w:p w14:paraId="41F55E5D" w14:textId="77777777" w:rsidR="00FA0266" w:rsidRPr="000D3432" w:rsidRDefault="00FA0266" w:rsidP="009E6E2E">
      <w:pPr>
        <w:pStyle w:val="Prrafodelista"/>
        <w:numPr>
          <w:ilvl w:val="0"/>
          <w:numId w:val="11"/>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 xml:space="preserve">Que no constituye sanción de acto ilícito. </w:t>
      </w:r>
    </w:p>
    <w:p w14:paraId="7D31E79A" w14:textId="77777777" w:rsidR="00FA0266" w:rsidRPr="000D3432" w:rsidRDefault="00FA0266" w:rsidP="00A95498">
      <w:pPr>
        <w:pStyle w:val="Prrafodelista"/>
        <w:spacing w:after="0" w:line="240" w:lineRule="auto"/>
        <w:ind w:left="1068"/>
        <w:contextualSpacing w:val="0"/>
        <w:jc w:val="both"/>
        <w:rPr>
          <w:rFonts w:cs="Arial"/>
          <w:sz w:val="24"/>
          <w:szCs w:val="24"/>
          <w:lang w:val="es-ES_tradnl"/>
        </w:rPr>
      </w:pPr>
      <w:r w:rsidRPr="000D3432">
        <w:rPr>
          <w:rFonts w:cs="Arial"/>
          <w:sz w:val="24"/>
          <w:szCs w:val="24"/>
          <w:lang w:val="es-ES_tradnl"/>
        </w:rPr>
        <w:t xml:space="preserve">Ataliba aclara que no es lo mismo un tributo que una multa, por ejemplo. Un tributo no es nunca un acto ilícito, no es producto de una sanción por acto ilícito, sino una disposición normativa, que tiene su origen en la necesidad pública, etc.  Por eso Ataliba, para hacer claro el fenómeno tributario diferencia al tributo de otros tipos de actos, como la multa, por ejemplo, que no es tributo, sino un efecto de un </w:t>
      </w:r>
      <w:r w:rsidRPr="000D3432">
        <w:rPr>
          <w:rFonts w:cs="Arial"/>
          <w:sz w:val="24"/>
          <w:szCs w:val="24"/>
          <w:lang w:val="es-ES_tradnl"/>
        </w:rPr>
        <w:lastRenderedPageBreak/>
        <w:t>ilícito; porque “La multa se reconoce por caracterizarse como sanción por acto ilícito.”</w:t>
      </w:r>
      <w:r w:rsidRPr="000D3432">
        <w:rPr>
          <w:rStyle w:val="Refdenotaalpie"/>
          <w:rFonts w:cs="Arial"/>
          <w:sz w:val="24"/>
          <w:szCs w:val="24"/>
          <w:lang w:val="es-ES_tradnl"/>
        </w:rPr>
        <w:footnoteReference w:id="467"/>
      </w:r>
      <w:r w:rsidRPr="000D3432">
        <w:rPr>
          <w:rFonts w:cs="Arial"/>
          <w:sz w:val="24"/>
          <w:szCs w:val="24"/>
          <w:lang w:val="es-ES_tradnl"/>
        </w:rPr>
        <w:t>. Y el tributo no es el resultado de una irresponsabilidad, sino de una necesidad pública.</w:t>
      </w:r>
    </w:p>
    <w:p w14:paraId="7E8F0CA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 </w:t>
      </w:r>
    </w:p>
    <w:p w14:paraId="50E48F46" w14:textId="77777777" w:rsidR="00FA0266" w:rsidRPr="000D3432" w:rsidRDefault="00FA0266" w:rsidP="009E6E2E">
      <w:pPr>
        <w:pStyle w:val="Prrafodelista"/>
        <w:numPr>
          <w:ilvl w:val="0"/>
          <w:numId w:val="11"/>
        </w:numPr>
        <w:spacing w:after="0" w:line="240" w:lineRule="auto"/>
        <w:contextualSpacing w:val="0"/>
        <w:jc w:val="both"/>
        <w:outlineLvl w:val="3"/>
        <w:rPr>
          <w:rFonts w:cs="Arial"/>
          <w:sz w:val="24"/>
          <w:szCs w:val="24"/>
          <w:lang w:val="es-ES_tradnl"/>
        </w:rPr>
      </w:pPr>
      <w:r w:rsidRPr="000D3432">
        <w:rPr>
          <w:rFonts w:cs="Arial"/>
          <w:b/>
          <w:i/>
          <w:sz w:val="24"/>
          <w:szCs w:val="24"/>
          <w:lang w:val="es-ES_tradnl"/>
        </w:rPr>
        <w:t xml:space="preserve">Cuyo sujeto activo es en principio una persona pública. </w:t>
      </w:r>
      <w:r w:rsidRPr="000D3432">
        <w:rPr>
          <w:rFonts w:cs="Arial"/>
          <w:sz w:val="24"/>
          <w:szCs w:val="24"/>
          <w:lang w:val="es-ES_tradnl"/>
        </w:rPr>
        <w:t xml:space="preserve"> </w:t>
      </w:r>
    </w:p>
    <w:p w14:paraId="6B5943F9" w14:textId="77777777" w:rsidR="00FA0266" w:rsidRPr="000D3432" w:rsidRDefault="00FA0266" w:rsidP="00A95498">
      <w:pPr>
        <w:pStyle w:val="Prrafodelista"/>
        <w:spacing w:after="0" w:line="240" w:lineRule="auto"/>
        <w:ind w:left="1068"/>
        <w:contextualSpacing w:val="0"/>
        <w:jc w:val="both"/>
        <w:rPr>
          <w:rFonts w:cs="Arial"/>
          <w:sz w:val="24"/>
          <w:szCs w:val="24"/>
          <w:lang w:val="es-ES_tradnl"/>
        </w:rPr>
      </w:pPr>
      <w:r w:rsidRPr="000D3432">
        <w:rPr>
          <w:rFonts w:cs="Arial"/>
          <w:sz w:val="24"/>
          <w:szCs w:val="24"/>
          <w:lang w:val="es-ES_tradnl"/>
        </w:rPr>
        <w:t>El sujeto activo tiene que ser una persona pública, porque esta representa al Estado, y porque su existencia depende del interés público que nace de la necesidad pública. Aún así Ataliba escribe que excepcionalmente pueden ser los sujetos activos una persona privada  “siempre y cuando tengan finalidad de interés público”.</w:t>
      </w:r>
    </w:p>
    <w:p w14:paraId="5A91959A" w14:textId="77777777" w:rsidR="00FA0266" w:rsidRPr="000D3432" w:rsidRDefault="00FA0266" w:rsidP="00A95498">
      <w:pPr>
        <w:jc w:val="both"/>
        <w:rPr>
          <w:rFonts w:asciiTheme="minorHAnsi" w:hAnsiTheme="minorHAnsi" w:cs="Arial"/>
          <w:szCs w:val="24"/>
          <w:lang w:val="es-ES_tradnl"/>
        </w:rPr>
      </w:pPr>
    </w:p>
    <w:p w14:paraId="1E250F63" w14:textId="77777777" w:rsidR="00FA0266" w:rsidRPr="000D3432" w:rsidRDefault="00FA0266" w:rsidP="009E6E2E">
      <w:pPr>
        <w:pStyle w:val="Prrafodelista"/>
        <w:numPr>
          <w:ilvl w:val="0"/>
          <w:numId w:val="11"/>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 xml:space="preserve">Cuyo sujeto pasivo es una persona puesta en esta situación por la ley. </w:t>
      </w:r>
    </w:p>
    <w:p w14:paraId="0ECC05A9" w14:textId="77777777" w:rsidR="00FA0266" w:rsidRPr="000D3432" w:rsidRDefault="00FA0266" w:rsidP="00A95498">
      <w:pPr>
        <w:pStyle w:val="Prrafodelista"/>
        <w:spacing w:after="0" w:line="240" w:lineRule="auto"/>
        <w:ind w:left="1068"/>
        <w:contextualSpacing w:val="0"/>
        <w:jc w:val="both"/>
        <w:rPr>
          <w:rFonts w:cs="Arial"/>
          <w:sz w:val="24"/>
          <w:szCs w:val="24"/>
          <w:lang w:val="es-ES_tradnl"/>
        </w:rPr>
      </w:pPr>
      <w:r w:rsidRPr="000D3432">
        <w:rPr>
          <w:rFonts w:cs="Arial"/>
          <w:sz w:val="24"/>
          <w:szCs w:val="24"/>
          <w:lang w:val="es-ES_tradnl"/>
        </w:rPr>
        <w:t>Ataliba arguye aquí la existencia de un sujeto pasivo, puesta en esta condición por la ley, cuando realiza un tipo de hecho imponible. La ley sólo establece una incidencia de hipótesis tributaria, y el sujeto pasivo realiza el hecho imponible. Las personas pasivas son aquellas personas –naturales o jurídicas- , así “la ley designa el sujeto pasivo. Generalmente son las personas privadas las colocadas en la posición de sujeto pasivo. Tratándose de impuestos, las personas públicas no pueden ser sujeto pasivo, debido  al principio constitucional de la inmunidad tributaria. Pero en lo que se refiere a los tributos vinculados, nada impide que también las personas públicas sean contribuyentes de ellos.”</w:t>
      </w:r>
      <w:r w:rsidRPr="000D3432">
        <w:rPr>
          <w:rStyle w:val="Refdenotaalpie"/>
          <w:rFonts w:cs="Arial"/>
          <w:sz w:val="24"/>
          <w:szCs w:val="24"/>
          <w:lang w:val="es-ES_tradnl"/>
        </w:rPr>
        <w:footnoteReference w:id="468"/>
      </w:r>
    </w:p>
    <w:p w14:paraId="4401DCD1" w14:textId="77777777" w:rsidR="00FA0266" w:rsidRPr="000D3432" w:rsidRDefault="00FA0266" w:rsidP="00A95498">
      <w:pPr>
        <w:jc w:val="both"/>
        <w:rPr>
          <w:rFonts w:asciiTheme="minorHAnsi" w:hAnsiTheme="minorHAnsi" w:cs="Arial"/>
          <w:szCs w:val="24"/>
          <w:lang w:val="es-ES_tradnl"/>
        </w:rPr>
      </w:pPr>
    </w:p>
    <w:p w14:paraId="16810F27" w14:textId="77777777" w:rsidR="00FA0266" w:rsidRPr="000D3432" w:rsidRDefault="00FA0266" w:rsidP="00A95498">
      <w:pPr>
        <w:pStyle w:val="Ttulo3"/>
        <w:rPr>
          <w:rFonts w:asciiTheme="minorHAnsi" w:hAnsiTheme="minorHAnsi" w:cs="Arial"/>
          <w:sz w:val="24"/>
          <w:szCs w:val="24"/>
        </w:rPr>
      </w:pPr>
      <w:bookmarkStart w:id="76" w:name="_Toc318102890"/>
      <w:r w:rsidRPr="000D3432">
        <w:rPr>
          <w:rFonts w:asciiTheme="minorHAnsi" w:hAnsiTheme="minorHAnsi" w:cs="Arial"/>
          <w:sz w:val="24"/>
          <w:szCs w:val="24"/>
        </w:rPr>
        <w:t>B) ELEMENTOS DEL TRIBUTO SEGÚN RUBIO Y BERNALES</w:t>
      </w:r>
      <w:bookmarkEnd w:id="76"/>
    </w:p>
    <w:p w14:paraId="702EFABF" w14:textId="77777777" w:rsidR="00FA0266" w:rsidRPr="000D3432" w:rsidRDefault="00FA0266" w:rsidP="00A95498">
      <w:pPr>
        <w:jc w:val="both"/>
        <w:rPr>
          <w:rFonts w:asciiTheme="minorHAnsi" w:hAnsiTheme="minorHAnsi" w:cs="Arial"/>
          <w:szCs w:val="24"/>
          <w:lang w:val="es-ES_tradnl"/>
        </w:rPr>
      </w:pPr>
    </w:p>
    <w:p w14:paraId="5556585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Para Marcial Rubio y Enrique Bernales los elementos del tributo son:</w:t>
      </w:r>
    </w:p>
    <w:p w14:paraId="6C87CB42" w14:textId="77777777" w:rsidR="00FA0266" w:rsidRPr="000D3432" w:rsidRDefault="00FA0266" w:rsidP="00A95498">
      <w:pPr>
        <w:jc w:val="both"/>
        <w:rPr>
          <w:rFonts w:asciiTheme="minorHAnsi" w:hAnsiTheme="minorHAnsi" w:cs="Arial"/>
          <w:szCs w:val="24"/>
          <w:lang w:val="es-ES_tradnl"/>
        </w:rPr>
      </w:pPr>
    </w:p>
    <w:p w14:paraId="308D9206" w14:textId="77777777" w:rsidR="00FA0266" w:rsidRPr="000D3432" w:rsidRDefault="00FA0266" w:rsidP="009E6E2E">
      <w:pPr>
        <w:pStyle w:val="Prrafodelista"/>
        <w:numPr>
          <w:ilvl w:val="0"/>
          <w:numId w:val="12"/>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 xml:space="preserve">Hecho Imponible. </w:t>
      </w:r>
    </w:p>
    <w:p w14:paraId="4227AB26" w14:textId="77777777" w:rsidR="00FA0266" w:rsidRPr="000D3432" w:rsidRDefault="00FA0266" w:rsidP="00A95498">
      <w:pPr>
        <w:pStyle w:val="Prrafodelista"/>
        <w:spacing w:after="0" w:line="240" w:lineRule="auto"/>
        <w:contextualSpacing w:val="0"/>
        <w:jc w:val="both"/>
        <w:rPr>
          <w:rFonts w:cs="Arial"/>
          <w:sz w:val="24"/>
          <w:szCs w:val="24"/>
          <w:lang w:val="es-ES_tradnl"/>
        </w:rPr>
      </w:pPr>
      <w:r w:rsidRPr="000D3432">
        <w:rPr>
          <w:rFonts w:cs="Arial"/>
          <w:sz w:val="24"/>
          <w:szCs w:val="24"/>
          <w:lang w:val="es-ES_tradnl"/>
        </w:rPr>
        <w:t>Es “el hecho, materia, situación, beneficio económico, patrimonio, etc., sobre el cual recae el impuesto.”</w:t>
      </w:r>
      <w:r w:rsidRPr="000D3432">
        <w:rPr>
          <w:rStyle w:val="Refdenotaalpie"/>
          <w:rFonts w:cs="Arial"/>
          <w:sz w:val="24"/>
          <w:szCs w:val="24"/>
          <w:lang w:val="es-ES_tradnl"/>
        </w:rPr>
        <w:footnoteReference w:id="469"/>
      </w:r>
      <w:r w:rsidRPr="000D3432">
        <w:rPr>
          <w:rFonts w:cs="Arial"/>
          <w:sz w:val="24"/>
          <w:szCs w:val="24"/>
          <w:lang w:val="es-ES_tradnl"/>
        </w:rPr>
        <w:t>. Este hecho es la base de la imputación tributaria. De este hecho se derivan efectos jurídicos, independientes de la voluntad de los obligados –afirma Ataliba-. No hay obligación tributaria sólo por ley, sino es necesario un hecho imponible, un vínculo de la persona con este hecho imponible: una relación jurídico-tributaria; es decir un fenómeno que tenga su origen en los gastos sociales. Lo que grava el Derecho Tributario, a través del hecho imponible, es la riqueza y/o su circulación. Por lo mismo, el hecho imponible es aquel que es materia del impuesto; y es diferente el hecho imponible “renta”, del hecho imponible “riqueza”</w:t>
      </w:r>
      <w:r w:rsidRPr="000D3432">
        <w:rPr>
          <w:rStyle w:val="Refdenotaalpie"/>
          <w:rFonts w:cs="Arial"/>
          <w:sz w:val="24"/>
          <w:szCs w:val="24"/>
          <w:lang w:val="es-ES_tradnl"/>
        </w:rPr>
        <w:footnoteReference w:id="470"/>
      </w:r>
      <w:r w:rsidRPr="000D3432">
        <w:rPr>
          <w:rFonts w:cs="Arial"/>
          <w:sz w:val="24"/>
          <w:szCs w:val="24"/>
          <w:lang w:val="es-ES_tradnl"/>
        </w:rPr>
        <w:t xml:space="preserve">, aclara Rubio. El </w:t>
      </w:r>
      <w:r w:rsidRPr="000D3432">
        <w:rPr>
          <w:rFonts w:cs="Arial"/>
          <w:sz w:val="24"/>
          <w:szCs w:val="24"/>
          <w:lang w:val="es-ES_tradnl"/>
        </w:rPr>
        <w:lastRenderedPageBreak/>
        <w:t>hecho imponible no responde al acto o hecho en sí, sino que deriva de aquel acto económico que se exterioriza como circulación de la riqueza; por eso el hecho imponible es un hecho jurígeno y no un acto jurídico. Su concreción no está en el mismo hecho, sino en los efectos de este hecho –nos dice Ataliba. El “Hecho imponible es, como se ha visto, aquel hecho concreto del mundo fenoménico que es calificado por el derecho como apto para determinar el nacimiento de la obligación tributaria –hecho jurígeno, por lo tanto. Esta calificación proviene de la ley.”</w:t>
      </w:r>
      <w:r w:rsidRPr="000D3432">
        <w:rPr>
          <w:rStyle w:val="Refdenotaalpie"/>
          <w:rFonts w:cs="Arial"/>
          <w:sz w:val="24"/>
          <w:szCs w:val="24"/>
          <w:lang w:val="es-ES_tradnl"/>
        </w:rPr>
        <w:t xml:space="preserve"> </w:t>
      </w:r>
      <w:r w:rsidRPr="000D3432">
        <w:rPr>
          <w:rStyle w:val="Refdenotaalpie"/>
          <w:rFonts w:cs="Arial"/>
          <w:sz w:val="24"/>
          <w:szCs w:val="24"/>
          <w:lang w:val="es-ES_tradnl"/>
        </w:rPr>
        <w:footnoteReference w:id="471"/>
      </w:r>
    </w:p>
    <w:p w14:paraId="06DDA8C6" w14:textId="77777777" w:rsidR="00FA0266" w:rsidRPr="000D3432" w:rsidRDefault="00FA0266" w:rsidP="00A95498">
      <w:pPr>
        <w:jc w:val="both"/>
        <w:rPr>
          <w:rFonts w:asciiTheme="minorHAnsi" w:hAnsiTheme="minorHAnsi" w:cs="Arial"/>
          <w:szCs w:val="24"/>
          <w:lang w:val="es-ES_tradnl"/>
        </w:rPr>
      </w:pPr>
    </w:p>
    <w:p w14:paraId="00A070DA" w14:textId="77777777" w:rsidR="00FA0266" w:rsidRPr="000D3432" w:rsidRDefault="00FA0266" w:rsidP="009E6E2E">
      <w:pPr>
        <w:pStyle w:val="Prrafodelista"/>
        <w:numPr>
          <w:ilvl w:val="0"/>
          <w:numId w:val="12"/>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 xml:space="preserve">Sujeto pasivo. </w:t>
      </w:r>
    </w:p>
    <w:p w14:paraId="26160229" w14:textId="77777777" w:rsidR="00FA0266" w:rsidRPr="000D3432" w:rsidRDefault="00FA0266" w:rsidP="00A95498">
      <w:pPr>
        <w:pStyle w:val="Prrafodelista"/>
        <w:spacing w:after="0" w:line="240" w:lineRule="auto"/>
        <w:contextualSpacing w:val="0"/>
        <w:jc w:val="both"/>
        <w:rPr>
          <w:rFonts w:cs="Arial"/>
          <w:sz w:val="24"/>
          <w:szCs w:val="24"/>
          <w:lang w:val="es-ES_tradnl"/>
        </w:rPr>
      </w:pPr>
      <w:r w:rsidRPr="000D3432">
        <w:rPr>
          <w:rFonts w:cs="Arial"/>
          <w:sz w:val="24"/>
          <w:szCs w:val="24"/>
          <w:lang w:val="es-ES_tradnl"/>
        </w:rPr>
        <w:t>Es el contribuyente, en el que recae la obligación de hacer el pago, o la prestación.  “Es la persona natural o jurídica que queda obligada al pago del tributo.”</w:t>
      </w:r>
      <w:r w:rsidRPr="000D3432">
        <w:rPr>
          <w:rStyle w:val="Refdenotaalpie"/>
          <w:rFonts w:cs="Arial"/>
          <w:sz w:val="24"/>
          <w:szCs w:val="24"/>
          <w:lang w:val="es-ES_tradnl"/>
        </w:rPr>
        <w:footnoteReference w:id="472"/>
      </w:r>
      <w:r w:rsidRPr="000D3432">
        <w:rPr>
          <w:rFonts w:cs="Arial"/>
          <w:sz w:val="24"/>
          <w:szCs w:val="24"/>
          <w:lang w:val="es-ES_tradnl"/>
        </w:rPr>
        <w:t xml:space="preserve">. Este sujeto está determinado por ley. Es sumamente importante determinar quién es el sujeto pasivo, porque este es el que efectuará el pago del tributo. Por ejemplo “en el campo laboral, el empleador paga el tributo para el seguro social, esta es además una contribución. Aquí el sujeto pasivo es el empleador y no el trabajador”. </w:t>
      </w:r>
    </w:p>
    <w:p w14:paraId="355DA3C1" w14:textId="77777777" w:rsidR="00FA0266" w:rsidRPr="000D3432" w:rsidRDefault="00FA0266" w:rsidP="00A95498">
      <w:pPr>
        <w:jc w:val="both"/>
        <w:rPr>
          <w:rFonts w:asciiTheme="minorHAnsi" w:hAnsiTheme="minorHAnsi" w:cs="Arial"/>
          <w:szCs w:val="24"/>
          <w:lang w:val="es-ES_tradnl"/>
        </w:rPr>
      </w:pPr>
    </w:p>
    <w:p w14:paraId="646005AE" w14:textId="77777777" w:rsidR="00FA0266" w:rsidRPr="000D3432" w:rsidRDefault="00FA0266" w:rsidP="009E6E2E">
      <w:pPr>
        <w:pStyle w:val="Prrafodelista"/>
        <w:numPr>
          <w:ilvl w:val="0"/>
          <w:numId w:val="12"/>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Los criterios de atribución del hecho imponible a una persona determinada</w:t>
      </w:r>
      <w:r w:rsidRPr="000D3432">
        <w:rPr>
          <w:rStyle w:val="Refdenotaalpie"/>
          <w:rFonts w:cs="Arial"/>
          <w:sz w:val="24"/>
          <w:szCs w:val="24"/>
          <w:lang w:val="es-ES_tradnl"/>
        </w:rPr>
        <w:footnoteReference w:id="473"/>
      </w:r>
      <w:r w:rsidRPr="000D3432">
        <w:rPr>
          <w:rFonts w:cs="Arial"/>
          <w:b/>
          <w:i/>
          <w:sz w:val="24"/>
          <w:szCs w:val="24"/>
          <w:lang w:val="es-ES_tradnl"/>
        </w:rPr>
        <w:t>.</w:t>
      </w:r>
    </w:p>
    <w:p w14:paraId="52C6CF3F" w14:textId="77777777" w:rsidR="00FA0266" w:rsidRPr="000D3432" w:rsidRDefault="00FA0266" w:rsidP="00A95498">
      <w:pPr>
        <w:pStyle w:val="Prrafodelista"/>
        <w:spacing w:after="0" w:line="240" w:lineRule="auto"/>
        <w:contextualSpacing w:val="0"/>
        <w:jc w:val="both"/>
        <w:rPr>
          <w:rFonts w:cs="Arial"/>
          <w:sz w:val="24"/>
          <w:szCs w:val="24"/>
          <w:lang w:val="es-ES_tradnl"/>
        </w:rPr>
      </w:pPr>
      <w:r w:rsidRPr="000D3432">
        <w:rPr>
          <w:rFonts w:cs="Arial"/>
          <w:i/>
          <w:sz w:val="24"/>
          <w:szCs w:val="24"/>
          <w:lang w:val="es-ES_tradnl"/>
        </w:rPr>
        <w:t xml:space="preserve"> Rubio</w:t>
      </w:r>
      <w:r w:rsidRPr="000D3432">
        <w:rPr>
          <w:rFonts w:cs="Arial"/>
          <w:sz w:val="24"/>
          <w:szCs w:val="24"/>
          <w:lang w:val="es-ES_tradnl"/>
        </w:rPr>
        <w:t xml:space="preserve"> explica que por medio de esta se determina el hecho imponible al sujeto pasivo, como por ejemplo en el impuesto a la renta,  cuándo se percibió la renta o estuvo a disposición. Hay que aclarar también que un hecho imponible es diferente a la ley que determina este hecho, y a la cual Ataliba denomina hipótesis de incidencia tributaria. Así, la ley describe el hecho imponible pero no es el hecho imponible sino hipótesis. Quien propone los criterios, sin embargo, es la Ley.</w:t>
      </w:r>
    </w:p>
    <w:p w14:paraId="30097CC1" w14:textId="77777777" w:rsidR="00FA0266" w:rsidRPr="000D3432" w:rsidRDefault="00FA0266" w:rsidP="00A95498">
      <w:pPr>
        <w:jc w:val="both"/>
        <w:rPr>
          <w:rFonts w:asciiTheme="minorHAnsi" w:hAnsiTheme="minorHAnsi" w:cs="Arial"/>
          <w:szCs w:val="24"/>
          <w:lang w:val="es-ES_tradnl"/>
        </w:rPr>
      </w:pPr>
    </w:p>
    <w:p w14:paraId="7703BBEC" w14:textId="77777777" w:rsidR="00FA0266" w:rsidRPr="000D3432" w:rsidRDefault="00FA0266" w:rsidP="009E6E2E">
      <w:pPr>
        <w:pStyle w:val="Prrafodelista"/>
        <w:numPr>
          <w:ilvl w:val="0"/>
          <w:numId w:val="12"/>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 xml:space="preserve">Los criterios de vinculación entre el contribuyente y el sujeto activo. </w:t>
      </w:r>
    </w:p>
    <w:p w14:paraId="654D3555" w14:textId="77777777" w:rsidR="00FA0266" w:rsidRPr="000D3432" w:rsidRDefault="00FA0266" w:rsidP="00A95498">
      <w:pPr>
        <w:pStyle w:val="Prrafodelista"/>
        <w:spacing w:after="0" w:line="240" w:lineRule="auto"/>
        <w:contextualSpacing w:val="0"/>
        <w:jc w:val="both"/>
        <w:rPr>
          <w:rFonts w:cs="Arial"/>
          <w:sz w:val="24"/>
          <w:szCs w:val="24"/>
          <w:lang w:val="es-ES_tradnl"/>
        </w:rPr>
      </w:pPr>
      <w:r w:rsidRPr="000D3432">
        <w:rPr>
          <w:rFonts w:cs="Arial"/>
          <w:sz w:val="24"/>
          <w:szCs w:val="24"/>
          <w:lang w:val="es-ES_tradnl"/>
        </w:rPr>
        <w:t>Rubio explica: “Por ejemplo, el impuesto al patrimonio predial podría aplicarse ‘a los peruanos’ o ‘a los bienes inmuebles que están dentro del territorio de la República’. En el primer caso, cada peruano, tendría que pagar impuesto por todos los predios de que sea propietario, estén en el Perú o fuera, en tanto que un extranjero que tiene predios en el Perú no pagaría el impuesto. En el segundo caso, los peruanos y extranjeros pagan el impuesto indistintamente pero sólo los predios de que sean propietarios en el Perú.”</w:t>
      </w:r>
      <w:r w:rsidRPr="000D3432">
        <w:rPr>
          <w:rStyle w:val="Refdenotaalpie"/>
          <w:rFonts w:cs="Arial"/>
          <w:sz w:val="24"/>
          <w:szCs w:val="24"/>
          <w:lang w:val="es-ES_tradnl"/>
        </w:rPr>
        <w:footnoteReference w:id="474"/>
      </w:r>
      <w:r w:rsidRPr="000D3432">
        <w:rPr>
          <w:rFonts w:cs="Arial"/>
          <w:sz w:val="24"/>
          <w:szCs w:val="24"/>
          <w:lang w:val="es-ES_tradnl"/>
        </w:rPr>
        <w:t xml:space="preserve">. Esta es la determinación de la relación o el </w:t>
      </w:r>
      <w:r w:rsidRPr="000D3432">
        <w:rPr>
          <w:rFonts w:cs="Arial"/>
          <w:sz w:val="24"/>
          <w:szCs w:val="24"/>
          <w:lang w:val="es-ES_tradnl"/>
        </w:rPr>
        <w:lastRenderedPageBreak/>
        <w:t>vínculo que origina el tributo y hacia quienes está orientado. Relación entre sujeto activo, sujeto pasivo y nexo u obligación tributaria a través del hecho imponible.</w:t>
      </w:r>
    </w:p>
    <w:p w14:paraId="5E03ED98" w14:textId="77777777" w:rsidR="00FA0266" w:rsidRPr="000D3432" w:rsidRDefault="00FA0266" w:rsidP="00A95498">
      <w:pPr>
        <w:jc w:val="both"/>
        <w:rPr>
          <w:rFonts w:asciiTheme="minorHAnsi" w:hAnsiTheme="minorHAnsi" w:cs="Arial"/>
          <w:szCs w:val="24"/>
          <w:lang w:val="es-ES_tradnl"/>
        </w:rPr>
      </w:pPr>
    </w:p>
    <w:p w14:paraId="57BED9C0" w14:textId="77777777" w:rsidR="00FA0266" w:rsidRPr="000D3432" w:rsidRDefault="00FA0266" w:rsidP="009E6E2E">
      <w:pPr>
        <w:pStyle w:val="Prrafodelista"/>
        <w:widowControl w:val="0"/>
        <w:numPr>
          <w:ilvl w:val="0"/>
          <w:numId w:val="12"/>
        </w:numPr>
        <w:spacing w:after="0" w:line="240" w:lineRule="auto"/>
        <w:contextualSpacing w:val="0"/>
        <w:jc w:val="both"/>
        <w:outlineLvl w:val="3"/>
        <w:rPr>
          <w:rFonts w:cs="Arial"/>
          <w:sz w:val="24"/>
          <w:szCs w:val="24"/>
          <w:lang w:val="es-ES_tradnl"/>
        </w:rPr>
      </w:pPr>
      <w:r w:rsidRPr="000D3432">
        <w:rPr>
          <w:rFonts w:cs="Arial"/>
          <w:b/>
          <w:i/>
          <w:sz w:val="24"/>
          <w:szCs w:val="24"/>
          <w:lang w:val="es-ES_tradnl"/>
        </w:rPr>
        <w:t xml:space="preserve">La magnitud del tributo: </w:t>
      </w:r>
      <w:r w:rsidRPr="000D3432">
        <w:rPr>
          <w:rFonts w:cs="Arial"/>
          <w:sz w:val="24"/>
          <w:szCs w:val="24"/>
          <w:lang w:val="es-ES_tradnl"/>
        </w:rPr>
        <w:t xml:space="preserve"> </w:t>
      </w:r>
    </w:p>
    <w:p w14:paraId="4FB48C6A" w14:textId="77777777" w:rsidR="00FA0266" w:rsidRPr="000D3432" w:rsidRDefault="00FA0266" w:rsidP="00A95498">
      <w:pPr>
        <w:pStyle w:val="Prrafodelista"/>
        <w:widowControl w:val="0"/>
        <w:spacing w:after="0" w:line="240" w:lineRule="auto"/>
        <w:contextualSpacing w:val="0"/>
        <w:jc w:val="both"/>
        <w:rPr>
          <w:rFonts w:cs="Arial"/>
          <w:sz w:val="24"/>
          <w:szCs w:val="24"/>
          <w:lang w:val="es-ES_tradnl"/>
        </w:rPr>
      </w:pPr>
      <w:r w:rsidRPr="000D3432">
        <w:rPr>
          <w:rFonts w:cs="Arial"/>
          <w:sz w:val="24"/>
          <w:szCs w:val="24"/>
          <w:lang w:val="es-ES_tradnl"/>
        </w:rPr>
        <w:t>Se refiere al monto a pagar sobre la materia imponible -dice Rubio. Hay que aclarar sin embargo, si la materia imponible es igual que el hecho imponible.</w:t>
      </w:r>
    </w:p>
    <w:p w14:paraId="5C7BAD66" w14:textId="77777777" w:rsidR="00FA0266" w:rsidRPr="000D3432" w:rsidRDefault="00FA0266" w:rsidP="00A95498">
      <w:pPr>
        <w:jc w:val="both"/>
        <w:rPr>
          <w:rFonts w:asciiTheme="minorHAnsi" w:hAnsiTheme="minorHAnsi" w:cs="Arial"/>
          <w:szCs w:val="24"/>
          <w:lang w:val="es-ES_tradnl"/>
        </w:rPr>
      </w:pPr>
    </w:p>
    <w:p w14:paraId="0FB81BAB" w14:textId="77777777" w:rsidR="00FA0266" w:rsidRPr="000D3432" w:rsidRDefault="00FA0266" w:rsidP="009E6E2E">
      <w:pPr>
        <w:pStyle w:val="Prrafodelista"/>
        <w:widowControl w:val="0"/>
        <w:numPr>
          <w:ilvl w:val="0"/>
          <w:numId w:val="12"/>
        </w:numPr>
        <w:spacing w:after="0" w:line="240" w:lineRule="auto"/>
        <w:contextualSpacing w:val="0"/>
        <w:jc w:val="both"/>
        <w:outlineLvl w:val="3"/>
        <w:rPr>
          <w:rFonts w:cs="Arial"/>
          <w:b/>
          <w:i/>
          <w:sz w:val="24"/>
          <w:szCs w:val="24"/>
          <w:lang w:val="es-ES_tradnl"/>
        </w:rPr>
      </w:pPr>
      <w:r w:rsidRPr="000D3432">
        <w:rPr>
          <w:rFonts w:cs="Arial"/>
          <w:b/>
          <w:i/>
          <w:sz w:val="24"/>
          <w:szCs w:val="24"/>
          <w:lang w:val="es-ES_tradnl"/>
        </w:rPr>
        <w:t>Las exenciones y las exoneraciones:</w:t>
      </w:r>
    </w:p>
    <w:p w14:paraId="250A1B08" w14:textId="77777777" w:rsidR="00FA0266" w:rsidRPr="000D3432" w:rsidRDefault="00FA0266" w:rsidP="00A95498">
      <w:pPr>
        <w:pStyle w:val="Prrafodelista"/>
        <w:widowControl w:val="0"/>
        <w:spacing w:after="0" w:line="240" w:lineRule="auto"/>
        <w:contextualSpacing w:val="0"/>
        <w:jc w:val="both"/>
        <w:rPr>
          <w:rFonts w:cs="Arial"/>
          <w:sz w:val="24"/>
          <w:szCs w:val="24"/>
          <w:lang w:val="es-ES_tradnl"/>
        </w:rPr>
      </w:pPr>
      <w:r w:rsidRPr="000D3432">
        <w:rPr>
          <w:rFonts w:cs="Arial"/>
          <w:b/>
          <w:i/>
          <w:sz w:val="24"/>
          <w:szCs w:val="24"/>
          <w:lang w:val="es-ES_tradnl"/>
        </w:rPr>
        <w:t xml:space="preserve"> </w:t>
      </w:r>
      <w:r w:rsidRPr="000D3432">
        <w:rPr>
          <w:rFonts w:cs="Arial"/>
          <w:sz w:val="24"/>
          <w:szCs w:val="24"/>
          <w:lang w:val="es-ES_tradnl"/>
        </w:rPr>
        <w:t>Que son los actos mediante los cuales el contribuyente puede verse librado del pago de los tributos.</w:t>
      </w:r>
    </w:p>
    <w:p w14:paraId="0FBBC652" w14:textId="77777777" w:rsidR="00FA0266" w:rsidRPr="000D3432" w:rsidRDefault="00FA0266" w:rsidP="00A95498">
      <w:pPr>
        <w:jc w:val="both"/>
        <w:rPr>
          <w:rFonts w:asciiTheme="minorHAnsi" w:hAnsiTheme="minorHAnsi" w:cs="Arial"/>
          <w:szCs w:val="24"/>
          <w:lang w:val="es-ES_tradnl"/>
        </w:rPr>
      </w:pPr>
    </w:p>
    <w:p w14:paraId="31B3E50C" w14:textId="77777777" w:rsidR="00FA0266" w:rsidRPr="000D3432" w:rsidRDefault="00FA0266" w:rsidP="00A95498">
      <w:pPr>
        <w:jc w:val="both"/>
        <w:rPr>
          <w:rFonts w:asciiTheme="minorHAnsi" w:hAnsiTheme="minorHAnsi" w:cs="Arial"/>
          <w:szCs w:val="24"/>
          <w:lang w:val="es-ES_tradnl"/>
        </w:rPr>
      </w:pPr>
    </w:p>
    <w:p w14:paraId="5D66CC1C" w14:textId="77777777" w:rsidR="00FA0266" w:rsidRPr="000D3432" w:rsidRDefault="00FA0266" w:rsidP="00A95498">
      <w:pPr>
        <w:pStyle w:val="Ttulo3"/>
        <w:rPr>
          <w:rFonts w:asciiTheme="minorHAnsi" w:hAnsiTheme="minorHAnsi" w:cs="Arial"/>
          <w:sz w:val="24"/>
          <w:szCs w:val="24"/>
        </w:rPr>
      </w:pPr>
      <w:bookmarkStart w:id="77" w:name="_Toc318102891"/>
      <w:r w:rsidRPr="000D3432">
        <w:rPr>
          <w:rFonts w:asciiTheme="minorHAnsi" w:hAnsiTheme="minorHAnsi" w:cs="Arial"/>
          <w:sz w:val="24"/>
          <w:szCs w:val="24"/>
        </w:rPr>
        <w:t xml:space="preserve">6.- </w:t>
      </w:r>
      <w:r w:rsidRPr="000D3432">
        <w:rPr>
          <w:rFonts w:asciiTheme="minorHAnsi" w:hAnsiTheme="minorHAnsi" w:cs="Arial"/>
          <w:smallCaps/>
          <w:sz w:val="24"/>
          <w:szCs w:val="24"/>
        </w:rPr>
        <w:t>Clasificación de los Tributos</w:t>
      </w:r>
      <w:bookmarkEnd w:id="77"/>
    </w:p>
    <w:p w14:paraId="4BB12457" w14:textId="77777777" w:rsidR="00FA0266" w:rsidRPr="000D3432" w:rsidRDefault="00FA0266" w:rsidP="00A95498">
      <w:pPr>
        <w:jc w:val="both"/>
        <w:rPr>
          <w:rFonts w:asciiTheme="minorHAnsi" w:hAnsiTheme="minorHAnsi" w:cs="Arial"/>
          <w:szCs w:val="24"/>
          <w:lang w:val="es-ES_tradnl"/>
        </w:rPr>
      </w:pPr>
    </w:p>
    <w:p w14:paraId="65CBF319"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La doctrina ha clasificado los Tributos de diversas formas, pero la clásica, la más aceptada, es la que integra tres conceptos dentro de los tributos: impuestos, tasas y contribuciones. </w:t>
      </w:r>
    </w:p>
    <w:p w14:paraId="5C39E996" w14:textId="77777777" w:rsidR="00FA0266" w:rsidRPr="000D3432" w:rsidRDefault="00FA0266" w:rsidP="00A95498">
      <w:pPr>
        <w:jc w:val="both"/>
        <w:rPr>
          <w:rFonts w:asciiTheme="minorHAnsi" w:hAnsiTheme="minorHAnsi" w:cs="Arial"/>
          <w:szCs w:val="24"/>
          <w:lang w:val="es-ES_tradnl"/>
        </w:rPr>
      </w:pPr>
    </w:p>
    <w:p w14:paraId="34C301B9" w14:textId="77777777" w:rsidR="00FA0266" w:rsidRPr="000D3432" w:rsidRDefault="00FA0266" w:rsidP="00A95498">
      <w:pPr>
        <w:pStyle w:val="Ttulo4"/>
        <w:rPr>
          <w:rFonts w:asciiTheme="minorHAnsi" w:hAnsiTheme="minorHAnsi" w:cs="Arial"/>
          <w:lang w:val="es-ES_tradnl"/>
        </w:rPr>
      </w:pPr>
      <w:r w:rsidRPr="000D3432">
        <w:rPr>
          <w:rFonts w:asciiTheme="minorHAnsi" w:hAnsiTheme="minorHAnsi" w:cs="Arial"/>
          <w:lang w:val="es-ES_tradnl"/>
        </w:rPr>
        <w:t>A) IMPUESTOS:</w:t>
      </w:r>
    </w:p>
    <w:p w14:paraId="3825F511" w14:textId="77777777" w:rsidR="00FA0266" w:rsidRPr="000D3432" w:rsidRDefault="00FA0266" w:rsidP="00A95498">
      <w:pPr>
        <w:jc w:val="both"/>
        <w:rPr>
          <w:rFonts w:asciiTheme="minorHAnsi" w:hAnsiTheme="minorHAnsi" w:cs="Arial"/>
          <w:szCs w:val="24"/>
          <w:lang w:val="es-ES_tradnl"/>
        </w:rPr>
      </w:pPr>
    </w:p>
    <w:p w14:paraId="2337655E"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Los impuestos han sido definidos explícitamente por Marcial Rubio Correa y Enrique Bernales de la siguiente manera: “El impuesto es el tributo general; se impone sobre determinados hechos, actividades, patrimonios, rentas, etc., y su recaudación está destinada a la caja fiscal o, eventualmente, a sufragar los gastos generales de determinados organismos del Estado (por ejemplo las Municipalidades, ...).”</w:t>
      </w:r>
      <w:r w:rsidRPr="000D3432">
        <w:rPr>
          <w:rStyle w:val="Refdenotaalpie"/>
          <w:rFonts w:asciiTheme="minorHAnsi" w:hAnsiTheme="minorHAnsi" w:cs="Arial"/>
          <w:sz w:val="24"/>
          <w:szCs w:val="24"/>
          <w:lang w:val="es-ES_tradnl"/>
        </w:rPr>
        <w:footnoteReference w:id="475"/>
      </w:r>
      <w:r w:rsidRPr="000D3432">
        <w:rPr>
          <w:rFonts w:asciiTheme="minorHAnsi" w:hAnsiTheme="minorHAnsi" w:cs="Arial"/>
          <w:szCs w:val="24"/>
          <w:lang w:val="es-ES_tradnl"/>
        </w:rPr>
        <w:t>. La generalidad del tributo consiste en que no se da para una persona específica, sino para un “tipo” de persona que está dentro de una categoría general, es decir, se toma en cuenta a la persona como género, y no como especie, en su condición económica. Esto permite que exista límites a la acción del Estado. Puesto que una norma no puede ir en contra o a favor de un individuo, sino como normatividad de la conducta de la persona, como representación o ente ideal de imputación de derechos y deberes. El tributo es a la actividad, renta, patrimonio de la persona, y no a su cualidad de individuo. El ser humano, para efectos tributarios, es tomado como objeto, y su afectación, la afectación a su patrimonio, está también concebida por generalización, es decir, olvidando su individualidad y trabajando con él como objeto, como generalidad. Por eso el impuesto “es el tributo cuyo cumplimiento no origina una contraprestación directa del contribuyente por parte de Estado”.</w:t>
      </w:r>
    </w:p>
    <w:p w14:paraId="1F3898F9" w14:textId="77777777" w:rsidR="00FA0266" w:rsidRPr="000D3432" w:rsidRDefault="00FA0266" w:rsidP="00A95498">
      <w:pPr>
        <w:jc w:val="both"/>
        <w:rPr>
          <w:rFonts w:asciiTheme="minorHAnsi" w:hAnsiTheme="minorHAnsi" w:cs="Arial"/>
          <w:szCs w:val="24"/>
          <w:lang w:val="es-ES_tradnl"/>
        </w:rPr>
      </w:pPr>
    </w:p>
    <w:p w14:paraId="5951496B"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que el impuesto se impone sobre hechos, actividades, patrimonio, rentas, etc., sirve para excluirlo o diferenciarlo de los demás tributos, de los tributos por los servicios específicos, por ejemplo. Además, el fin y objetivo de los impuestos, de la recaudación coincide en el acto y destino de estos tributos a la caja fiscal, </w:t>
      </w:r>
      <w:r w:rsidRPr="000D3432">
        <w:rPr>
          <w:rFonts w:asciiTheme="minorHAnsi" w:hAnsiTheme="minorHAnsi" w:cs="Arial"/>
          <w:szCs w:val="24"/>
          <w:lang w:val="es-ES_tradnl"/>
        </w:rPr>
        <w:lastRenderedPageBreak/>
        <w:t>como fondos para gastos colectivos, generales. Recordemos que las proyecciones de la recaudación fiscal es de orden general, es decir, de su función para atender las necesidades generales, colectivas, y no específicas, de la organización social, del Estado. Por lo mismo puede decirse que se constituye como un mandato por el cual el ciudadano tiene que pagar, pero con una peculiaridad, el tributante no sabe exactamente hacia qué obras específicas va este dinero entregado al Estado como tributo. Sólo sabe que es para gastos generales, públicos, colectivos. La dirección del impuesto es determinado por el Estado según su organización interna; que consiste, algunas veces, en una redistribución del capital adquirido mediante los impuestos. ¿Cómo se distribuye es un fenómeno que por lo general queda opacado por la complejidad de los hechos sociales, colectivos. Porque “...es impuesto el tributo que sirve para financiar servicios que redundan en beneficio de toda la colectividad sin poderse determinar en qué proporción benefician a cada uno.”</w:t>
      </w:r>
      <w:r w:rsidRPr="000D3432">
        <w:rPr>
          <w:rStyle w:val="Refdenotaalpie"/>
          <w:rFonts w:asciiTheme="minorHAnsi" w:hAnsiTheme="minorHAnsi" w:cs="Arial"/>
          <w:sz w:val="24"/>
          <w:szCs w:val="24"/>
          <w:lang w:val="es-ES_tradnl"/>
        </w:rPr>
        <w:footnoteReference w:id="476"/>
      </w:r>
      <w:r w:rsidRPr="000D3432">
        <w:rPr>
          <w:rFonts w:asciiTheme="minorHAnsi" w:hAnsiTheme="minorHAnsi" w:cs="Arial"/>
          <w:szCs w:val="24"/>
          <w:lang w:val="es-ES_tradnl"/>
        </w:rPr>
        <w:t xml:space="preserve">. </w:t>
      </w:r>
    </w:p>
    <w:p w14:paraId="1E7A7A38" w14:textId="77777777" w:rsidR="00FA0266" w:rsidRPr="000D3432" w:rsidRDefault="00FA0266" w:rsidP="00A95498">
      <w:pPr>
        <w:jc w:val="both"/>
        <w:rPr>
          <w:rFonts w:asciiTheme="minorHAnsi" w:hAnsiTheme="minorHAnsi" w:cs="Arial"/>
          <w:szCs w:val="24"/>
          <w:lang w:val="es-ES_tradnl"/>
        </w:rPr>
      </w:pPr>
    </w:p>
    <w:p w14:paraId="5BAF82D8" w14:textId="77777777" w:rsidR="00FA0266" w:rsidRPr="000D3432" w:rsidRDefault="00FA0266" w:rsidP="00A95498">
      <w:pPr>
        <w:jc w:val="both"/>
        <w:rPr>
          <w:rFonts w:asciiTheme="minorHAnsi" w:hAnsiTheme="minorHAnsi" w:cs="Arial"/>
          <w:smallCaps/>
          <w:szCs w:val="24"/>
          <w:lang w:val="es-ES_tradnl"/>
        </w:rPr>
      </w:pPr>
      <w:r w:rsidRPr="000D3432">
        <w:rPr>
          <w:rFonts w:asciiTheme="minorHAnsi" w:hAnsiTheme="minorHAnsi" w:cs="Arial"/>
          <w:b/>
          <w:szCs w:val="24"/>
          <w:lang w:val="es-ES_tradnl"/>
        </w:rPr>
        <w:t>a</w:t>
      </w:r>
      <w:r w:rsidRPr="000D3432">
        <w:rPr>
          <w:rFonts w:asciiTheme="minorHAnsi" w:hAnsiTheme="minorHAnsi" w:cs="Arial"/>
          <w:b/>
          <w:smallCaps/>
          <w:szCs w:val="24"/>
          <w:lang w:val="es-ES_tradnl"/>
        </w:rPr>
        <w:t>) Clasificación de los impuestos</w:t>
      </w:r>
    </w:p>
    <w:p w14:paraId="773B83C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Se ha clasificado a los impuestos en Directos e Indirectos.</w:t>
      </w:r>
    </w:p>
    <w:p w14:paraId="413AD43D" w14:textId="77777777" w:rsidR="00FA0266" w:rsidRPr="000D3432" w:rsidRDefault="00FA0266" w:rsidP="00A95498">
      <w:pPr>
        <w:jc w:val="both"/>
        <w:rPr>
          <w:rFonts w:asciiTheme="minorHAnsi" w:hAnsiTheme="minorHAnsi" w:cs="Arial"/>
          <w:szCs w:val="24"/>
          <w:lang w:val="es-ES_tradnl"/>
        </w:rPr>
      </w:pPr>
    </w:p>
    <w:p w14:paraId="08ED0081"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b/>
          <w:szCs w:val="24"/>
          <w:lang w:val="es-ES_tradnl"/>
        </w:rPr>
        <w:t xml:space="preserve">1) </w:t>
      </w:r>
      <w:r w:rsidRPr="000D3432">
        <w:rPr>
          <w:rFonts w:asciiTheme="minorHAnsi" w:hAnsiTheme="minorHAnsi" w:cs="Arial"/>
          <w:b/>
          <w:i/>
          <w:szCs w:val="24"/>
          <w:lang w:val="es-ES_tradnl"/>
        </w:rPr>
        <w:t>Impuestos Directos</w:t>
      </w:r>
      <w:r w:rsidRPr="000D3432">
        <w:rPr>
          <w:rFonts w:asciiTheme="minorHAnsi" w:hAnsiTheme="minorHAnsi" w:cs="Arial"/>
          <w:b/>
          <w:szCs w:val="24"/>
          <w:lang w:val="es-ES_tradnl"/>
        </w:rPr>
        <w:t>:</w:t>
      </w:r>
      <w:r w:rsidRPr="000D3432">
        <w:rPr>
          <w:rFonts w:asciiTheme="minorHAnsi" w:hAnsiTheme="minorHAnsi" w:cs="Arial"/>
          <w:szCs w:val="24"/>
          <w:lang w:val="es-ES_tradnl"/>
        </w:rPr>
        <w:t xml:space="preserve"> Rubio y Bernales definen a estos de la siguiente manera: “Impuestos directos son aquellos que gravan las ganancias (incluidas las rentas), el patrimonio y la riqueza que tienen el sujeto pasivo o contribuyente. Por su propia forma de aplicación, tienden a gravar más a quienes más capacidad para pagar impuestos (capacidad contributiva) tienen.”</w:t>
      </w:r>
      <w:r w:rsidRPr="000D3432">
        <w:rPr>
          <w:rStyle w:val="Refdenotaalpie"/>
          <w:rFonts w:asciiTheme="minorHAnsi" w:hAnsiTheme="minorHAnsi" w:cs="Arial"/>
          <w:sz w:val="24"/>
          <w:szCs w:val="24"/>
          <w:lang w:val="es-ES_tradnl"/>
        </w:rPr>
        <w:footnoteReference w:id="477"/>
      </w:r>
      <w:r w:rsidRPr="000D3432">
        <w:rPr>
          <w:rFonts w:asciiTheme="minorHAnsi" w:hAnsiTheme="minorHAnsi" w:cs="Arial"/>
          <w:szCs w:val="24"/>
          <w:lang w:val="es-ES_tradnl"/>
        </w:rPr>
        <w:t>. La idea general de este tipo de impuestos es que existe una relación comprobable de la capacidad contributiva, por la actividad del contribuyente y por la declaración de su riqueza. Por eso se puede entender al Impuesto a la Renta como un impuesto directo. El tratamiento tributario del mismo consiste en que mientras el contribuyente gane más, percibe más rentas y por lo tanto tiene que pagar más al fisco - explican Rubio y Bernales. Pero si bien la explicación es directamente proporcional a los ingresos, rentas, riqueza del contribuyente, se olvida justificar el porqué de esto, puesto que decir que esta se da sólo por la mayor percepción de la riqueza no basta para justificar este tributo. La explicación podría estar en otro lugar, por ejemplo, en el hecho de que quien tiene más tiene a la vez más que perder si no hay seguridad jurídica, o si hay un robo, etc.; él pues debe garantizar más que sus bienes sean protegidos a través de sus tributos. La afectación mayor de acuerdo a la capacidad contributiva estaría ya no en esta capacidad, sino en el mayor esfuerzo del Estado de resguardar y asegurar el patrimonio y riqueza del contribuyente.</w:t>
      </w:r>
    </w:p>
    <w:p w14:paraId="07390E43" w14:textId="77777777" w:rsidR="00FA0266" w:rsidRPr="000D3432" w:rsidRDefault="00FA0266" w:rsidP="00A95498">
      <w:pPr>
        <w:jc w:val="both"/>
        <w:rPr>
          <w:rFonts w:asciiTheme="minorHAnsi" w:hAnsiTheme="minorHAnsi" w:cs="Arial"/>
          <w:szCs w:val="24"/>
          <w:lang w:val="es-ES_tradnl"/>
        </w:rPr>
      </w:pPr>
    </w:p>
    <w:p w14:paraId="32E4D91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b/>
          <w:szCs w:val="24"/>
          <w:lang w:val="es-ES_tradnl"/>
        </w:rPr>
        <w:t xml:space="preserve">2) </w:t>
      </w:r>
      <w:r w:rsidRPr="000D3432">
        <w:rPr>
          <w:rFonts w:asciiTheme="minorHAnsi" w:hAnsiTheme="minorHAnsi" w:cs="Arial"/>
          <w:b/>
          <w:i/>
          <w:szCs w:val="24"/>
          <w:lang w:val="es-ES_tradnl"/>
        </w:rPr>
        <w:t>Impuestos Indirectos</w:t>
      </w:r>
      <w:r w:rsidRPr="000D3432">
        <w:rPr>
          <w:rFonts w:asciiTheme="minorHAnsi" w:hAnsiTheme="minorHAnsi" w:cs="Arial"/>
          <w:b/>
          <w:szCs w:val="24"/>
          <w:lang w:val="es-ES_tradnl"/>
        </w:rPr>
        <w:t xml:space="preserve">: </w:t>
      </w:r>
      <w:r w:rsidRPr="000D3432">
        <w:rPr>
          <w:rFonts w:asciiTheme="minorHAnsi" w:hAnsiTheme="minorHAnsi" w:cs="Arial"/>
          <w:szCs w:val="24"/>
          <w:lang w:val="es-ES_tradnl"/>
        </w:rPr>
        <w:t>Los “Impuestos indirectos son aquellos que recaen sobre hechos, actividades u otras materias que no permiten distinguir  la capacidad que el contribuyente tiene para pagarlos y que, por lo tanto, inciden indistintamente en quien tiene y quién no tiene capacidad contributiva.”</w:t>
      </w:r>
      <w:r w:rsidRPr="000D3432">
        <w:rPr>
          <w:rStyle w:val="Refdenotaalpie"/>
          <w:rFonts w:asciiTheme="minorHAnsi" w:hAnsiTheme="minorHAnsi" w:cs="Arial"/>
          <w:sz w:val="24"/>
          <w:szCs w:val="24"/>
          <w:lang w:val="es-ES_tradnl"/>
        </w:rPr>
        <w:footnoteReference w:id="478"/>
      </w:r>
      <w:r w:rsidRPr="000D3432">
        <w:rPr>
          <w:rFonts w:asciiTheme="minorHAnsi" w:hAnsiTheme="minorHAnsi" w:cs="Arial"/>
          <w:szCs w:val="24"/>
          <w:lang w:val="es-ES_tradnl"/>
        </w:rPr>
        <w:t xml:space="preserve">. </w:t>
      </w:r>
      <w:r w:rsidRPr="000D3432">
        <w:rPr>
          <w:rFonts w:asciiTheme="minorHAnsi" w:hAnsiTheme="minorHAnsi" w:cs="Arial"/>
          <w:szCs w:val="24"/>
          <w:lang w:val="es-ES_tradnl"/>
        </w:rPr>
        <w:lastRenderedPageBreak/>
        <w:t xml:space="preserve">Por ejemplo, en la simple compra de unos libros, o de unos pantalones, o de un pasaje de bus, etc., se tiene que pagar un precio ya determinado, “no importa si otro puede o no pagar, o si pueden pagar más que yo”. Este impuesto es pues indirecto por que olvida, a propósito la capacidad contributiva de la persona; es un “Impuesto Ciego” -dicen Rubio y Bernales. Su fundamento está en la necesidad de cumplir con ciertos servicios colectivos de carácter nacional, y por el uso y mantenimiento de estos servicios públicos. </w:t>
      </w:r>
    </w:p>
    <w:p w14:paraId="1068018C" w14:textId="77777777" w:rsidR="00FA0266" w:rsidRPr="000D3432" w:rsidRDefault="00FA0266" w:rsidP="00A95498">
      <w:pPr>
        <w:jc w:val="both"/>
        <w:rPr>
          <w:rFonts w:asciiTheme="minorHAnsi" w:hAnsiTheme="minorHAnsi" w:cs="Arial"/>
          <w:szCs w:val="24"/>
          <w:lang w:val="es-ES_tradnl"/>
        </w:rPr>
      </w:pPr>
    </w:p>
    <w:p w14:paraId="01101D52" w14:textId="77777777" w:rsidR="00FA0266" w:rsidRPr="000D3432" w:rsidRDefault="00FA0266" w:rsidP="00A95498">
      <w:pPr>
        <w:pStyle w:val="Ttulo4"/>
        <w:rPr>
          <w:rFonts w:asciiTheme="minorHAnsi" w:hAnsiTheme="minorHAnsi" w:cs="Arial"/>
          <w:b/>
          <w:lang w:val="es-ES_tradnl"/>
        </w:rPr>
      </w:pPr>
      <w:r w:rsidRPr="000D3432">
        <w:rPr>
          <w:rFonts w:asciiTheme="minorHAnsi" w:hAnsiTheme="minorHAnsi" w:cs="Arial"/>
          <w:lang w:val="es-ES_tradnl"/>
        </w:rPr>
        <w:t>B) TASAS</w:t>
      </w:r>
    </w:p>
    <w:p w14:paraId="624194E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Las tasas son un tipo diferente de tributos, que tienen su contenido en la relación que presentan al constituirse; así la contraprestación por el pago que se hace con la tasa es directa -al menos en teoría- porque se sabe a donde van estos tributos. En un concepto técnico, dado por Rubio y Bernales, se explica que, “Las tasas son tributos que, propiamente hablando, constituyen un valor que pagan las personas, a cambio de determinados servicios públicos que toman para sí; tal el caso de las tasas que pagamos por el envío de una carta al servicio de Correos.”</w:t>
      </w:r>
      <w:r w:rsidRPr="000D3432">
        <w:rPr>
          <w:rStyle w:val="Refdenotaalpie"/>
          <w:rFonts w:asciiTheme="minorHAnsi" w:hAnsiTheme="minorHAnsi" w:cs="Arial"/>
          <w:sz w:val="24"/>
          <w:szCs w:val="24"/>
          <w:lang w:val="es-ES_tradnl"/>
        </w:rPr>
        <w:footnoteReference w:id="479"/>
      </w:r>
      <w:r w:rsidRPr="000D3432">
        <w:rPr>
          <w:rFonts w:asciiTheme="minorHAnsi" w:hAnsiTheme="minorHAnsi" w:cs="Arial"/>
          <w:szCs w:val="24"/>
          <w:lang w:val="es-ES_tradnl"/>
        </w:rPr>
        <w:t xml:space="preserve">. Así mismo otro concepto lo enuncia como “...el tributo cuya obligación tiene como hecho generador la prestación efectiva por parte del Estado de un servicio público individualizado en el contribuyente”. Eso significa que el Estado, en base a ese tributo, se compromete a dar un servicio público individualizado en el contribuyente. </w:t>
      </w:r>
    </w:p>
    <w:p w14:paraId="08F93729" w14:textId="77777777" w:rsidR="00FA0266" w:rsidRPr="000D3432" w:rsidRDefault="00FA0266" w:rsidP="00A95498">
      <w:pPr>
        <w:jc w:val="both"/>
        <w:rPr>
          <w:rFonts w:asciiTheme="minorHAnsi" w:hAnsiTheme="minorHAnsi" w:cs="Arial"/>
          <w:szCs w:val="24"/>
          <w:lang w:val="es-ES_tradnl"/>
        </w:rPr>
      </w:pPr>
    </w:p>
    <w:p w14:paraId="5BC5E068"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Por lo pronto ha de advertirse que “Si el concepto de tasa, (...) no fuera fielmente acatado por los legisladores y tribunales, se arruinaría el sistema de separación de ingresos que el constituyente delineó con el propósito de asegurar la autonomía de los Estados y Municipios y también para garantizar a los individuos contra las tributaciones que complican la vida de los contribuyentes...”</w:t>
      </w:r>
      <w:r w:rsidRPr="000D3432">
        <w:rPr>
          <w:rStyle w:val="Refdenotaalpie"/>
          <w:rFonts w:asciiTheme="minorHAnsi" w:hAnsiTheme="minorHAnsi" w:cs="Arial"/>
          <w:sz w:val="24"/>
          <w:szCs w:val="24"/>
          <w:lang w:val="es-ES_tradnl"/>
        </w:rPr>
        <w:footnoteReference w:id="480"/>
      </w:r>
      <w:r w:rsidRPr="000D3432">
        <w:rPr>
          <w:rFonts w:asciiTheme="minorHAnsi" w:hAnsiTheme="minorHAnsi" w:cs="Arial"/>
          <w:szCs w:val="24"/>
          <w:lang w:val="es-ES_tradnl"/>
        </w:rPr>
        <w:t>, es decir, contra los tributos impuestos por partida doble, o triple; lo que en la doctrina se denomina doble o triple imposición. Por conclusión “Si (...) hay un servicio público que por su naturaleza se traduce en prestaciones que benefician a una persona que solicita el servicio y el ingreso que lo financia proviene de esta misma persona, el tributo es una tasa”</w:t>
      </w:r>
      <w:r w:rsidRPr="000D3432">
        <w:rPr>
          <w:rStyle w:val="Refdenotaalpie"/>
          <w:rFonts w:asciiTheme="minorHAnsi" w:hAnsiTheme="minorHAnsi" w:cs="Arial"/>
          <w:sz w:val="24"/>
          <w:szCs w:val="24"/>
          <w:lang w:val="es-ES_tradnl"/>
        </w:rPr>
        <w:footnoteReference w:id="481"/>
      </w:r>
      <w:r w:rsidRPr="000D3432">
        <w:rPr>
          <w:rFonts w:asciiTheme="minorHAnsi" w:hAnsiTheme="minorHAnsi" w:cs="Arial"/>
          <w:szCs w:val="24"/>
          <w:lang w:val="es-ES_tradnl"/>
        </w:rPr>
        <w:t xml:space="preserve">. La relación entre servicio y tributo (tasa) es perfectamente directa, y los destinos del tributo están ya determinados en la tasa. Dentro de los tipos de tasas tenemos a los arbitrios, derechos y licencias. </w:t>
      </w:r>
    </w:p>
    <w:p w14:paraId="513EDEAE" w14:textId="77777777" w:rsidR="00FA0266" w:rsidRPr="000D3432" w:rsidRDefault="00FA0266" w:rsidP="00A95498">
      <w:pPr>
        <w:jc w:val="both"/>
        <w:rPr>
          <w:rFonts w:asciiTheme="minorHAnsi" w:hAnsiTheme="minorHAnsi" w:cs="Arial"/>
          <w:szCs w:val="24"/>
          <w:lang w:val="es-ES_tradnl"/>
        </w:rPr>
      </w:pPr>
    </w:p>
    <w:p w14:paraId="73F19E7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Ataliba escribe que ”En la tasa, el hecho generador tiene que ser un suceso relacionado con la utilización, provocación, o disposición de servicio o actividad del Estado: invocación de funcionamiento de justicia,...”</w:t>
      </w:r>
      <w:r w:rsidRPr="000D3432">
        <w:rPr>
          <w:rStyle w:val="Refdenotaalpie"/>
          <w:rFonts w:asciiTheme="minorHAnsi" w:hAnsiTheme="minorHAnsi" w:cs="Arial"/>
          <w:sz w:val="24"/>
          <w:szCs w:val="24"/>
          <w:lang w:val="es-ES_tradnl"/>
        </w:rPr>
        <w:footnoteReference w:id="482"/>
      </w:r>
      <w:r w:rsidRPr="000D3432">
        <w:rPr>
          <w:rFonts w:asciiTheme="minorHAnsi" w:hAnsiTheme="minorHAnsi" w:cs="Arial"/>
          <w:szCs w:val="24"/>
          <w:lang w:val="es-ES_tradnl"/>
        </w:rPr>
        <w:t xml:space="preserve">. Y parafraseando a Héctor Villegas “..., la noción  de tasa que propugnamos conceptúa que su hecho generador es la actividad que el Estado cumple y que está vinculada con el </w:t>
      </w:r>
      <w:r w:rsidRPr="000D3432">
        <w:rPr>
          <w:rFonts w:asciiTheme="minorHAnsi" w:hAnsiTheme="minorHAnsi" w:cs="Arial"/>
          <w:szCs w:val="24"/>
          <w:lang w:val="es-ES_tradnl"/>
        </w:rPr>
        <w:lastRenderedPageBreak/>
        <w:t>obligado al pago. La actuación estatal vinculante es quizá el elemento caracterizador más importante para saber si al enfrentarnos con determinado tributo estamos realmente ante una tasa.”</w:t>
      </w:r>
      <w:r w:rsidRPr="000D3432">
        <w:rPr>
          <w:rStyle w:val="Refdenotaalpie"/>
          <w:rFonts w:asciiTheme="minorHAnsi" w:hAnsiTheme="minorHAnsi" w:cs="Arial"/>
          <w:sz w:val="24"/>
          <w:szCs w:val="24"/>
          <w:lang w:val="es-ES_tradnl"/>
        </w:rPr>
        <w:t xml:space="preserve"> </w:t>
      </w:r>
      <w:r w:rsidRPr="000D3432">
        <w:rPr>
          <w:rStyle w:val="Refdenotaalpie"/>
          <w:rFonts w:asciiTheme="minorHAnsi" w:hAnsiTheme="minorHAnsi" w:cs="Arial"/>
          <w:sz w:val="24"/>
          <w:szCs w:val="24"/>
          <w:lang w:val="es-ES_tradnl"/>
        </w:rPr>
        <w:footnoteReference w:id="483"/>
      </w:r>
      <w:r w:rsidRPr="000D3432">
        <w:rPr>
          <w:rFonts w:asciiTheme="minorHAnsi" w:hAnsiTheme="minorHAnsi" w:cs="Arial"/>
          <w:szCs w:val="24"/>
          <w:lang w:val="es-ES_tradnl"/>
        </w:rPr>
        <w:t>.</w:t>
      </w:r>
    </w:p>
    <w:p w14:paraId="175817BD" w14:textId="77777777" w:rsidR="00FA0266" w:rsidRPr="000D3432" w:rsidRDefault="00FA0266" w:rsidP="00A95498">
      <w:pPr>
        <w:jc w:val="both"/>
        <w:rPr>
          <w:rFonts w:asciiTheme="minorHAnsi" w:hAnsiTheme="minorHAnsi" w:cs="Arial"/>
          <w:szCs w:val="24"/>
          <w:lang w:val="es-ES_tradnl"/>
        </w:rPr>
      </w:pPr>
    </w:p>
    <w:p w14:paraId="29937A9D" w14:textId="77777777" w:rsidR="00FA0266" w:rsidRPr="000D3432" w:rsidRDefault="00FA0266" w:rsidP="00A95498">
      <w:pPr>
        <w:pStyle w:val="Ttulo4"/>
        <w:rPr>
          <w:rFonts w:asciiTheme="minorHAnsi" w:hAnsiTheme="minorHAnsi" w:cs="Arial"/>
          <w:lang w:val="es-ES_tradnl"/>
        </w:rPr>
      </w:pPr>
      <w:r w:rsidRPr="000D3432">
        <w:rPr>
          <w:rFonts w:asciiTheme="minorHAnsi" w:hAnsiTheme="minorHAnsi" w:cs="Arial"/>
          <w:lang w:val="es-ES_tradnl"/>
        </w:rPr>
        <w:t>C) CONTRIBUCIONES</w:t>
      </w:r>
    </w:p>
    <w:p w14:paraId="19D3A16B" w14:textId="77777777" w:rsidR="00FA0266" w:rsidRPr="000D3432" w:rsidRDefault="00FA0266" w:rsidP="00A95498">
      <w:pPr>
        <w:jc w:val="both"/>
        <w:rPr>
          <w:rFonts w:asciiTheme="minorHAnsi" w:hAnsiTheme="minorHAnsi" w:cs="Arial"/>
          <w:b/>
          <w:szCs w:val="24"/>
          <w:lang w:val="es-ES_tradnl"/>
        </w:rPr>
      </w:pPr>
    </w:p>
    <w:p w14:paraId="66E44B2D" w14:textId="77777777" w:rsidR="00FA0266" w:rsidRPr="000D3432" w:rsidRDefault="00FA0266" w:rsidP="00A95498">
      <w:pPr>
        <w:pStyle w:val="Textodecuerpo21"/>
        <w:rPr>
          <w:rFonts w:asciiTheme="minorHAnsi" w:hAnsiTheme="minorHAnsi" w:cs="Arial"/>
          <w:b w:val="0"/>
          <w:sz w:val="24"/>
          <w:szCs w:val="24"/>
          <w:lang w:val="es-ES_tradnl"/>
        </w:rPr>
      </w:pPr>
      <w:r w:rsidRPr="000D3432">
        <w:rPr>
          <w:rFonts w:asciiTheme="minorHAnsi" w:hAnsiTheme="minorHAnsi" w:cs="Arial"/>
          <w:b w:val="0"/>
          <w:sz w:val="24"/>
          <w:szCs w:val="24"/>
          <w:lang w:val="es-ES_tradnl"/>
        </w:rPr>
        <w:t>Por último tenemos dentro de los tributos a las contribuciones, que son de carácter específico. Así, “Las contribuciones son tributos específicos sobre determinados hechos, a fin de financiar actividades o servicios del Estado o de organismos de carácter público. Tal el caso de las contribuciones al Seguro Social, a la Caja de Pensiones, etc.”</w:t>
      </w:r>
      <w:r w:rsidRPr="000D3432">
        <w:rPr>
          <w:rStyle w:val="Refdenotaalpie"/>
          <w:rFonts w:asciiTheme="minorHAnsi" w:eastAsiaTheme="majorEastAsia" w:hAnsiTheme="minorHAnsi" w:cs="Arial"/>
          <w:b w:val="0"/>
          <w:sz w:val="24"/>
          <w:szCs w:val="24"/>
          <w:lang w:val="es-ES_tradnl"/>
        </w:rPr>
        <w:footnoteReference w:id="484"/>
      </w:r>
      <w:r w:rsidRPr="000D3432">
        <w:rPr>
          <w:rFonts w:asciiTheme="minorHAnsi" w:hAnsiTheme="minorHAnsi" w:cs="Arial"/>
          <w:b w:val="0"/>
          <w:sz w:val="24"/>
          <w:szCs w:val="24"/>
          <w:lang w:val="es-ES_tradnl"/>
        </w:rPr>
        <w:t>. Este tributo se deriva de ciertas necesidades públicas, y de la satisfacción de las mismas; “Es el tributo cuya obligación tiene como hecho generador beneficios derivados de la realización de obras públicas o de actividades estatales”. Se diferencia de los impuestos por que se hallan definidos las áreas u obras en las que se va a emplear los tributos recaudados, y por determinar también el grupo social al cual va a satisfacer sus necesidades sociales; así “Si además de financiar un servicio general para la colectividad, el ingreso representa una especial utilidad para un determinado grupo de personas, se trata de una contribución, que por lo tanto es proporcionada por los especialmente beneficiados.”</w:t>
      </w:r>
      <w:r w:rsidRPr="000D3432">
        <w:rPr>
          <w:rStyle w:val="Refdenotaalpie"/>
          <w:rFonts w:asciiTheme="minorHAnsi" w:eastAsiaTheme="majorEastAsia" w:hAnsiTheme="minorHAnsi" w:cs="Arial"/>
          <w:b w:val="0"/>
          <w:sz w:val="24"/>
          <w:szCs w:val="24"/>
          <w:lang w:val="es-ES_tradnl"/>
        </w:rPr>
        <w:footnoteReference w:id="485"/>
      </w:r>
      <w:r w:rsidRPr="000D3432">
        <w:rPr>
          <w:rFonts w:asciiTheme="minorHAnsi" w:hAnsiTheme="minorHAnsi" w:cs="Arial"/>
          <w:b w:val="0"/>
          <w:sz w:val="24"/>
          <w:szCs w:val="24"/>
          <w:lang w:val="es-ES_tradnl"/>
        </w:rPr>
        <w:t>. El problema es que, aunque está determinado el ámbito de aplicación y el grupo social, no hay los sistemas de control y fiscalización adecuados o eficaces que determinen el uso correcto y específico de estos tributos. Por lo que habido abusos excesivos del poder de administración y gestión de estos, y por razón del mismo no se han logrado los objetivos del tributo llamado contribución.</w:t>
      </w:r>
    </w:p>
    <w:p w14:paraId="5F24FE39" w14:textId="77777777" w:rsidR="00FA0266" w:rsidRPr="000D3432" w:rsidRDefault="00FA0266" w:rsidP="00A95498">
      <w:pPr>
        <w:jc w:val="both"/>
        <w:rPr>
          <w:rFonts w:asciiTheme="minorHAnsi" w:hAnsiTheme="minorHAnsi" w:cs="Arial"/>
          <w:szCs w:val="24"/>
          <w:lang w:val="es-ES_tradnl"/>
        </w:rPr>
      </w:pPr>
    </w:p>
    <w:p w14:paraId="2939BABB" w14:textId="77777777" w:rsidR="00FA0266" w:rsidRPr="000D3432" w:rsidRDefault="00FA0266" w:rsidP="00A95498">
      <w:pPr>
        <w:jc w:val="both"/>
        <w:rPr>
          <w:rFonts w:asciiTheme="minorHAnsi" w:hAnsiTheme="minorHAnsi" w:cs="Arial"/>
          <w:szCs w:val="24"/>
          <w:lang w:val="es-ES_tradnl"/>
        </w:rPr>
      </w:pPr>
    </w:p>
    <w:p w14:paraId="26BD7299" w14:textId="77777777" w:rsidR="00FA0266" w:rsidRPr="000D3432" w:rsidRDefault="00FA0266" w:rsidP="00A95498">
      <w:pPr>
        <w:pStyle w:val="Ttulo1"/>
        <w:spacing w:line="240" w:lineRule="auto"/>
        <w:rPr>
          <w:rFonts w:asciiTheme="minorHAnsi" w:hAnsiTheme="minorHAnsi"/>
          <w:sz w:val="24"/>
          <w:szCs w:val="24"/>
          <w:lang w:val="es-ES_tradnl"/>
        </w:rPr>
      </w:pPr>
      <w:bookmarkStart w:id="78" w:name="_Toc318102892"/>
      <w:r w:rsidRPr="000D3432">
        <w:rPr>
          <w:rFonts w:asciiTheme="minorHAnsi" w:hAnsiTheme="minorHAnsi"/>
          <w:sz w:val="24"/>
          <w:szCs w:val="24"/>
          <w:lang w:val="es-ES_tradnl"/>
        </w:rPr>
        <w:t>VII.- NACIMIENTO DE LA OBLIGACIÓN TRIBUTARIA</w:t>
      </w:r>
      <w:bookmarkEnd w:id="78"/>
    </w:p>
    <w:p w14:paraId="4CE2292E" w14:textId="77777777" w:rsidR="00FA0266" w:rsidRPr="000D3432" w:rsidRDefault="00FA0266" w:rsidP="00A95498">
      <w:pPr>
        <w:jc w:val="both"/>
        <w:rPr>
          <w:rFonts w:asciiTheme="minorHAnsi" w:hAnsiTheme="minorHAnsi" w:cs="Arial"/>
          <w:szCs w:val="24"/>
          <w:lang w:val="es-ES_tradnl"/>
        </w:rPr>
      </w:pPr>
    </w:p>
    <w:p w14:paraId="1B529C2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obligación tributaria nace cuando sucede el hecho imponible; es decir, cuando la hipótesis de incidencia de la norma tributaria se realiza. Aclaramos que –según Ataliba- Hecho imponible e hipótesis de incidencia son dos cosas distintas. La hipótesis de incidencia tributaria es la ley que describe un hecho, pero el hecho realizado no es la ley, sino sólo un hecho imponible, un hecho que tiene como efecto ser materia de imposición tributaria. La obligación tributaria escrita en la ley, en la hipótesis de incidencia tributaria, nace recién cuando ocurre el hecho descrito por la ley. “El vínculo obligacional que corresponde al concepto de tributo nace, por fuerza de la ley, de la ocurrencia del hecho imponible.”</w:t>
      </w:r>
      <w:r w:rsidRPr="000D3432">
        <w:rPr>
          <w:rStyle w:val="Refdenotaalpie"/>
          <w:rFonts w:asciiTheme="minorHAnsi" w:hAnsiTheme="minorHAnsi" w:cs="Arial"/>
          <w:sz w:val="24"/>
          <w:szCs w:val="24"/>
          <w:lang w:val="es-ES_tradnl"/>
        </w:rPr>
        <w:footnoteReference w:id="486"/>
      </w:r>
      <w:r w:rsidRPr="000D3432">
        <w:rPr>
          <w:rFonts w:asciiTheme="minorHAnsi" w:hAnsiTheme="minorHAnsi" w:cs="Arial"/>
          <w:szCs w:val="24"/>
          <w:lang w:val="es-ES_tradnl"/>
        </w:rPr>
        <w:t xml:space="preserve">. Pero este hecho imponible tiene su origen en la ley. Por eso “La configuración del hecho (aspecto material), su conexión con alguien (aspecto formal), su localización (aspecto espacial) y su consumación en un momento </w:t>
      </w:r>
      <w:r w:rsidRPr="000D3432">
        <w:rPr>
          <w:rFonts w:asciiTheme="minorHAnsi" w:hAnsiTheme="minorHAnsi" w:cs="Arial"/>
          <w:szCs w:val="24"/>
          <w:lang w:val="es-ES_tradnl"/>
        </w:rPr>
        <w:lastRenderedPageBreak/>
        <w:t>fáctico determinado (aspecto temporal), reunidos unitariamente determinan inexorablemente el efecto jurídico deseado por la ley: creación de una obligación jurídica concreta, a cargo de determinada persona, en un preciso momento.”</w:t>
      </w:r>
      <w:r w:rsidRPr="000D3432">
        <w:rPr>
          <w:rStyle w:val="Refdenotaalpie"/>
          <w:rFonts w:asciiTheme="minorHAnsi" w:hAnsiTheme="minorHAnsi" w:cs="Arial"/>
          <w:sz w:val="24"/>
          <w:szCs w:val="24"/>
          <w:lang w:val="es-ES_tradnl"/>
        </w:rPr>
        <w:t xml:space="preserve"> </w:t>
      </w:r>
      <w:r w:rsidRPr="000D3432">
        <w:rPr>
          <w:rStyle w:val="Refdenotaalpie"/>
          <w:rFonts w:asciiTheme="minorHAnsi" w:hAnsiTheme="minorHAnsi" w:cs="Arial"/>
          <w:sz w:val="24"/>
          <w:szCs w:val="24"/>
          <w:lang w:val="es-ES_tradnl"/>
        </w:rPr>
        <w:footnoteReference w:id="487"/>
      </w:r>
      <w:r w:rsidRPr="000D3432">
        <w:rPr>
          <w:rFonts w:asciiTheme="minorHAnsi" w:hAnsiTheme="minorHAnsi" w:cs="Arial"/>
          <w:szCs w:val="24"/>
          <w:lang w:val="es-ES_tradnl"/>
        </w:rPr>
        <w:t>. Así la deuda tributaria nace cuando se produce la situación de hecho, la misma que esta determinada en la ley.</w:t>
      </w:r>
    </w:p>
    <w:p w14:paraId="4B3C96B3" w14:textId="77777777" w:rsidR="00FA0266" w:rsidRPr="000D3432" w:rsidRDefault="00FA0266" w:rsidP="00A95498">
      <w:pPr>
        <w:jc w:val="both"/>
        <w:rPr>
          <w:rFonts w:asciiTheme="minorHAnsi" w:hAnsiTheme="minorHAnsi" w:cs="Arial"/>
          <w:szCs w:val="24"/>
          <w:lang w:val="es-ES_tradnl"/>
        </w:rPr>
      </w:pPr>
    </w:p>
    <w:p w14:paraId="6E6E1C67"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Se ha definido a la obligación tributaria como el “...vínculo jurídico originado por el tributo, cuya fuente es la ley, y que constituye el nexo entre el Estado, el acreedor tributario y el deudor tributario, responsable o contribuyente. Es una obligación de naturaleza legal de derecho público y exigible coactivamente.”</w:t>
      </w:r>
      <w:r w:rsidRPr="000D3432">
        <w:rPr>
          <w:rStyle w:val="Refdenotaalpie"/>
          <w:rFonts w:asciiTheme="minorHAnsi" w:hAnsiTheme="minorHAnsi" w:cs="Arial"/>
          <w:sz w:val="24"/>
          <w:szCs w:val="24"/>
          <w:lang w:val="es-ES_tradnl"/>
        </w:rPr>
        <w:footnoteReference w:id="488"/>
      </w:r>
      <w:r w:rsidRPr="000D3432">
        <w:rPr>
          <w:rFonts w:asciiTheme="minorHAnsi" w:hAnsiTheme="minorHAnsi" w:cs="Arial"/>
          <w:szCs w:val="24"/>
          <w:lang w:val="es-ES_tradnl"/>
        </w:rPr>
        <w:t>. Hay que distinguir el nacimiento del tributo del nacimiento de la obligación tributaria. Así podemos decir que el tributo nace con la ley, pero la obligación tributaria nace con la realización del hecho imponible.</w:t>
      </w:r>
    </w:p>
    <w:p w14:paraId="11449149" w14:textId="77777777" w:rsidR="00FA0266" w:rsidRPr="000D3432" w:rsidRDefault="00FA0266" w:rsidP="00A95498">
      <w:pPr>
        <w:jc w:val="both"/>
        <w:rPr>
          <w:rFonts w:asciiTheme="minorHAnsi" w:hAnsiTheme="minorHAnsi" w:cs="Arial"/>
          <w:b/>
          <w:szCs w:val="24"/>
          <w:lang w:val="es-ES_tradnl"/>
        </w:rPr>
      </w:pPr>
    </w:p>
    <w:p w14:paraId="0E86465C" w14:textId="77777777" w:rsidR="00FA0266" w:rsidRPr="000D3432" w:rsidRDefault="00FA0266" w:rsidP="00A95498">
      <w:pPr>
        <w:pStyle w:val="Ttulo1"/>
        <w:spacing w:line="240" w:lineRule="auto"/>
        <w:rPr>
          <w:rFonts w:asciiTheme="minorHAnsi" w:hAnsiTheme="minorHAnsi"/>
          <w:sz w:val="24"/>
          <w:szCs w:val="24"/>
          <w:lang w:val="es-ES_tradnl"/>
        </w:rPr>
      </w:pPr>
      <w:bookmarkStart w:id="79" w:name="_Toc318102893"/>
      <w:r w:rsidRPr="000D3432">
        <w:rPr>
          <w:rFonts w:asciiTheme="minorHAnsi" w:hAnsiTheme="minorHAnsi"/>
          <w:sz w:val="24"/>
          <w:szCs w:val="24"/>
          <w:lang w:val="es-ES_tradnl"/>
        </w:rPr>
        <w:t>VIII.- SUJETOS DE LA RELACIÓN JURÍDICA TRIBUTARIA</w:t>
      </w:r>
      <w:bookmarkEnd w:id="79"/>
    </w:p>
    <w:p w14:paraId="5045EAAC" w14:textId="77777777" w:rsidR="00FA0266" w:rsidRPr="000D3432" w:rsidRDefault="00FA0266" w:rsidP="00A95498">
      <w:pPr>
        <w:jc w:val="both"/>
        <w:rPr>
          <w:rFonts w:asciiTheme="minorHAnsi" w:hAnsiTheme="minorHAnsi" w:cs="Arial"/>
          <w:szCs w:val="24"/>
          <w:lang w:val="es-ES_tradnl"/>
        </w:rPr>
      </w:pPr>
    </w:p>
    <w:p w14:paraId="2548AB9E"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Los sujetos tributarios son dos, el Sujeto Activo (El Estado) y el Sujeto Pasivo (el deudor tributario). El sujeto activo o acreedor tributario  puede definirse a nivel nacional, nivel regional o nivel local. En el nivel nacional es el gobierno Nacional, a través de la SUNAT y las otras entidades parafiscales como ESSALUD, SENATI Y SENCICO. A nivel Regional el sujeto activo es el Gobierno Regional. A nivel Local es el Gobierno Local a través de los Municipios provinciales y los Municipios Distritales. El Sujeto Pasivo o Deudor Tributario son los sujetos de derecho (el contribuyente), y los sujetos de hecho (el responsable).</w:t>
      </w:r>
      <w:r w:rsidRPr="000D3432">
        <w:rPr>
          <w:rStyle w:val="Refdenotaalpie"/>
          <w:rFonts w:asciiTheme="minorHAnsi" w:hAnsiTheme="minorHAnsi" w:cs="Arial"/>
          <w:sz w:val="24"/>
          <w:szCs w:val="24"/>
          <w:lang w:val="es-ES_tradnl"/>
        </w:rPr>
        <w:footnoteReference w:id="489"/>
      </w:r>
      <w:r w:rsidRPr="000D3432">
        <w:rPr>
          <w:rFonts w:asciiTheme="minorHAnsi" w:hAnsiTheme="minorHAnsi" w:cs="Arial"/>
          <w:szCs w:val="24"/>
          <w:lang w:val="es-ES_tradnl"/>
        </w:rPr>
        <w:t xml:space="preserve">. </w:t>
      </w:r>
    </w:p>
    <w:p w14:paraId="6FEC8BC9" w14:textId="77777777" w:rsidR="00FA0266" w:rsidRPr="000D3432" w:rsidRDefault="00FA0266" w:rsidP="00A95498">
      <w:pPr>
        <w:jc w:val="both"/>
        <w:rPr>
          <w:rFonts w:asciiTheme="minorHAnsi" w:hAnsiTheme="minorHAnsi" w:cs="Arial"/>
          <w:szCs w:val="24"/>
          <w:lang w:val="es-ES_tradnl"/>
        </w:rPr>
      </w:pPr>
    </w:p>
    <w:p w14:paraId="60BB917B" w14:textId="77777777" w:rsidR="00FA0266" w:rsidRPr="000D3432" w:rsidRDefault="00FA0266" w:rsidP="00A95498">
      <w:pPr>
        <w:pStyle w:val="Ttulo1"/>
        <w:spacing w:line="240" w:lineRule="auto"/>
        <w:rPr>
          <w:rFonts w:asciiTheme="minorHAnsi" w:hAnsiTheme="minorHAnsi"/>
          <w:sz w:val="24"/>
          <w:szCs w:val="24"/>
          <w:lang w:val="es-ES_tradnl"/>
        </w:rPr>
      </w:pPr>
      <w:bookmarkStart w:id="80" w:name="_Toc318102894"/>
      <w:r w:rsidRPr="000D3432">
        <w:rPr>
          <w:rFonts w:asciiTheme="minorHAnsi" w:hAnsiTheme="minorHAnsi"/>
          <w:sz w:val="24"/>
          <w:szCs w:val="24"/>
          <w:lang w:val="es-ES_tradnl"/>
        </w:rPr>
        <w:t>IX.- EXTINCIÓN DE LA OBLIGACIÓN TRIBUTARIA</w:t>
      </w:r>
      <w:bookmarkEnd w:id="80"/>
    </w:p>
    <w:p w14:paraId="16C91871" w14:textId="77777777" w:rsidR="00FA0266" w:rsidRPr="000D3432" w:rsidRDefault="00FA0266" w:rsidP="00A95498">
      <w:pPr>
        <w:jc w:val="both"/>
        <w:rPr>
          <w:rFonts w:asciiTheme="minorHAnsi" w:hAnsiTheme="minorHAnsi" w:cs="Arial"/>
          <w:szCs w:val="24"/>
          <w:lang w:val="es-ES_tradnl"/>
        </w:rPr>
      </w:pPr>
    </w:p>
    <w:p w14:paraId="3BBB6B16"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extinción de la obligación tributaria según nuestro ordenamiento jurídico se da por: pago, compensación, condonación, consolidación, resolución de la administración tributaria, prescripción.</w:t>
      </w:r>
    </w:p>
    <w:p w14:paraId="20080223" w14:textId="77777777" w:rsidR="00FA0266" w:rsidRPr="000D3432" w:rsidRDefault="00FA0266" w:rsidP="00A95498">
      <w:pPr>
        <w:jc w:val="both"/>
        <w:rPr>
          <w:rFonts w:asciiTheme="minorHAnsi" w:hAnsiTheme="minorHAnsi" w:cs="Arial"/>
          <w:szCs w:val="24"/>
          <w:lang w:val="es-ES_tradnl"/>
        </w:rPr>
      </w:pPr>
    </w:p>
    <w:p w14:paraId="6E46B5B4" w14:textId="77777777" w:rsidR="00FA0266" w:rsidRPr="000D3432" w:rsidRDefault="00FA0266" w:rsidP="00A95498">
      <w:pPr>
        <w:pStyle w:val="Ttulo1"/>
        <w:spacing w:line="240" w:lineRule="auto"/>
        <w:rPr>
          <w:rFonts w:asciiTheme="minorHAnsi" w:hAnsiTheme="minorHAnsi"/>
          <w:sz w:val="24"/>
          <w:szCs w:val="24"/>
          <w:lang w:val="es-ES_tradnl"/>
        </w:rPr>
      </w:pPr>
      <w:bookmarkStart w:id="81" w:name="_Toc318102895"/>
      <w:r w:rsidRPr="000D3432">
        <w:rPr>
          <w:rFonts w:asciiTheme="minorHAnsi" w:hAnsiTheme="minorHAnsi"/>
          <w:sz w:val="24"/>
          <w:szCs w:val="24"/>
          <w:lang w:val="es-ES_tradnl"/>
        </w:rPr>
        <w:t>X.- PROCESOS TRIBUTARIOS</w:t>
      </w:r>
      <w:bookmarkEnd w:id="81"/>
    </w:p>
    <w:p w14:paraId="29B5B50D" w14:textId="77777777" w:rsidR="00FA0266" w:rsidRPr="000D3432" w:rsidRDefault="00FA0266" w:rsidP="00A95498">
      <w:pPr>
        <w:jc w:val="both"/>
        <w:rPr>
          <w:rFonts w:asciiTheme="minorHAnsi" w:hAnsiTheme="minorHAnsi" w:cs="Arial"/>
          <w:szCs w:val="24"/>
          <w:lang w:val="es-ES_tradnl"/>
        </w:rPr>
      </w:pPr>
    </w:p>
    <w:p w14:paraId="3AEF7489" w14:textId="77777777" w:rsidR="00FA0266" w:rsidRPr="000D3432" w:rsidRDefault="00FA0266" w:rsidP="00A95498">
      <w:pPr>
        <w:pStyle w:val="Textodecuerpo2"/>
        <w:spacing w:after="0" w:line="240" w:lineRule="auto"/>
        <w:jc w:val="both"/>
        <w:rPr>
          <w:rFonts w:asciiTheme="minorHAnsi" w:hAnsiTheme="minorHAnsi" w:cs="Arial"/>
          <w:szCs w:val="24"/>
        </w:rPr>
      </w:pPr>
      <w:r w:rsidRPr="000D3432">
        <w:rPr>
          <w:rFonts w:asciiTheme="minorHAnsi" w:hAnsiTheme="minorHAnsi" w:cs="Arial"/>
          <w:szCs w:val="24"/>
        </w:rPr>
        <w:t xml:space="preserve">Como hemos visto el Derecho Tributario es un sistema normativo de regulación de las conductas nacidas del acto de tributar. Es decir es un sistema normativo que regula las relaciones entre el sujeto activo (Estado. Acreedor tributario) y el sujeto pasivo (persona natural o jurídica. Deudor tributario). El Derecho Tributario regula la potestad tributaria del Estado, es decir, su facultad para crear, administrar,  fiscalizar y exonerar tributos.  Estas operaciones o relaciones nacidas de la tributación, por ley, pueden crear conflictos. Por eso, “el procedimiento tributario es el conjunto de normas que resuelven los conflictos entre el sujeto activo (la Administración Tributaria en sus diferentes niveles), y </w:t>
      </w:r>
      <w:r w:rsidRPr="000D3432">
        <w:rPr>
          <w:rFonts w:asciiTheme="minorHAnsi" w:hAnsiTheme="minorHAnsi" w:cs="Arial"/>
          <w:szCs w:val="24"/>
        </w:rPr>
        <w:lastRenderedPageBreak/>
        <w:t>el sujeto pasivo (contribuyente) de la obligación tributaria.”</w:t>
      </w:r>
      <w:r w:rsidRPr="000D3432">
        <w:rPr>
          <w:rStyle w:val="Refdenotaalpie"/>
          <w:rFonts w:asciiTheme="minorHAnsi" w:eastAsiaTheme="majorEastAsia" w:hAnsiTheme="minorHAnsi" w:cs="Arial"/>
          <w:sz w:val="24"/>
          <w:szCs w:val="24"/>
        </w:rPr>
        <w:t xml:space="preserve"> </w:t>
      </w:r>
      <w:r w:rsidRPr="000D3432">
        <w:rPr>
          <w:rStyle w:val="Refdenotaalpie"/>
          <w:rFonts w:asciiTheme="minorHAnsi" w:eastAsiaTheme="majorEastAsia" w:hAnsiTheme="minorHAnsi" w:cs="Arial"/>
          <w:sz w:val="24"/>
          <w:szCs w:val="24"/>
        </w:rPr>
        <w:footnoteReference w:id="490"/>
      </w:r>
      <w:r w:rsidRPr="000D3432">
        <w:rPr>
          <w:rFonts w:asciiTheme="minorHAnsi" w:hAnsiTheme="minorHAnsi" w:cs="Arial"/>
          <w:szCs w:val="24"/>
        </w:rPr>
        <w:t>. Tenemos, pues, las siguientes clases de procesos tributarios: a) Proceso de Cobranza Coactiva; b) Proceso contencioso tributario; y c) Proceso no contencioso.</w:t>
      </w:r>
    </w:p>
    <w:p w14:paraId="0F568A2F" w14:textId="77777777" w:rsidR="00FA0266" w:rsidRPr="000D3432" w:rsidRDefault="00FA0266" w:rsidP="00A95498">
      <w:pPr>
        <w:jc w:val="both"/>
        <w:rPr>
          <w:rFonts w:asciiTheme="minorHAnsi" w:hAnsiTheme="minorHAnsi" w:cs="Arial"/>
          <w:szCs w:val="24"/>
          <w:lang w:val="es-ES_tradnl"/>
        </w:rPr>
      </w:pPr>
    </w:p>
    <w:p w14:paraId="05FFDB75" w14:textId="77777777" w:rsidR="00FA0266" w:rsidRPr="000D3432" w:rsidRDefault="00FA0266" w:rsidP="00A95498">
      <w:pPr>
        <w:pStyle w:val="Ttulo1"/>
        <w:spacing w:line="240" w:lineRule="auto"/>
        <w:rPr>
          <w:rFonts w:asciiTheme="minorHAnsi" w:hAnsiTheme="minorHAnsi"/>
          <w:sz w:val="24"/>
          <w:szCs w:val="24"/>
          <w:lang w:val="es-ES_tradnl"/>
        </w:rPr>
      </w:pPr>
      <w:bookmarkStart w:id="82" w:name="_Toc318102896"/>
      <w:r w:rsidRPr="000D3432">
        <w:rPr>
          <w:rFonts w:asciiTheme="minorHAnsi" w:hAnsiTheme="minorHAnsi"/>
          <w:sz w:val="24"/>
          <w:szCs w:val="24"/>
          <w:lang w:val="es-ES_tradnl"/>
        </w:rPr>
        <w:t>XI.- DERECHO TRIBUTARIO CONSTITUCIONAL</w:t>
      </w:r>
      <w:bookmarkEnd w:id="82"/>
    </w:p>
    <w:p w14:paraId="4392DBB0" w14:textId="77777777" w:rsidR="00FA0266" w:rsidRPr="000D3432" w:rsidRDefault="00FA0266" w:rsidP="00A95498">
      <w:pPr>
        <w:jc w:val="both"/>
        <w:rPr>
          <w:rFonts w:asciiTheme="minorHAnsi" w:hAnsiTheme="minorHAnsi" w:cs="Arial"/>
          <w:szCs w:val="24"/>
          <w:lang w:val="es-ES_tradnl"/>
        </w:rPr>
      </w:pPr>
    </w:p>
    <w:p w14:paraId="7402D403"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El Derecho Tributario Constitucional es aquel marco supremo donde se enuncia y regula los actos derivados de la actividad o potestad tributaria del Estado, y la relación con los deudores tributarios. Por lo pronto, Pedro Flores Polo escribe que el Derecho Tributario Constitucional es  “...la disciplina que tiene por objeto el estudio de la Potestad Tributaria o Poder Tributario, entendido como la facultad propia del Estado para unilateralmente, por sí y ante sí, crear, modificar y suprimir tributos y exigir su pago coactivamente.”</w:t>
      </w:r>
      <w:r w:rsidRPr="000D3432">
        <w:rPr>
          <w:rStyle w:val="Refdenotaalpie"/>
          <w:rFonts w:asciiTheme="minorHAnsi" w:hAnsiTheme="minorHAnsi" w:cs="Arial"/>
          <w:sz w:val="24"/>
          <w:szCs w:val="24"/>
          <w:lang w:val="es-ES_tradnl"/>
        </w:rPr>
        <w:footnoteReference w:id="491"/>
      </w:r>
      <w:r w:rsidRPr="000D3432">
        <w:rPr>
          <w:rFonts w:asciiTheme="minorHAnsi" w:hAnsiTheme="minorHAnsi" w:cs="Arial"/>
          <w:szCs w:val="24"/>
          <w:lang w:val="es-ES_tradnl"/>
        </w:rPr>
        <w:t xml:space="preserve">. </w:t>
      </w:r>
    </w:p>
    <w:p w14:paraId="2B8C7891" w14:textId="77777777" w:rsidR="00FA0266" w:rsidRPr="000D3432" w:rsidRDefault="00FA0266" w:rsidP="00A95498">
      <w:pPr>
        <w:jc w:val="both"/>
        <w:rPr>
          <w:rFonts w:asciiTheme="minorHAnsi" w:hAnsiTheme="minorHAnsi" w:cs="Arial"/>
          <w:szCs w:val="24"/>
          <w:lang w:val="es-ES_tradnl"/>
        </w:rPr>
      </w:pPr>
    </w:p>
    <w:p w14:paraId="46FA27B8"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Pagar tributos es un fenómeno que pasa desapercibido a pesar que nuestra vida diaria está contenida de actos de tributación que no percibimos por el hecho de no involucrar el contenido total del hecho. Por ejemplo, cuando compramos cualquier artículo (sea un chocolate, pan, una cama, un televisor, etc.) estamos ya tributando, es decir entregándole dinero (parte de nuestro patrimonio) al Estado. Como se ve en actos tan sencillos como comprar un chocolate tributamos. Sólo que cuando nosotros compramos este chocolate no pensamos en ningún momento que estamos tributando, sólo pagamos el precio a nuestro vendedor inmediato. Este no nos dice que en el costo del producto viene incluido -sumado, aumentado- un tributo. Y es por ello que nosotros pensamos no tributar, porque no sentimos directamente el tributo. Sin embargo, al costo del producto viene agregado el monto del tributo. Si sumamos costo del producto más el tributo a la venta del producto, tendremos recién el precio de venta del producto. A ese tributo se le llama técnicamente Impuesto General a las ventas. </w:t>
      </w:r>
    </w:p>
    <w:p w14:paraId="05D29DE8" w14:textId="77777777" w:rsidR="00FA0266" w:rsidRPr="000D3432" w:rsidRDefault="00FA0266" w:rsidP="00A95498">
      <w:pPr>
        <w:jc w:val="both"/>
        <w:rPr>
          <w:rFonts w:asciiTheme="minorHAnsi" w:hAnsiTheme="minorHAnsi" w:cs="Arial"/>
          <w:szCs w:val="24"/>
          <w:lang w:val="es-ES_tradnl"/>
        </w:rPr>
      </w:pPr>
    </w:p>
    <w:p w14:paraId="7C007B8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Si bien se acepta que exista el Impuesto General a las Ventas, ¿alguien se ha preguntado por qué, porqué debemos pagarle al Estado por vender un producto? Los fundamentos están en la doctrina. Pero lo real es que este tributo significa un aumento en el costo del bien o producto. Rubio ejemplifica mejor este hecho: “...cuando compramos un artículo en una tienda, parte del precio que pagamos es un impuesto general a las ventas que, posteriormente, el comerciante debe pagarle al Estado. Lo mismo ocurre cuando nos pagan un sueldo: una parte es retenida como contribución para el seguro social y otros similares. Estas constituyen contribuciones para fines específicos.”</w:t>
      </w:r>
      <w:r w:rsidRPr="000D3432">
        <w:rPr>
          <w:rStyle w:val="Refdenotaalpie"/>
          <w:rFonts w:asciiTheme="minorHAnsi" w:hAnsiTheme="minorHAnsi" w:cs="Arial"/>
          <w:sz w:val="24"/>
          <w:szCs w:val="24"/>
          <w:lang w:val="es-ES_tradnl"/>
        </w:rPr>
        <w:footnoteReference w:id="492"/>
      </w:r>
      <w:r w:rsidRPr="000D3432">
        <w:rPr>
          <w:rFonts w:asciiTheme="minorHAnsi" w:hAnsiTheme="minorHAnsi" w:cs="Arial"/>
          <w:szCs w:val="24"/>
          <w:lang w:val="es-ES_tradnl"/>
        </w:rPr>
        <w:t xml:space="preserve">. </w:t>
      </w:r>
    </w:p>
    <w:p w14:paraId="398F2D34" w14:textId="77777777" w:rsidR="00FA0266" w:rsidRPr="000D3432" w:rsidRDefault="00FA0266" w:rsidP="00A95498">
      <w:pPr>
        <w:jc w:val="both"/>
        <w:rPr>
          <w:rFonts w:asciiTheme="minorHAnsi" w:hAnsiTheme="minorHAnsi" w:cs="Arial"/>
          <w:szCs w:val="24"/>
          <w:lang w:val="es-ES_tradnl"/>
        </w:rPr>
      </w:pPr>
    </w:p>
    <w:p w14:paraId="44C5EAD9"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Lo trascendental está en trasladar el pago del tributo. Así, el comerciante tiene que pagar el Impuesto General a las ventas por vender un producto cualquiera (cuando es de contrabando no lo paga),  pero el monto total de este impuesto lo traslada al comprador, agregando al valor del producto el monto del impuesto. </w:t>
      </w:r>
      <w:r w:rsidRPr="000D3432">
        <w:rPr>
          <w:rFonts w:asciiTheme="minorHAnsi" w:hAnsiTheme="minorHAnsi" w:cs="Arial"/>
          <w:szCs w:val="24"/>
          <w:lang w:val="es-ES_tradnl"/>
        </w:rPr>
        <w:lastRenderedPageBreak/>
        <w:t xml:space="preserve">Así el comprador resulta pagando este Impuesto General a las Ventas. </w:t>
      </w:r>
    </w:p>
    <w:p w14:paraId="77CF6131" w14:textId="77777777" w:rsidR="00FA0266" w:rsidRPr="000D3432" w:rsidRDefault="00FA0266" w:rsidP="00A95498">
      <w:pPr>
        <w:jc w:val="both"/>
        <w:rPr>
          <w:rFonts w:asciiTheme="minorHAnsi" w:hAnsiTheme="minorHAnsi" w:cs="Arial"/>
          <w:szCs w:val="24"/>
          <w:lang w:val="es-ES_tradnl"/>
        </w:rPr>
      </w:pPr>
    </w:p>
    <w:p w14:paraId="69D09740"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En el Derecho Tributario Constitucional el primer principio lógico sería el que se da en toda materia normativa, dentro de nuestro régimen: nuestro razonamiento debe ajustarse a la clásica determinación kelseniana, es decir, del Triángulo de Kelsen. Así ninguna norma tributaria puede contradecir al orden constitucional, a la Constitución. Puesto que los regímenes jurídicos a aplicarse, una vez encontrado el tipo de tributo, la especie tributaria no puede contradecir a la Constitución, porque “...estos regímenes se erigen sobre principios constitucionales inviolables para la administración y aún para el propio legislador. (...) estos regímenes propios, específicos y exclusivos constituyen un esquema que encausa la tributación, que genera derechos públicos subjetivos de los contribuyentes, que no pueden ser ignorados, disminuidos, modificados, alterados o deformados por el administrador ni por el legislador.”</w:t>
      </w:r>
      <w:r w:rsidRPr="000D3432">
        <w:rPr>
          <w:rStyle w:val="Refdenotaalpie"/>
          <w:rFonts w:asciiTheme="minorHAnsi" w:hAnsiTheme="minorHAnsi" w:cs="Arial"/>
          <w:sz w:val="24"/>
          <w:szCs w:val="24"/>
          <w:lang w:val="es-ES_tradnl"/>
        </w:rPr>
        <w:footnoteReference w:id="493"/>
      </w:r>
      <w:r w:rsidRPr="000D3432">
        <w:rPr>
          <w:rFonts w:asciiTheme="minorHAnsi" w:hAnsiTheme="minorHAnsi" w:cs="Arial"/>
          <w:szCs w:val="24"/>
          <w:lang w:val="es-ES_tradnl"/>
        </w:rPr>
        <w:t>. Por último podemos escribir, parafraseando, que “Jarach define al Derecho Constitucional Tributario como: ‘el conjunto de normas que delimitan el poder fiscal, distribuyen las facultades impositivas derivadas de este poder entre los distintos organismos estatales que forman parte  de la estructura del Estado nacional o provincial y establecen los límites para el ejercicio de dicho poder’.”</w:t>
      </w:r>
      <w:r w:rsidRPr="000D3432">
        <w:rPr>
          <w:rStyle w:val="Refdenotaalpie"/>
          <w:rFonts w:asciiTheme="minorHAnsi" w:hAnsiTheme="minorHAnsi" w:cs="Arial"/>
          <w:sz w:val="24"/>
          <w:szCs w:val="24"/>
          <w:lang w:val="es-ES_tradnl"/>
        </w:rPr>
        <w:footnoteReference w:id="494"/>
      </w:r>
      <w:r w:rsidRPr="000D3432">
        <w:rPr>
          <w:rFonts w:asciiTheme="minorHAnsi" w:hAnsiTheme="minorHAnsi" w:cs="Arial"/>
          <w:szCs w:val="24"/>
          <w:lang w:val="es-ES_tradnl"/>
        </w:rPr>
        <w:t>.</w:t>
      </w:r>
    </w:p>
    <w:p w14:paraId="0247553C" w14:textId="77777777" w:rsidR="00FA0266" w:rsidRPr="000D3432" w:rsidRDefault="00FA0266" w:rsidP="00A95498">
      <w:pPr>
        <w:jc w:val="both"/>
        <w:rPr>
          <w:rFonts w:asciiTheme="minorHAnsi" w:hAnsiTheme="minorHAnsi" w:cs="Arial"/>
          <w:szCs w:val="24"/>
          <w:lang w:val="es-ES_tradnl"/>
        </w:rPr>
      </w:pPr>
    </w:p>
    <w:p w14:paraId="059D9041" w14:textId="77777777" w:rsidR="00FA0266" w:rsidRPr="000D3432" w:rsidRDefault="00FA0266" w:rsidP="00A95498">
      <w:pPr>
        <w:jc w:val="both"/>
        <w:rPr>
          <w:rFonts w:asciiTheme="minorHAnsi" w:hAnsiTheme="minorHAnsi" w:cs="Arial"/>
          <w:szCs w:val="24"/>
          <w:lang w:val="es-ES_tradnl"/>
        </w:rPr>
      </w:pPr>
    </w:p>
    <w:p w14:paraId="08B3BC99" w14:textId="77777777" w:rsidR="00FA0266" w:rsidRPr="000D3432" w:rsidRDefault="00FA0266" w:rsidP="00A95498">
      <w:pPr>
        <w:pStyle w:val="Ttulo1"/>
        <w:spacing w:line="240" w:lineRule="auto"/>
        <w:rPr>
          <w:rFonts w:asciiTheme="minorHAnsi" w:hAnsiTheme="minorHAnsi"/>
          <w:sz w:val="24"/>
          <w:szCs w:val="24"/>
          <w:lang w:val="es-ES_tradnl"/>
        </w:rPr>
      </w:pPr>
      <w:bookmarkStart w:id="83" w:name="_Toc318102897"/>
      <w:r w:rsidRPr="000D3432">
        <w:rPr>
          <w:rFonts w:asciiTheme="minorHAnsi" w:hAnsiTheme="minorHAnsi"/>
          <w:sz w:val="24"/>
          <w:szCs w:val="24"/>
          <w:lang w:val="es-ES_tradnl"/>
        </w:rPr>
        <w:t>XII.- Algunas ideas finales sobre el Derecho Tributario</w:t>
      </w:r>
      <w:bookmarkEnd w:id="83"/>
    </w:p>
    <w:p w14:paraId="7256FFC7" w14:textId="77777777" w:rsidR="00FA0266" w:rsidRPr="000D3432" w:rsidRDefault="00FA0266" w:rsidP="00A95498">
      <w:pPr>
        <w:jc w:val="both"/>
        <w:rPr>
          <w:rFonts w:asciiTheme="minorHAnsi" w:hAnsiTheme="minorHAnsi" w:cs="Times"/>
          <w:szCs w:val="24"/>
        </w:rPr>
      </w:pPr>
    </w:p>
    <w:p w14:paraId="0E9F6DCF" w14:textId="77777777" w:rsidR="00FA0266" w:rsidRPr="000D3432" w:rsidRDefault="00FA0266" w:rsidP="00A95498">
      <w:pPr>
        <w:jc w:val="both"/>
        <w:rPr>
          <w:rFonts w:asciiTheme="minorHAnsi" w:hAnsiTheme="minorHAnsi" w:cs="Times"/>
          <w:szCs w:val="24"/>
        </w:rPr>
      </w:pPr>
      <w:r w:rsidRPr="000D3432">
        <w:rPr>
          <w:rFonts w:asciiTheme="minorHAnsi" w:hAnsiTheme="minorHAnsi" w:cs="Times"/>
          <w:szCs w:val="24"/>
        </w:rPr>
        <w:t>Hemos indicado que el tributo, además de tener un origen en la subordinación del individuo al Estado, es un sistema social poco equilibrado en su forma, pues, ¿cómo se puede permitir que el Estado recoja un treinta por ciento de las rentas empresariales? O que por todo concepto de adquisición de productos se tenga que pagar además del costo de transacción, un costo adicional que es el Impuesto General a las ventas. O cómo la distribución de los ingresos del Estado, generados por los tributos de los ciudadanos, se repartan desequilibradamente entre uno u otro proyecto, sin que se pueda participar en la decisión de dicho uso indiscriminado, y sólo sometido a la potestad de las autoridades elegidas, que bien designan el uso de los fondos según sus concepciones políticas, o sus intereses.</w:t>
      </w:r>
    </w:p>
    <w:p w14:paraId="15445C2B" w14:textId="77777777" w:rsidR="00FA0266" w:rsidRPr="000D3432" w:rsidRDefault="00FA0266" w:rsidP="00A95498">
      <w:pPr>
        <w:jc w:val="both"/>
        <w:rPr>
          <w:rFonts w:asciiTheme="minorHAnsi" w:hAnsiTheme="minorHAnsi" w:cs="Times"/>
          <w:szCs w:val="24"/>
        </w:rPr>
      </w:pPr>
    </w:p>
    <w:p w14:paraId="7A909969" w14:textId="77777777" w:rsidR="00FA0266" w:rsidRPr="000D3432" w:rsidRDefault="00FA0266" w:rsidP="00A95498">
      <w:pPr>
        <w:jc w:val="both"/>
        <w:rPr>
          <w:rFonts w:asciiTheme="minorHAnsi" w:hAnsiTheme="minorHAnsi" w:cs="Times"/>
          <w:szCs w:val="24"/>
        </w:rPr>
      </w:pPr>
      <w:r w:rsidRPr="000D3432">
        <w:rPr>
          <w:rFonts w:asciiTheme="minorHAnsi" w:hAnsiTheme="minorHAnsi" w:cs="Times"/>
          <w:szCs w:val="24"/>
        </w:rPr>
        <w:t xml:space="preserve">El mundo tributario es un signo de todos los tiempos, ya sea como método de subordinación, o como sistema para agenciarse de dinero de los demás, por contraprestaciones que se suponen van a realizarse, y con justificantes como el orden social, la seguridad, la salud, educación, justicia, etc. O cómo se puede explicar que una persona que tiene seis hijos tenga una subvención familiar en las entidades del Estado, mientras que una persona que no tiene familia, y que paga los mismos tributos no tenga dicha subvención, siendo que el primero requiere mayores o más servicios públicos -por el número familiar- que quien </w:t>
      </w:r>
      <w:r w:rsidRPr="000D3432">
        <w:rPr>
          <w:rFonts w:asciiTheme="minorHAnsi" w:hAnsiTheme="minorHAnsi" w:cs="Times"/>
          <w:szCs w:val="24"/>
        </w:rPr>
        <w:lastRenderedPageBreak/>
        <w:t>no tiene familia. O cómo se puede entender que en un gobierno determinado se inventen los denominados “impuestos selectivos al consumo”, o el famoso Impuesto a las Transferencias Financieras, o todos los sistemas deducidos de este tipo parasitario de adquirir ingresos ajenos. Veamos por ejemplo los tipos de comisiones cobradas por los bancos, por las aseguradoras, AFPs. Es interminable las formas inventadas para recaudación de dinero. Todos nuestros actos están prácticamente marcados por un tributo, impuesto, tasa, contribución. Compras un caramelo, una guitarra, y allí está el impuesto general a las ventas, tomas un vehículo, taxi, tren, y allí está también un tributo; compras una casa, un vehículo, y allí también tienes que pagar el impuesto predial, o el impuesto al patrimonio vehicular. Ingresas a trabajar, y tienes que pagar, o la empresa paga, por tu inscripción en el Registro laboral del Ministerio de Trabajo, firmas un contrato de trabajo, o lo renuevas, y otra vez tienes que pagar –o la empresa- por dicho registro. Quieres hacer una empresa, y tienes que pagar los costos por la simple posibilidad de hacer empresa, como costos por notaría, por escritura pública,  por inscripción en los registros públicos. Eres profesional, y no basta esto, sino que tienes que colegiarte en aquella institución que agremia a los profesionales, y tienes que pagar las cuotas mensuales para permanecer colegiado, es decir, con la posibilidad y habilidad o habilitación para poder ejercer tu profesión; es decir, un pago que te da legitimidad para usar tus conocimientos; ingresas a la universidad y aunque estas se encuentran exoneradas de diversos tributos por no tener un objeto social de lucro, y sin embargo cada acto –incluso los datos que ellos tienen y registran tienes que pagarlos, como los costos por tus certificados universitarios para sustentar tu tesis o expedientes, siendo que la propia universidad tiene dichos documentos, datos, no se entiende que se necesite adquirirlos para presentarlos a la misma universidad, costos parasitarios, como pagar por antecedentes judiciales, penales, o certificaciones para participar en los procesos de selección de las mismas entidades, etc.</w:t>
      </w:r>
    </w:p>
    <w:p w14:paraId="185A4F67" w14:textId="77777777" w:rsidR="00FA0266" w:rsidRPr="000D3432" w:rsidRDefault="00FA0266" w:rsidP="00A95498">
      <w:pPr>
        <w:jc w:val="both"/>
        <w:rPr>
          <w:rFonts w:asciiTheme="minorHAnsi" w:hAnsiTheme="minorHAnsi" w:cs="Times"/>
          <w:szCs w:val="24"/>
        </w:rPr>
      </w:pPr>
    </w:p>
    <w:p w14:paraId="5BA4D871" w14:textId="77777777" w:rsidR="00FA0266" w:rsidRPr="000D3432" w:rsidRDefault="00FA0266" w:rsidP="00A95498">
      <w:pPr>
        <w:rPr>
          <w:rFonts w:asciiTheme="minorHAnsi" w:hAnsiTheme="minorHAnsi" w:cs="Times"/>
          <w:szCs w:val="24"/>
        </w:rPr>
      </w:pPr>
      <w:r w:rsidRPr="000D3432">
        <w:rPr>
          <w:rFonts w:asciiTheme="minorHAnsi" w:hAnsiTheme="minorHAnsi" w:cs="Times"/>
          <w:szCs w:val="24"/>
        </w:rPr>
        <w:br w:type="page"/>
      </w:r>
    </w:p>
    <w:p w14:paraId="5E103F77" w14:textId="77777777" w:rsidR="00FA0266" w:rsidRPr="000D3432" w:rsidRDefault="00FA0266" w:rsidP="00A95498">
      <w:pPr>
        <w:jc w:val="both"/>
        <w:rPr>
          <w:rFonts w:asciiTheme="minorHAnsi" w:hAnsiTheme="minorHAnsi" w:cs="Times"/>
          <w:szCs w:val="24"/>
        </w:rPr>
      </w:pPr>
    </w:p>
    <w:p w14:paraId="305F9EF5" w14:textId="77777777" w:rsidR="00FA0266" w:rsidRPr="000D3432" w:rsidRDefault="00FA0266" w:rsidP="00A95498">
      <w:pPr>
        <w:jc w:val="both"/>
        <w:rPr>
          <w:rFonts w:asciiTheme="minorHAnsi" w:hAnsiTheme="minorHAnsi" w:cs="Times"/>
          <w:szCs w:val="24"/>
        </w:rPr>
      </w:pPr>
    </w:p>
    <w:p w14:paraId="5F61F7F7" w14:textId="77777777" w:rsidR="00FA0266" w:rsidRPr="000D3432" w:rsidRDefault="00FA0266" w:rsidP="00A95498">
      <w:pPr>
        <w:jc w:val="both"/>
        <w:rPr>
          <w:rFonts w:asciiTheme="minorHAnsi" w:hAnsiTheme="minorHAnsi" w:cs="Times"/>
          <w:szCs w:val="24"/>
        </w:rPr>
      </w:pPr>
    </w:p>
    <w:p w14:paraId="4C72AC33" w14:textId="77777777" w:rsidR="00FA0266" w:rsidRPr="000D3432" w:rsidRDefault="00FA0266" w:rsidP="00A95498">
      <w:pPr>
        <w:jc w:val="both"/>
        <w:rPr>
          <w:rFonts w:asciiTheme="minorHAnsi" w:hAnsiTheme="minorHAnsi" w:cs="Times"/>
          <w:szCs w:val="24"/>
        </w:rPr>
      </w:pPr>
    </w:p>
    <w:p w14:paraId="664508D3" w14:textId="77777777" w:rsidR="00FA0266" w:rsidRPr="000D3432" w:rsidRDefault="00FA0266" w:rsidP="00A95498">
      <w:pPr>
        <w:jc w:val="both"/>
        <w:rPr>
          <w:rFonts w:asciiTheme="minorHAnsi" w:hAnsiTheme="minorHAnsi" w:cs="Times"/>
          <w:szCs w:val="24"/>
        </w:rPr>
      </w:pPr>
    </w:p>
    <w:p w14:paraId="50A88784" w14:textId="77777777" w:rsidR="00616998" w:rsidRPr="000D3432" w:rsidRDefault="00FA0266" w:rsidP="00A95498">
      <w:pPr>
        <w:jc w:val="center"/>
        <w:rPr>
          <w:rFonts w:asciiTheme="minorHAnsi" w:hAnsiTheme="minorHAnsi" w:cs="Times"/>
          <w:b/>
          <w:szCs w:val="24"/>
          <w:u w:val="single"/>
        </w:rPr>
      </w:pPr>
      <w:r w:rsidRPr="000D3432">
        <w:rPr>
          <w:rFonts w:asciiTheme="minorHAnsi" w:hAnsiTheme="minorHAnsi" w:cs="Times"/>
          <w:b/>
          <w:szCs w:val="24"/>
          <w:u w:val="single"/>
        </w:rPr>
        <w:t xml:space="preserve">NOTAS </w:t>
      </w:r>
      <w:r w:rsidR="00616998" w:rsidRPr="000D3432">
        <w:rPr>
          <w:rFonts w:asciiTheme="minorHAnsi" w:hAnsiTheme="minorHAnsi" w:cs="Times"/>
          <w:b/>
          <w:szCs w:val="24"/>
          <w:u w:val="single"/>
        </w:rPr>
        <w:t>INCONFORMES</w:t>
      </w:r>
    </w:p>
    <w:p w14:paraId="017080DD" w14:textId="6E94893C" w:rsidR="00FA0266" w:rsidRPr="000D3432" w:rsidRDefault="00616998" w:rsidP="00A95498">
      <w:pPr>
        <w:jc w:val="center"/>
        <w:rPr>
          <w:rFonts w:asciiTheme="minorHAnsi" w:hAnsiTheme="minorHAnsi" w:cs="Times"/>
          <w:b/>
          <w:szCs w:val="24"/>
        </w:rPr>
      </w:pPr>
      <w:r w:rsidRPr="000D3432">
        <w:rPr>
          <w:rFonts w:asciiTheme="minorHAnsi" w:hAnsiTheme="minorHAnsi" w:cs="Times"/>
          <w:b/>
          <w:szCs w:val="24"/>
        </w:rPr>
        <w:t>Notas a final</w:t>
      </w:r>
    </w:p>
    <w:p w14:paraId="540C5B93" w14:textId="77777777" w:rsidR="00FA0266" w:rsidRPr="000D3432" w:rsidRDefault="00FA0266" w:rsidP="00A95498">
      <w:pPr>
        <w:jc w:val="both"/>
        <w:rPr>
          <w:rFonts w:asciiTheme="minorHAnsi" w:hAnsiTheme="minorHAnsi" w:cs="Times"/>
          <w:szCs w:val="24"/>
        </w:rPr>
      </w:pPr>
    </w:p>
    <w:p w14:paraId="53C90342" w14:textId="77777777" w:rsidR="00FA0266" w:rsidRPr="000D3432" w:rsidRDefault="00FA0266" w:rsidP="00A95498">
      <w:pPr>
        <w:jc w:val="both"/>
        <w:rPr>
          <w:rFonts w:asciiTheme="minorHAnsi" w:hAnsiTheme="minorHAnsi" w:cs="Times"/>
          <w:szCs w:val="24"/>
        </w:rPr>
      </w:pPr>
    </w:p>
    <w:p w14:paraId="618EE260" w14:textId="77777777" w:rsidR="00FA0266" w:rsidRPr="000D3432" w:rsidRDefault="00FA0266" w:rsidP="00A95498">
      <w:pPr>
        <w:ind w:left="426"/>
        <w:jc w:val="both"/>
        <w:rPr>
          <w:rFonts w:asciiTheme="minorHAnsi" w:hAnsiTheme="minorHAnsi" w:cs="Arial"/>
          <w:color w:val="2B3334"/>
          <w:szCs w:val="24"/>
          <w:lang w:val="es-ES_tradnl"/>
        </w:rPr>
      </w:pPr>
    </w:p>
    <w:p w14:paraId="418F7031" w14:textId="376A1AEE" w:rsidR="00FA0266" w:rsidRPr="000D3432" w:rsidRDefault="00FA0266" w:rsidP="00F3090F">
      <w:pPr>
        <w:ind w:left="426"/>
        <w:jc w:val="center"/>
        <w:rPr>
          <w:rFonts w:asciiTheme="minorHAnsi" w:hAnsiTheme="minorHAnsi" w:cs="Arial"/>
          <w:b/>
          <w:color w:val="2B3334"/>
          <w:szCs w:val="24"/>
          <w:lang w:val="es-ES_tradnl"/>
        </w:rPr>
      </w:pPr>
      <w:r w:rsidRPr="000D3432">
        <w:rPr>
          <w:rFonts w:asciiTheme="minorHAnsi" w:hAnsiTheme="minorHAnsi" w:cs="Arial"/>
          <w:b/>
          <w:color w:val="2B3334"/>
          <w:szCs w:val="24"/>
          <w:lang w:val="es-ES_tradnl"/>
        </w:rPr>
        <w:t>- 1-</w:t>
      </w:r>
    </w:p>
    <w:p w14:paraId="36CFD02F" w14:textId="77777777" w:rsidR="00FA0266" w:rsidRPr="000D3432" w:rsidRDefault="00FA0266" w:rsidP="00F3090F">
      <w:pPr>
        <w:ind w:left="426"/>
        <w:jc w:val="center"/>
        <w:rPr>
          <w:rFonts w:asciiTheme="minorHAnsi" w:hAnsiTheme="minorHAnsi" w:cs="Arial"/>
          <w:b/>
          <w:color w:val="2B3334"/>
          <w:szCs w:val="24"/>
          <w:lang w:val="es-ES_tradnl"/>
        </w:rPr>
      </w:pPr>
      <w:r w:rsidRPr="000D3432">
        <w:rPr>
          <w:rFonts w:asciiTheme="minorHAnsi" w:hAnsiTheme="minorHAnsi" w:cs="Arial"/>
          <w:b/>
          <w:color w:val="2B3334"/>
          <w:szCs w:val="24"/>
          <w:lang w:val="es-ES_tradnl"/>
        </w:rPr>
        <w:t>PENSANDO DERECHO</w:t>
      </w:r>
    </w:p>
    <w:p w14:paraId="5D726062" w14:textId="77777777" w:rsidR="00FA0266" w:rsidRPr="000D3432" w:rsidRDefault="00FA0266" w:rsidP="00A95498">
      <w:pPr>
        <w:ind w:left="426"/>
        <w:jc w:val="both"/>
        <w:rPr>
          <w:rFonts w:asciiTheme="minorHAnsi" w:hAnsiTheme="minorHAnsi" w:cs="Arial"/>
          <w:color w:val="2B3334"/>
          <w:szCs w:val="24"/>
          <w:lang w:val="es-ES_tradnl"/>
        </w:rPr>
      </w:pPr>
    </w:p>
    <w:p w14:paraId="07E86A1E"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Las curvas del derecho me siguen</w:t>
      </w:r>
    </w:p>
    <w:p w14:paraId="7A3BC48E"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La crisis me acompaña</w:t>
      </w:r>
    </w:p>
    <w:p w14:paraId="61F07C9C"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La decadencia me abruma</w:t>
      </w:r>
    </w:p>
    <w:p w14:paraId="61E964C8"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Y aún así sigo</w:t>
      </w:r>
    </w:p>
    <w:p w14:paraId="51CC2D03"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 Pensando derecho</w:t>
      </w:r>
    </w:p>
    <w:p w14:paraId="20E7BC8F"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Con la duda....</w:t>
      </w:r>
    </w:p>
    <w:p w14:paraId="75398613"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 de ser o no ser derecho</w:t>
      </w:r>
    </w:p>
    <w:p w14:paraId="3AD975B9"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de inventar la libertad,</w:t>
      </w:r>
    </w:p>
    <w:p w14:paraId="4386068F"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de ponerle fin al derecho</w:t>
      </w:r>
    </w:p>
    <w:p w14:paraId="07B67950"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de buscar la norma fundamental</w:t>
      </w:r>
    </w:p>
    <w:p w14:paraId="7E58B1F9"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y olvidar</w:t>
      </w:r>
    </w:p>
    <w:p w14:paraId="2BB09B57"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por fin y acabado</w:t>
      </w:r>
    </w:p>
    <w:p w14:paraId="31441214" w14:textId="77777777" w:rsidR="00FA0266" w:rsidRPr="000D3432" w:rsidRDefault="00FA0266" w:rsidP="00A95498">
      <w:pPr>
        <w:ind w:left="426"/>
        <w:jc w:val="both"/>
        <w:rPr>
          <w:rFonts w:asciiTheme="minorHAnsi" w:hAnsiTheme="minorHAnsi" w:cs="Arial"/>
          <w:color w:val="2B3334"/>
          <w:szCs w:val="24"/>
          <w:lang w:val="es-ES_tradnl"/>
        </w:rPr>
      </w:pPr>
      <w:r w:rsidRPr="000D3432">
        <w:rPr>
          <w:rFonts w:asciiTheme="minorHAnsi" w:hAnsiTheme="minorHAnsi" w:cs="Arial"/>
          <w:color w:val="2B3334"/>
          <w:szCs w:val="24"/>
          <w:lang w:val="es-ES_tradnl"/>
        </w:rPr>
        <w:t>,,,,,, la libertad.</w:t>
      </w:r>
    </w:p>
    <w:p w14:paraId="1B7648F5" w14:textId="77777777" w:rsidR="00FA0266" w:rsidRPr="000D3432" w:rsidRDefault="00FA0266" w:rsidP="00A95498">
      <w:pPr>
        <w:jc w:val="both"/>
        <w:rPr>
          <w:rFonts w:asciiTheme="minorHAnsi" w:hAnsiTheme="minorHAnsi"/>
          <w:szCs w:val="24"/>
        </w:rPr>
      </w:pPr>
    </w:p>
    <w:p w14:paraId="23D9A19E"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Tomado del Libro: “¡Vientre! Antipoemas jurídicos y otras alucinaciones. Escritos para ser un abogado decadente”. Hanks Bandìni. Ediciones “</w:t>
      </w:r>
      <w:r w:rsidRPr="000D3432">
        <w:rPr>
          <w:rFonts w:asciiTheme="minorHAnsi" w:hAnsiTheme="minorHAnsi"/>
          <w:i/>
          <w:szCs w:val="24"/>
        </w:rPr>
        <w:t>Az Todo Derecho</w:t>
      </w:r>
      <w:r w:rsidRPr="000D3432">
        <w:rPr>
          <w:rFonts w:asciiTheme="minorHAnsi" w:hAnsiTheme="minorHAnsi"/>
          <w:szCs w:val="24"/>
        </w:rPr>
        <w:t xml:space="preserve">”. Serie: </w:t>
      </w:r>
      <w:r w:rsidRPr="000D3432">
        <w:rPr>
          <w:rFonts w:asciiTheme="minorHAnsi" w:hAnsiTheme="minorHAnsi"/>
          <w:i/>
          <w:szCs w:val="24"/>
        </w:rPr>
        <w:t>Repensando el Derecho</w:t>
      </w:r>
      <w:r w:rsidRPr="000D3432">
        <w:rPr>
          <w:rFonts w:asciiTheme="minorHAnsi" w:hAnsiTheme="minorHAnsi"/>
          <w:szCs w:val="24"/>
        </w:rPr>
        <w:t>.</w:t>
      </w:r>
    </w:p>
    <w:p w14:paraId="6F19F03B" w14:textId="77777777" w:rsidR="00FA0266" w:rsidRPr="000D3432" w:rsidRDefault="00FA0266" w:rsidP="00A95498">
      <w:pPr>
        <w:jc w:val="both"/>
        <w:rPr>
          <w:rFonts w:asciiTheme="minorHAnsi" w:hAnsiTheme="minorHAnsi"/>
          <w:szCs w:val="24"/>
        </w:rPr>
      </w:pPr>
    </w:p>
    <w:p w14:paraId="5121EC5C"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- 2 -</w:t>
      </w:r>
    </w:p>
    <w:p w14:paraId="6FE1463C" w14:textId="77777777" w:rsidR="00FA0266" w:rsidRPr="000D3432" w:rsidRDefault="00FA0266" w:rsidP="00F3090F">
      <w:pPr>
        <w:jc w:val="center"/>
        <w:rPr>
          <w:rFonts w:asciiTheme="minorHAnsi" w:hAnsiTheme="minorHAnsi"/>
          <w:b/>
          <w:szCs w:val="24"/>
        </w:rPr>
      </w:pPr>
    </w:p>
    <w:p w14:paraId="305051ED"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- 3 -</w:t>
      </w:r>
    </w:p>
    <w:p w14:paraId="1463BAC1"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NADA PEOR QUE UN LIBRO</w:t>
      </w:r>
    </w:p>
    <w:p w14:paraId="510046CB" w14:textId="77777777" w:rsidR="00FA0266" w:rsidRPr="000D3432" w:rsidRDefault="00FA0266" w:rsidP="00A95498">
      <w:pPr>
        <w:jc w:val="both"/>
        <w:rPr>
          <w:rFonts w:asciiTheme="minorHAnsi" w:hAnsiTheme="minorHAnsi"/>
          <w:szCs w:val="24"/>
        </w:rPr>
      </w:pPr>
    </w:p>
    <w:p w14:paraId="12A8BAEE"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Aprendí a disfrutar de la lectura muy tarde, cuando mi tío Max, me entregó una obra de Og Mandino, "El vendedor mas grande el mundo", en la cual, con literatura ágil, ligera y sencilla te entusiasmaban para elegir lo mejor de la vida y de cada situación, pues el libro tenía frases como: “elige reír en vez de llorar”, “elige amar en vez de odiar” y otro grupo más de frases de esa naturaleza, que, a manera de manual o instrucciones para una mejor vida, te proponían interiorizarlas y repetirlas siempre, como una política de vida, de camino hacia el éxito, etc. La historia no la recuerdo ya mucho, pero si lo que provocó en mi, pues me hizo el primer orador de ese tiempo, porque con aquel libro, ya en clases, di un discurso impresionante para mi edad y época, que cautivo al mas esquivo oyente (en aquel tiempo yo no hablaba con ninguna chica por un complejo infantil que tuve –once años sin hablar a chica alguna, fue un desperdicio de tiempo). Mucho más tarde llegué a la conclusión de quiénes en realidad han sido los vendedores mas grandes del mundo: los que venden fe, puesto que la fe es uno de los productos más rentables de la historia; vender fe es un gran negocio en un mundo donde se necesita algo o mucha ayuda para sobresalir. </w:t>
      </w:r>
    </w:p>
    <w:p w14:paraId="6E18067D"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2ABDD4EF"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xml:space="preserve">            Recuerdo que este tema –el de la fe- lo planteaba en clases de Filosofía del Derecho, cuando a mis alumnos les exponía que –antes que se descubra la </w:t>
      </w:r>
      <w:r w:rsidRPr="000D3432">
        <w:rPr>
          <w:rFonts w:asciiTheme="minorHAnsi" w:hAnsiTheme="minorHAnsi"/>
          <w:color w:val="000000"/>
        </w:rPr>
        <w:lastRenderedPageBreak/>
        <w:t>prueba del ADN- los padres utilizaban de la fe con sus hijos. Es decir, ellos tenían la fe que sus hijos fueran suyos, y es que sólo la madre podía saber si realmente el hijo era de su esposo. Viene a mi memoria que incluso el Código Civil expresaba un periodo de buena fe antes, durante y después del matrimonio para concebir al hijo como producto de dicho matrimonio. Así, el artículo 361º del Código Civil, prescribe la presunción de paternidad y expresa: “</w:t>
      </w:r>
      <w:r w:rsidRPr="000D3432">
        <w:rPr>
          <w:rStyle w:val="Textoennegrita"/>
          <w:rFonts w:asciiTheme="minorHAnsi" w:hAnsiTheme="minorHAnsi"/>
          <w:color w:val="000000"/>
        </w:rPr>
        <w:t>Artículo 361.- </w:t>
      </w:r>
      <w:r w:rsidRPr="000D3432">
        <w:rPr>
          <w:rFonts w:asciiTheme="minorHAnsi" w:hAnsiTheme="minorHAnsi"/>
          <w:color w:val="000000"/>
        </w:rPr>
        <w:t>El hijo nacido durante el matrimonio o dentro de los trescientos días siguientes a su disolución tiene por padre al marido.”. Así mismo el Artículo 362º prescribe la presunción de hijo matrimonial, pues expresa: “</w:t>
      </w:r>
      <w:r w:rsidRPr="000D3432">
        <w:rPr>
          <w:rStyle w:val="Textoennegrita"/>
          <w:rFonts w:asciiTheme="minorHAnsi" w:hAnsiTheme="minorHAnsi"/>
          <w:color w:val="000000"/>
        </w:rPr>
        <w:t>Artículo 362.- </w:t>
      </w:r>
      <w:r w:rsidRPr="000D3432">
        <w:rPr>
          <w:rFonts w:asciiTheme="minorHAnsi" w:hAnsiTheme="minorHAnsi"/>
          <w:color w:val="000000"/>
        </w:rPr>
        <w:t>El hijo se presume matrimonial aunque la madre declare que no es de su marido o sea condenada como adúltera.”. Y el artículo 363º prescribe la negación de la paternidad, expresando: “</w:t>
      </w:r>
      <w:r w:rsidRPr="000D3432">
        <w:rPr>
          <w:rStyle w:val="Textoennegrita"/>
          <w:rFonts w:asciiTheme="minorHAnsi" w:hAnsiTheme="minorHAnsi"/>
          <w:color w:val="000000"/>
        </w:rPr>
        <w:t>Artículo 363.- </w:t>
      </w:r>
      <w:r w:rsidRPr="000D3432">
        <w:rPr>
          <w:rFonts w:asciiTheme="minorHAnsi" w:hAnsiTheme="minorHAnsi"/>
          <w:color w:val="000000"/>
        </w:rPr>
        <w:t>El marido que no se crea padre del hijo de su mujer puede negarlo: 1. Cuando el hijo nace antes de cumplidos los ciento ochenta días siguientes al de la celebración del matrimonio; 2. Cuando sea manifiestamente imposible, dadas las circunstancias, que haya cohabitado con su mujer en los primeros ciento veintiún días de los trescientos anteriores al del nacimiento del hijo; 3. Cuando está judicialmente separado durante el mismo período indicado en el inciso 2), salvo que hubiera cohabitado con su mujer en ese período; 4. Cuando adolezca de impotencia absoluta; 5. Cuando se demuestre a través de la prueba del ADN u otras pruebas de validez científica con igual o mayor grado de certeza que no existe vínculo parental. El Juez desestimará las presunciones de los incisos precedentes cuando se hubiera realizado una prueba genética u otra de validez científica con igual o mayor grado de certeza.”. Actualmente, con el ADN, este ámbito de duda se ha superado. Pero antes la madre sabía que era su hijo porque había venido de su vientre, pero el padre sólo hacia o tenía un acto de fe, y no le quedaba más que confiar que fuera su hijo.</w:t>
      </w:r>
    </w:p>
    <w:p w14:paraId="4F9EA17A"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13A59832"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Volviendo a las ferias de libros. En el 2014 , tomé varios buses y llegué por fin a la Feria del libro, que se hace cada año en Lima, esta vez en la plaza de Marte, de Jesús María, allí donde un ya viejito pero animoso y carismático Dr. Manuel Miranda Canales –hoy magistrado del Tribunal Constitucional- contaba que se quemaba las pestañas, amaneciéndose estudiando Derecho y quejándose que no habría servido para nada, pues aunque tenia todas las cartas de presentación de todas las cortes del país o de los colegios de abogados –no recuerdo precisamente-, no lograba ser magistrado del Tribunal Constitucional. Yo lo veía con tristeza porque habiéndolo conocido en Tacna en un seminario que dictó, sucedió que cautivó mi atención, pues –como casi nunca- al escucharlo ingresé al auditorio, me senté en una silla y no paré de reír y aprender de derecho, porque el Dr. Miranda Canales tenía una forma sui generis y muy amena de enseñar Derecho.</w:t>
      </w:r>
    </w:p>
    <w:p w14:paraId="52CC6598"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0662513D"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xml:space="preserve">            Un año antes, en el 2013, se hizo la Feria del Libro en la plaza de Larco Mar, donde encontré y conocí al famoso alias Carlín, Carlos Miguel Tovar Samanez, que según nuestro sabio (porque sabe) internet fue graduado en la  Facultad de Arquitectura, Urbanismo y Artes de la Universidad Nacional de Ingeniería, y que hoy es un gran caricaturista político reconocido, que publica en el diario La República, y que caricaturizando a los políticos actuales, y </w:t>
      </w:r>
      <w:r w:rsidRPr="000D3432">
        <w:rPr>
          <w:rFonts w:asciiTheme="minorHAnsi" w:hAnsiTheme="minorHAnsi"/>
          <w:color w:val="000000"/>
        </w:rPr>
        <w:lastRenderedPageBreak/>
        <w:t>haciéndoles hablar, pone en aprietos y al descubierto las más internas malicias de los políticos de nuestra nación. Carlín habría publicado: “Habla el Viejo”, testimonios de sus conversaciones con el fantasma de Carlos Marx, “Manifiesto del siglo XXI”, y cuando lo conocí acababa de publicar su libro de caricaturas políticas “Hoja de Ruta”, haciendo una irónica alusión al miniplan de trabajo político de gobierno del candidato presidente actual. Invité, ingenuamente, a Carlín a que pudiera exponer sus libros y caricaturas en la Corte en la cual yo trabajaba en aquel momento. El me miró caricaturéscamente, con sorpresa, pues sabía que en una institución judicial no iban a permitir presentar sus caricaturas políticas, menos si son siempre contra las autoridades gobernantes, pero aún así, fue gentil, y asintió, indicándome que primero lo llamara; me dio sus datos, que me apresté a anotar en mi Tablet, escribiendo con un lapiz óptico sobre la Tablet, lo que provocó un real asombro –a mi parecer- de Carlín, y me preguntó sobre si podía dibujar en la Tablet. Yo quedé mas asombrado, porque no podía entender que no supiera de dichos programas para dibujar ya no en cuadernos sino en Tablet, celulares, en forma virtual, con lápices virtuales. Bueno, talvez me equivoqué porque los dibujos de Carlín tienen el matiz de quien los ha pintado en computadora. Y efectivamente, como lo había adivinado Carlín, no pude invitarlo a exponer en la institución porque al proponerlo esto fue tomado con sobriedad que impidió mayor insistencia en ello. No puedo dejar de recordar a otros personajes del comic, como el argentino y famoso Quino (Joaquín Salvador Lavado Tejón) quien hacía decir a su tira cómica emblema, Mafalda, “Paren el mundo que me quiero bajar”; y también a otro personaje salvaje de los cómic underground, cómic subterráneos, Robert Crumb.</w:t>
      </w:r>
    </w:p>
    <w:p w14:paraId="04D33C8C"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36C680DB"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Hubo un tiempo en el que era aficionado a los cómics contraculturales, subterráneos, tanto que cuando viajaba a Lima desde Tacna –donde vivía-, para asistir a las Ferias de Libros anuales, me sumergía también en una búsqueda subterránea de comic en la ciudad, y llegaba a la plaza San Martín, a Quilca, donde encontraba una hilera de lugares donde vendían todo tipo de libros usados, tocaban rock undergrund y daban charlas sobre la contracultura, la cultura y música subterránea. Fue en uno de esos viajes a la Feria del Libro de Lima, que, con mis entonces amigos y socios Guataloca y Draculín (filósofo empresario y poeta descarriado), buscábamos y nos enteramos que justo en esa fecha estaban a por dar una charla sobre “Los poetas malditos”. Entusiasmados ubicamos el lugar, subimos al segundo piso donde se dictaría la charla, pero, sorpresa, allí no había nadie más que el expositor –vestido totalmente de negro, flaco y desaliñado-, que acribillado por la abrumadora ausencia de público, nos hizo conversación y dio un pequeño e insípido discurso sobre los poetas malditos. Al final le preguntamos dónde encontrar revistas de comic subterráneos, contraculturales y dijo tener algunos; se apresuró a llevarnos a lugar donde los tenía, un lugar sucio y pequeño, que quedaba en Quilca, sacó cuanta revistita subte tenía y nos las vendió. Yo estaba entusiasmado y no podía entender cómo se deshacía de aquellas joyas de la cultura subte, pero en realidad creo que al sujeto le había llegado la realidad, y le importaba más tener algo que comer que ser un contracultural, un subterráneo. Compré todas las revistitas que pude y nunca más supe de aquel tipo que me dejó con la impresión que le importaba ni rayos ser subte sino que era tal porque no tenía –</w:t>
      </w:r>
      <w:r w:rsidRPr="000D3432">
        <w:rPr>
          <w:rFonts w:asciiTheme="minorHAnsi" w:hAnsiTheme="minorHAnsi"/>
          <w:color w:val="000000"/>
        </w:rPr>
        <w:lastRenderedPageBreak/>
        <w:t>al parecer- dónde caerse muerto. Mucho más tarde, volví a Lima, y buscando encontré la revista o institución Calandria, y compré alguno de sus números.  Eran fascinantes las historias publicadas en esas revistas, como aquel que narraba la vida de un joven, esmerado en el estudio y que a la misma vez tenía que trabajar muy duro, obviar o evitar ser delincuente, sufrir como paso indispensable para lograr el éxito, haciendo lo que un clásico slogan presagiaba, que con duro esfuerzo, trabajo y estudio, se podía lograr el éxito y la felicidad. Pues este personaje, al final de su historia, se graduaba de médico, encontraba un trabajo público, y seguía viviendo como pobre, sufriendo interminablemente; la historia termina, como se adivina, cuando el personaje se lanza de un décimo piso de un edificio, suicidándose. La historia de que quien estudia, se esfuerza triunfa, echada por los suelos por la realidad.</w:t>
      </w:r>
    </w:p>
    <w:p w14:paraId="784A1BA9"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4E1414E2" w14:textId="77777777" w:rsidR="00FA0266" w:rsidRPr="000D3432" w:rsidRDefault="00FA0266" w:rsidP="00A95498">
      <w:pPr>
        <w:pStyle w:val="NormalWeb"/>
        <w:spacing w:before="0" w:beforeAutospacing="0" w:after="0" w:afterAutospacing="0"/>
        <w:jc w:val="both"/>
        <w:rPr>
          <w:rFonts w:asciiTheme="minorHAnsi" w:hAnsiTheme="minorHAnsi"/>
          <w:color w:val="555555"/>
        </w:rPr>
      </w:pPr>
      <w:r w:rsidRPr="000D3432">
        <w:rPr>
          <w:rFonts w:asciiTheme="minorHAnsi" w:hAnsiTheme="minorHAnsi"/>
          <w:color w:val="000000"/>
        </w:rPr>
        <w:t>            Mafalda fue otro personaje, caricatura que admiré y, como una estrategia de ahorro, fotocopie (¿delito contra los derechos de autor?).  Cosa rara me parecía que aquellos que tenían los libros de Quino, como los comic de Mafalda, no se convertían también en irónicos, y despreciaran la vida, la riqueza, o los protocolos, y más bien se aferraban a la propiedad, el lujo y la insanía de la envidia; que en ellos la vida era todo lo contrario de lo que admiraban, tanto que hasta incluso jamás prestaban un libro, como si la propiedad de aquel fuera más importante que la relación con otro ser humano. Nunca pude entender esta contradicción, y por lo tanto nunca pude admirar a la gente que se desangra por no prestar libros, o por amalos demasiado. Nunca pude entender cómo personas que se autocalificaban como undergrund podían pegarse tanto a libros, tiras cómicas o a cualquier cosa material, olvidando que importa más un ser humano que un libro, por más especial, maravilloso o fantástico que sea. El ser humano siempre será mucho más fantástico que un libro, cualesquiera sea su naturaleza o género.</w:t>
      </w:r>
    </w:p>
    <w:p w14:paraId="737210EB"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xml:space="preserve">            Pude también conocer los dibujos denominados: Las chicas de Vargas, que eran chicas preciosas desnudas, en diferentes poses y tonos, y que adquirí en uno de mis viajes a Lima. Recuerdo también que en esa oportunidad nos alojamos en la casa del primo de mi amigo Guataloca –éramos egresados de la universidad recién-, y su familiar nos alojó muy amablemente en lo que era los principios de un baño en construcción, que aún no tenía los conductos o tuberías para ello, pero que igual era un prospecto de baño. En la entrada de la casa habían construido un cuartito de un metro por un metro, pequeño y que tenía un agujero en el centro, que hacía las veces de baño, y dónde, uno de los sobrinos de mi amigo Guataloca, venido de la sierra de Tacna, Ticaco, adolescente aún, intimaba con una chica mucho mayor, una vieja, porque no tenía dinero para llevarla a un hostal. Su tío –cuentan- para no comprarse problemas le pidió que terminara con la susodicha chica, y al no aceptar, echó al joven. Yo no podía entender ¿cómo podían pedirle a un joven que desconociera su naturaleza, que sea contra natural? Lima era así de rapaz, de cruel. Ni familia, ni nada, quien quiera sobrevivir a adaptarse. Fue en esa casa, que uno de los hijos del dueño –que hacía ingeniosamente aretes para damas y las vendía en la ciudad-, que viendo mi revista  que tenía tipo “Las chicas de Vargas”, de historietas con dibujos de desnudos, me pidió muy educadamente que le regalara mi revista, del cual no tenía otro ejemplar, por lo que dije que no podía </w:t>
      </w:r>
      <w:r w:rsidRPr="000D3432">
        <w:rPr>
          <w:rFonts w:asciiTheme="minorHAnsi" w:hAnsiTheme="minorHAnsi"/>
          <w:color w:val="000000"/>
        </w:rPr>
        <w:lastRenderedPageBreak/>
        <w:t>ser. El niño se fue y no dijo más. Cuando ya estaba en Tacna, revisando mi mochila de viaje no encontré la revista y di en la cuenta que el niño habíala hurtado –no robado-, y supe entonces qué  sería de aquel en la ciudad con panza de burro.</w:t>
      </w:r>
    </w:p>
    <w:p w14:paraId="79FFFA02"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6C271BA1"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Muchísimos años más tarde, cuando me instalé en Lima, el presidente de la institución en la cual trabajaba (una persona extraordinaria, filosofo, jurista, abogado, juez, ajedrecista, poeta, imitador político, saxofonista, clavadista, estadista y coleccionista de premios por estar siempre concursando para el primer puesto en todo lo que emprendía, marcando récord en todo lo que hacia, incluso en su matrimonio, pues se casó cuando tenia literalmente 50 años -y no me invitó- con su preciosa y joven mujer, de vestir elegante y juvenil, con la cual vivía ya hace muchos años) me pidió me encargara de la Feria del Libro, como una novedad institucional. Hice todo el trámite para dicha feria y hasta recuerdo que incluso compré maderas y tapizados de color blanco, con la que, dirigido por un familiar, ayudé a construir literalmente las mesitas para la exposición, que luego llevé a la institución y vestí con manteles negros, en donde pusimos libros y revistas hechas por la institución.</w:t>
      </w:r>
    </w:p>
    <w:p w14:paraId="335BE7E6"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67DC387F"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La penúltima feria a la que fui, fue en el año 2014, y tomé fotos con mi celular, que en el año 2015 me robaron (en el Perú, según el Organismo supervisor de inversión privada en telecomunicaciones -OPSITEL-, se han hurtado 14 mil teléfonos al día, siendo que la sustracción de celulares superó el Millón 260 mil en los tres primeros meses del año. En el 2013 fueron 927,228 celulares robados,  y el 2014 fueron robados 3 millones 600 mil celulares). Las editoriales que participaron en dicha feria, entre otras fueron: Amelie, Amnistía Internacional – Perú, Aurea Ediciones, Banco Central de Reserva del Perú, Biblioteca Digital, Casa del Saber, Centro de Estudios y Publicaciones, Congreso de la República, Corporación Primi, Distribuidora Gutiérrez, Distribuidora Navarrete, Ediciones Altazor, Ediciones Peisa, Ediciones SM,  Editorial Bruño, Editorial Estruendo, Editorial Océano, Editorial San Marcos, Fondo de Cultura Económica, Fondo Editorial Usil, Graph Ediciones, Grupo Editorial Caja Negra, HGP – Arte Europeo –Litografías, Ibero Librerías, Ideal, Instituto Francés de Estudios Andinos, Instituto Peruano Norteamericano ICPNA, Jurista Editores, La casa del libro, Librería Contracultura, Librería Disbook, Librería El Aleph, Librería Época, Librería Hnos. Espinoza, Librería Inestable, Librería La Familia, Librería Myltec, Malabares, Museo de Arte de Lima – Mali, Ordecupe, Palestra Editores, Polifonía, Pontificia Universidad Católica del Perú, Roca Distribuciones, San Cristobal Libros, San Pablo, Selecta Librería, Universidad Agraria La Molina, Universidad Alas Peruanas, Universidad de Lima, Universidad de San Martín de Porres, Universidad del Pacífico, Universidad Esan, Universidad Nacional de Ingeniería, Universidad Nacional de San Marcos, Universidad Peruana Cayetano Heredia, Universidad San Ignacio de Loyola, V&amp;D Distribuciones, Vlacabo Hnos., Zeta Bookstore,</w:t>
      </w:r>
    </w:p>
    <w:p w14:paraId="06704718"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1C6406DD"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xml:space="preserve">            Encontré los clásicos libros, como aquellos de pintura, de Rembrant, Rodin, Kandinsky, Miguel Angel, El Greco, o El Dibujo Humorístico, Grandes generales de la historia, El libro del automovil, Vinos del mundo, Introducción al </w:t>
      </w:r>
      <w:r w:rsidRPr="000D3432">
        <w:rPr>
          <w:rFonts w:asciiTheme="minorHAnsi" w:hAnsiTheme="minorHAnsi"/>
          <w:color w:val="000000"/>
        </w:rPr>
        <w:lastRenderedPageBreak/>
        <w:t>Sufismo,  Mudras terapéuticos, El Mahabharata, El libro del ego (Osho), Autobiografía de un místico espiritualmente incorrecto (Osho), La Celestina, El Quijote, Frankenstein, La vida es sueño, Crimen y Castigo, La vuelta al mundo en 80 días, Hamlet, Robinson Crusoe, Alex no le tiene miedo a  nada, el ladrón de monosílabos, El ángel que perdió un ala, Demian (hermann Hesse), El Arte de la Guerra (Sun Tzu), Rebelión de la granja (George Orwell), Historietas, cuentos y fábulas (Marqués de Sade), El Viejo y el Mar (Heminguey), El Purgatorio (Dante Aligheri), Prosas Profanas, Antología (Rubén Darío), Cuenbtos de la Selva (Horacio Quiroga),  Utopia (Tomas Moro), Tratado de la Desesperación (S. Kerkegaard), La Metamorfosis (Franz Kafka), Fundamentos de Econometria, A trancas y barrncas (Alfredo Bryce Echenique), Grandes Miradas (Alonso Cueto), Canto ceremonial contra un oso hormiguero (Antonio Cisneros),  Elogio de la Madrastra, El Pez en el  Agua (Mario Vargas Llosa),  Poesía reunina de Javier Heraud, Obra poética de César Vallejo, Títulos Valores, Código Tributario, Ley General de Sociedades.</w:t>
      </w:r>
    </w:p>
    <w:p w14:paraId="44680707"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65E280F7" w14:textId="77777777" w:rsidR="00FA0266" w:rsidRPr="000D3432" w:rsidRDefault="00FA0266" w:rsidP="00A95498">
      <w:pPr>
        <w:pStyle w:val="NormalWeb"/>
        <w:spacing w:before="0" w:beforeAutospacing="0" w:after="0" w:afterAutospacing="0"/>
        <w:jc w:val="both"/>
        <w:rPr>
          <w:rFonts w:asciiTheme="minorHAnsi" w:hAnsiTheme="minorHAnsi"/>
          <w:color w:val="000000"/>
        </w:rPr>
      </w:pPr>
      <w:r w:rsidRPr="000D3432">
        <w:rPr>
          <w:rFonts w:asciiTheme="minorHAnsi" w:hAnsiTheme="minorHAnsi"/>
          <w:color w:val="000000"/>
        </w:rPr>
        <w:t>            Nada peor que un libro para sacarte de la ignorancia, para hacerte libre, cósmico, simiesco, iluso, entusiasta, dogmático, ético, moral, inmoral, nada peor que un libro para saciar tu insaciedad.</w:t>
      </w:r>
    </w:p>
    <w:p w14:paraId="3D7A7360" w14:textId="77777777" w:rsidR="00FA0266" w:rsidRPr="000D3432" w:rsidRDefault="00FA0266" w:rsidP="00A95498">
      <w:pPr>
        <w:pStyle w:val="NormalWeb"/>
        <w:spacing w:before="0" w:beforeAutospacing="0" w:after="0" w:afterAutospacing="0"/>
        <w:jc w:val="both"/>
        <w:rPr>
          <w:rFonts w:asciiTheme="minorHAnsi" w:hAnsiTheme="minorHAnsi"/>
          <w:color w:val="555555"/>
        </w:rPr>
      </w:pPr>
    </w:p>
    <w:p w14:paraId="1DA8F614"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(Tomado del Libro “Nada peor que un libro”. Hanks Bandìni. Ediciones “AZ Todo Derecho”. Serie: </w:t>
      </w:r>
      <w:r w:rsidRPr="000D3432">
        <w:rPr>
          <w:rFonts w:asciiTheme="minorHAnsi" w:hAnsiTheme="minorHAnsi"/>
          <w:i/>
          <w:szCs w:val="24"/>
        </w:rPr>
        <w:t>Repensando el Derecho</w:t>
      </w:r>
      <w:r w:rsidRPr="000D3432">
        <w:rPr>
          <w:rFonts w:asciiTheme="minorHAnsi" w:hAnsiTheme="minorHAnsi"/>
          <w:szCs w:val="24"/>
        </w:rPr>
        <w:t>.)</w:t>
      </w:r>
    </w:p>
    <w:p w14:paraId="75F52CB0" w14:textId="77777777" w:rsidR="00FA0266" w:rsidRPr="000D3432" w:rsidRDefault="00FA0266" w:rsidP="00A95498">
      <w:pPr>
        <w:jc w:val="both"/>
        <w:rPr>
          <w:rFonts w:asciiTheme="minorHAnsi" w:hAnsiTheme="minorHAnsi"/>
          <w:szCs w:val="24"/>
        </w:rPr>
      </w:pPr>
    </w:p>
    <w:p w14:paraId="59C04A75"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- 4-</w:t>
      </w:r>
    </w:p>
    <w:p w14:paraId="40F5415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LOS DESEQUILIBRIOS DEL DERECHO</w:t>
      </w:r>
    </w:p>
    <w:p w14:paraId="1BD8BAD1" w14:textId="77777777" w:rsidR="00FA0266" w:rsidRPr="000D3432" w:rsidRDefault="00FA0266" w:rsidP="00A95498">
      <w:pPr>
        <w:jc w:val="both"/>
        <w:rPr>
          <w:rFonts w:asciiTheme="minorHAnsi" w:hAnsiTheme="minorHAnsi"/>
          <w:szCs w:val="24"/>
        </w:rPr>
      </w:pPr>
    </w:p>
    <w:p w14:paraId="6483A257"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Conocí a Arturo Uslar Pietri en uno de los estantes de una tienda de libros usados -ahora llamada “El mundo del libro”, en la ciudad de Tacna- de propiedad de un personaje de nariz afilada y hablar sereno. Era una tienda de libros viejos esparcidos en los pisos, en las paredes, y en todos aquellos lugares donde se pudieran poner. Los principios de dicha tienda de libros se remontan a la historia de una joven mujer, de cabellos negros, trigueña y de dulce figura y cuerpo, que, venida de Lima, tendía en el suelo -en una de las veredas en las calles del cercado de Tacna, llamada la Esquina del movimiento- una veintena de libros de literatura y otros textos de moda, como los libros de Gabriel Garcia Marquez, Mario Vargas Llosa, entre otros, y allí, sin vergüenza y con amabilidad respondía a las preguntas de cuanto transeúnte interesado preguntaba sobre el costo de los libros. Los precios de aquellos eran baratísimos y en Tacna aún no había muchos locales o lugares donde se vendieran libros a esos precios. Puede decirse de ella –la vendedora- que fue la pionera de la venta de libros usados en Tacna, al menos en esa fecha -es decir la que traía un poco de cultura a costo del mercado informal-. Más tarde se le unieron su hermano y su esposo, y posteriormente alquilaron locales ampliando enormemente el número, calidad, variedad, precio de libros. Luego los vi –asombrado- en un vehículo estation wagon guinda (cuando aún era difícil comprarse vehículos), que supuse era producto de sus negocios que ahora tenían en dos o tres lugares de la ciudad. Fue la primera vez que pude percibir cómo se manejan las estrategias de venta: localizar un lugar (distrito, población, ciudad) donde haya demanda del </w:t>
      </w:r>
      <w:r w:rsidRPr="000D3432">
        <w:rPr>
          <w:rFonts w:asciiTheme="minorHAnsi" w:eastAsiaTheme="minorEastAsia" w:hAnsiTheme="minorHAnsi"/>
          <w:color w:val="000000"/>
          <w:szCs w:val="24"/>
          <w:lang w:val="es-ES_tradnl"/>
        </w:rPr>
        <w:lastRenderedPageBreak/>
        <w:t>producto, y luego afianzamiento (posicionamiento) de dicho mercado. Recuerdo que cada vez que veía a la chica -ahora con hijitos y todo- nos saludábamos, y yo siempre la pensaba como la pionera, la chica guerrera que se atrevió a vender libros usados en el piso, abrió el mercado, o lo descubrió, y luego dejó el mismo para su esposo y hermano, que ya se mostraban triunfadores, producto de una bella mujer emprendedora, joven y amable que prefería quedar en la modestia. Creo que los dos compartíamos este liviano secreto, el hecho que ella había sido la pionera del próspero negocio ahora manejado por su familia –la venta de libros usados-, o al menos eso parecía que nos decíamos en cada mirada, cuando nos cruzábamos por la calle. La anterior reseña es importante porque estoy seguro que un gran porcentaje de profesionales de hoy –abogados, fiscales, jueces, ingenieros, etc.- se han autoeducado con libros obtenidos en las calles, a través de aquellos ambulantes vendedores de libros usados, hábitos que hoy parecen perecer porque el nuevo sistema de autoeducación es el internet.</w:t>
      </w:r>
    </w:p>
    <w:p w14:paraId="28F7C936" w14:textId="77777777" w:rsidR="00FA0266" w:rsidRPr="000D3432" w:rsidRDefault="00FA0266" w:rsidP="00A95498">
      <w:pPr>
        <w:jc w:val="both"/>
        <w:rPr>
          <w:rFonts w:asciiTheme="minorHAnsi" w:eastAsiaTheme="minorEastAsia" w:hAnsiTheme="minorHAnsi"/>
          <w:color w:val="000000"/>
          <w:szCs w:val="24"/>
          <w:lang w:val="es-ES_tradnl"/>
        </w:rPr>
      </w:pPr>
    </w:p>
    <w:p w14:paraId="44EEDBC8"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Fue en ese escenario de antaño en el que fui a aquella tienda de libros usados, como casi siempre, buscando encontrar algún libro que fuera de esos extraordinarios, de aquellos que pudieran conmover mi corazón, algo que me haga sentir la vida y que me convenciera o persuadiera que valía la pena vivir, y entonces lo encontré. Eran cuatro tomos de un librito llamado “Valores Humanos”, que contenía minibiografías de los más grandes personajes de la historia, escrito por Arturo Uslar Pietri. Yo no conocía al autor, pero la variedad de personajes, y a una lectura rápida e instintiva, percibí que estaba ante una obra grandiosa, justo lo que necesita, en ese momento de desconcierto existencial, de falta de chicas que sean mis enamoradas y se acostaran conmigo. Ese libro, de cuatro tomos, pequeños, de carátula café, con diseño simple, pero de contenido esencial, me había llegado al corazón. Allí estaban las historias de Napoleón, Moisés, Marie Curié, Ivan el Terrible, Buda, Mahoma, etc., etc., y por supuesto la historia de Justiniano. Fue un momento hermoso aquel tiempo, en la cual leía fascinado la historia de los más grandes seres humanos del mundo, de sus hazañas, de sus travesuras, de sus desequilibrios, de sus majaderías, de sus genialidades, de sus sinvergüenzuras, y de cómo habían cambiado el mundo, transformándolo. El libro a mi parecer tenía un título muy simple, “Valores Humanos”, pero respondía a que el texto era una transcripción y adecuación de un programa televisivo que Arturo Uslar Pietri había hecho en su país, y que hoy llegaba, de entre esos muchos otros libros, perdido como un objeto comprado al por mayor, por libreros que venden cultura sin saber el precio real de cada cual.</w:t>
      </w:r>
    </w:p>
    <w:p w14:paraId="1A726638" w14:textId="77777777" w:rsidR="00FA0266" w:rsidRPr="000D3432" w:rsidRDefault="00FA0266" w:rsidP="00A95498">
      <w:pPr>
        <w:jc w:val="both"/>
        <w:rPr>
          <w:rFonts w:asciiTheme="minorHAnsi" w:eastAsiaTheme="minorEastAsia" w:hAnsiTheme="minorHAnsi"/>
          <w:color w:val="000000"/>
          <w:szCs w:val="24"/>
          <w:lang w:val="es-ES_tradnl"/>
        </w:rPr>
      </w:pPr>
    </w:p>
    <w:p w14:paraId="31C82EAA"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Recuerdo que al principio no podía pronunciar bien el apellido “Uslar”, este tipo de conjunción de palabras no había sido ejercitado por mi, y, no sé porqué, me era difícil pronunciarlo, como me había pasado también con otro autor, “Unamuno”, que tampoco podía, al principio, pronunciar bien. Mas tarde supe que Arturo Uslar Pietri había sido abogado, periodista, escritor, diputado, senador, ministro de estado, candidato a presidente de su país, embajador, productor de televisión, catedrático, director de periódico, autor de novelas, ensayos, cuentos, poesía, teatro, etc, y que murió a los 94 años.</w:t>
      </w:r>
    </w:p>
    <w:p w14:paraId="67B2EBB3" w14:textId="77777777" w:rsidR="00FA0266" w:rsidRPr="000D3432" w:rsidRDefault="00FA0266" w:rsidP="00A95498">
      <w:pPr>
        <w:jc w:val="both"/>
        <w:rPr>
          <w:rFonts w:asciiTheme="minorHAnsi" w:eastAsiaTheme="minorEastAsia" w:hAnsiTheme="minorHAnsi"/>
          <w:color w:val="000000"/>
          <w:szCs w:val="24"/>
          <w:lang w:val="es-ES_tradnl"/>
        </w:rPr>
      </w:pPr>
    </w:p>
    <w:p w14:paraId="560917DB"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        Fue después de haber leído y reeleído las minibiografías de la colección </w:t>
      </w:r>
      <w:r w:rsidRPr="000D3432">
        <w:rPr>
          <w:rFonts w:asciiTheme="minorHAnsi" w:eastAsiaTheme="minorEastAsia" w:hAnsiTheme="minorHAnsi"/>
          <w:color w:val="000000"/>
          <w:szCs w:val="24"/>
          <w:lang w:val="es-ES_tradnl"/>
        </w:rPr>
        <w:lastRenderedPageBreak/>
        <w:t>“Valores Humanos”, que tuve un tiempo de apogeo de erudición –simple y muy sintética- sobre personajes, historias y autores, mientras les comentaba a cuanta persona conocía sobre la vida de tal o cual personaje. Fue un poco de petulancia mía hablar y hablar de aquellos personajes, pero no lo podía evitar, e incluso recuerdo que mucho tiempo después -cuando ya tenía una enamorada y le hacía el amor con frecuencia-, que un día nos fuimos al poblado de Calientes, a sus baños termales, en Tacna, y que muy snob llevé uno de mis libritos (hubo un tiempo en que uno de mis hobbies era siempre llevar un libro conmigo, de creerme amante de la cultura, de hacer el amor con música clásica por creer que eso le daba mayor nivel, etc.), y mientras viajábanos en una combi, acompañado de esta chica que me amaba (y a la que yo aceptaba sólo porque no había encontrado otra chica mejor, porque me había resignado, por el momento, de estar con una chica que me convencía a medias, que me hacía saber –en mi interior- que yo era más superficial que cualquiera, más banal y frívolo que cualquiera, y más canalla que el mayor de los canallas), sentado al lado de la ventana, comenzaba a leerle algunos párrafos del librito “Valores Humanos”, mientras que los otros pasajeros nos miraban como si fuéramos unos pretenciosos, snob, o simplemente no nos miraban. Pero claro, yo me sentía majaderamente culto y no me importaba quien me mirara, así que continuaba leyendo en voz alta, extasiado, el librito de Uslar Pietri, y es que “Valores Humanos” era un libro ligero, atractivo y entusiasta que me gustaba leer y hasta me daba vanidad leerlo frente a las personas, tanto que incluso lo leía caminando por las calles, por los parques, hasta que un día me caí en un buzón abierto en plena vereda en el paseo cívico.</w:t>
      </w:r>
    </w:p>
    <w:p w14:paraId="35E500A1" w14:textId="77777777" w:rsidR="00FA0266" w:rsidRPr="000D3432" w:rsidRDefault="00FA0266" w:rsidP="00A95498">
      <w:pPr>
        <w:jc w:val="both"/>
        <w:rPr>
          <w:rFonts w:asciiTheme="minorHAnsi" w:eastAsiaTheme="minorEastAsia" w:hAnsiTheme="minorHAnsi"/>
          <w:color w:val="000000"/>
          <w:szCs w:val="24"/>
          <w:lang w:val="es-ES_tradnl"/>
        </w:rPr>
      </w:pPr>
    </w:p>
    <w:p w14:paraId="2D55F2B0"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Mucho más tarde le presté los libros a un distraído filósofo del derecho –aunque decir distraído y filósofo suena ya una tautología), luego los recuperé después de mucho tiempo, más tarde se perdieron por allí, y posteriormente recuperé tres de los cuatro tomitos, luego se volvieron a perder, y así, esos libros recorrieron mi extraviada mente. Ahora se han perdido para siempre y, a pesar mio, siento cierta tristeza por que, sin nunca haberme importado tanto conservar nada, tengo sin embargo la tentación de la tragedia en mi.</w:t>
      </w:r>
    </w:p>
    <w:p w14:paraId="554C0761" w14:textId="77777777" w:rsidR="00FA0266" w:rsidRPr="000D3432" w:rsidRDefault="00FA0266" w:rsidP="00A95498">
      <w:pPr>
        <w:jc w:val="both"/>
        <w:rPr>
          <w:rFonts w:asciiTheme="minorHAnsi" w:eastAsiaTheme="minorEastAsia" w:hAnsiTheme="minorHAnsi"/>
          <w:color w:val="000000"/>
          <w:szCs w:val="24"/>
          <w:lang w:val="es-ES_tradnl"/>
        </w:rPr>
      </w:pPr>
    </w:p>
    <w:p w14:paraId="60C3EBFA"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Fue en aquel libro que leí que el gran emperador Justiniano se casó con una prostituta de nombre Teodora, y que ésta se masturbaba poniéndose granos en el cuerpo y dejando que los gansos comieran los granos sembrados en su cuerpo desnudo.</w:t>
      </w:r>
    </w:p>
    <w:p w14:paraId="5740CA8F"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        Por todo lo narrado, el presente texto compilatorio es un intento, lúdico y talvez simiesco,  de fomentar la narrativa, el análisis, la historia, la filosofía, el derecho; un ánimo casi sentimental por difundir siempre el derecho, a través de la historia o cualquier arte. Difundir el derecho ha sido nuestra intención, sentimiento que confieso es siempre amoral, como aquel que profesa el conocimiento antes que la forma, aunque el conocimiento sea en si también forma, signos y símbolos, y a la vez razones y sentimientos, el Derecho es entonces, “texto puesto en acción”, escritura. Hay que tener en cuenta, sin embargo, que la escritura es un acto de poderío, de poder y éste (power, kraitos, potentia, potestas) siempre ha representado una fascinación en el ser humano y puede o debe ser controlado –o al menos eso define la teoría- por el Derecho, </w:t>
      </w:r>
      <w:r w:rsidRPr="000D3432">
        <w:rPr>
          <w:rFonts w:asciiTheme="minorHAnsi" w:eastAsiaTheme="minorEastAsia" w:hAnsiTheme="minorHAnsi"/>
          <w:color w:val="000000"/>
          <w:szCs w:val="24"/>
          <w:lang w:val="es-ES_tradnl"/>
        </w:rPr>
        <w:lastRenderedPageBreak/>
        <w:t>porque incluso éste a su vez es también una voluntad de poderío. No se debe olvidar que el más potente límite o transgresión al poder puede ser concebido por el Derecho, y que sólo el poder unido a lo jurídico abrirá los caminos a la libertad, porque ningún poder no legitimado por el Derecho puede permanecer.</w:t>
      </w:r>
    </w:p>
    <w:p w14:paraId="6BA7A9A3" w14:textId="77777777" w:rsidR="00FA0266" w:rsidRPr="000D3432" w:rsidRDefault="00FA0266" w:rsidP="00A95498">
      <w:pPr>
        <w:jc w:val="both"/>
        <w:rPr>
          <w:rFonts w:asciiTheme="minorHAnsi" w:eastAsiaTheme="minorEastAsia" w:hAnsiTheme="minorHAnsi"/>
          <w:color w:val="000000"/>
          <w:szCs w:val="24"/>
          <w:lang w:val="es-ES_tradnl"/>
        </w:rPr>
      </w:pPr>
    </w:p>
    <w:p w14:paraId="1A23BC51"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El esfuerzo por difundir este tipo de textos, de este formato y con estas cualidades, es no menos que una osadía, un atrevimiento y arriesgado afán por poder, por lograr aquello en lo que pocos creen: la creación y modificación constante y hasta contradictoria de los fundamentos del Derecho. La creación debe ser permanente si deseamos ser libres. La libertad consiste en ello: ser creadores, pero creadores de soluciones, de construcciones, de edificios, de ingenios, etc, que ayuden al ser humano a mejorar como ser humano. Crear mentalmente a los hombres, ésa es la intención de este intento inacabado, que no puede frustrarse por simples tradiciones de no hacer nada, y puesto que no queremos quedarnos en no hacer nada, sino colaborar en construir un Derecho renovativo, dialéctico y no estático, profesamos por un Derecho que mejore o refine al ser humano, y aquello se  puede lograr incluso, y talvez casi siempre, por unos pocos que se atreven a hacer aquello que el resto sentencia de imposible</w:t>
      </w:r>
    </w:p>
    <w:p w14:paraId="67FC2AB1"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(Tomado de la columna digital “Las curvas del Derecho”, URL: </w:t>
      </w:r>
      <w:hyperlink r:id="rId9" w:history="1">
        <w:r w:rsidRPr="000D3432">
          <w:rPr>
            <w:rStyle w:val="Hipervnculo"/>
            <w:rFonts w:asciiTheme="minorHAnsi" w:hAnsiTheme="minorHAnsi"/>
            <w:szCs w:val="24"/>
          </w:rPr>
          <w:t>http://columna-az.webnode.es</w:t>
        </w:r>
      </w:hyperlink>
      <w:r w:rsidRPr="000D3432">
        <w:rPr>
          <w:rFonts w:asciiTheme="minorHAnsi" w:hAnsiTheme="minorHAnsi"/>
          <w:szCs w:val="24"/>
        </w:rPr>
        <w:t xml:space="preserve">. Hanks Bandìni. Ediciones virtuales AZ Todo Derecho. </w:t>
      </w:r>
    </w:p>
    <w:p w14:paraId="4FFEBC24" w14:textId="77777777" w:rsidR="00FA0266" w:rsidRPr="000D3432" w:rsidRDefault="00FA0266" w:rsidP="00A95498">
      <w:pPr>
        <w:jc w:val="both"/>
        <w:rPr>
          <w:rFonts w:asciiTheme="minorHAnsi" w:hAnsiTheme="minorHAnsi"/>
          <w:szCs w:val="24"/>
        </w:rPr>
      </w:pPr>
    </w:p>
    <w:p w14:paraId="7A8483DF" w14:textId="77777777" w:rsidR="00FA0266" w:rsidRPr="000D3432" w:rsidRDefault="00FA0266" w:rsidP="00F3090F">
      <w:pPr>
        <w:jc w:val="center"/>
        <w:rPr>
          <w:rFonts w:asciiTheme="minorHAnsi" w:hAnsiTheme="minorHAnsi"/>
          <w:b/>
          <w:szCs w:val="24"/>
        </w:rPr>
      </w:pPr>
    </w:p>
    <w:p w14:paraId="48C3F733"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- 5 -</w:t>
      </w:r>
    </w:p>
    <w:p w14:paraId="20EF3CAA"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ECONOMIA DE DERECHO</w:t>
      </w:r>
    </w:p>
    <w:p w14:paraId="14F71722" w14:textId="77777777" w:rsidR="00FA0266" w:rsidRPr="000D3432" w:rsidRDefault="00FA0266" w:rsidP="00A95498">
      <w:pPr>
        <w:jc w:val="both"/>
        <w:rPr>
          <w:rFonts w:asciiTheme="minorHAnsi" w:hAnsiTheme="minorHAnsi"/>
          <w:szCs w:val="24"/>
        </w:rPr>
      </w:pPr>
    </w:p>
    <w:p w14:paraId="663F30DE"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 Francesco Carnelutti escribía en uno de sus múltiples libros, “El Arte del Derecho”, que la sociedad no necesitaría del Derecho si la gente pudiera hacer las cosas por amor, como hacen los padres con sus hijos, sin necesidad de instrumentos de coacción. Así el Derecho dejaría de ser utilizado, sustituido más bien por el sentimiento. Este amor del padre, sin embargo, ha sido también una construcción social, cultural, pues en el tiempo del matriarcado, en el que el padre no sabía siquiera que tenía participación en la creación de los niños, no podía formarse el sentimiento paternal. Pero la idea que plantea Carnelutti, la de sustitución del instrumento para organizar las relaciones sociales abre un espacio para postular nuevas formas de economizar el derecho, es decir, de cómo utilizar el Derecho sólo allí donde las relaciones sociales no se puedan conectar por el sentimiento u otros instrumentos o factores no represivos. Otra cosa es más bien el Análisis Económico del Derecho, que no es más que el estudio y aplicación de la disciplina jurídica utilizando el visor de otra disciplina social, la economía.  Esta nueva conceptualización o marco en el estudio del Derecho ha sido catapultada, al parecer, por la propuesta traída por Alfredo Bullard, abogado y profesor de Derecho de la ex Pontificia Universidad Católica del Perú, que, al rumor de la cultura intelectual de Derecho, fue discípulo del Jus Filósofo Fernando De Trazegnies Granda (Éste último gran personaje resaltó a nivel nacional, como cosa paradójica, no por su extraordinaria producción jurídica literaria, sino por haber caído en la desgracia de haber sido Ministro de Relaciones Exteriores del Perú, en el mandato presidencial del japonés Alberto </w:t>
      </w:r>
      <w:r w:rsidRPr="000D3432">
        <w:rPr>
          <w:rFonts w:asciiTheme="minorHAnsi" w:eastAsiaTheme="minorEastAsia" w:hAnsiTheme="minorHAnsi"/>
          <w:color w:val="000000"/>
          <w:szCs w:val="24"/>
          <w:lang w:val="es-ES_tradnl"/>
        </w:rPr>
        <w:lastRenderedPageBreak/>
        <w:t>Fujimori, y no observarse su real participación –más allá del bien y del mal- al haber logrado culminar el conflicto territorial entre Perú y Ecuador, que no se había resuelto hasta su participación y cuya historia ha sido narrada en un libro suyo denominada: “Testigo presencial” y explicada sucintamente en una entrevista de Cecilia Valenzuela en su programa “Mira quién habla”. Nada de esos logros políticos (plantear y lograr la paz limítrofe entre Perú y Ecuador a través de una estrategia comunicacional impresionante) importaron cuando –según otros rumores- los alumnos de la Ex Pontificia Universidad Católica del Perú, impregnados de “santidad” se decidieron dueños de la moralidad e impidieron a aquel filósofo, dictar sus clases de Filosofía del Derecho. No le valió a De Trazegnies haber traído todo tipo de pensamientos a la orbe del Derecho en el Perú, ni haber escrito extraordinarias obras como: “Notas impasibles”, “Postmodernidad y Pluralismo Jurídico”, “Julio Verne en el Perú”, “Atracción apasionada”, “La responsabilidad extracontractual Volumen IV. 2 tomos”, “Para leer el código Civil”, “Ciriaco de Urtecho: litigante por amor”, “En el país de las colinas de arena”, “La idea del derecho en el Perú republicano del siglo XIX”, “Pensando insolentemente”, “Imágenes rotas”, Testigo Presencial. Los trabajos y los días en la búsqueda de la paz verdadera”, ni haber sido, a mi parecer, el motivador de todas las teorías que después vinieron con sus alumnos, como Bullard, con el Análisis Económico del Derecho, que habiendo empezado con un librito encontrado sobre la materia, impulsó la idea, con las teorías de Ronald Coase y los costos de transacción, Gary Beker, y el uso de la economía estadísticamente en la aplicación o explicación de las instituciones del Derecho. La nueva teoría refiere el estudio del Derecho desde el punto de vista de la economía. La postulación de dicha corriente se centra en los costos y los beneficios que producía utilizar el derecho, los costos de transacción, entre otros instrumentos para la regulación intersubjetiva.</w:t>
      </w:r>
    </w:p>
    <w:p w14:paraId="2142935C" w14:textId="77777777" w:rsidR="00FA0266" w:rsidRPr="000D3432" w:rsidRDefault="00FA0266" w:rsidP="00A95498">
      <w:pPr>
        <w:jc w:val="both"/>
        <w:rPr>
          <w:rFonts w:asciiTheme="minorHAnsi" w:eastAsiaTheme="minorEastAsia" w:hAnsiTheme="minorHAnsi"/>
          <w:color w:val="000000"/>
          <w:szCs w:val="24"/>
          <w:lang w:val="es-ES_tradnl"/>
        </w:rPr>
      </w:pPr>
    </w:p>
    <w:p w14:paraId="121BFAAE"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En estos tiempos pareciera que el ser humano ha devenido en ser un homus económicus, porque siempre está buscando hacer el menor esfuerzo y obtener los mayores beneficios. Antaño, Francesco Carneluti se preguntaba sobre la misma circunstancia de la economía, y describía que era antes que el Derecho, porque importaba una postura o “una posición” del individuo. Por otro lado, muchos han creído que es aquella que nace de la preocupación por conseguir riqueza, cómo conseguirlo y llegar hasta el. La economía es, como disciplina, una forma de tratar de administrar los recursos escasos; noción que no tiene la solidez de lo que en la concepción popular se entiende, porque ésta se entiende sólo como una forma para hacer riqueza. Por otro lado, Ronald Coase habría tratado sobre los Costos de Transacción, y con ello puntualizado los efectos de la economía en el Derecho.</w:t>
      </w:r>
    </w:p>
    <w:p w14:paraId="566C98E9" w14:textId="77777777" w:rsidR="00FA0266" w:rsidRPr="000D3432" w:rsidRDefault="00FA0266" w:rsidP="00A95498">
      <w:pPr>
        <w:jc w:val="both"/>
        <w:rPr>
          <w:rFonts w:asciiTheme="minorHAnsi" w:eastAsiaTheme="minorEastAsia" w:hAnsiTheme="minorHAnsi"/>
          <w:color w:val="000000"/>
          <w:szCs w:val="24"/>
          <w:lang w:val="es-ES_tradnl"/>
        </w:rPr>
      </w:pPr>
    </w:p>
    <w:p w14:paraId="1F330939"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            Conocí a Giorgio Del Vechio en manos de un profesor de Post Grado de Maestría en Derecho Civil y Comercial, que tenía el libro “Derecho Económico”. Él, alto, delgado, rosado, con principios de calvicie, joven aún, y embutido en el concepto de “orgullo” de ser “catedrático de postgrado”, al parecer arraigando nociones personalísimas sobre el “respeto” que deben tenerle los alumnos, y por tal, tratar –discriminando a unos u otros de acuerdo a los ánimos de sus valoraciones, como “inferiores”, parecía pensar que su curso no podía ser </w:t>
      </w:r>
      <w:r w:rsidRPr="000D3432">
        <w:rPr>
          <w:rFonts w:asciiTheme="minorHAnsi" w:eastAsiaTheme="minorEastAsia" w:hAnsiTheme="minorHAnsi"/>
          <w:color w:val="000000"/>
          <w:szCs w:val="24"/>
          <w:lang w:val="es-ES_tradnl"/>
        </w:rPr>
        <w:lastRenderedPageBreak/>
        <w:t>aprobado por quienes no asistían regularmente a sus clases. Uno de aquellos descarriados, majaderos por no asistir regularmente -creo el único-, era yo. Así que en esa fecha tuve problemas para aprobar el curso. Recuerdo, pues, que -¡en maestría!- me encontraba pidiéndole a dicho profesor reiterativamente que acepte mis trabajos de investigación, y que me de la oportunidad para demostrarle que merecía aprobar. Pensaba que todo docente inteligente podía percibir quién lo era, o quien era al menos diferente, y yo me pensaba, soberbia y equivocadamente diferente, de pensamiento diferente, con extravíos filosóficos, y pensaba –como casi siempre me pasaba- que aquel profesor habría notado dicha condición –falsa  por supuesto- y me calificaría en tanto demostrara aquello, al menos con mis intervenciones, trabajados de investigación y análisis presentados. Muy tarde supe del dicho de un autor latinoamericano del boom, “Se necesita uno por ciento de inspiración y noventa y nueve por ciento de transpiración”. Así que el profesor, incoado en su vanidad –yo no asistía regularmente a sus clases, porque en realidad me aburría-, se portó como muy reacio conmigo, cosa extraña porque se mostraba muy amable con sus otros alumnos. Pero aunque intentaba, y sabía que era buen docente, yo no podía asistir a sus clases por una u otra razón, y porque nunca he podido soportar mucho tiempo en clases, pues nunca he tenido la tradición de la flagelación, pudiendo evitarlo, y aunque el susodicho profesor tenía un conocimiento cierto, y hasta publicaba pequeños libritos de bolsillo que a mi me agradaban, nunca pude compatibilizar con él, ni como amigo, ni como uno de sus alumnos. A mi me parecía siempre alguien necesitado de algo, no parecía feliz, estaba como algo desesperado por tener éxito, y realmente me alegré cuando me enteré que logró ser vocal superior titular y luego presidente de una de las Cortes Superiores de Justicia del Perú. Fue a aquel personaje que observé tenía el libro Derecho y Economía de Giorgio Del Vecchio, quise pedirle prestado el libro, pero estaba seguro que no me lo prestaría, por lo que he narrado. Muchos años más tarde, en un viaje a Lima, en Azángaro, encontré el libro en copias, y lo compré (¿Receptación?, ¿Delitos contra los derechos de autor?). Era un enorme libro, de menudas letras, que yo pensaba era lo máximo.</w:t>
      </w:r>
    </w:p>
    <w:p w14:paraId="03F59CBD" w14:textId="77777777" w:rsidR="00FA0266" w:rsidRPr="000D3432" w:rsidRDefault="00FA0266" w:rsidP="00A95498">
      <w:pPr>
        <w:jc w:val="both"/>
        <w:rPr>
          <w:rFonts w:asciiTheme="minorHAnsi" w:eastAsiaTheme="minorEastAsia" w:hAnsiTheme="minorHAnsi"/>
          <w:color w:val="000000"/>
          <w:szCs w:val="24"/>
          <w:lang w:val="es-ES_tradnl"/>
        </w:rPr>
      </w:pPr>
    </w:p>
    <w:p w14:paraId="008AA7A6"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            Mucho más tarde, con el internet supe que Giorgio Del Vecchio había nacido en Bolonia (en la que se supone se inició la primera Universidad de Derecho, donde los que estudiaban dicho arte era para aprender a ser hombres cultos, no para litigar), italiano, filósofo del derecho, catedrático universitario, rector de universidad, y cosa muy sorprendente para mi, adherido al fascismo desde sus inicios. Eso sí que no pude soportarlo. Y entonces dejé de admirar a Del Vecchio, y a separar al texto del hombre, y supe que toda su teoría estaba equívoca en la vida, porque el derecho es en principio “libertad”, y hasta me preguntaba ¿cómo puede haber sido fascista, si escribiera en revistas como “Páginas libres”, si era un hombre de derecho?.  Su vida habría atravesado las dos guerras mundiales y esto parece no haber presagiado la verdadera condición del ser humano, la libertad. Así que mostramos su obra, pero no al autor, aunque en sus conceptos sobre Derecho y Economía, expone claramente los conceptos de utilidad, maximización de las satisfacciones y necesidades, mínimo esfuerzo individual posible, entre otras instituciones jurídicas, que ayudarán a entender este complicado mecanismo del Derecho y la Economía, en </w:t>
      </w:r>
      <w:r w:rsidRPr="000D3432">
        <w:rPr>
          <w:rFonts w:asciiTheme="minorHAnsi" w:eastAsiaTheme="minorEastAsia" w:hAnsiTheme="minorHAnsi"/>
          <w:color w:val="000000"/>
          <w:szCs w:val="24"/>
          <w:lang w:val="es-ES_tradnl"/>
        </w:rPr>
        <w:lastRenderedPageBreak/>
        <w:t>donde las regulaciones son necesarias para la satisfacción de las necesidades, puesto que siendo los recursos escasos (no todos pueden tener el mismo territorio, la misma propiedad, la misma mujer –incluso-) deben regularse a través del derecho. Giorgio Del Vecchio tiene, pues, una perspectiva singular y equidistante.</w:t>
      </w:r>
    </w:p>
    <w:p w14:paraId="624E4C7E" w14:textId="77777777" w:rsidR="00FA0266" w:rsidRPr="000D3432" w:rsidRDefault="00FA0266" w:rsidP="00A95498">
      <w:pPr>
        <w:jc w:val="both"/>
        <w:rPr>
          <w:rFonts w:asciiTheme="minorHAnsi" w:eastAsiaTheme="minorEastAsia" w:hAnsiTheme="minorHAnsi"/>
          <w:color w:val="000000"/>
          <w:szCs w:val="24"/>
          <w:lang w:val="es-ES_tradnl"/>
        </w:rPr>
      </w:pPr>
    </w:p>
    <w:p w14:paraId="70D958A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(Tomado del libro: “Despistes sobre Economía, Estado y Derecho”. Hanks Bandìni. Ediciones: AZ Todo Derecho. Serie: Repensando el Derecho).</w:t>
      </w:r>
    </w:p>
    <w:p w14:paraId="5D2B3D5C" w14:textId="77777777" w:rsidR="00FA0266" w:rsidRPr="000D3432" w:rsidRDefault="00FA0266" w:rsidP="00A95498">
      <w:pPr>
        <w:jc w:val="both"/>
        <w:rPr>
          <w:rFonts w:asciiTheme="minorHAnsi" w:hAnsiTheme="minorHAnsi"/>
          <w:szCs w:val="24"/>
        </w:rPr>
      </w:pPr>
    </w:p>
    <w:p w14:paraId="5EDDD6E6"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- 6 -</w:t>
      </w:r>
    </w:p>
    <w:p w14:paraId="7F8A25A5"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EL JUEZ EN SU ENCRUCIJADA</w:t>
      </w:r>
    </w:p>
    <w:p w14:paraId="71D320F3" w14:textId="77777777" w:rsidR="00FA0266" w:rsidRPr="000D3432" w:rsidRDefault="00FA0266" w:rsidP="00A95498">
      <w:pPr>
        <w:jc w:val="both"/>
        <w:rPr>
          <w:rFonts w:asciiTheme="minorHAnsi" w:hAnsiTheme="minorHAnsi"/>
          <w:szCs w:val="24"/>
        </w:rPr>
      </w:pPr>
    </w:p>
    <w:p w14:paraId="4BA40DC7"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El Juez es un personaje ambivalente, cósmico y decisivo, es una especulación de injusticia y una afirmación de justicia, es una idiosincrasia en la cual se cree que una persona, o un colegiado de personas, nos deben decir cuales son efectivamente nuestros derechos. Esto es agobiante, trágico y hasta peligroso, pero también todo lo contrario, porque pueden ser la solución a nuestros problemas de convivencia, de coexistencia. Y es que los jueces son necesarios, pero no son dioses, sino seres humanos, que por un periodo y por circunstancias dialécticas tienen un poder demasiado grande para cualquier ser humano, por lo que, pensamos que todos los jueces deben dejar de serlo dentro de cierto tiempo, pues después de allí, empiezan a pensar que tienen realmente la justicia en sus manos (esto no es su culpa sino es consecuencia de su condición y ubicación en el aparato público), cuando la justicia corresponde a todos y sólo es una delegación, y por que el uso del poder de administrar justicia, al ser poder, siempre puede perturbar al ser humano, o ¿cómo se puede pensar que un Juez, que envía a prisión a innumerable número de personas -al final de aquello- sigue siendo humano, sin afectación, no es perturbado o está aún sano? No creo que este tipo de trabajo pueda dejar sano la mente y el cuerpo. Por eso es si sano que un juez sólo lo sea un tiempo prudencial, aquel suficiente para no alterar su condición de ser humano,  para que no se piense un dios o un esclavo.</w:t>
      </w:r>
    </w:p>
    <w:p w14:paraId="6FB15CBD" w14:textId="77777777" w:rsidR="00FA0266" w:rsidRPr="000D3432" w:rsidRDefault="00FA0266" w:rsidP="00A95498">
      <w:pPr>
        <w:jc w:val="both"/>
        <w:rPr>
          <w:rFonts w:asciiTheme="minorHAnsi" w:eastAsiaTheme="minorEastAsia" w:hAnsiTheme="minorHAnsi"/>
          <w:color w:val="000000"/>
          <w:szCs w:val="24"/>
          <w:lang w:val="es-ES_tradnl"/>
        </w:rPr>
      </w:pPr>
    </w:p>
    <w:p w14:paraId="023FA983" w14:textId="77777777" w:rsidR="00FA0266" w:rsidRPr="000D3432" w:rsidRDefault="00FA0266" w:rsidP="00A95498">
      <w:pPr>
        <w:jc w:val="both"/>
        <w:rPr>
          <w:rFonts w:asciiTheme="minorHAnsi" w:eastAsiaTheme="minorEastAsia" w:hAnsiTheme="minorHAnsi"/>
          <w:color w:val="000000"/>
          <w:szCs w:val="24"/>
          <w:lang w:val="es-ES_tradnl"/>
        </w:rPr>
      </w:pPr>
      <w:r w:rsidRPr="000D3432">
        <w:rPr>
          <w:rFonts w:asciiTheme="minorHAnsi" w:eastAsiaTheme="minorEastAsia" w:hAnsiTheme="minorHAnsi"/>
          <w:color w:val="000000"/>
          <w:szCs w:val="24"/>
          <w:lang w:val="es-ES_tradnl"/>
        </w:rPr>
        <w:t xml:space="preserve">            Pero sobre los jueces han escrito muchos autores, y sobre su actividad, la administración de justicia –por ser éste un monopolio del Estado a través del juez- existen diversos libros de literatura, filosofía, etc., pero que parecen más una ficción, en la cual los verdaderos personajes somos todos nosotros. Cabría revisar los siguientes libros: "El Buen Juez", de Azorín; "Elogio de los jueces escrito por un Abogado", de Piero Calamandrei; "El Juez", de Rudolf Stammler; "Redoble por Rancas", de Manuel Scorza; "¿Deben nuestros Jueces ser filósofos? ¿Pueden ser filósofos?, de Ronald Dworkin; "El pefil del Juez", Conferencia de Carlos Fernández Sessarego; "La casa del Juez", de Bram Stoker; "Nuestros Magistrados", de Manuel Gonzales Prada; "Ética judicial: Reflexiones desde jueces para la democracia", de Fundación Antonio Carretero; ¿Separando la paja del trigo? Destitución de jueces por el Consejo Nacional de la Magistratura entre el 2003 y el 2007, César Bazán Seminario; "Libro blanco sobre la formación continua de los jueces y magistrados, aprobado por el Pleno del Consejo del Poder Judicial - Madrid; "Contra los Jueces", de Aníbal A. D'Auria. Y Es Azorín, </w:t>
      </w:r>
      <w:r w:rsidRPr="000D3432">
        <w:rPr>
          <w:rFonts w:asciiTheme="minorHAnsi" w:eastAsiaTheme="minorEastAsia" w:hAnsiTheme="minorHAnsi"/>
          <w:color w:val="000000"/>
          <w:szCs w:val="24"/>
          <w:lang w:val="es-ES_tradnl"/>
        </w:rPr>
        <w:lastRenderedPageBreak/>
        <w:t>quien nos explica cómo actúa, piensa –quizá no todos- un juez de sana conciencia.</w:t>
      </w:r>
    </w:p>
    <w:p w14:paraId="5F56BAF7" w14:textId="77777777" w:rsidR="00FA0266" w:rsidRPr="000D3432" w:rsidRDefault="00FA0266" w:rsidP="00A95498">
      <w:pPr>
        <w:jc w:val="both"/>
        <w:rPr>
          <w:rFonts w:asciiTheme="minorHAnsi" w:hAnsiTheme="minorHAnsi"/>
          <w:szCs w:val="24"/>
        </w:rPr>
      </w:pPr>
    </w:p>
    <w:p w14:paraId="1D4F6E4D" w14:textId="77777777" w:rsidR="00FA0266" w:rsidRPr="000D3432" w:rsidRDefault="00FA0266" w:rsidP="00A95498">
      <w:pPr>
        <w:jc w:val="both"/>
        <w:rPr>
          <w:rFonts w:asciiTheme="minorHAnsi" w:hAnsiTheme="minorHAnsi"/>
          <w:szCs w:val="24"/>
        </w:rPr>
      </w:pPr>
    </w:p>
    <w:p w14:paraId="0B473EEA" w14:textId="77777777" w:rsidR="00FA0266" w:rsidRPr="000D3432" w:rsidRDefault="00FA0266" w:rsidP="00F3090F">
      <w:pPr>
        <w:jc w:val="center"/>
        <w:rPr>
          <w:rFonts w:asciiTheme="minorHAnsi" w:hAnsiTheme="minorHAnsi"/>
          <w:szCs w:val="24"/>
        </w:rPr>
      </w:pPr>
      <w:r w:rsidRPr="000D3432">
        <w:rPr>
          <w:rFonts w:asciiTheme="minorHAnsi" w:hAnsiTheme="minorHAnsi"/>
          <w:szCs w:val="24"/>
        </w:rPr>
        <w:t>- 7 -</w:t>
      </w:r>
    </w:p>
    <w:p w14:paraId="474560AA" w14:textId="77777777" w:rsidR="00FA0266" w:rsidRPr="000D3432" w:rsidRDefault="00FA0266" w:rsidP="00F3090F">
      <w:pPr>
        <w:jc w:val="center"/>
        <w:rPr>
          <w:rFonts w:asciiTheme="minorHAnsi" w:hAnsiTheme="minorHAnsi"/>
          <w:b/>
          <w:szCs w:val="24"/>
          <w:lang w:val="es-ES_tradnl"/>
        </w:rPr>
      </w:pPr>
      <w:r w:rsidRPr="000D3432">
        <w:rPr>
          <w:rFonts w:asciiTheme="minorHAnsi" w:hAnsiTheme="minorHAnsi"/>
          <w:b/>
          <w:szCs w:val="24"/>
          <w:lang w:val="es-ES_tradnl"/>
        </w:rPr>
        <w:t>1.- ¿Qué es el abogado?  El defensor de los intereses ajenos</w:t>
      </w:r>
    </w:p>
    <w:p w14:paraId="4B9A2270" w14:textId="77777777" w:rsidR="00FA0266" w:rsidRPr="000D3432" w:rsidRDefault="00FA0266" w:rsidP="00A95498">
      <w:pPr>
        <w:tabs>
          <w:tab w:val="left" w:pos="3627"/>
        </w:tabs>
        <w:jc w:val="both"/>
        <w:rPr>
          <w:rFonts w:asciiTheme="minorHAnsi" w:hAnsiTheme="minorHAnsi"/>
          <w:szCs w:val="24"/>
          <w:lang w:val="es-ES_tradnl"/>
        </w:rPr>
      </w:pPr>
      <w:r w:rsidRPr="000D3432">
        <w:rPr>
          <w:rFonts w:asciiTheme="minorHAnsi" w:hAnsiTheme="minorHAnsi"/>
          <w:szCs w:val="24"/>
          <w:lang w:val="es-ES_tradnl"/>
        </w:rPr>
        <w:tab/>
      </w:r>
    </w:p>
    <w:p w14:paraId="732803DE"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El ejercicio de la abogacía no requería contar con estudios especializados, bastaba contar con dotes de orador y algunos conocimientos sobre las reglas del proceso</w:t>
      </w:r>
      <w:r w:rsidRPr="000D3432">
        <w:rPr>
          <w:rStyle w:val="Refdenotaalpie"/>
          <w:rFonts w:asciiTheme="minorHAnsi" w:hAnsiTheme="minorHAnsi"/>
          <w:sz w:val="24"/>
          <w:szCs w:val="24"/>
          <w:lang w:val="es-ES_tradnl"/>
        </w:rPr>
        <w:footnoteReference w:id="495"/>
      </w:r>
      <w:r w:rsidRPr="000D3432">
        <w:rPr>
          <w:rFonts w:asciiTheme="minorHAnsi" w:hAnsiTheme="minorHAnsi"/>
          <w:szCs w:val="24"/>
          <w:lang w:val="es-ES_tradnl"/>
        </w:rPr>
        <w:t>. Pero pasado el tiempo el abogado tuvo que especializarse por la complejidad de las relaciones sociales y por las nuevas formas de procedimiento para resolver conflictos</w:t>
      </w:r>
      <w:r w:rsidRPr="000D3432">
        <w:rPr>
          <w:rStyle w:val="Refdenotaalpie"/>
          <w:rFonts w:asciiTheme="minorHAnsi" w:hAnsiTheme="minorHAnsi"/>
          <w:sz w:val="24"/>
          <w:szCs w:val="24"/>
          <w:lang w:val="es-ES_tradnl"/>
        </w:rPr>
        <w:footnoteReference w:id="496"/>
      </w:r>
      <w:r w:rsidRPr="000D3432">
        <w:rPr>
          <w:rFonts w:asciiTheme="minorHAnsi" w:hAnsiTheme="minorHAnsi"/>
          <w:szCs w:val="24"/>
          <w:lang w:val="es-ES_tradnl"/>
        </w:rPr>
        <w:t>.</w:t>
      </w:r>
    </w:p>
    <w:p w14:paraId="61294C0A" w14:textId="77777777" w:rsidR="00FA0266" w:rsidRPr="000D3432" w:rsidRDefault="00FA0266" w:rsidP="00A95498">
      <w:pPr>
        <w:jc w:val="both"/>
        <w:rPr>
          <w:rFonts w:asciiTheme="minorHAnsi" w:hAnsiTheme="minorHAnsi"/>
          <w:szCs w:val="24"/>
          <w:lang w:val="es-ES_tradnl"/>
        </w:rPr>
      </w:pPr>
    </w:p>
    <w:p w14:paraId="08570729"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En Grecia y Roma el asunto se mostraba sacro, había que conocer las fórmulas sagradas, esta era la condición exigida para poder intervenir en los procesos. El fenómeno jurídico se daba dentro de la religión. En actualidad el ejercicio de la abogacía tiene que estar en manos de especialistas, por que la solución de conflictos  requiere de cierto “conocimiento científico” -dice Emilio Ayala-; lo que supone no ser un científico, sino conocer las técnicas científicas para la resolución de conflictos, para el asesoramiento, para cumplir el rol o función social que se le atribuye al abogado, etc. El proceso de depuración -de que ejercieran la abogacía sobre profesionales- pasó por la argumentación de dejar de lado a aquellos individuos que ejercitaban la abogacía sin “conocimientos sólidos”, con simples conocimientos vulgares. El ejercicio se convirtió en una cosa seria, esta seriedad respaldada por la utilización y disposición del Derecho a ser científico. Aún recordamos a los tinterillos que, según versión popular, ejercían el derecho “sin principios”, y “a costa, o riesgo” de los incautos clientes. Para proteger de estos deslices y peligros el Estado en su condición organizativa ha monopolizado la certificación o titulación de los profesionales, pero preguntamos, ¿puede un título a nombre de la nación ser garantía de una efectiva profesionalización? Sin embargo el supuesto en el que se basa esta monopolización de la certificación de las profesiones intentan servir como garantía de calidad, mediante la cual se estructura todo un sistema de enseñanza, aprendizaje, evaluación que de ser superadas, darían solidez y veracidad al graduado. El Estado supervisa y certifica así la solides cognoscitiva.</w:t>
      </w:r>
    </w:p>
    <w:p w14:paraId="0DBA561D" w14:textId="77777777" w:rsidR="00FA0266" w:rsidRPr="000D3432" w:rsidRDefault="00FA0266" w:rsidP="00A95498">
      <w:pPr>
        <w:jc w:val="both"/>
        <w:rPr>
          <w:rFonts w:asciiTheme="minorHAnsi" w:hAnsiTheme="minorHAnsi"/>
          <w:szCs w:val="24"/>
          <w:lang w:val="es-ES_tradnl"/>
        </w:rPr>
      </w:pPr>
    </w:p>
    <w:p w14:paraId="40863C13"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Ya Ulpiano llamó a los defensores: “Sacerdotes justitiae et juris”</w:t>
      </w:r>
      <w:r w:rsidRPr="000D3432">
        <w:rPr>
          <w:rStyle w:val="Refdenotaalpie"/>
          <w:rFonts w:asciiTheme="minorHAnsi" w:hAnsiTheme="minorHAnsi"/>
          <w:sz w:val="24"/>
          <w:szCs w:val="24"/>
          <w:lang w:val="es-ES_tradnl"/>
        </w:rPr>
        <w:footnoteReference w:id="497"/>
      </w:r>
      <w:r w:rsidRPr="000D3432">
        <w:rPr>
          <w:rFonts w:asciiTheme="minorHAnsi" w:hAnsiTheme="minorHAnsi"/>
          <w:szCs w:val="24"/>
          <w:lang w:val="es-ES_tradnl"/>
        </w:rPr>
        <w:t xml:space="preserve"> e Incluso el gran emperador Augusto desempeñó ese papel. En Roma impúsose una frase: “Cedant arma togae”</w:t>
      </w:r>
      <w:r w:rsidRPr="000D3432">
        <w:rPr>
          <w:rStyle w:val="Refdenotaalpie"/>
          <w:rFonts w:asciiTheme="minorHAnsi" w:hAnsiTheme="minorHAnsi"/>
          <w:sz w:val="24"/>
          <w:szCs w:val="24"/>
          <w:lang w:val="es-ES_tradnl"/>
        </w:rPr>
        <w:footnoteReference w:id="498"/>
      </w:r>
    </w:p>
    <w:p w14:paraId="78BB7ED0" w14:textId="77777777" w:rsidR="00FA0266" w:rsidRPr="000D3432" w:rsidRDefault="00FA0266" w:rsidP="00A95498">
      <w:pPr>
        <w:jc w:val="both"/>
        <w:rPr>
          <w:rFonts w:asciiTheme="minorHAnsi" w:hAnsiTheme="minorHAnsi"/>
          <w:szCs w:val="24"/>
          <w:lang w:val="es-ES_tradnl"/>
        </w:rPr>
      </w:pPr>
    </w:p>
    <w:p w14:paraId="4BFCF091"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 xml:space="preserve">Parece ser que el abogado apareció como un fenómeno de equilibrio, un factor equilibrador de las fuerzas, esta idea se consolida en una frase: la idea de la igualdad, “El abogado aparece en la historia traído por la idea de la igualdad que </w:t>
      </w:r>
      <w:r w:rsidRPr="000D3432">
        <w:rPr>
          <w:rFonts w:asciiTheme="minorHAnsi" w:hAnsiTheme="minorHAnsi"/>
          <w:szCs w:val="24"/>
          <w:lang w:val="es-ES_tradnl"/>
        </w:rPr>
        <w:lastRenderedPageBreak/>
        <w:t>se necesita para restablecer el equilibrio en favor de las personas a quienes ciertos sucesos colocan en posición de desventaja”</w:t>
      </w:r>
      <w:r w:rsidRPr="000D3432">
        <w:rPr>
          <w:rStyle w:val="Refdenotaalpie"/>
          <w:rFonts w:asciiTheme="minorHAnsi" w:hAnsiTheme="minorHAnsi"/>
          <w:sz w:val="24"/>
          <w:szCs w:val="24"/>
          <w:lang w:val="es-ES_tradnl"/>
        </w:rPr>
        <w:footnoteReference w:id="499"/>
      </w:r>
      <w:r w:rsidRPr="000D3432">
        <w:rPr>
          <w:rFonts w:asciiTheme="minorHAnsi" w:hAnsiTheme="minorHAnsi"/>
          <w:szCs w:val="24"/>
          <w:lang w:val="es-ES_tradnl"/>
        </w:rPr>
        <w:t xml:space="preserve">. </w:t>
      </w:r>
    </w:p>
    <w:p w14:paraId="41A5C005" w14:textId="77777777" w:rsidR="00FA0266" w:rsidRPr="000D3432" w:rsidRDefault="00FA0266" w:rsidP="00A95498">
      <w:pPr>
        <w:jc w:val="both"/>
        <w:rPr>
          <w:rFonts w:asciiTheme="minorHAnsi" w:hAnsiTheme="minorHAnsi"/>
          <w:szCs w:val="24"/>
          <w:lang w:val="es-ES_tradnl"/>
        </w:rPr>
      </w:pPr>
    </w:p>
    <w:p w14:paraId="0EC45563"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Cuenta Amilcar que los hebreos tenían al abogado por un agente piadoso, alguien que intervenía con sus conocimientos y buenos oficios en favor del acusado. Jesús mismo fue un defensor cuando defendió a la mujer adúltera -insiste Amilcar.</w:t>
      </w:r>
    </w:p>
    <w:p w14:paraId="1D0C7B14" w14:textId="77777777" w:rsidR="00FA0266" w:rsidRPr="000D3432" w:rsidRDefault="00FA0266" w:rsidP="00A95498">
      <w:pPr>
        <w:jc w:val="both"/>
        <w:rPr>
          <w:rFonts w:asciiTheme="minorHAnsi" w:hAnsiTheme="minorHAnsi"/>
          <w:szCs w:val="24"/>
          <w:lang w:val="es-ES_tradnl"/>
        </w:rPr>
      </w:pPr>
    </w:p>
    <w:p w14:paraId="02DA6604"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Se afirma que en la prehistoria no hubo abogados, por las sencillas razones que en estas los integrantes eran mínimos, la organización era comunitaria, la población era reducida, “La organización comunitaria y lo reducido del grupo, inclusive simplificaban, sin duda alguna, las averiguaciones”</w:t>
      </w:r>
      <w:r w:rsidRPr="000D3432">
        <w:rPr>
          <w:rStyle w:val="Refdenotaalpie"/>
          <w:rFonts w:asciiTheme="minorHAnsi" w:hAnsiTheme="minorHAnsi"/>
          <w:sz w:val="24"/>
          <w:szCs w:val="24"/>
          <w:lang w:val="es-ES_tradnl"/>
        </w:rPr>
        <w:footnoteReference w:id="500"/>
      </w:r>
      <w:r w:rsidRPr="000D3432">
        <w:rPr>
          <w:rFonts w:asciiTheme="minorHAnsi" w:hAnsiTheme="minorHAnsi"/>
          <w:szCs w:val="24"/>
          <w:lang w:val="es-ES_tradnl"/>
        </w:rPr>
        <w:t>. No había, pues, necesidad de abogado, de intermediario, de defensor.</w:t>
      </w:r>
    </w:p>
    <w:p w14:paraId="0F886054" w14:textId="77777777" w:rsidR="00FA0266" w:rsidRPr="000D3432" w:rsidRDefault="00FA0266" w:rsidP="00A95498">
      <w:pPr>
        <w:jc w:val="both"/>
        <w:rPr>
          <w:rFonts w:asciiTheme="minorHAnsi" w:hAnsiTheme="minorHAnsi"/>
          <w:szCs w:val="24"/>
          <w:lang w:val="es-ES_tradnl"/>
        </w:rPr>
      </w:pPr>
    </w:p>
    <w:p w14:paraId="7DE424D2"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En Roma las relaciones sociales estaban reguladas por el derecho formulario, por la sacralización de estas fórmulas, y por el carácter literal de las mismas fórmulas. La inejecución de estas fórmulas daba lugar a la perdida del derecho, “Entre el rigor mímico y simbólico de los actos sacramentales y de las formas consagradas e insustituibles, los litigantes solían perder su derecho, alcanzados por la caducidad con que entonces se castigaba cualquier error formal.”</w:t>
      </w:r>
      <w:r w:rsidRPr="000D3432">
        <w:rPr>
          <w:rStyle w:val="Refdenotaalpie"/>
          <w:rFonts w:asciiTheme="minorHAnsi" w:hAnsiTheme="minorHAnsi"/>
          <w:sz w:val="24"/>
          <w:szCs w:val="24"/>
          <w:lang w:val="es-ES_tradnl"/>
        </w:rPr>
        <w:footnoteReference w:id="501"/>
      </w:r>
    </w:p>
    <w:p w14:paraId="346586DF" w14:textId="77777777" w:rsidR="00FA0266" w:rsidRPr="000D3432" w:rsidRDefault="00FA0266" w:rsidP="00A95498">
      <w:pPr>
        <w:jc w:val="both"/>
        <w:rPr>
          <w:rFonts w:asciiTheme="minorHAnsi" w:hAnsiTheme="minorHAnsi"/>
          <w:szCs w:val="24"/>
          <w:lang w:val="es-ES_tradnl"/>
        </w:rPr>
      </w:pPr>
    </w:p>
    <w:p w14:paraId="35F3F925"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 + +</w:t>
      </w:r>
    </w:p>
    <w:p w14:paraId="6BA9DC00" w14:textId="77777777" w:rsidR="00FA0266" w:rsidRPr="000D3432" w:rsidRDefault="00FA0266" w:rsidP="00A95498">
      <w:pPr>
        <w:jc w:val="both"/>
        <w:rPr>
          <w:rFonts w:asciiTheme="minorHAnsi" w:hAnsiTheme="minorHAnsi"/>
          <w:szCs w:val="24"/>
          <w:lang w:val="es-ES_tradnl"/>
        </w:rPr>
      </w:pPr>
    </w:p>
    <w:p w14:paraId="6E69EADA"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Si retrocedemos en el tiempo y hacemos un poco de historia</w:t>
      </w:r>
      <w:r w:rsidRPr="000D3432">
        <w:rPr>
          <w:rStyle w:val="Refdenotaalpie"/>
          <w:rFonts w:asciiTheme="minorHAnsi" w:hAnsiTheme="minorHAnsi"/>
          <w:sz w:val="24"/>
          <w:szCs w:val="24"/>
          <w:lang w:val="es-ES_tradnl"/>
        </w:rPr>
        <w:footnoteReference w:id="502"/>
      </w:r>
      <w:r w:rsidRPr="000D3432">
        <w:rPr>
          <w:rFonts w:asciiTheme="minorHAnsi" w:hAnsiTheme="minorHAnsi"/>
          <w:szCs w:val="24"/>
          <w:lang w:val="es-ES_tradnl"/>
        </w:rPr>
        <w:t xml:space="preserve"> podríamos decir que la abogacía no tenía mayores requerimientos, no se necesitaba contar con “estudios especializados”, a lo más “bastaba contar con dotes oratorias y con alguno que otro conocimiento relativo a las reglas que debían seguirse en todo proceso.”</w:t>
      </w:r>
      <w:r w:rsidRPr="000D3432">
        <w:rPr>
          <w:rStyle w:val="Refdenotaalpie"/>
          <w:rFonts w:asciiTheme="minorHAnsi" w:hAnsiTheme="minorHAnsi"/>
          <w:sz w:val="24"/>
          <w:szCs w:val="24"/>
          <w:lang w:val="es-ES_tradnl"/>
        </w:rPr>
        <w:footnoteReference w:id="503"/>
      </w:r>
      <w:r w:rsidRPr="000D3432">
        <w:rPr>
          <w:rFonts w:asciiTheme="minorHAnsi" w:hAnsiTheme="minorHAnsi"/>
          <w:szCs w:val="24"/>
          <w:lang w:val="es-ES_tradnl"/>
        </w:rPr>
        <w:t xml:space="preserve">. Eso era suficiente, pero a medida que las relaciones sociales se fueron haciendo más complejas se hizo necesaria “gente especializada en solucionar problemas ajenos”. </w:t>
      </w:r>
    </w:p>
    <w:p w14:paraId="70639AF6" w14:textId="77777777" w:rsidR="00FA0266" w:rsidRPr="000D3432" w:rsidRDefault="00FA0266" w:rsidP="00A95498">
      <w:pPr>
        <w:jc w:val="both"/>
        <w:rPr>
          <w:rFonts w:asciiTheme="minorHAnsi" w:hAnsiTheme="minorHAnsi"/>
          <w:szCs w:val="24"/>
          <w:lang w:val="es-ES_tradnl"/>
        </w:rPr>
      </w:pPr>
    </w:p>
    <w:p w14:paraId="383CD39E"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En Grecia y Roma el papel del abogado estaba íntimamente ligado a la religión, como toda su constitución social. Era necesario “conocer las fórmulas sagradas para intervenir en la solución de conflictos”</w:t>
      </w:r>
      <w:r w:rsidRPr="000D3432">
        <w:rPr>
          <w:rStyle w:val="Refdenotaalpie"/>
          <w:rFonts w:asciiTheme="minorHAnsi" w:hAnsiTheme="minorHAnsi"/>
          <w:sz w:val="24"/>
          <w:szCs w:val="24"/>
          <w:lang w:val="es-ES_tradnl"/>
        </w:rPr>
        <w:footnoteReference w:id="504"/>
      </w:r>
      <w:r w:rsidRPr="000D3432">
        <w:rPr>
          <w:rFonts w:asciiTheme="minorHAnsi" w:hAnsiTheme="minorHAnsi"/>
          <w:szCs w:val="24"/>
          <w:lang w:val="es-ES_tradnl"/>
        </w:rPr>
        <w:t xml:space="preserve"> para ejercitar la abogacía.</w:t>
      </w:r>
    </w:p>
    <w:p w14:paraId="108F1ECE" w14:textId="77777777" w:rsidR="00FA0266" w:rsidRPr="000D3432" w:rsidRDefault="00FA0266" w:rsidP="00A95498">
      <w:pPr>
        <w:jc w:val="both"/>
        <w:rPr>
          <w:rFonts w:asciiTheme="minorHAnsi" w:hAnsiTheme="minorHAnsi"/>
          <w:szCs w:val="24"/>
          <w:lang w:val="es-ES_tradnl"/>
        </w:rPr>
      </w:pPr>
    </w:p>
    <w:p w14:paraId="5D9D8679" w14:textId="77777777" w:rsidR="00FA0266" w:rsidRPr="000D3432" w:rsidRDefault="00FA0266" w:rsidP="00A95498">
      <w:pPr>
        <w:jc w:val="both"/>
        <w:rPr>
          <w:rFonts w:asciiTheme="minorHAnsi" w:hAnsiTheme="minorHAnsi"/>
          <w:szCs w:val="24"/>
          <w:lang w:val="es-ES_tradnl"/>
        </w:rPr>
      </w:pPr>
      <w:r w:rsidRPr="000D3432">
        <w:rPr>
          <w:rFonts w:asciiTheme="minorHAnsi" w:hAnsiTheme="minorHAnsi"/>
          <w:szCs w:val="24"/>
          <w:lang w:val="es-ES_tradnl"/>
        </w:rPr>
        <w:t xml:space="preserve">En Bolonia, donde se creó la primera universidad moderna, los hombres que estudiaban Derecho lo hacían exclusivamente para “aprender a pensar bien”, para ser hombres cultos. La concepción contemporánea de abogado, como </w:t>
      </w:r>
      <w:r w:rsidRPr="000D3432">
        <w:rPr>
          <w:rFonts w:asciiTheme="minorHAnsi" w:hAnsiTheme="minorHAnsi"/>
          <w:szCs w:val="24"/>
          <w:lang w:val="es-ES_tradnl"/>
        </w:rPr>
        <w:lastRenderedPageBreak/>
        <w:t>litigante (aunque sea por amor</w:t>
      </w:r>
      <w:r w:rsidRPr="000D3432">
        <w:rPr>
          <w:rStyle w:val="Refdenotaalpie"/>
          <w:rFonts w:asciiTheme="minorHAnsi" w:hAnsiTheme="minorHAnsi"/>
          <w:sz w:val="24"/>
          <w:szCs w:val="24"/>
          <w:lang w:val="es-ES_tradnl"/>
        </w:rPr>
        <w:footnoteReference w:id="505"/>
      </w:r>
      <w:r w:rsidRPr="000D3432">
        <w:rPr>
          <w:rFonts w:asciiTheme="minorHAnsi" w:hAnsiTheme="minorHAnsi"/>
          <w:szCs w:val="24"/>
          <w:lang w:val="es-ES_tradnl"/>
        </w:rPr>
        <w:t>) no existía. El hombre no estudiaba Derecho con el fin de arreglar los problemas ajenos, sino para ser mejor hombre.</w:t>
      </w:r>
    </w:p>
    <w:p w14:paraId="7F3CAE4A" w14:textId="77777777" w:rsidR="00FA0266" w:rsidRPr="000D3432" w:rsidRDefault="00FA0266" w:rsidP="00A95498">
      <w:pPr>
        <w:jc w:val="both"/>
        <w:rPr>
          <w:rFonts w:asciiTheme="minorHAnsi" w:hAnsiTheme="minorHAnsi"/>
          <w:szCs w:val="24"/>
        </w:rPr>
      </w:pPr>
    </w:p>
    <w:p w14:paraId="55F74105" w14:textId="7C97E357" w:rsidR="00FA0266" w:rsidRPr="000D3432" w:rsidRDefault="00FA0266" w:rsidP="00F3090F">
      <w:pPr>
        <w:jc w:val="center"/>
        <w:rPr>
          <w:rFonts w:asciiTheme="minorHAnsi" w:hAnsiTheme="minorHAnsi"/>
          <w:b/>
          <w:szCs w:val="24"/>
        </w:rPr>
      </w:pPr>
      <w:r w:rsidRPr="000D3432">
        <w:rPr>
          <w:rFonts w:asciiTheme="minorHAnsi" w:hAnsiTheme="minorHAnsi"/>
          <w:b/>
          <w:szCs w:val="24"/>
        </w:rPr>
        <w:t>- 8-</w:t>
      </w:r>
    </w:p>
    <w:p w14:paraId="09864BA4" w14:textId="77777777" w:rsidR="00FA0266" w:rsidRPr="000D3432" w:rsidRDefault="00FA0266" w:rsidP="00F3090F">
      <w:pPr>
        <w:jc w:val="center"/>
        <w:rPr>
          <w:rFonts w:asciiTheme="minorHAnsi" w:hAnsiTheme="minorHAnsi" w:cs="Arial"/>
          <w:b/>
          <w:szCs w:val="24"/>
          <w:lang w:val="es-ES_tradnl"/>
        </w:rPr>
      </w:pPr>
      <w:r w:rsidRPr="000D3432">
        <w:rPr>
          <w:rFonts w:asciiTheme="minorHAnsi" w:hAnsiTheme="minorHAnsi" w:cs="Arial"/>
          <w:b/>
          <w:szCs w:val="24"/>
          <w:lang w:val="es-ES_tradnl"/>
        </w:rPr>
        <w:t>Inicio del Régimen Independentista y de la Libertad</w:t>
      </w:r>
    </w:p>
    <w:p w14:paraId="0010787F" w14:textId="77777777" w:rsidR="00FA0266" w:rsidRPr="000D3432" w:rsidRDefault="00FA0266" w:rsidP="00A95498">
      <w:pPr>
        <w:jc w:val="both"/>
        <w:rPr>
          <w:rFonts w:asciiTheme="minorHAnsi" w:hAnsiTheme="minorHAnsi" w:cs="Arial"/>
          <w:szCs w:val="24"/>
          <w:lang w:val="es-ES_tradnl"/>
        </w:rPr>
      </w:pPr>
    </w:p>
    <w:p w14:paraId="12EB502B"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La Batalla de Ayacucho importa en el Derecho, no sólo por su trascendencia política, económica y social, sino por su consideración normativa, es decir jurídica. Con ello se produjo en nuestro medio un sistema normativo diferente y superior al existente: la independencia y la libertad, como concepto fundamental, y con ello la responsabilidad para asumir esa libertad. Nace pues el derecho a la libertad y la independencia, y al lado, como señalara Nolberto Bobbio, nace el deber. Deber de conservar un estado normativo determinado, que con la Batalla de Ayacucho se mostraba por la Libertad y la Independencia.  Pero este hecho, la perpetuidad de un logro conseguido por medio de la guerra: la paz, la libertad, la independencia, sólo puede ser logrado a través de integrar este (las consecuencias del resultado de la guerra, la victoria e independencia y libertad) hecho dentro del ordenamiento jurídico, es decir, dentro de un sistema normativo, que preservara y garantizara un sistema social determinado: independencia del Perú, desaparición del Virreinato, fin del dominio colonial español en Sudamérica. Los hechos de guerra (Batalla de Ayacucho), influencia de ideas políticas, e intereses sociales provocaron un nuevo reconocimiento social, la autonomía del Perú, y de Sudamérica, como ejes que demostraban, como dijera Kant, que el Perú, podría y debería asumir el destino de su vida, política, económica, y esto podría ser logrado sólo a través de un orden jurídico, es decir, de un orden normativo, legítimo, permanente, monopólico y que, garantizaba la existencia y prolongación de nuevos conceptos políticos, justificados jurídicamente: la independencia, la autonomía, la soberanía, y en primer lugar: la Libertad, que significa aquella capacidad para elegir nuestro sistema de vida y nuestro gobierno. Logrando desarrollar el íntimo e innato sustrato del ser humano su condición de creativo y proyectivo, es decir su condición de ser libre, a través del Derecho.</w:t>
      </w:r>
    </w:p>
    <w:p w14:paraId="686F45A8" w14:textId="77777777" w:rsidR="00FA0266" w:rsidRPr="000D3432" w:rsidRDefault="00FA0266" w:rsidP="00A95498">
      <w:pPr>
        <w:jc w:val="both"/>
        <w:rPr>
          <w:rFonts w:asciiTheme="minorHAnsi" w:hAnsiTheme="minorHAnsi" w:cs="Arial"/>
          <w:szCs w:val="24"/>
          <w:lang w:val="es-ES_tradnl"/>
        </w:rPr>
      </w:pPr>
    </w:p>
    <w:p w14:paraId="0FD022D5" w14:textId="77777777" w:rsidR="00FA0266" w:rsidRPr="000D3432" w:rsidRDefault="00FA0266"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s="Arial"/>
          <w:bCs/>
          <w:szCs w:val="24"/>
          <w:lang w:val="es-ES_tradnl"/>
        </w:rPr>
      </w:pPr>
      <w:r w:rsidRPr="000D3432">
        <w:rPr>
          <w:rFonts w:asciiTheme="minorHAnsi" w:hAnsiTheme="minorHAnsi" w:cs="Arial"/>
          <w:szCs w:val="24"/>
          <w:lang w:val="es-ES_tradnl"/>
        </w:rPr>
        <w:t>La libertad, al cual se refería Kant, cuando intentaba determinar un factor principal en la naturaleza humana del ser humano, y al cual le denominaba su condición innata, fue lo que produjo esta batalla. Libertad, que en el concepto jurídico, significa, aquel derecho y deber, para auto organizar los medios e instrumentos necesarios a fin de posibilitar una sociedad basada en la posibilidad de elegir su destino, su vida, su forma de gobierno, su forma de trabajo, de empresa, etc. “</w:t>
      </w:r>
      <w:r w:rsidRPr="000D3432">
        <w:rPr>
          <w:rFonts w:asciiTheme="minorHAnsi" w:hAnsiTheme="minorHAnsi" w:cs="Arial"/>
          <w:bCs/>
          <w:szCs w:val="24"/>
          <w:lang w:val="es-ES_tradnl"/>
        </w:rPr>
        <w:t>el mayor de los valores, junto con la vida, es la Libertad, y que esta es la única fuente de riqueza que no se puede perder, porque perderla significa perder la vida, perder las riendas de nuestro propio destino, perder la dignidad de vivir.”</w:t>
      </w:r>
    </w:p>
    <w:p w14:paraId="3ED4FCC0" w14:textId="77777777" w:rsidR="00FA0266" w:rsidRPr="000D3432" w:rsidRDefault="00FA0266"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s="Arial"/>
          <w:bCs/>
          <w:szCs w:val="24"/>
          <w:lang w:val="es-ES_tradnl"/>
        </w:rPr>
      </w:pPr>
    </w:p>
    <w:p w14:paraId="0BF13482"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bCs/>
          <w:szCs w:val="24"/>
          <w:lang w:val="es-ES_tradnl"/>
        </w:rPr>
        <w:t xml:space="preserve">Con este hecho, se debe ya interiorizar un nuevo concepto hecho real, que el control social queda en manos de la propia sociedad en organización, y no de un </w:t>
      </w:r>
      <w:r w:rsidRPr="000D3432">
        <w:rPr>
          <w:rFonts w:asciiTheme="minorHAnsi" w:hAnsiTheme="minorHAnsi" w:cs="Arial"/>
          <w:bCs/>
          <w:szCs w:val="24"/>
          <w:lang w:val="es-ES_tradnl"/>
        </w:rPr>
        <w:lastRenderedPageBreak/>
        <w:t xml:space="preserve">virreinado, ni de una colonización (dependencia en la vida, gobierno, política y economía de España). La independencia y la libertad son condiciones básicas de la vida </w:t>
      </w:r>
      <w:r w:rsidRPr="000D3432">
        <w:rPr>
          <w:rFonts w:asciiTheme="minorHAnsi" w:hAnsiTheme="minorHAnsi" w:cs="Arial"/>
          <w:szCs w:val="24"/>
          <w:lang w:val="es-ES_tradnl"/>
        </w:rPr>
        <w:t>social pues con el se aseguran las expectativas de conducta y las normas que rigen la convivencia. La independencia social precisa los limites de la libertad humana  en la sociedad. y es también un instrumentos de enculturación y socialización de sus miembros. Hoy no hay alternativa a la independencia y a la libertad; pues es inimaginable una sociedad sin ellas. Y estas no pueden existir y perpetuarse sin el reconocimiento jurídico, es decir, legitimado por la voluntad popular. Este fue uno de los aportes más trascendentes de la batalla de Ayacucho, dejar al descubierto el más grande de los caminos, por la Independencia, el camino de la libertad.</w:t>
      </w:r>
    </w:p>
    <w:p w14:paraId="3F782223" w14:textId="77777777" w:rsidR="00FA0266" w:rsidRPr="000D3432" w:rsidRDefault="00FA0266" w:rsidP="00A95498">
      <w:pPr>
        <w:jc w:val="both"/>
        <w:rPr>
          <w:rFonts w:asciiTheme="minorHAnsi" w:hAnsiTheme="minorHAnsi" w:cs="Arial"/>
          <w:szCs w:val="24"/>
          <w:lang w:val="es-ES_tradnl"/>
        </w:rPr>
      </w:pPr>
    </w:p>
    <w:p w14:paraId="7EC27A6B" w14:textId="77777777" w:rsidR="00FA0266" w:rsidRPr="000D3432" w:rsidRDefault="00FA0266" w:rsidP="00A95498">
      <w:pPr>
        <w:jc w:val="both"/>
        <w:rPr>
          <w:rFonts w:asciiTheme="minorHAnsi" w:hAnsiTheme="minorHAnsi" w:cs="Arial"/>
          <w:szCs w:val="24"/>
          <w:lang w:val="es-ES_tradnl"/>
        </w:rPr>
      </w:pPr>
      <w:r w:rsidRPr="000D3432">
        <w:rPr>
          <w:rFonts w:asciiTheme="minorHAnsi" w:hAnsiTheme="minorHAnsi" w:cs="Arial"/>
          <w:szCs w:val="24"/>
          <w:lang w:val="es-ES_tradnl"/>
        </w:rPr>
        <w:t>(Tomado del libro: “Batallas Perdidas”. Hanks Bandìni. Ediciones: AZ Todo Derecho. Serie: Repensando el Derecho).</w:t>
      </w:r>
    </w:p>
    <w:p w14:paraId="05DF55AF" w14:textId="77777777" w:rsidR="00FA0266" w:rsidRPr="000D3432" w:rsidRDefault="00FA0266" w:rsidP="00A95498">
      <w:pPr>
        <w:jc w:val="both"/>
        <w:rPr>
          <w:rFonts w:asciiTheme="minorHAnsi" w:hAnsiTheme="minorHAnsi" w:cs="Arial"/>
          <w:szCs w:val="24"/>
          <w:lang w:val="es-ES_tradnl"/>
        </w:rPr>
      </w:pPr>
    </w:p>
    <w:p w14:paraId="63E6C2F5" w14:textId="77777777" w:rsidR="00FA0266" w:rsidRPr="000D3432" w:rsidRDefault="00FA0266" w:rsidP="00A95498">
      <w:pPr>
        <w:jc w:val="both"/>
        <w:rPr>
          <w:rFonts w:asciiTheme="minorHAnsi" w:hAnsiTheme="minorHAnsi" w:cs="Arial"/>
          <w:szCs w:val="24"/>
          <w:lang w:val="es-ES_tradnl"/>
        </w:rPr>
      </w:pPr>
    </w:p>
    <w:p w14:paraId="26D22D89" w14:textId="77777777" w:rsidR="00FA0266" w:rsidRPr="000D3432" w:rsidRDefault="00FA0266" w:rsidP="00F3090F">
      <w:pPr>
        <w:jc w:val="center"/>
        <w:rPr>
          <w:rFonts w:asciiTheme="minorHAnsi" w:hAnsiTheme="minorHAnsi"/>
          <w:b/>
          <w:szCs w:val="24"/>
        </w:rPr>
      </w:pPr>
      <w:r w:rsidRPr="000D3432">
        <w:rPr>
          <w:rFonts w:asciiTheme="minorHAnsi" w:hAnsiTheme="minorHAnsi" w:cs="Arial"/>
          <w:b/>
          <w:szCs w:val="24"/>
          <w:lang w:val="es-ES_tradnl"/>
        </w:rPr>
        <w:t>- 9-</w:t>
      </w:r>
    </w:p>
    <w:p w14:paraId="7C1F9E96" w14:textId="77777777" w:rsidR="00FA0266" w:rsidRPr="000D3432" w:rsidRDefault="00FA0266" w:rsidP="00F3090F">
      <w:pPr>
        <w:jc w:val="center"/>
        <w:rPr>
          <w:rFonts w:asciiTheme="minorHAnsi" w:hAnsiTheme="minorHAnsi"/>
          <w:b/>
          <w:szCs w:val="24"/>
        </w:rPr>
      </w:pPr>
    </w:p>
    <w:p w14:paraId="6413E44A"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- 11 -</w:t>
      </w:r>
    </w:p>
    <w:p w14:paraId="6A29D833"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COOPERATIVAS</w:t>
      </w:r>
    </w:p>
    <w:p w14:paraId="62581D41" w14:textId="77777777" w:rsidR="00FA0266" w:rsidRPr="000D3432" w:rsidRDefault="00FA0266" w:rsidP="00A95498">
      <w:pPr>
        <w:jc w:val="both"/>
        <w:rPr>
          <w:rFonts w:asciiTheme="minorHAnsi" w:hAnsiTheme="minorHAnsi" w:cs="Arial"/>
          <w:b/>
          <w:szCs w:val="24"/>
        </w:rPr>
      </w:pPr>
    </w:p>
    <w:p w14:paraId="696722B3"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La Cooperativa lograría crear un fondo para los miembros de la cooperativa, que en este caso puede ser de “capacitación”, o de “ahorro y crédito”, lo que proporcionaría no sólo un ahorro para el Juez de Paz, sino la devolución al término de su ejercicio (o continuidad a voluntad) que es de dos años, más los intereses y excedentes que hubiere. La Cooperativa generará, nuevos presupuestos, provenientes de las actividades propias de la cooperativa, como capacitaciones, etc. Por lo mismo, se pude presentar el siguiente panorama económico de la Cooperativa: </w:t>
      </w:r>
    </w:p>
    <w:p w14:paraId="34AB0FEF" w14:textId="77777777" w:rsidR="00FA0266" w:rsidRPr="000D3432" w:rsidRDefault="00FA0266" w:rsidP="00A95498">
      <w:pPr>
        <w:jc w:val="both"/>
        <w:rPr>
          <w:rFonts w:asciiTheme="minorHAnsi" w:hAnsiTheme="minorHAnsi" w:cs="Arial"/>
          <w:szCs w:val="24"/>
        </w:rPr>
      </w:pPr>
    </w:p>
    <w:p w14:paraId="218F14AD" w14:textId="77777777" w:rsidR="00FA0266" w:rsidRPr="000D3432" w:rsidRDefault="00FA0266" w:rsidP="00A95498">
      <w:pPr>
        <w:jc w:val="both"/>
        <w:rPr>
          <w:rFonts w:asciiTheme="minorHAnsi" w:hAnsiTheme="minorHAnsi" w:cs="Arial"/>
          <w:szCs w:val="24"/>
          <w:u w:val="single"/>
        </w:rPr>
      </w:pPr>
      <w:r w:rsidRPr="000D3432">
        <w:rPr>
          <w:rFonts w:asciiTheme="minorHAnsi" w:hAnsiTheme="minorHAnsi" w:cs="Arial"/>
          <w:szCs w:val="24"/>
          <w:u w:val="single"/>
        </w:rPr>
        <w:t xml:space="preserve">TACNA: </w:t>
      </w:r>
    </w:p>
    <w:p w14:paraId="0918E3F4" w14:textId="77777777" w:rsidR="00FA0266" w:rsidRPr="000D3432" w:rsidRDefault="00FA0266" w:rsidP="00A95498">
      <w:pPr>
        <w:jc w:val="both"/>
        <w:rPr>
          <w:rFonts w:asciiTheme="minorHAnsi" w:hAnsiTheme="minorHAnsi" w:cs="Arial"/>
          <w:szCs w:val="24"/>
        </w:rPr>
      </w:pPr>
    </w:p>
    <w:p w14:paraId="1AEDB679" w14:textId="77777777" w:rsidR="00FA0266" w:rsidRPr="000D3432" w:rsidRDefault="00FA0266" w:rsidP="00A95498">
      <w:pPr>
        <w:jc w:val="both"/>
        <w:rPr>
          <w:rFonts w:asciiTheme="minorHAnsi" w:hAnsiTheme="minorHAnsi" w:cs="Arial"/>
          <w:szCs w:val="24"/>
          <w:u w:val="single"/>
        </w:rPr>
      </w:pPr>
      <w:r w:rsidRPr="000D3432">
        <w:rPr>
          <w:rFonts w:asciiTheme="minorHAnsi" w:hAnsiTheme="minorHAnsi" w:cs="Arial"/>
          <w:szCs w:val="24"/>
          <w:u w:val="single"/>
        </w:rPr>
        <w:t xml:space="preserve">Solo Jueces Titulares: </w:t>
      </w:r>
    </w:p>
    <w:p w14:paraId="2C7E079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N° de Jueces de Paz en Tacna: </w:t>
      </w:r>
      <w:r w:rsidRPr="000D3432">
        <w:rPr>
          <w:rFonts w:asciiTheme="minorHAnsi" w:hAnsiTheme="minorHAnsi" w:cs="Arial"/>
          <w:szCs w:val="24"/>
        </w:rPr>
        <w:tab/>
        <w:t>58 jueces de paz</w:t>
      </w:r>
    </w:p>
    <w:p w14:paraId="79F5F834"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Aportación Inicial por socio: </w:t>
      </w:r>
      <w:r w:rsidRPr="000D3432">
        <w:rPr>
          <w:rFonts w:asciiTheme="minorHAnsi" w:hAnsiTheme="minorHAnsi" w:cs="Arial"/>
          <w:szCs w:val="24"/>
        </w:rPr>
        <w:tab/>
      </w:r>
      <w:r w:rsidRPr="000D3432">
        <w:rPr>
          <w:rFonts w:asciiTheme="minorHAnsi" w:hAnsiTheme="minorHAnsi" w:cs="Arial"/>
          <w:szCs w:val="24"/>
        </w:rPr>
        <w:tab/>
        <w:t>S/. 50.00 (cincuenta nuevos soles)</w:t>
      </w:r>
    </w:p>
    <w:p w14:paraId="6C3FE69D"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__________________________________________</w:t>
      </w:r>
    </w:p>
    <w:p w14:paraId="6A7EFB7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Total de Aportación Inicial: </w:t>
      </w:r>
      <w:r w:rsidRPr="000D3432">
        <w:rPr>
          <w:rFonts w:asciiTheme="minorHAnsi" w:hAnsiTheme="minorHAnsi" w:cs="Arial"/>
          <w:szCs w:val="24"/>
        </w:rPr>
        <w:tab/>
      </w:r>
      <w:r w:rsidRPr="000D3432">
        <w:rPr>
          <w:rFonts w:asciiTheme="minorHAnsi" w:hAnsiTheme="minorHAnsi" w:cs="Arial"/>
          <w:szCs w:val="24"/>
        </w:rPr>
        <w:tab/>
        <w:t>S/.   2,900.00  (Dos mil novecientos nuevos soles)</w:t>
      </w:r>
    </w:p>
    <w:p w14:paraId="2481C36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Total aportación al Año (12 meses)</w:t>
      </w:r>
      <w:r w:rsidRPr="000D3432">
        <w:rPr>
          <w:rFonts w:asciiTheme="minorHAnsi" w:hAnsiTheme="minorHAnsi" w:cs="Arial"/>
          <w:szCs w:val="24"/>
        </w:rPr>
        <w:tab/>
        <w:t>S/. 34,800.00  (Treinta y cuatro mil ochocientos n.s.)</w:t>
      </w:r>
    </w:p>
    <w:p w14:paraId="2131D841" w14:textId="77777777" w:rsidR="00FA0266" w:rsidRPr="000D3432" w:rsidRDefault="00FA0266" w:rsidP="00A95498">
      <w:pPr>
        <w:jc w:val="both"/>
        <w:rPr>
          <w:rFonts w:asciiTheme="minorHAnsi" w:hAnsiTheme="minorHAnsi" w:cs="Arial"/>
          <w:szCs w:val="24"/>
        </w:rPr>
      </w:pPr>
    </w:p>
    <w:p w14:paraId="1041F1EF" w14:textId="77777777" w:rsidR="00FA0266" w:rsidRPr="000D3432" w:rsidRDefault="00FA0266" w:rsidP="00A95498">
      <w:pPr>
        <w:jc w:val="both"/>
        <w:rPr>
          <w:rFonts w:asciiTheme="minorHAnsi" w:hAnsiTheme="minorHAnsi" w:cs="Arial"/>
          <w:szCs w:val="24"/>
          <w:u w:val="single"/>
        </w:rPr>
      </w:pPr>
      <w:r w:rsidRPr="000D3432">
        <w:rPr>
          <w:rFonts w:asciiTheme="minorHAnsi" w:hAnsiTheme="minorHAnsi" w:cs="Arial"/>
          <w:szCs w:val="24"/>
          <w:u w:val="single"/>
        </w:rPr>
        <w:t xml:space="preserve">Jueces Titulares y Accesitarios: </w:t>
      </w:r>
    </w:p>
    <w:p w14:paraId="4CEB19C4"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N° de Jueces de Paz en Tacna: </w:t>
      </w:r>
      <w:r w:rsidRPr="000D3432">
        <w:rPr>
          <w:rFonts w:asciiTheme="minorHAnsi" w:hAnsiTheme="minorHAnsi" w:cs="Arial"/>
          <w:szCs w:val="24"/>
        </w:rPr>
        <w:tab/>
        <w:t>174 jueces de paz</w:t>
      </w:r>
    </w:p>
    <w:p w14:paraId="72485A0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Aportación Inicial por socio: </w:t>
      </w:r>
      <w:r w:rsidRPr="000D3432">
        <w:rPr>
          <w:rFonts w:asciiTheme="minorHAnsi" w:hAnsiTheme="minorHAnsi" w:cs="Arial"/>
          <w:szCs w:val="24"/>
        </w:rPr>
        <w:tab/>
      </w:r>
      <w:r w:rsidRPr="000D3432">
        <w:rPr>
          <w:rFonts w:asciiTheme="minorHAnsi" w:hAnsiTheme="minorHAnsi" w:cs="Arial"/>
          <w:szCs w:val="24"/>
        </w:rPr>
        <w:tab/>
        <w:t>S/. 50.00 (cincuenta nuevos soles)</w:t>
      </w:r>
    </w:p>
    <w:p w14:paraId="5CB2B8F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__________________________________________</w:t>
      </w:r>
    </w:p>
    <w:p w14:paraId="4F6F212A"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Total de Aportación Inicial: </w:t>
      </w:r>
      <w:r w:rsidRPr="000D3432">
        <w:rPr>
          <w:rFonts w:asciiTheme="minorHAnsi" w:hAnsiTheme="minorHAnsi" w:cs="Arial"/>
          <w:szCs w:val="24"/>
        </w:rPr>
        <w:tab/>
      </w:r>
      <w:r w:rsidRPr="000D3432">
        <w:rPr>
          <w:rFonts w:asciiTheme="minorHAnsi" w:hAnsiTheme="minorHAnsi" w:cs="Arial"/>
          <w:szCs w:val="24"/>
        </w:rPr>
        <w:tab/>
        <w:t>S/.  8,700.00  (Ocho mil setecientos nuevos soles)</w:t>
      </w:r>
    </w:p>
    <w:p w14:paraId="755839FF"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Total aportación al Año (12 meses)</w:t>
      </w:r>
      <w:r w:rsidRPr="000D3432">
        <w:rPr>
          <w:rFonts w:asciiTheme="minorHAnsi" w:hAnsiTheme="minorHAnsi" w:cs="Arial"/>
          <w:szCs w:val="24"/>
        </w:rPr>
        <w:tab/>
        <w:t>S/. 104,400.00 (Ciento cuatro mil cuatrocientos n.s.)</w:t>
      </w:r>
    </w:p>
    <w:p w14:paraId="54B5E17F" w14:textId="77777777" w:rsidR="00FA0266" w:rsidRPr="000D3432" w:rsidRDefault="00FA0266" w:rsidP="00A95498">
      <w:pPr>
        <w:jc w:val="both"/>
        <w:rPr>
          <w:rFonts w:asciiTheme="minorHAnsi" w:hAnsiTheme="minorHAnsi" w:cs="Arial"/>
          <w:szCs w:val="24"/>
        </w:rPr>
      </w:pPr>
    </w:p>
    <w:p w14:paraId="6098BAB3" w14:textId="77777777" w:rsidR="00FA0266" w:rsidRPr="000D3432" w:rsidRDefault="00FA0266" w:rsidP="00A95498">
      <w:pPr>
        <w:jc w:val="both"/>
        <w:rPr>
          <w:rFonts w:asciiTheme="minorHAnsi" w:hAnsiTheme="minorHAnsi" w:cs="Arial"/>
          <w:szCs w:val="24"/>
          <w:u w:val="single"/>
        </w:rPr>
      </w:pPr>
      <w:r w:rsidRPr="000D3432">
        <w:rPr>
          <w:rFonts w:asciiTheme="minorHAnsi" w:hAnsiTheme="minorHAnsi" w:cs="Arial"/>
          <w:szCs w:val="24"/>
          <w:u w:val="single"/>
        </w:rPr>
        <w:t xml:space="preserve">TODO EL PERÚ: </w:t>
      </w:r>
    </w:p>
    <w:p w14:paraId="5E3F3EA4" w14:textId="77777777" w:rsidR="00FA0266" w:rsidRPr="000D3432" w:rsidRDefault="00FA0266" w:rsidP="00A95498">
      <w:pPr>
        <w:jc w:val="both"/>
        <w:rPr>
          <w:rFonts w:asciiTheme="minorHAnsi" w:hAnsiTheme="minorHAnsi" w:cs="Arial"/>
          <w:szCs w:val="24"/>
        </w:rPr>
      </w:pPr>
    </w:p>
    <w:p w14:paraId="3B52FCB5" w14:textId="77777777" w:rsidR="00FA0266" w:rsidRPr="000D3432" w:rsidRDefault="00FA0266" w:rsidP="00A95498">
      <w:pPr>
        <w:jc w:val="both"/>
        <w:rPr>
          <w:rFonts w:asciiTheme="minorHAnsi" w:hAnsiTheme="minorHAnsi" w:cs="Arial"/>
          <w:szCs w:val="24"/>
          <w:u w:val="single"/>
        </w:rPr>
      </w:pPr>
      <w:r w:rsidRPr="000D3432">
        <w:rPr>
          <w:rFonts w:asciiTheme="minorHAnsi" w:hAnsiTheme="minorHAnsi" w:cs="Arial"/>
          <w:szCs w:val="24"/>
          <w:u w:val="single"/>
        </w:rPr>
        <w:t xml:space="preserve">Solo Jueces Titulares: </w:t>
      </w:r>
    </w:p>
    <w:p w14:paraId="79B59181"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N° de Jueces de Paz en Perú:</w:t>
      </w:r>
      <w:r w:rsidRPr="000D3432">
        <w:rPr>
          <w:rFonts w:asciiTheme="minorHAnsi" w:hAnsiTheme="minorHAnsi" w:cs="Arial"/>
          <w:szCs w:val="24"/>
        </w:rPr>
        <w:tab/>
        <w:t xml:space="preserve"> </w:t>
      </w:r>
      <w:r w:rsidRPr="000D3432">
        <w:rPr>
          <w:rFonts w:asciiTheme="minorHAnsi" w:hAnsiTheme="minorHAnsi" w:cs="Arial"/>
          <w:szCs w:val="24"/>
        </w:rPr>
        <w:tab/>
        <w:t>7,000 jueces de paz titulares aproximadamente.</w:t>
      </w:r>
    </w:p>
    <w:p w14:paraId="459BF554"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Aportación Inicial por socio: </w:t>
      </w:r>
      <w:r w:rsidRPr="000D3432">
        <w:rPr>
          <w:rFonts w:asciiTheme="minorHAnsi" w:hAnsiTheme="minorHAnsi" w:cs="Arial"/>
          <w:szCs w:val="24"/>
        </w:rPr>
        <w:tab/>
      </w:r>
      <w:r w:rsidRPr="000D3432">
        <w:rPr>
          <w:rFonts w:asciiTheme="minorHAnsi" w:hAnsiTheme="minorHAnsi" w:cs="Arial"/>
          <w:szCs w:val="24"/>
        </w:rPr>
        <w:tab/>
        <w:t>S/. 50.00 (cincuenta nuevos soles)</w:t>
      </w:r>
    </w:p>
    <w:p w14:paraId="0B1F6DE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__________________________________________</w:t>
      </w:r>
    </w:p>
    <w:p w14:paraId="4FC847A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Total de Aportación Inicial: </w:t>
      </w:r>
      <w:r w:rsidRPr="000D3432">
        <w:rPr>
          <w:rFonts w:asciiTheme="minorHAnsi" w:hAnsiTheme="minorHAnsi" w:cs="Arial"/>
          <w:szCs w:val="24"/>
        </w:rPr>
        <w:tab/>
      </w:r>
      <w:r w:rsidRPr="000D3432">
        <w:rPr>
          <w:rFonts w:asciiTheme="minorHAnsi" w:hAnsiTheme="minorHAnsi" w:cs="Arial"/>
          <w:szCs w:val="24"/>
        </w:rPr>
        <w:tab/>
        <w:t>S/.    350,000.00  (Trescientos cincuenta mil n.s.)</w:t>
      </w:r>
    </w:p>
    <w:p w14:paraId="5172B55A"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lastRenderedPageBreak/>
        <w:t>Total aportación al Año (12 meses)</w:t>
      </w:r>
      <w:r w:rsidRPr="000D3432">
        <w:rPr>
          <w:rFonts w:asciiTheme="minorHAnsi" w:hAnsiTheme="minorHAnsi" w:cs="Arial"/>
          <w:szCs w:val="24"/>
        </w:rPr>
        <w:tab/>
        <w:t>S/. 4´200.000.00(Cuatro millones dos cientos mil ns)</w:t>
      </w:r>
    </w:p>
    <w:p w14:paraId="38A4210D" w14:textId="77777777" w:rsidR="00FA0266" w:rsidRPr="000D3432" w:rsidRDefault="00FA0266" w:rsidP="00A95498">
      <w:pPr>
        <w:jc w:val="both"/>
        <w:rPr>
          <w:rFonts w:asciiTheme="minorHAnsi" w:hAnsiTheme="minorHAnsi" w:cs="Arial"/>
          <w:szCs w:val="24"/>
        </w:rPr>
      </w:pPr>
    </w:p>
    <w:p w14:paraId="0B94C405" w14:textId="77777777" w:rsidR="00FA0266" w:rsidRPr="000D3432" w:rsidRDefault="00FA0266" w:rsidP="00A95498">
      <w:pPr>
        <w:jc w:val="both"/>
        <w:rPr>
          <w:rFonts w:asciiTheme="minorHAnsi" w:hAnsiTheme="minorHAnsi" w:cs="Arial"/>
          <w:szCs w:val="24"/>
          <w:u w:val="single"/>
        </w:rPr>
      </w:pPr>
      <w:r w:rsidRPr="000D3432">
        <w:rPr>
          <w:rFonts w:asciiTheme="minorHAnsi" w:hAnsiTheme="minorHAnsi" w:cs="Arial"/>
          <w:szCs w:val="24"/>
          <w:u w:val="single"/>
        </w:rPr>
        <w:t xml:space="preserve">Jueces Titulares y Accesitarios: </w:t>
      </w:r>
    </w:p>
    <w:p w14:paraId="6530B48D"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N° de Jueces de Paz en Perú:</w:t>
      </w:r>
      <w:r w:rsidRPr="000D3432">
        <w:rPr>
          <w:rFonts w:asciiTheme="minorHAnsi" w:hAnsiTheme="minorHAnsi" w:cs="Arial"/>
          <w:szCs w:val="24"/>
        </w:rPr>
        <w:tab/>
        <w:t xml:space="preserve"> </w:t>
      </w:r>
      <w:r w:rsidRPr="000D3432">
        <w:rPr>
          <w:rFonts w:asciiTheme="minorHAnsi" w:hAnsiTheme="minorHAnsi" w:cs="Arial"/>
          <w:szCs w:val="24"/>
        </w:rPr>
        <w:tab/>
        <w:t>15,000 jueces de paz aproximadamente.</w:t>
      </w:r>
    </w:p>
    <w:p w14:paraId="188B8308"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Aportación Inicial por socio: </w:t>
      </w:r>
      <w:r w:rsidRPr="000D3432">
        <w:rPr>
          <w:rFonts w:asciiTheme="minorHAnsi" w:hAnsiTheme="minorHAnsi" w:cs="Arial"/>
          <w:szCs w:val="24"/>
        </w:rPr>
        <w:tab/>
      </w:r>
      <w:r w:rsidRPr="000D3432">
        <w:rPr>
          <w:rFonts w:asciiTheme="minorHAnsi" w:hAnsiTheme="minorHAnsi" w:cs="Arial"/>
          <w:szCs w:val="24"/>
        </w:rPr>
        <w:tab/>
        <w:t>S/. 50.00 (cincuenta nuevos soles)</w:t>
      </w:r>
    </w:p>
    <w:p w14:paraId="3B2E7C6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__________________________________________</w:t>
      </w:r>
    </w:p>
    <w:p w14:paraId="01678BF5" w14:textId="77777777" w:rsidR="00FA0266" w:rsidRPr="000D3432" w:rsidRDefault="00FA0266" w:rsidP="00A95498">
      <w:pPr>
        <w:jc w:val="both"/>
        <w:rPr>
          <w:rFonts w:asciiTheme="minorHAnsi" w:hAnsiTheme="minorHAnsi" w:cs="Arial"/>
          <w:szCs w:val="24"/>
          <w:lang w:val="pt-BR"/>
        </w:rPr>
      </w:pPr>
      <w:r w:rsidRPr="000D3432">
        <w:rPr>
          <w:rFonts w:asciiTheme="minorHAnsi" w:hAnsiTheme="minorHAnsi" w:cs="Arial"/>
          <w:szCs w:val="24"/>
        </w:rPr>
        <w:t xml:space="preserve">Total de Aportación Inicial: </w:t>
      </w:r>
      <w:r w:rsidRPr="000D3432">
        <w:rPr>
          <w:rFonts w:asciiTheme="minorHAnsi" w:hAnsiTheme="minorHAnsi" w:cs="Arial"/>
          <w:szCs w:val="24"/>
        </w:rPr>
        <w:tab/>
      </w:r>
      <w:r w:rsidRPr="000D3432">
        <w:rPr>
          <w:rFonts w:asciiTheme="minorHAnsi" w:hAnsiTheme="minorHAnsi" w:cs="Arial"/>
          <w:szCs w:val="24"/>
        </w:rPr>
        <w:tab/>
        <w:t xml:space="preserve">S/.    </w:t>
      </w:r>
      <w:r w:rsidRPr="000D3432">
        <w:rPr>
          <w:rFonts w:asciiTheme="minorHAnsi" w:hAnsiTheme="minorHAnsi" w:cs="Arial"/>
          <w:szCs w:val="24"/>
          <w:lang w:val="pt-BR"/>
        </w:rPr>
        <w:t>750,000.00  (Setecientos cincuenta mil n.s.)</w:t>
      </w:r>
    </w:p>
    <w:p w14:paraId="7C70F83D"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Total aportación al Año (12 meses)</w:t>
      </w:r>
      <w:r w:rsidRPr="000D3432">
        <w:rPr>
          <w:rFonts w:asciiTheme="minorHAnsi" w:hAnsiTheme="minorHAnsi" w:cs="Arial"/>
          <w:szCs w:val="24"/>
        </w:rPr>
        <w:tab/>
        <w:t>S/. 9´000.000.00  (Nueve millones de nuevos soles)</w:t>
      </w:r>
    </w:p>
    <w:p w14:paraId="14F02BE2" w14:textId="77777777" w:rsidR="00FA0266" w:rsidRPr="000D3432" w:rsidRDefault="00FA0266" w:rsidP="00A95498">
      <w:pPr>
        <w:jc w:val="both"/>
        <w:rPr>
          <w:rFonts w:asciiTheme="minorHAnsi" w:hAnsiTheme="minorHAnsi" w:cs="Arial"/>
          <w:szCs w:val="24"/>
        </w:rPr>
      </w:pPr>
    </w:p>
    <w:p w14:paraId="5CD03585" w14:textId="77777777" w:rsidR="00FA0266" w:rsidRPr="000D3432" w:rsidRDefault="00FA0266" w:rsidP="00A95498">
      <w:pPr>
        <w:jc w:val="both"/>
        <w:rPr>
          <w:rFonts w:asciiTheme="minorHAnsi" w:hAnsiTheme="minorHAnsi" w:cs="Arial"/>
          <w:b/>
          <w:szCs w:val="24"/>
        </w:rPr>
      </w:pPr>
    </w:p>
    <w:p w14:paraId="3AA226E7"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Tomado del libro: “Modelos de proyecto para crear una Cooperativa de Ahorro y Crédito”. Hanks Bandìni. Ediciones: AZ Todo Derecho. Serie: Repensando el Derecho).</w:t>
      </w:r>
    </w:p>
    <w:p w14:paraId="79BB41DC" w14:textId="77777777" w:rsidR="00FA0266" w:rsidRPr="000D3432" w:rsidRDefault="00FA0266" w:rsidP="00A95498">
      <w:pPr>
        <w:jc w:val="both"/>
        <w:rPr>
          <w:rFonts w:asciiTheme="minorHAnsi" w:hAnsiTheme="minorHAnsi"/>
          <w:szCs w:val="24"/>
        </w:rPr>
      </w:pPr>
    </w:p>
    <w:p w14:paraId="1FDA7BE0" w14:textId="77777777" w:rsidR="00FA0266" w:rsidRPr="000D3432" w:rsidRDefault="00FA0266" w:rsidP="00A95498">
      <w:pPr>
        <w:jc w:val="both"/>
        <w:rPr>
          <w:rFonts w:asciiTheme="minorHAnsi" w:hAnsiTheme="minorHAnsi"/>
          <w:b/>
          <w:szCs w:val="24"/>
        </w:rPr>
      </w:pPr>
    </w:p>
    <w:p w14:paraId="1BCF0A08" w14:textId="77777777" w:rsidR="00FA0266" w:rsidRPr="000D3432" w:rsidRDefault="00FA0266" w:rsidP="00616998">
      <w:pPr>
        <w:jc w:val="center"/>
        <w:rPr>
          <w:rFonts w:asciiTheme="minorHAnsi" w:hAnsiTheme="minorHAnsi"/>
          <w:b/>
          <w:szCs w:val="24"/>
        </w:rPr>
      </w:pPr>
      <w:r w:rsidRPr="000D3432">
        <w:rPr>
          <w:rFonts w:asciiTheme="minorHAnsi" w:hAnsiTheme="minorHAnsi"/>
          <w:b/>
          <w:szCs w:val="24"/>
        </w:rPr>
        <w:t>- 12 -</w:t>
      </w:r>
    </w:p>
    <w:p w14:paraId="70C09D96" w14:textId="77777777" w:rsidR="00FA0266" w:rsidRPr="000D3432" w:rsidRDefault="00FA0266" w:rsidP="00616998">
      <w:pPr>
        <w:jc w:val="center"/>
        <w:rPr>
          <w:rFonts w:asciiTheme="minorHAnsi" w:hAnsiTheme="minorHAnsi"/>
          <w:b/>
          <w:szCs w:val="24"/>
        </w:rPr>
      </w:pPr>
      <w:r w:rsidRPr="000D3432">
        <w:rPr>
          <w:rFonts w:asciiTheme="minorHAnsi" w:hAnsiTheme="minorHAnsi"/>
          <w:b/>
          <w:szCs w:val="24"/>
        </w:rPr>
        <w:t>LA ILUSTRACIÓN</w:t>
      </w:r>
    </w:p>
    <w:p w14:paraId="286A64AD" w14:textId="77777777" w:rsidR="00FA0266" w:rsidRPr="000D3432" w:rsidRDefault="00FA0266" w:rsidP="00A95498">
      <w:pPr>
        <w:jc w:val="both"/>
        <w:rPr>
          <w:rFonts w:asciiTheme="minorHAnsi" w:hAnsiTheme="minorHAnsi"/>
          <w:szCs w:val="24"/>
        </w:rPr>
      </w:pPr>
    </w:p>
    <w:p w14:paraId="14A50AF4" w14:textId="77777777" w:rsidR="00FA0266" w:rsidRPr="000D3432" w:rsidRDefault="00FA0266" w:rsidP="00A95498">
      <w:pPr>
        <w:jc w:val="both"/>
        <w:rPr>
          <w:rFonts w:asciiTheme="minorHAnsi" w:hAnsiTheme="minorHAnsi" w:cs="Arial"/>
          <w:color w:val="000000"/>
          <w:szCs w:val="24"/>
        </w:rPr>
      </w:pPr>
      <w:r w:rsidRPr="000D3432">
        <w:rPr>
          <w:rFonts w:asciiTheme="minorHAnsi" w:hAnsiTheme="minorHAnsi" w:cs="Arial"/>
          <w:color w:val="000000"/>
          <w:szCs w:val="24"/>
        </w:rPr>
        <w:t>b.- La ilustración como instrumento para la nueva concepción del derecho moderno</w:t>
      </w:r>
    </w:p>
    <w:p w14:paraId="1AA1FEC5" w14:textId="77777777" w:rsidR="00FA0266" w:rsidRPr="000D3432" w:rsidRDefault="00FA0266" w:rsidP="00A95498">
      <w:pPr>
        <w:pStyle w:val="Parrafffo"/>
        <w:spacing w:line="240" w:lineRule="auto"/>
        <w:ind w:left="0"/>
        <w:rPr>
          <w:rFonts w:asciiTheme="minorHAnsi" w:hAnsiTheme="minorHAnsi"/>
          <w:color w:val="000000"/>
          <w:sz w:val="24"/>
          <w:szCs w:val="24"/>
        </w:rPr>
      </w:pPr>
    </w:p>
    <w:p w14:paraId="53B79405" w14:textId="77777777" w:rsidR="00FA0266" w:rsidRPr="000D3432" w:rsidRDefault="00FA0266" w:rsidP="00A95498">
      <w:pPr>
        <w:pStyle w:val="Parrafffo"/>
        <w:keepNext w:val="0"/>
        <w:widowControl w:val="0"/>
        <w:spacing w:line="240" w:lineRule="auto"/>
        <w:ind w:left="0" w:firstLine="425"/>
        <w:rPr>
          <w:rFonts w:asciiTheme="minorHAnsi" w:hAnsiTheme="minorHAnsi"/>
          <w:b w:val="0"/>
          <w:color w:val="000000"/>
          <w:sz w:val="24"/>
          <w:szCs w:val="24"/>
        </w:rPr>
      </w:pPr>
      <w:r w:rsidRPr="000D3432">
        <w:rPr>
          <w:rFonts w:asciiTheme="minorHAnsi" w:hAnsiTheme="minorHAnsi"/>
          <w:b w:val="0"/>
          <w:color w:val="000000"/>
          <w:sz w:val="24"/>
          <w:szCs w:val="24"/>
        </w:rPr>
        <w:t>“Aquello que hoy llamamos modernidad es el pensamiento que surge de la filosofía de la Ilustración y que, de una manera u otra, aún impregna nuestras mentalidades y nuestras instituciones. Fundamentalmente consiste en una primacía de la razón y, consecuentemente, una exaltación de la subjetividad individual.”</w:t>
      </w:r>
      <w:r w:rsidRPr="000D3432">
        <w:rPr>
          <w:rStyle w:val="Refdenotaalpie"/>
          <w:rFonts w:asciiTheme="minorHAnsi" w:hAnsiTheme="minorHAnsi"/>
          <w:b w:val="0"/>
          <w:color w:val="000000"/>
          <w:sz w:val="24"/>
          <w:szCs w:val="24"/>
        </w:rPr>
        <w:footnoteReference w:id="506"/>
      </w:r>
    </w:p>
    <w:p w14:paraId="44B67675" w14:textId="77777777" w:rsidR="00FA0266" w:rsidRPr="000D3432" w:rsidRDefault="00FA0266" w:rsidP="00A95498">
      <w:pPr>
        <w:ind w:firstLine="425"/>
        <w:jc w:val="both"/>
        <w:rPr>
          <w:rFonts w:asciiTheme="minorHAnsi" w:hAnsiTheme="minorHAnsi" w:cs="Arial"/>
          <w:color w:val="000000"/>
          <w:szCs w:val="24"/>
        </w:rPr>
      </w:pPr>
    </w:p>
    <w:p w14:paraId="26EB3CE6"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 xml:space="preserve">La ilustración produjo una ruptura en la mentalidad del hombre occidental, apoyada por el pensamiento crítico. Esto se había derivado de un proceso cultural que parece iniciarse cuando un grupo de intelectuales, en Francia, encabezó una gran avanzada cultural denominada Ilustración, que significaba ese paso de un mundo oscuro y sombrío -refiriéndose a la Edad Media- a un tiempo denominando luego el “siglo de las luces”. Esta corriente de pensamiento que irradiaría todo el pensamiento europeo, occidental, se origina en Francia, con un grupo de intelectuales, que se concentraron en divulgar y aplicar prácticamente los principios de la investigación científica. Este movimiento entronca sus raíces con el humanismo renacentista. La característica de este movimiento fue la crítica de todos los géneros de supersticiones y tradiciones que no tuvieran una base racional, pusieron, por consecuencia en observación y juicio toda la estructura del Antiguo Régimen. En todo esto aparece Montesquieu, con su libro “el espíritu de las leyes, que muestra la necesidad de la división de poderes; aparecen también los enciclopedistas, que recopilaron </w:t>
      </w:r>
      <w:r w:rsidRPr="000D3432">
        <w:rPr>
          <w:rFonts w:asciiTheme="minorHAnsi" w:hAnsiTheme="minorHAnsi" w:cs="Arial"/>
          <w:color w:val="000000"/>
          <w:szCs w:val="24"/>
        </w:rPr>
        <w:lastRenderedPageBreak/>
        <w:t>los conocimientos de todo orden en una obra denominada La Enciclopedia Francesa, publicada en 1751, escrita con criterios racionales y liberales, dirigida por Diderot</w:t>
      </w:r>
      <w:r w:rsidRPr="000D3432">
        <w:rPr>
          <w:rStyle w:val="Refdenotaalpie"/>
          <w:rFonts w:asciiTheme="minorHAnsi" w:hAnsiTheme="minorHAnsi" w:cs="Arial"/>
          <w:color w:val="000000"/>
          <w:sz w:val="24"/>
          <w:szCs w:val="24"/>
        </w:rPr>
        <w:footnoteReference w:id="507"/>
      </w:r>
      <w:r w:rsidRPr="000D3432">
        <w:rPr>
          <w:rFonts w:asciiTheme="minorHAnsi" w:hAnsiTheme="minorHAnsi" w:cs="Arial"/>
          <w:color w:val="000000"/>
          <w:szCs w:val="24"/>
        </w:rPr>
        <w:t xml:space="preserve"> y D’Alembert; obra en la cual fueron colaboradores Voltaire y Rousseau que escribió el Contrato Social donde se plantea los principios de una sociedad democrática. “La Enciclopedia, que a primera vista no era más que un diccionario, fue el vehículo máximo de las ideas de la Ilustración. Con cierta habilidad deslizaba los pensamientos críticos y atacaba a la Iglesia y todas las convicciones vigentes.”</w:t>
      </w:r>
      <w:r w:rsidRPr="000D3432">
        <w:rPr>
          <w:rStyle w:val="Refdenotaalpie"/>
          <w:rFonts w:asciiTheme="minorHAnsi" w:hAnsiTheme="minorHAnsi" w:cs="Arial"/>
          <w:color w:val="000000"/>
          <w:sz w:val="24"/>
          <w:szCs w:val="24"/>
        </w:rPr>
        <w:footnoteReference w:id="508"/>
      </w:r>
    </w:p>
    <w:p w14:paraId="298C0797" w14:textId="77777777" w:rsidR="00FA0266" w:rsidRPr="000D3432" w:rsidRDefault="00FA0266" w:rsidP="00A95498">
      <w:pPr>
        <w:ind w:firstLine="425"/>
        <w:jc w:val="both"/>
        <w:rPr>
          <w:rFonts w:asciiTheme="minorHAnsi" w:hAnsiTheme="minorHAnsi" w:cs="Arial"/>
          <w:color w:val="000000"/>
          <w:szCs w:val="24"/>
        </w:rPr>
      </w:pPr>
    </w:p>
    <w:p w14:paraId="7C0C02FE"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Es en la Ilustración (siglo XVIII) cuando el fundamento de la crítica a lo religioso, a lo divino, a lo metafísico, se fortalece. Este momento representa el final de las especulaciones metafísicas del siglo XVII. Es en el siglo XVIII que una serie de escritores críticos, hábiles e ingeniosos, que se llaman a sí mismo, con tanta insistencia como impropiedad, “filósofos”, exponen, glosan y generalizan una serie de ideas que -en otra forma y con otro alcance- fueron pensadas por las grandes mentes europeas del siglo XVII</w:t>
      </w:r>
      <w:r w:rsidRPr="000D3432">
        <w:rPr>
          <w:rStyle w:val="Refdenotaalpie"/>
          <w:rFonts w:asciiTheme="minorHAnsi" w:hAnsiTheme="minorHAnsi" w:cs="Arial"/>
          <w:color w:val="000000"/>
          <w:sz w:val="24"/>
          <w:szCs w:val="24"/>
        </w:rPr>
        <w:footnoteReference w:id="509"/>
      </w:r>
      <w:r w:rsidRPr="000D3432">
        <w:rPr>
          <w:rFonts w:asciiTheme="minorHAnsi" w:hAnsiTheme="minorHAnsi" w:cs="Arial"/>
          <w:color w:val="000000"/>
          <w:szCs w:val="24"/>
        </w:rPr>
        <w:t>; con lo que se derrumbaba las anteriores estructuras mentales medievales.</w:t>
      </w:r>
    </w:p>
    <w:p w14:paraId="73DBD3FD" w14:textId="77777777" w:rsidR="00FA0266" w:rsidRPr="000D3432" w:rsidRDefault="00FA0266" w:rsidP="00A95498">
      <w:pPr>
        <w:ind w:firstLine="425"/>
        <w:jc w:val="both"/>
        <w:rPr>
          <w:rFonts w:asciiTheme="minorHAnsi" w:hAnsiTheme="minorHAnsi" w:cs="Arial"/>
          <w:color w:val="000000"/>
          <w:szCs w:val="24"/>
        </w:rPr>
      </w:pPr>
    </w:p>
    <w:p w14:paraId="53608BB7"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Ha empezado todo un replanteamiento de las ideas, los temas, los conceptos  sociales, culturales, económicos, políticos, jurídicos, etc. Las convicciones anteriores pierden solidez, las ideas se alteran, es el inicio de la destrucción de la tradición, de lo tradicional. Desde ahora todo empezará a ser sometido a una crítica corrosiva, que destruye todo aquello que no sea racional y previamente probado, los fundamentos míticos, divinos, metafísicos, son guillotinados por la razón, que es el único fundamento a aceptar. La organización política, social y espiritual entra en plena ebullición y se replantea. Todo este movimiento, en el pensamiento humano, se opera, primero (históricamente hablando) en Francia, “Desde fines del siglo XVII y durante todo el siglo XVIII se opera en Francia un cambio de ideas y convicciones que altera el carácter de su política, de su organización social y de su vida espiritual. (...) De la disciplina, de la jerarquía, de la autoridad, de los dogmas, se pasa a las ideas de independencia, de igualdad, de una religión natural, incluso de un concreto anticristianismo. Es el paso de la mentalidad de Bossuet a la de Voltaire; la crítica de todas las convicciones tradicionales, desde la fe cristiana hasta la monarquía absoluta, pasando por una visión de la historia y las normas sociales. Es una efectiva revolución en los supuestos mentales...”</w:t>
      </w:r>
      <w:r w:rsidRPr="000D3432">
        <w:rPr>
          <w:rStyle w:val="Refdenotaalpie"/>
          <w:rFonts w:asciiTheme="minorHAnsi" w:hAnsiTheme="minorHAnsi" w:cs="Arial"/>
          <w:color w:val="000000"/>
          <w:sz w:val="24"/>
          <w:szCs w:val="24"/>
        </w:rPr>
        <w:footnoteReference w:id="510"/>
      </w:r>
    </w:p>
    <w:p w14:paraId="39DCE098" w14:textId="77777777" w:rsidR="00FA0266" w:rsidRPr="000D3432" w:rsidRDefault="00FA0266" w:rsidP="00A95498">
      <w:pPr>
        <w:ind w:firstLine="425"/>
        <w:jc w:val="both"/>
        <w:rPr>
          <w:rFonts w:asciiTheme="minorHAnsi" w:hAnsiTheme="minorHAnsi" w:cs="Arial"/>
          <w:color w:val="000000"/>
          <w:szCs w:val="24"/>
        </w:rPr>
      </w:pPr>
    </w:p>
    <w:p w14:paraId="69A0FD62"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 xml:space="preserve">La Ilustración significó una revolución teórica, que se produjo una acumulación de críticas contra la iglesia, los dogmas, la jerarquía, etc. Este movimiento en el pensamiento fue producto de una serie de críticas contra todo tipo de fundamento anterior. La revolución teórica ha sido el producto de una inmensa ráfaga de ataques contra los conceptos medievales. La Ilustración dieciochesca fue una revolución teórica, que se fermentó por la acumulación de </w:t>
      </w:r>
      <w:r w:rsidRPr="000D3432">
        <w:rPr>
          <w:rFonts w:asciiTheme="minorHAnsi" w:hAnsiTheme="minorHAnsi" w:cs="Arial"/>
          <w:color w:val="000000"/>
          <w:szCs w:val="24"/>
        </w:rPr>
        <w:lastRenderedPageBreak/>
        <w:t>continuas oleadas anticlericales, antidogmáticas, racionalistas hasta la exageración, antiabsolutistas, exaltadoras y glorificadoras de la ciencia, la tolerancia, la concordia entre las naciones, antibelicista, antimilitarista, con un afán, casi sacralizado, de progresismo, es decir de la convicción en el progreso.</w:t>
      </w:r>
      <w:r w:rsidRPr="000D3432">
        <w:rPr>
          <w:rStyle w:val="Refdenotaalpie"/>
          <w:rFonts w:asciiTheme="minorHAnsi" w:hAnsiTheme="minorHAnsi" w:cs="Arial"/>
          <w:color w:val="000000"/>
          <w:sz w:val="24"/>
          <w:szCs w:val="24"/>
        </w:rPr>
        <w:footnoteReference w:id="511"/>
      </w:r>
    </w:p>
    <w:p w14:paraId="60259475" w14:textId="77777777" w:rsidR="00FA0266" w:rsidRPr="000D3432" w:rsidRDefault="00FA0266" w:rsidP="00A95498">
      <w:pPr>
        <w:ind w:firstLine="425"/>
        <w:jc w:val="both"/>
        <w:rPr>
          <w:rFonts w:asciiTheme="minorHAnsi" w:hAnsiTheme="minorHAnsi" w:cs="Arial"/>
          <w:color w:val="000000"/>
          <w:szCs w:val="24"/>
        </w:rPr>
      </w:pPr>
    </w:p>
    <w:p w14:paraId="1CBD3003"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ab/>
        <w:t>La religión, por ejemplo, fue atacada por su centralismo, por su teocratismo político que hacia de la vida una línea vertical, donde existía hegemonía religiosa. La religión había concentrado el poder, impuesto la intolerancia a través de la inquisición, y oscurecido el conocimiento a los ojos del pueblo. El conocimiento teológico era elitista, propio de monjes, iglesias, entonces “En el plano religioso, lo importante era acabar con el teocratismo político con la intolerancia inquisitorial y con el oscurantismo,...”</w:t>
      </w:r>
      <w:r w:rsidRPr="000D3432">
        <w:rPr>
          <w:rStyle w:val="Refdenotaalpie"/>
          <w:rFonts w:asciiTheme="minorHAnsi" w:hAnsiTheme="minorHAnsi" w:cs="Arial"/>
          <w:color w:val="000000"/>
          <w:sz w:val="24"/>
          <w:szCs w:val="24"/>
        </w:rPr>
        <w:footnoteReference w:id="512"/>
      </w:r>
      <w:r w:rsidRPr="000D3432">
        <w:rPr>
          <w:rFonts w:asciiTheme="minorHAnsi" w:hAnsiTheme="minorHAnsi" w:cs="Arial"/>
          <w:color w:val="000000"/>
          <w:szCs w:val="24"/>
        </w:rPr>
        <w:t xml:space="preserve"> </w:t>
      </w:r>
    </w:p>
    <w:p w14:paraId="20E79EF6" w14:textId="77777777" w:rsidR="00FA0266" w:rsidRPr="000D3432" w:rsidRDefault="00FA0266" w:rsidP="00A95498">
      <w:pPr>
        <w:ind w:firstLine="425"/>
        <w:jc w:val="both"/>
        <w:rPr>
          <w:rFonts w:asciiTheme="minorHAnsi" w:hAnsiTheme="minorHAnsi" w:cs="Arial"/>
          <w:color w:val="000000"/>
          <w:szCs w:val="24"/>
        </w:rPr>
      </w:pPr>
    </w:p>
    <w:p w14:paraId="70C9FBDC"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Es en todo este contexto que la ilustración se presenta como un movimiento fuerte, de carácter anti, poderoso y desmistificador. La Ilustración fue un movimiento poderoso, complejo, dinámico, uno de los más vigorosos y efectivos intentos de modificación del hombre que se han dado, que reunió los más excelsos esfuerzos en pro de la autonomía y emancipación humanas con las simas más execrables de filisteísmo, vulgaridad y pedantería.</w:t>
      </w:r>
      <w:r w:rsidRPr="000D3432">
        <w:rPr>
          <w:rStyle w:val="Refdenotaalpie"/>
          <w:rFonts w:asciiTheme="minorHAnsi" w:hAnsiTheme="minorHAnsi" w:cs="Arial"/>
          <w:color w:val="000000"/>
          <w:sz w:val="24"/>
          <w:szCs w:val="24"/>
        </w:rPr>
        <w:footnoteReference w:id="513"/>
      </w:r>
      <w:r w:rsidRPr="000D3432">
        <w:rPr>
          <w:rFonts w:asciiTheme="minorHAnsi" w:hAnsiTheme="minorHAnsi" w:cs="Arial"/>
          <w:color w:val="000000"/>
          <w:szCs w:val="24"/>
        </w:rPr>
        <w:t xml:space="preserve"> Un movimiento teórico brutal para las concepciones tradicionales de poder y jerarquización del poder, una deslegitimación de las estructuras mentales y jurídicas, una exaltación de la independencia del hombre, en donde su autonomía era lo importante, su independencia para pensar. Por eso la Ilustración –según Kant- era el símbolo de un hecho fundamental: la “mayoría de edad” del hombre, es decir, la capacidad para pensar por sí mismo, o el derecho de pensar por sí mismo, sin la dirección dogmática, es decir, sin subordinación al conocimiento venido simplemente de ciertas “autoridades”.</w:t>
      </w:r>
    </w:p>
    <w:p w14:paraId="0FD0257B" w14:textId="77777777" w:rsidR="00FA0266" w:rsidRPr="000D3432" w:rsidRDefault="00FA0266" w:rsidP="00A95498">
      <w:pPr>
        <w:pStyle w:val="Parrafffo"/>
        <w:keepNext w:val="0"/>
        <w:widowControl w:val="0"/>
        <w:spacing w:line="240" w:lineRule="auto"/>
        <w:ind w:left="0"/>
        <w:rPr>
          <w:rFonts w:asciiTheme="minorHAnsi" w:hAnsiTheme="minorHAnsi"/>
          <w:color w:val="000000"/>
          <w:sz w:val="24"/>
          <w:szCs w:val="24"/>
        </w:rPr>
      </w:pPr>
    </w:p>
    <w:p w14:paraId="3F3A8B38" w14:textId="77777777" w:rsidR="00FA0266" w:rsidRPr="000D3432" w:rsidRDefault="00FA0266" w:rsidP="00A95498">
      <w:pPr>
        <w:pStyle w:val="Parrafffo"/>
        <w:keepNext w:val="0"/>
        <w:widowControl w:val="0"/>
        <w:spacing w:line="240" w:lineRule="auto"/>
        <w:ind w:left="0" w:firstLine="425"/>
        <w:rPr>
          <w:rFonts w:asciiTheme="minorHAnsi" w:hAnsiTheme="minorHAnsi"/>
          <w:b w:val="0"/>
          <w:color w:val="000000"/>
          <w:sz w:val="24"/>
          <w:szCs w:val="24"/>
        </w:rPr>
      </w:pPr>
      <w:r w:rsidRPr="000D3432">
        <w:rPr>
          <w:rFonts w:asciiTheme="minorHAnsi" w:hAnsiTheme="minorHAnsi"/>
          <w:b w:val="0"/>
          <w:color w:val="000000"/>
          <w:sz w:val="24"/>
          <w:szCs w:val="24"/>
        </w:rPr>
        <w:t>“Para el gran pensador de Könisberg, la Ilustración significaba la llegada a la mayoría de edad del hombre, el final de una razón tutelada y más rica en sombras dogmáticas que en luces; su divisa fue “ sapere aude!”, Atrévete a saber, a pensar por ti mismo sin cortapisas ni encauzamientos esclerotizados.”</w:t>
      </w:r>
      <w:r w:rsidRPr="000D3432">
        <w:rPr>
          <w:rStyle w:val="Refdenotaalpie"/>
          <w:rFonts w:asciiTheme="minorHAnsi" w:hAnsiTheme="minorHAnsi"/>
          <w:b w:val="0"/>
          <w:color w:val="000000"/>
          <w:sz w:val="24"/>
          <w:szCs w:val="24"/>
        </w:rPr>
        <w:footnoteReference w:id="514"/>
      </w:r>
    </w:p>
    <w:p w14:paraId="43FBAB46" w14:textId="77777777" w:rsidR="00FA0266" w:rsidRPr="000D3432" w:rsidRDefault="00FA0266" w:rsidP="00A95498">
      <w:pPr>
        <w:ind w:firstLine="425"/>
        <w:jc w:val="both"/>
        <w:rPr>
          <w:rFonts w:asciiTheme="minorHAnsi" w:hAnsiTheme="minorHAnsi" w:cs="Arial"/>
          <w:color w:val="000000"/>
          <w:szCs w:val="24"/>
        </w:rPr>
      </w:pPr>
    </w:p>
    <w:p w14:paraId="28E684A8"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Para plantear esta entrada a la “mayoría de edad” Kant debe valerse de ciertos sustentos: la Razón Pura, con la cual intenta independizar al hombre de la dirección teocrática, religiosa imperante antaño. Pues, opina, la razón es la única fuente, que a través de los sentidos es de fiar, y en la cual debe basarse el hombre para desterrar al mito y la superstición.</w:t>
      </w:r>
    </w:p>
    <w:p w14:paraId="2E7BEDE9" w14:textId="77777777" w:rsidR="00FA0266" w:rsidRPr="000D3432" w:rsidRDefault="00FA0266" w:rsidP="00A95498">
      <w:pPr>
        <w:pStyle w:val="Parrafffo"/>
        <w:spacing w:line="240" w:lineRule="auto"/>
        <w:ind w:left="0"/>
        <w:rPr>
          <w:rFonts w:asciiTheme="minorHAnsi" w:hAnsiTheme="minorHAnsi"/>
          <w:color w:val="000000"/>
          <w:sz w:val="24"/>
          <w:szCs w:val="24"/>
        </w:rPr>
      </w:pPr>
    </w:p>
    <w:p w14:paraId="6362C50E" w14:textId="77777777" w:rsidR="00FA0266" w:rsidRPr="000D3432" w:rsidRDefault="00FA0266" w:rsidP="00A95498">
      <w:pPr>
        <w:pStyle w:val="Parrafffo"/>
        <w:spacing w:line="240" w:lineRule="auto"/>
        <w:ind w:left="0" w:firstLine="425"/>
        <w:rPr>
          <w:rFonts w:asciiTheme="minorHAnsi" w:hAnsiTheme="minorHAnsi"/>
          <w:b w:val="0"/>
          <w:color w:val="000000"/>
          <w:sz w:val="24"/>
          <w:szCs w:val="24"/>
        </w:rPr>
      </w:pPr>
      <w:r w:rsidRPr="000D3432">
        <w:rPr>
          <w:rFonts w:asciiTheme="minorHAnsi" w:hAnsiTheme="minorHAnsi"/>
          <w:b w:val="0"/>
          <w:color w:val="000000"/>
          <w:sz w:val="24"/>
          <w:szCs w:val="24"/>
        </w:rPr>
        <w:t xml:space="preserve">“Kant acotó modestamente el alcance de la razón pura para de este modo independizar al filósofo laico de los administradores teocráticos de la sabiduría. La razón no puede funcionar en el vacío, no puede inventar su </w:t>
      </w:r>
      <w:r w:rsidRPr="000D3432">
        <w:rPr>
          <w:rFonts w:asciiTheme="minorHAnsi" w:hAnsiTheme="minorHAnsi"/>
          <w:b w:val="0"/>
          <w:color w:val="000000"/>
          <w:sz w:val="24"/>
          <w:szCs w:val="24"/>
        </w:rPr>
        <w:lastRenderedPageBreak/>
        <w:t>propio sustento o basarse en tradiciones y revelaciones sobrenaturales ajenas a su esencia; necesita apoyarse en las aportaciones de los sentidos, ordenadas según unas intuiciones de espacio y tiempo y según unas estructuras -las categorías- inalienablemente insertas en la subjetividad humana.”</w:t>
      </w:r>
      <w:r w:rsidRPr="000D3432">
        <w:rPr>
          <w:rStyle w:val="Refdenotaalpie"/>
          <w:rFonts w:asciiTheme="minorHAnsi" w:hAnsiTheme="minorHAnsi"/>
          <w:b w:val="0"/>
          <w:color w:val="000000"/>
          <w:sz w:val="24"/>
          <w:szCs w:val="24"/>
        </w:rPr>
        <w:footnoteReference w:id="515"/>
      </w:r>
    </w:p>
    <w:p w14:paraId="5F2E99E1" w14:textId="77777777" w:rsidR="00FA0266" w:rsidRPr="000D3432" w:rsidRDefault="00FA0266" w:rsidP="00A95498">
      <w:pPr>
        <w:ind w:firstLine="425"/>
        <w:jc w:val="both"/>
        <w:rPr>
          <w:rFonts w:asciiTheme="minorHAnsi" w:hAnsiTheme="minorHAnsi" w:cs="Arial"/>
          <w:color w:val="000000"/>
          <w:szCs w:val="24"/>
        </w:rPr>
      </w:pPr>
    </w:p>
    <w:p w14:paraId="19D226E1"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 xml:space="preserve">Es necesario, pues, adquirir la mayoría de edad, la capacidad de </w:t>
      </w:r>
      <w:r w:rsidRPr="000D3432">
        <w:rPr>
          <w:rFonts w:asciiTheme="minorHAnsi" w:hAnsiTheme="minorHAnsi" w:cs="Arial"/>
          <w:i/>
          <w:color w:val="000000"/>
          <w:szCs w:val="24"/>
        </w:rPr>
        <w:t>sapere aude</w:t>
      </w:r>
      <w:r w:rsidRPr="000D3432">
        <w:rPr>
          <w:rFonts w:asciiTheme="minorHAnsi" w:hAnsiTheme="minorHAnsi" w:cs="Arial"/>
          <w:color w:val="000000"/>
          <w:szCs w:val="24"/>
        </w:rPr>
        <w:t>.</w:t>
      </w:r>
    </w:p>
    <w:p w14:paraId="2E2A4CEC" w14:textId="77777777" w:rsidR="00FA0266" w:rsidRPr="000D3432" w:rsidRDefault="00FA0266" w:rsidP="00A95498">
      <w:pPr>
        <w:ind w:firstLine="425"/>
        <w:jc w:val="both"/>
        <w:rPr>
          <w:rFonts w:asciiTheme="minorHAnsi" w:hAnsiTheme="minorHAnsi" w:cs="Arial"/>
          <w:color w:val="000000"/>
          <w:szCs w:val="24"/>
        </w:rPr>
      </w:pPr>
    </w:p>
    <w:p w14:paraId="27D5C2A4"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La adquisición de este derecho a pensar por sí mismo, que simbólicamente significa “la mayoría de edad”, es en sí la supresión de la dirección tutelar, la conducta recepcionada de una autoridad, llamada padre, tradición, iglesia, etc. Como lo explicaría luego Sigmund Freud, la mayoría de edad constituiría  el rompimiento de la atadura al dominio paterno, usando como navaja de liberación el propio pensamiento, y capacidad de dirección, el hombre habría de hacer, por esta apropiación e independencia su propio destino. “La mayoría de edad ilustrada, según Kant -como luego según Freud-, es la supresión de la autoridad paterna porque uno mismo ha llegado a convertirse en su propio padre.”</w:t>
      </w:r>
      <w:r w:rsidRPr="000D3432">
        <w:rPr>
          <w:rStyle w:val="Refdenotaalpie"/>
          <w:rFonts w:asciiTheme="minorHAnsi" w:hAnsiTheme="minorHAnsi" w:cs="Arial"/>
          <w:color w:val="000000"/>
          <w:sz w:val="24"/>
          <w:szCs w:val="24"/>
        </w:rPr>
        <w:footnoteReference w:id="516"/>
      </w:r>
      <w:r w:rsidRPr="000D3432">
        <w:rPr>
          <w:rFonts w:asciiTheme="minorHAnsi" w:hAnsiTheme="minorHAnsi" w:cs="Arial"/>
          <w:color w:val="000000"/>
          <w:szCs w:val="24"/>
        </w:rPr>
        <w:t xml:space="preserve"> </w:t>
      </w:r>
    </w:p>
    <w:p w14:paraId="4E98DD4D" w14:textId="77777777" w:rsidR="00FA0266" w:rsidRPr="000D3432" w:rsidRDefault="00FA0266" w:rsidP="00A95498">
      <w:pPr>
        <w:ind w:firstLine="425"/>
        <w:jc w:val="both"/>
        <w:rPr>
          <w:rFonts w:asciiTheme="minorHAnsi" w:hAnsiTheme="minorHAnsi" w:cs="Arial"/>
          <w:color w:val="000000"/>
          <w:szCs w:val="24"/>
        </w:rPr>
      </w:pPr>
    </w:p>
    <w:p w14:paraId="596EB700"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Esta mayoría de edad, esta independencia de la autoridad, en el campo religioso (que tiene luego evidente repercusión en lo jurídico), produce un proceso fundamental –realmente simbólico, pero decisivo-: la muerte de Dios. “Dios venía agonizando de manera más o menos decorosa desde el Renacimiento, pero fue la Ilustración la que precipitó fulminantemente su fallecimiento. Sus esténtores</w:t>
      </w:r>
      <w:r w:rsidRPr="000D3432">
        <w:rPr>
          <w:rStyle w:val="Refdenotaalpie"/>
          <w:rFonts w:asciiTheme="minorHAnsi" w:hAnsiTheme="minorHAnsi" w:cs="Arial"/>
          <w:color w:val="000000"/>
          <w:sz w:val="24"/>
          <w:szCs w:val="24"/>
        </w:rPr>
        <w:footnoteReference w:id="517"/>
      </w:r>
      <w:r w:rsidRPr="000D3432">
        <w:rPr>
          <w:rFonts w:asciiTheme="minorHAnsi" w:hAnsiTheme="minorHAnsi" w:cs="Arial"/>
          <w:color w:val="000000"/>
          <w:szCs w:val="24"/>
        </w:rPr>
        <w:t xml:space="preserve"> podían haber todavía llenado décadas (...) Pero la conmoción teórico-política-vital producida por la revolución francesa acortó hasta el mínimo sus postrimerías.”</w:t>
      </w:r>
      <w:r w:rsidRPr="000D3432">
        <w:rPr>
          <w:rStyle w:val="Refdenotaalpie"/>
          <w:rFonts w:asciiTheme="minorHAnsi" w:hAnsiTheme="minorHAnsi" w:cs="Arial"/>
          <w:color w:val="000000"/>
          <w:sz w:val="24"/>
          <w:szCs w:val="24"/>
        </w:rPr>
        <w:footnoteReference w:id="518"/>
      </w:r>
      <w:r w:rsidRPr="000D3432">
        <w:rPr>
          <w:rFonts w:asciiTheme="minorHAnsi" w:hAnsiTheme="minorHAnsi" w:cs="Arial"/>
          <w:color w:val="000000"/>
          <w:szCs w:val="24"/>
        </w:rPr>
        <w:t xml:space="preserve"> El ataque a la religión fue directo. La fuerza centrípeta, el centralismo y hegemonía que ejercía la religión fue desenmascarada. Dios podía existir, pero al lado del hombre, haciéndole favores o no, pero nunca decidiendo por él. Dios era revelación, pero el hombre no era sólo revelación, sino existencia, realidad, y necesidad. La iglesia, habría de sufrir un gillotinazo tremendo. El poder no emanaría más directamente de la religión, sino del mismo hombre (posiblemente apoyado en la religión, pero no como fuerza determinante, decisiva, como antaño). La muerte de Dios significa exactamente eso: que Dios no va a dirigir absoluta y dogmáticamente la vida del hombre, que el orden y por lo tanto el Derecho y el poder no dependen de Dios, sino del hombre. Las conductas humanas no serán dirigidas a complacer a Dios, sino al hombre. El orden social deberá plantearse de acuerdo a las necesidades terrenales del hombre. Dios nunca más podría ser el único generador de poder y dominio. Podía existir, pero al lado del hombre, no encima de él. El hombre ya no esperará que todo suceda según la “gracia del espíritu santo”, o según la “voluntad de Dios” (que eran usados como fundamentos jurídicos), sino que arremeterá contra la misma naturaleza de las cosas y comenzará a crear su propio destino, a pensar por cuenta propia, a obtener -a fuerza de pensar- su </w:t>
      </w:r>
      <w:r w:rsidRPr="000D3432">
        <w:rPr>
          <w:rFonts w:asciiTheme="minorHAnsi" w:hAnsiTheme="minorHAnsi" w:cs="Arial"/>
          <w:color w:val="000000"/>
          <w:szCs w:val="24"/>
        </w:rPr>
        <w:lastRenderedPageBreak/>
        <w:t>libertad de todo fundamento teológico, que lo empotraba dentro de un marco demasiado limitado y asfixiante, que le impedía construir su propio destino. Es una rebelión contra el orden natural de las cosas. Es un apoderamiento de ese orden natural, para construirlo según la naturaleza, necesidad y exigencia del propio hombre. Es tomar al mundo bajo los brazos del hombre para hacerlo a su imagen y semejanza, y no ser amoldado a imagen y semejanza de Dios, o de su voluntad. El hombre de la Ilustración reclama e impone, por la fuerza de los brazos y la fuerza de la razón, su dominio. El Derecho ya no será divino, sino humano, incluso demasiado humano. El centro es el hombre, ya no Dios. Y es la Ilustración la que ha dado esta estocada final al mundo teológico, teocrático, que ha permitido al hombre rebelarse y ser él. El Derecho sería, a partir de allí, lo que el hombre disponga que sea. El Derecho ya no era Dios sino el propio hombre, armado de la razón.</w:t>
      </w:r>
    </w:p>
    <w:p w14:paraId="076F67A6" w14:textId="77777777" w:rsidR="00FA0266" w:rsidRPr="000D3432" w:rsidRDefault="00FA0266" w:rsidP="00A95498">
      <w:pPr>
        <w:ind w:firstLine="425"/>
        <w:jc w:val="both"/>
        <w:rPr>
          <w:rFonts w:asciiTheme="minorHAnsi" w:hAnsiTheme="minorHAnsi" w:cs="Arial"/>
          <w:color w:val="000000"/>
          <w:szCs w:val="24"/>
        </w:rPr>
      </w:pPr>
    </w:p>
    <w:p w14:paraId="57E80D51"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No hay que olvidar que “La Ilustración estuvo convencida de que la razón -considerada fundamentalmente desde una perspectiva instrumental- era el único criterio que el hombre debía tomar en cuenta para formarse una opinión de las cosas y para construir su organización social. Esta manera de pensar era verdaderamente revolucionaria: toda tradición debía ser replanteada a la luz de los fines del individuo y de la razón instrumental. Ello significa que las tradiciones no tienen derecho alguno por sí mismo y que deben ser más bien objeto de desconfianza y de inspección.”</w:t>
      </w:r>
      <w:r w:rsidRPr="000D3432">
        <w:rPr>
          <w:rStyle w:val="Refdenotaalpie"/>
          <w:rFonts w:asciiTheme="minorHAnsi" w:hAnsiTheme="minorHAnsi" w:cs="Arial"/>
          <w:color w:val="000000"/>
          <w:sz w:val="24"/>
          <w:szCs w:val="24"/>
        </w:rPr>
        <w:footnoteReference w:id="519"/>
      </w:r>
      <w:r w:rsidRPr="000D3432">
        <w:rPr>
          <w:rFonts w:asciiTheme="minorHAnsi" w:hAnsiTheme="minorHAnsi" w:cs="Arial"/>
          <w:color w:val="000000"/>
          <w:szCs w:val="24"/>
        </w:rPr>
        <w:t xml:space="preserve"> </w:t>
      </w:r>
    </w:p>
    <w:p w14:paraId="7C53B73C" w14:textId="77777777" w:rsidR="00FA0266" w:rsidRPr="000D3432" w:rsidRDefault="00FA0266" w:rsidP="00A95498">
      <w:pPr>
        <w:ind w:firstLine="425"/>
        <w:jc w:val="both"/>
        <w:rPr>
          <w:rFonts w:asciiTheme="minorHAnsi" w:hAnsiTheme="minorHAnsi" w:cs="Arial"/>
          <w:color w:val="000000"/>
          <w:szCs w:val="24"/>
        </w:rPr>
      </w:pPr>
    </w:p>
    <w:p w14:paraId="32A97EB2" w14:textId="77777777" w:rsidR="00FA0266" w:rsidRPr="000D3432" w:rsidRDefault="00FA0266" w:rsidP="00A95498">
      <w:pPr>
        <w:ind w:firstLine="425"/>
        <w:jc w:val="both"/>
        <w:rPr>
          <w:rFonts w:asciiTheme="minorHAnsi" w:hAnsiTheme="minorHAnsi" w:cs="Arial"/>
          <w:color w:val="000000"/>
          <w:szCs w:val="24"/>
        </w:rPr>
      </w:pPr>
      <w:r w:rsidRPr="000D3432">
        <w:rPr>
          <w:rFonts w:asciiTheme="minorHAnsi" w:hAnsiTheme="minorHAnsi" w:cs="Arial"/>
          <w:color w:val="000000"/>
          <w:szCs w:val="24"/>
        </w:rPr>
        <w:t>Por último cabe resaltar un aspecto importante del Derecho natural racionalista:</w:t>
      </w:r>
    </w:p>
    <w:p w14:paraId="2B6E3CEB" w14:textId="77777777" w:rsidR="00FA0266" w:rsidRPr="000D3432" w:rsidRDefault="00FA0266" w:rsidP="00A95498">
      <w:pPr>
        <w:pStyle w:val="Parrafffo"/>
        <w:spacing w:line="240" w:lineRule="auto"/>
        <w:ind w:left="0"/>
        <w:rPr>
          <w:rFonts w:asciiTheme="minorHAnsi" w:hAnsiTheme="minorHAnsi"/>
          <w:color w:val="000000"/>
          <w:sz w:val="24"/>
          <w:szCs w:val="24"/>
        </w:rPr>
      </w:pPr>
    </w:p>
    <w:p w14:paraId="3F23DD6F" w14:textId="77777777" w:rsidR="00FA0266" w:rsidRPr="000D3432" w:rsidRDefault="00FA0266" w:rsidP="00A95498">
      <w:pPr>
        <w:jc w:val="both"/>
        <w:rPr>
          <w:rFonts w:asciiTheme="minorHAnsi" w:hAnsiTheme="minorHAnsi" w:cs="Arial"/>
          <w:color w:val="000000"/>
          <w:szCs w:val="24"/>
        </w:rPr>
      </w:pPr>
      <w:r w:rsidRPr="000D3432">
        <w:rPr>
          <w:rFonts w:asciiTheme="minorHAnsi" w:hAnsiTheme="minorHAnsi" w:cs="Arial"/>
          <w:color w:val="000000"/>
          <w:szCs w:val="24"/>
        </w:rPr>
        <w:t>“El Derecho Natural racionalista se desarrolla durante la Ilustración, época decididamente antiescolástica y cuya única diosa es la razón. El hombre ya no es un ciego ejecutor material de unos planes trascendentales y divinos que él recibe de forma pasiva, sino que pasa a ser el auténtico artífice y constructor de su mundo, sirviéndose para ello de un único instrumento: la razón. Y es la razón en este caso la que formula esos principios que conforman el Derecho Natural y que aspiran a ser más universales, si cabe, y más inmutables que los propuestos por el iusnaturalismo cristiano o trascendental; y es que se trata de un Derecho tan común a todos los hombres y a todos los pueblos que no tolera ninguna diferencia de tipo religioso. Se trata de preceptos formulados exclusivamente por la razón, que nos indican que una acción, por su conveniencia o no conveniencia con la misma razón natural, es mala moralmente o, por el contrario, posee una necesidad moral y que precisamente por ello Dios como autor de la naturaleza la ha prohibido o la ha ordenado. La razón es o tiene capacidad suficiente para derivar estos principios de las primeras cosas naturales (okeiosis); principios que tienen validez aun en la hipótesis de que Dios no existiese, pues están basados en el principio de contradicción, y seguir estos rectos juicios racionales responde a la naturaleza racional del hombre.”</w:t>
      </w:r>
      <w:r w:rsidRPr="000D3432">
        <w:rPr>
          <w:rStyle w:val="Refdenotaalpie"/>
          <w:rFonts w:asciiTheme="minorHAnsi" w:hAnsiTheme="minorHAnsi" w:cs="Arial"/>
          <w:color w:val="000000"/>
          <w:sz w:val="24"/>
          <w:szCs w:val="24"/>
        </w:rPr>
        <w:t xml:space="preserve"> </w:t>
      </w:r>
      <w:r w:rsidRPr="000D3432">
        <w:rPr>
          <w:rStyle w:val="Refdenotaalpie"/>
          <w:rFonts w:asciiTheme="minorHAnsi" w:hAnsiTheme="minorHAnsi" w:cs="Arial"/>
          <w:color w:val="000000"/>
          <w:sz w:val="24"/>
          <w:szCs w:val="24"/>
        </w:rPr>
        <w:footnoteReference w:id="520"/>
      </w:r>
    </w:p>
    <w:p w14:paraId="5DF2D1E6" w14:textId="77777777" w:rsidR="00FA0266" w:rsidRPr="000D3432" w:rsidRDefault="00FA0266" w:rsidP="00A95498">
      <w:pPr>
        <w:jc w:val="both"/>
        <w:rPr>
          <w:rFonts w:asciiTheme="minorHAnsi" w:hAnsiTheme="minorHAnsi" w:cs="Arial"/>
          <w:color w:val="000000"/>
          <w:szCs w:val="24"/>
        </w:rPr>
      </w:pPr>
    </w:p>
    <w:p w14:paraId="476B57F2" w14:textId="77777777" w:rsidR="00FA0266" w:rsidRPr="000D3432" w:rsidRDefault="00FA0266" w:rsidP="00A95498">
      <w:pPr>
        <w:jc w:val="both"/>
        <w:rPr>
          <w:rFonts w:asciiTheme="minorHAnsi" w:hAnsiTheme="minorHAnsi" w:cs="Arial"/>
          <w:color w:val="000000"/>
          <w:szCs w:val="24"/>
        </w:rPr>
      </w:pPr>
      <w:r w:rsidRPr="000D3432">
        <w:rPr>
          <w:rFonts w:asciiTheme="minorHAnsi" w:hAnsiTheme="minorHAnsi" w:cs="Arial"/>
          <w:color w:val="000000"/>
          <w:szCs w:val="24"/>
        </w:rPr>
        <w:t>(Tomado del libro: “¿El Derecho soy yo? – El Derecho premoderno, moderno y postmoderno”. Ediciones: AZ Todo Derecho. Serie: Repensando el Derecho).</w:t>
      </w:r>
    </w:p>
    <w:p w14:paraId="7C19AE43" w14:textId="77777777" w:rsidR="00FA0266" w:rsidRPr="000D3432" w:rsidRDefault="00FA0266" w:rsidP="00A95498">
      <w:pPr>
        <w:jc w:val="both"/>
        <w:rPr>
          <w:rFonts w:asciiTheme="minorHAnsi" w:hAnsiTheme="minorHAnsi" w:cs="Arial"/>
          <w:color w:val="000000"/>
          <w:szCs w:val="24"/>
        </w:rPr>
      </w:pPr>
    </w:p>
    <w:p w14:paraId="003F27E5" w14:textId="77777777" w:rsidR="00FA0266" w:rsidRPr="000D3432" w:rsidRDefault="00FA0266" w:rsidP="00A95498">
      <w:pPr>
        <w:jc w:val="both"/>
        <w:rPr>
          <w:rFonts w:asciiTheme="minorHAnsi" w:hAnsiTheme="minorHAnsi" w:cs="Arial"/>
          <w:color w:val="000000"/>
          <w:szCs w:val="24"/>
        </w:rPr>
      </w:pPr>
    </w:p>
    <w:p w14:paraId="11EA30DE" w14:textId="77777777" w:rsidR="00FA0266" w:rsidRPr="000D3432" w:rsidRDefault="00FA0266" w:rsidP="00F3090F">
      <w:pPr>
        <w:jc w:val="center"/>
        <w:rPr>
          <w:rFonts w:asciiTheme="minorHAnsi" w:hAnsiTheme="minorHAnsi"/>
          <w:b/>
          <w:szCs w:val="24"/>
        </w:rPr>
      </w:pPr>
      <w:r w:rsidRPr="000D3432">
        <w:rPr>
          <w:rFonts w:asciiTheme="minorHAnsi" w:hAnsiTheme="minorHAnsi"/>
          <w:b/>
          <w:szCs w:val="24"/>
        </w:rPr>
        <w:t>- 13-</w:t>
      </w:r>
    </w:p>
    <w:p w14:paraId="606182B9" w14:textId="77777777" w:rsidR="00FA0266" w:rsidRPr="000D3432" w:rsidRDefault="00FA0266" w:rsidP="00F3090F">
      <w:pPr>
        <w:pStyle w:val="Ttulo2"/>
        <w:spacing w:line="240" w:lineRule="auto"/>
        <w:jc w:val="center"/>
        <w:rPr>
          <w:rFonts w:asciiTheme="minorHAnsi" w:hAnsiTheme="minorHAnsi"/>
          <w:sz w:val="24"/>
          <w:szCs w:val="24"/>
        </w:rPr>
      </w:pPr>
      <w:bookmarkStart w:id="84" w:name="_Toc318102898"/>
      <w:r w:rsidRPr="000D3432">
        <w:rPr>
          <w:rFonts w:asciiTheme="minorHAnsi" w:hAnsiTheme="minorHAnsi"/>
          <w:sz w:val="24"/>
          <w:szCs w:val="24"/>
        </w:rPr>
        <w:t>6.1.- La gestación del Estado Moderno</w:t>
      </w:r>
      <w:bookmarkEnd w:id="84"/>
    </w:p>
    <w:p w14:paraId="17E0E5C2" w14:textId="77777777" w:rsidR="00FA0266" w:rsidRPr="000D3432" w:rsidRDefault="00FA0266" w:rsidP="00A95498">
      <w:pPr>
        <w:pStyle w:val="Parrafffo"/>
        <w:spacing w:line="240" w:lineRule="auto"/>
        <w:rPr>
          <w:rFonts w:asciiTheme="minorHAnsi" w:hAnsiTheme="minorHAnsi"/>
          <w:sz w:val="24"/>
          <w:szCs w:val="24"/>
        </w:rPr>
      </w:pPr>
      <w:r w:rsidRPr="000D3432">
        <w:rPr>
          <w:rFonts w:asciiTheme="minorHAnsi" w:hAnsiTheme="minorHAnsi"/>
          <w:sz w:val="24"/>
          <w:szCs w:val="24"/>
        </w:rPr>
        <w:t> </w:t>
      </w:r>
    </w:p>
    <w:p w14:paraId="29DAF468" w14:textId="77777777" w:rsidR="00FA0266" w:rsidRPr="000D3432" w:rsidRDefault="00FA0266" w:rsidP="00A95498">
      <w:pPr>
        <w:pStyle w:val="Parrafffo"/>
        <w:spacing w:line="240" w:lineRule="auto"/>
        <w:rPr>
          <w:rFonts w:asciiTheme="minorHAnsi" w:hAnsiTheme="minorHAnsi"/>
          <w:b w:val="0"/>
          <w:sz w:val="24"/>
          <w:szCs w:val="24"/>
        </w:rPr>
      </w:pPr>
      <w:r w:rsidRPr="000D3432">
        <w:rPr>
          <w:rFonts w:asciiTheme="minorHAnsi" w:hAnsiTheme="minorHAnsi"/>
          <w:sz w:val="24"/>
          <w:szCs w:val="24"/>
        </w:rPr>
        <w:t xml:space="preserve">“Un </w:t>
      </w:r>
      <w:r w:rsidRPr="000D3432">
        <w:rPr>
          <w:rFonts w:asciiTheme="minorHAnsi" w:hAnsiTheme="minorHAnsi"/>
          <w:bCs/>
          <w:sz w:val="24"/>
          <w:szCs w:val="24"/>
        </w:rPr>
        <w:t>estado</w:t>
      </w:r>
      <w:r w:rsidRPr="000D3432">
        <w:rPr>
          <w:rFonts w:asciiTheme="minorHAnsi" w:hAnsiTheme="minorHAnsi"/>
          <w:sz w:val="24"/>
          <w:szCs w:val="24"/>
        </w:rPr>
        <w:t xml:space="preserve"> existe donde hay un aparato político</w:t>
      </w:r>
      <w:r w:rsidRPr="000D3432">
        <w:rPr>
          <w:rFonts w:asciiTheme="minorHAnsi" w:hAnsiTheme="minorHAnsi"/>
          <w:bCs/>
          <w:sz w:val="24"/>
          <w:szCs w:val="24"/>
        </w:rPr>
        <w:t>,</w:t>
      </w:r>
      <w:r w:rsidRPr="000D3432">
        <w:rPr>
          <w:rFonts w:asciiTheme="minorHAnsi" w:hAnsiTheme="minorHAnsi"/>
          <w:sz w:val="24"/>
          <w:szCs w:val="24"/>
        </w:rPr>
        <w:t xml:space="preserve"> instituciones de gobierno, tales como una sala de justicia, un parlamento o congreso, más funcionarios públicos civiles, gobernando sobre un territorio dado, cuya autoridad se respalda por un sistema legal y por la capacidad de emplear la fuerza para implantar sus políticas”</w:t>
      </w:r>
      <w:r w:rsidRPr="000D3432">
        <w:rPr>
          <w:rStyle w:val="Refdenotaalpie"/>
          <w:rFonts w:asciiTheme="minorHAnsi" w:eastAsiaTheme="majorEastAsia" w:hAnsiTheme="minorHAnsi"/>
          <w:sz w:val="24"/>
          <w:szCs w:val="24"/>
        </w:rPr>
        <w:footnoteReference w:id="521"/>
      </w:r>
      <w:r w:rsidRPr="000D3432">
        <w:rPr>
          <w:rFonts w:asciiTheme="minorHAnsi" w:hAnsiTheme="minorHAnsi"/>
          <w:sz w:val="24"/>
          <w:szCs w:val="24"/>
        </w:rPr>
        <w:t>.</w:t>
      </w:r>
    </w:p>
    <w:p w14:paraId="4FDF04B5"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 </w:t>
      </w:r>
    </w:p>
    <w:p w14:paraId="39C4862C"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El resumen general del nacimiento del Estado moderno, nos lo explica sintética e inteligentemente Norberto Bobbio,  quien escribe que: “...los grandes Estados … surgieron de la disolución de la sociedad medieval. Esta sociedad fue una sociedad pluralista, es decir, formada por varios ordenamientos jurídicos, que se oponían o que se integraban: por encima de los que hoy son los Estados nacionales había ordenamientos jurídicos universales como la Iglesia y el Imperio y había ordenamientos particulares por debajo de la sociedad nacional, como los feudos, las corporaciones y los municipios. También la familia, considerada en la tradición del pensamiento cristiano como una sociedad natural, era en sí misma un ordenamiento. El </w:t>
      </w:r>
      <w:r w:rsidRPr="000D3432">
        <w:rPr>
          <w:rFonts w:asciiTheme="minorHAnsi" w:hAnsiTheme="minorHAnsi"/>
          <w:bCs/>
          <w:sz w:val="24"/>
          <w:szCs w:val="24"/>
        </w:rPr>
        <w:t>Estado moderno</w:t>
      </w:r>
      <w:r w:rsidRPr="000D3432">
        <w:rPr>
          <w:rFonts w:asciiTheme="minorHAnsi" w:hAnsiTheme="minorHAnsi"/>
          <w:sz w:val="24"/>
          <w:szCs w:val="24"/>
        </w:rPr>
        <w:t xml:space="preserve"> se fue formando a través de la eliminación y la absorción de los ordenamientos jurídicos superiores e inferiores por la sociedad nacional, por medio de un proceso que se podría llamar de monopolización de la producción jurídica. Si por poder entendemos la capacidad que tienen ciertos grupos sociales para promulgar normas de conducta válidas para todos los miembros de la comunidad, y de hacerlas respetar aun con el recurso de la fuerza (el llamado poder coactivo), la formación del Estado moderno corre paralela a la formación de un poder coactivo cada vez más centralizado y, por lo tanto, a la supresión gradual de los centros de poder inferiores y superiores al Estado, lo que tuvo como consecuencia la eliminación de todo centro de producción jurídica que no fuera el mismo Estado. La tendencia a identificar el derecho con el derecho estatal, que hoy todavía existe, es una consecuencia histórica del proceso de concentración del poder normativo y coactivo que caracterizó el surgimiento del Estado nacional moderno.”</w:t>
      </w:r>
      <w:r w:rsidRPr="000D3432">
        <w:rPr>
          <w:rStyle w:val="Refdenotaalpie"/>
          <w:rFonts w:asciiTheme="minorHAnsi" w:eastAsiaTheme="majorEastAsia" w:hAnsiTheme="minorHAnsi"/>
          <w:sz w:val="24"/>
          <w:szCs w:val="24"/>
        </w:rPr>
        <w:footnoteReference w:id="522"/>
      </w:r>
      <w:r w:rsidRPr="000D3432">
        <w:rPr>
          <w:rFonts w:asciiTheme="minorHAnsi" w:hAnsiTheme="minorHAnsi"/>
          <w:sz w:val="24"/>
          <w:szCs w:val="24"/>
        </w:rPr>
        <w:t xml:space="preserve"> </w:t>
      </w:r>
    </w:p>
    <w:p w14:paraId="435C077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3C977D5B"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En la época medieval no existían los Estados en el sentido moderno. Había una diversidad de Estados pequeños, y el poder no lo constituían propiamente la autoridad del Estado. Con el Renacimiento el Estado sufre una mutación, se transforma el concepto de Estado, que cambia ese orden perfectamente estratificado de la sociedad feudal, que se basaba en una cosmovisión teológica, por la cual el orden natural se apegaba a la voluntad divina de Dios. Es decir, </w:t>
      </w:r>
      <w:r w:rsidRPr="000D3432">
        <w:rPr>
          <w:rFonts w:asciiTheme="minorHAnsi" w:hAnsiTheme="minorHAnsi"/>
          <w:szCs w:val="24"/>
        </w:rPr>
        <w:lastRenderedPageBreak/>
        <w:t>“...durante la Edad media, no existían Estados en el sentido moderno. En el Renacimiento -y en estrecha relación con los progresos del poder de los reyes en algunos Estados- se va elaborando la doctrina del absolutismo, según la cual se destaca la independencia soberana de cada Estado respecto a los otros.”, explica Villoro. La teología ya no era ese centro organizador que producía una línea relacionante entre todos los Estados, había más bien una independencia de estos respectos a sus propósitos inmediatos, más realistas, así la concepción política afirmaría la idea del nuevo Estado que es ahora “un conjunto de fuerzas políticas que hay que organizar no sólo con criterios metafísicos sino sobre todo de acuerdo con fórmulas prácticas de compromisos utilitarios.”</w:t>
      </w:r>
      <w:bookmarkStart w:id="85" w:name="_ftnref9"/>
      <w:r w:rsidRPr="000D3432">
        <w:rPr>
          <w:rStyle w:val="Refdenotaalpie"/>
          <w:rFonts w:asciiTheme="minorHAnsi" w:hAnsiTheme="minorHAnsi"/>
          <w:sz w:val="24"/>
          <w:szCs w:val="24"/>
        </w:rPr>
        <w:footnoteReference w:id="523"/>
      </w:r>
      <w:bookmarkEnd w:id="85"/>
      <w:r w:rsidRPr="000D3432">
        <w:rPr>
          <w:rFonts w:asciiTheme="minorHAnsi" w:hAnsiTheme="minorHAnsi"/>
          <w:szCs w:val="24"/>
        </w:rPr>
        <w:t xml:space="preserve">. </w:t>
      </w:r>
    </w:p>
    <w:p w14:paraId="1AB0E214"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0EDDE0D3"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Con la modernidad nace el Estado central que viene a sustituir al antiguo tipo de administración social, administración disgregada en múltiples autoridades sin una clara y segura relación entre sí, y encajados dentro de un sistema nacional de gobierno donde cada autoridad es parte del mismo. Para el hombre de la modernidad la gran aspiración e intento es llegar a construir un sistema universal, por la cual organizar políticamente a toda la humanidad. El principio esbozado por el pensamiento moderno, en consecuencia, sería el de la igualdad (racionalmente posible), con lo que se suprimirían las particularidades premodernas, que existían configuradas en privilegios y jerarquías, las mismas, gracias al principio de la igualdad, deberían, impostergablemente, desaparecer. </w:t>
      </w:r>
    </w:p>
    <w:p w14:paraId="7106C409" w14:textId="77777777" w:rsidR="00FA0266" w:rsidRPr="000D3432" w:rsidRDefault="00FA0266" w:rsidP="00A95498">
      <w:pPr>
        <w:jc w:val="both"/>
        <w:rPr>
          <w:rFonts w:asciiTheme="minorHAnsi" w:hAnsiTheme="minorHAnsi"/>
          <w:szCs w:val="24"/>
        </w:rPr>
      </w:pPr>
    </w:p>
    <w:p w14:paraId="2B9B6EC1"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Así mismo, en el orden jurídico, la imposición de las tendencias universalizantes suprimirían cualquier pluralismo de regímenes normativos, que pudieran existir en las diversas localidades, para formar, o intentar formar, sistemas jurídicos nacionales por medio de un Contrato Social, denominado Constitución, que establecería las bases del Estado Central, de los Códigos y leyes emitidas monopolíticamente por un Congreso Nacional. Con esto, el planteamiento evolutivo del pensamiento de la modernidad en el plano del Derecho pretende eliminar la casuística y la multiplicidad de fuentes normativas independientes, con el firme y racional propósito de imponer un sistema único, unificado, exclusivo y excluyente, enteramente basado en la perfecta </w:t>
      </w:r>
      <w:r w:rsidRPr="000D3432">
        <w:rPr>
          <w:rFonts w:asciiTheme="minorHAnsi" w:hAnsiTheme="minorHAnsi"/>
          <w:i/>
          <w:iCs/>
          <w:szCs w:val="24"/>
        </w:rPr>
        <w:t>razón</w:t>
      </w:r>
      <w:r w:rsidRPr="000D3432">
        <w:rPr>
          <w:rFonts w:asciiTheme="minorHAnsi" w:hAnsiTheme="minorHAnsi"/>
          <w:szCs w:val="24"/>
        </w:rPr>
        <w:t>. Con este planteamiento la costumbre queda al margen, olvidada o despreciada por su falta de racionalidad, así “El derecho elimina su diversidad de fuentes y de formas de aplicación, se despoja de todo localismo y se convierte en sistema. En adelante, el Derecho se define como un grupo de normas, instituciones y patrones de conducta emanadas de una autoridad central, que aspiran a una coherencia interna y cuya aplicación debe hacerse de manera consistente por una organización judicial centralizada a partir del Estado. Este sistema jurídico tiene vigencia general e insiste en conservar su autonomía respecto de las convicciones religiosas, costumbres e incluso de las intervenciones puramente políticas de la autoridad.”</w:t>
      </w:r>
      <w:r w:rsidRPr="000D3432">
        <w:rPr>
          <w:rStyle w:val="Refdenotaalpie"/>
          <w:rFonts w:asciiTheme="minorHAnsi" w:hAnsiTheme="minorHAnsi"/>
          <w:sz w:val="24"/>
          <w:szCs w:val="24"/>
        </w:rPr>
        <w:footnoteReference w:id="524"/>
      </w:r>
      <w:r w:rsidRPr="000D3432">
        <w:rPr>
          <w:rFonts w:asciiTheme="minorHAnsi" w:hAnsiTheme="minorHAnsi"/>
          <w:szCs w:val="24"/>
        </w:rPr>
        <w:t>.</w:t>
      </w:r>
    </w:p>
    <w:p w14:paraId="04F4A1BB"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37ED3E94"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En la sociedad se va formando una mentalidad moderna, que crecía bajo la corriente del pensamiento colectivista, según la cual el Estado sería la mejor forma de que el hombre pueda alcanzar una vida excelente, “Se llega a ver al </w:t>
      </w:r>
      <w:r w:rsidRPr="000D3432">
        <w:rPr>
          <w:rFonts w:asciiTheme="minorHAnsi" w:hAnsiTheme="minorHAnsi"/>
          <w:szCs w:val="24"/>
        </w:rPr>
        <w:lastRenderedPageBreak/>
        <w:t>Estado como la única institución que puede ofrecer bienestar a la persona. Se confía en la capacidad de la planificación central estatal para ofrecer el mejor modo de vida a los ciudadanos.”</w:t>
      </w:r>
      <w:r w:rsidRPr="000D3432">
        <w:rPr>
          <w:rStyle w:val="Refdenotaalpie"/>
          <w:rFonts w:asciiTheme="minorHAnsi" w:hAnsiTheme="minorHAnsi"/>
          <w:sz w:val="24"/>
          <w:szCs w:val="24"/>
        </w:rPr>
        <w:footnoteReference w:id="525"/>
      </w:r>
      <w:r w:rsidRPr="000D3432">
        <w:rPr>
          <w:rFonts w:asciiTheme="minorHAnsi" w:hAnsiTheme="minorHAnsi"/>
          <w:szCs w:val="24"/>
        </w:rPr>
        <w:t>. Se pensaba que el Estado habría de funcionar perfectamente dotándolo de una teoría política adecuada, acertada, aportando beneficios a la sociedad sin más trámite, sin embargo, la historia ha mostrado que no fue así.</w:t>
      </w:r>
      <w:r w:rsidRPr="000D3432">
        <w:rPr>
          <w:rStyle w:val="Refdenotaalpie"/>
          <w:rFonts w:asciiTheme="minorHAnsi" w:hAnsiTheme="minorHAnsi"/>
          <w:sz w:val="24"/>
          <w:szCs w:val="24"/>
        </w:rPr>
        <w:footnoteReference w:id="526"/>
      </w:r>
      <w:r w:rsidRPr="000D3432">
        <w:rPr>
          <w:rFonts w:asciiTheme="minorHAnsi" w:hAnsiTheme="minorHAnsi"/>
          <w:szCs w:val="24"/>
        </w:rPr>
        <w:t>.</w:t>
      </w:r>
    </w:p>
    <w:p w14:paraId="23867DB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7991E065"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Por otro lado, Norberto Bobbio hace una explicación más sustanciosa y desarrollada, en donde, iniciando su discurso parafrasea a Ernes Wolfgang Böckenförde, que describe el concepto de Estado como un ordenamiento político determinado históricamente, es decir como una </w:t>
      </w:r>
      <w:r w:rsidRPr="000D3432">
        <w:rPr>
          <w:rFonts w:asciiTheme="minorHAnsi" w:hAnsiTheme="minorHAnsi"/>
          <w:bCs/>
          <w:szCs w:val="24"/>
        </w:rPr>
        <w:t>forma de organización del poder históricamente determinada</w:t>
      </w:r>
      <w:r w:rsidRPr="000D3432">
        <w:rPr>
          <w:rFonts w:asciiTheme="minorHAnsi" w:hAnsiTheme="minorHAnsi"/>
          <w:szCs w:val="24"/>
        </w:rPr>
        <w:t xml:space="preserve">, dada en Europa: “...el concepto de e. [Estado] no es un concepto universal sino que sirve solamente para indicar y describir una </w:t>
      </w:r>
      <w:r w:rsidRPr="000D3432">
        <w:rPr>
          <w:rFonts w:asciiTheme="minorHAnsi" w:hAnsiTheme="minorHAnsi"/>
          <w:bCs/>
          <w:szCs w:val="24"/>
        </w:rPr>
        <w:t>forma de ordenamiento político</w:t>
      </w:r>
      <w:r w:rsidRPr="000D3432">
        <w:rPr>
          <w:rFonts w:asciiTheme="minorHAnsi" w:hAnsiTheme="minorHAnsi"/>
          <w:szCs w:val="24"/>
        </w:rPr>
        <w:t xml:space="preserve"> que se dio en Europa a partir del siglo XIII y hasta fines del siglo XVIII o hasta los inicios del XIX, sobre la base de presupuestos y motivos específicos de la historia europea, y que desde aquel momento en adelante se ha extendido –liberándose en cierta medida de sus condiciones originarias concretas de nacimiento- al mundo civilizado todo.”</w:t>
      </w:r>
      <w:r w:rsidRPr="000D3432">
        <w:rPr>
          <w:rStyle w:val="Refdenotaalpie"/>
          <w:rFonts w:asciiTheme="minorHAnsi" w:hAnsiTheme="minorHAnsi"/>
          <w:sz w:val="24"/>
          <w:szCs w:val="24"/>
        </w:rPr>
        <w:footnoteReference w:id="527"/>
      </w:r>
      <w:r w:rsidRPr="000D3432">
        <w:rPr>
          <w:rFonts w:asciiTheme="minorHAnsi" w:hAnsiTheme="minorHAnsi"/>
          <w:szCs w:val="24"/>
        </w:rPr>
        <w:t>.  Este tipo de Estado moderno, naciente en Europa, va a tener características singulares que la diferencian de otras formas de organización del poder, también históricamente determinadas, y las cuales consisten en una “progresiva centralización del poder por una instancia cada vez más amplia, que termina por comprender el ámbito entero de las relaciones políticas”</w:t>
      </w:r>
      <w:bookmarkStart w:id="86" w:name="_ftnref14"/>
      <w:r w:rsidRPr="000D3432">
        <w:rPr>
          <w:rStyle w:val="Refdenotaalpie"/>
          <w:rFonts w:asciiTheme="minorHAnsi" w:hAnsiTheme="minorHAnsi"/>
          <w:sz w:val="24"/>
          <w:szCs w:val="24"/>
        </w:rPr>
        <w:footnoteReference w:id="528"/>
      </w:r>
      <w:bookmarkEnd w:id="86"/>
      <w:r w:rsidRPr="000D3432">
        <w:rPr>
          <w:rFonts w:asciiTheme="minorHAnsi" w:hAnsiTheme="minorHAnsi"/>
          <w:szCs w:val="24"/>
        </w:rPr>
        <w:t xml:space="preserve">, además, esta centralización está determinada por la circunscripción territorial dentro del cual habría una obligación política general, y el poder o mando político habría de adquirir un tono impersonal. </w:t>
      </w:r>
    </w:p>
    <w:p w14:paraId="6C5A79C0" w14:textId="77777777" w:rsidR="00FA0266" w:rsidRPr="000D3432" w:rsidRDefault="00FA0266" w:rsidP="00A95498">
      <w:pPr>
        <w:jc w:val="both"/>
        <w:rPr>
          <w:rFonts w:asciiTheme="minorHAnsi" w:hAnsiTheme="minorHAnsi"/>
          <w:szCs w:val="24"/>
        </w:rPr>
      </w:pPr>
    </w:p>
    <w:p w14:paraId="65FDACB7"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Max Weber llamaría a este proceso de centralización del poder: “monopolio de la fuerza legítima”; explica que esa centralización del poder consiste en una “tendencia a la superación del policentrismo del poder a favor de una concentración del mismo en una instancia parcialmente unitaria y exclusiva.”</w:t>
      </w:r>
      <w:r w:rsidRPr="000D3432">
        <w:rPr>
          <w:rStyle w:val="Refdenotaalpie"/>
          <w:rFonts w:asciiTheme="minorHAnsi" w:hAnsiTheme="minorHAnsi"/>
          <w:sz w:val="24"/>
          <w:szCs w:val="24"/>
        </w:rPr>
        <w:footnoteReference w:id="529"/>
      </w:r>
      <w:r w:rsidRPr="000D3432">
        <w:rPr>
          <w:rFonts w:asciiTheme="minorHAnsi" w:hAnsiTheme="minorHAnsi"/>
          <w:szCs w:val="24"/>
        </w:rPr>
        <w:t>.</w:t>
      </w:r>
    </w:p>
    <w:p w14:paraId="4FD7CCF5" w14:textId="77777777" w:rsidR="00FA0266" w:rsidRPr="000D3432" w:rsidRDefault="00FA0266" w:rsidP="00A95498">
      <w:pPr>
        <w:jc w:val="both"/>
        <w:rPr>
          <w:rFonts w:asciiTheme="minorHAnsi" w:hAnsiTheme="minorHAnsi"/>
          <w:szCs w:val="24"/>
        </w:rPr>
      </w:pPr>
    </w:p>
    <w:p w14:paraId="24DEC31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El nacimiento del Estado Moderno, habría surgido así, históricamente hablando de la tensión y superación de un sistema de organización del poder policéntrico, para pasar a una “monopolización de la organización del poder, registrado territorialmente y con carácter unitario, “La historia del nacimiento del e.m. [Estado Moderno] es la historia de esta tensión: del sistema policéntrico y complejo de las señorías de origen feudal se llega  al estado territorial centralizado y unitario, a través de la así llamada racionalización de la gestión del poder –y por tanto, de la organización política- dictada por la evolución de las condiciones históricas materiales.”</w:t>
      </w:r>
      <w:r w:rsidRPr="000D3432">
        <w:rPr>
          <w:rStyle w:val="Refdenotaalpie"/>
          <w:rFonts w:asciiTheme="minorHAnsi" w:hAnsiTheme="minorHAnsi"/>
          <w:sz w:val="24"/>
          <w:szCs w:val="24"/>
        </w:rPr>
        <w:footnoteReference w:id="530"/>
      </w:r>
      <w:bookmarkStart w:id="87" w:name="_ftnref16"/>
      <w:r w:rsidRPr="000D3432">
        <w:rPr>
          <w:rFonts w:asciiTheme="minorHAnsi" w:hAnsiTheme="minorHAnsi"/>
          <w:szCs w:val="24"/>
        </w:rPr>
        <w:t>.</w:t>
      </w:r>
      <w:bookmarkEnd w:id="87"/>
      <w:r w:rsidRPr="000D3432">
        <w:rPr>
          <w:rFonts w:asciiTheme="minorHAnsi" w:hAnsiTheme="minorHAnsi"/>
          <w:szCs w:val="24"/>
        </w:rPr>
        <w:t xml:space="preserve"> </w:t>
      </w:r>
    </w:p>
    <w:p w14:paraId="10EF65BC"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 </w:t>
      </w:r>
    </w:p>
    <w:p w14:paraId="4B1E93FF"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“Hay en la formación del Estado Moderno ciertas incidencias que la hacen </w:t>
      </w:r>
      <w:r w:rsidRPr="000D3432">
        <w:rPr>
          <w:rFonts w:asciiTheme="minorHAnsi" w:hAnsiTheme="minorHAnsi"/>
          <w:sz w:val="24"/>
          <w:szCs w:val="24"/>
        </w:rPr>
        <w:lastRenderedPageBreak/>
        <w:t>posible, o aceleran su configuración. La primera explica Bobbio, habría de ser el concepto de universalidad  del cristianismo, teóricamente concebida y experimentalmente practicada en la realidad, por efecto del orden papal, a través de la lucha por la investidura (1057-1122), que produce la ruptura irremediable de la antigua unidad política-religiosa imperante en la vida política anteriormente en occidente. Esta proclamación del universalismo cristiano habría de constarle a la iglesia el deterioro de su poder, puesto que al intentar consolidar fuertemente el predominio, la hegemonía, la preponderancia de lo espiritual sobre lo político, al independizar a la política de la iglesia, para darle exclusividad al poder espiritual el papa estaba reconociendo la autonomía, potencial, de la política. Este terreno fue aprovechado precisamente por el planteamiento político del poder, lo que significa que habiendo la política sido despojada de su subordinación al orden religioso, pudo estructurarse, moverse, reforzarse en el terreno de los intereses terrenales, temporales y ya no divinos, que surgieron de las nuevas relaciones económicas y sociales. Estas nuevas relaciones económicas y sociales habrían de aplastar a los ámbitos cerrados y circunscritos de los señoríos de origen feudal, que estaban basados en una economía natural, exclusivamente agrícola y de cambio, con una organización social estática y con concentración de las relaciones personales del señor con los individuos. Lo que había pasado efectivamente era un efecto contradictorio propiciado por el propio reino papal, que por intentar mayor poder y preponderancia sobre el campo político, había dejado suelto el mundo político para su configuración en relación a los fundamentos e intereses particulares, es decir que “La distinción entre lo espiritual y lo mundano, desde el principio introducida por los papas para fundar la supremacía de la iglesia, desplegó su fuerza hacia el predominio y la supremacía de la política.”, explica Bobbio.</w:t>
      </w:r>
    </w:p>
    <w:p w14:paraId="6F20680A"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49442FA2"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“Se gesta un nuevo planteamiento de la organización social política de la sociedad: en primer lugar el orden y el bienestar. Esta es una visión técnica del poder. Por este entendido hay necesidad de un orden externo, para garantizar la seguridad y tranquilidad de los súbditos, para lograr la integración y reunificación del poder mismo en la persona del príncipe, usando el aparato administrativo en forma eficiente y funcional”</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531"/>
      </w:r>
      <w:r w:rsidRPr="000D3432">
        <w:rPr>
          <w:rFonts w:asciiTheme="minorHAnsi" w:hAnsiTheme="minorHAnsi"/>
          <w:szCs w:val="24"/>
        </w:rPr>
        <w:t>.</w:t>
      </w:r>
    </w:p>
    <w:p w14:paraId="57E4382F"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694C5736"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“Han de establecerse las premisas necesarias que darán acogida a la nueva forma de organización del poder:” La unidad del mandato, la territorialidad del mismo, su ejercicio a través de un cuerpo calificado de ayudantes “técnicos”, son otras exigencias de seguridad para aquellos estratos de población que, por una parte, no alcanzan más a desarrollar sus relaciones sociales y económicas en el interior de las antiguas estructuras organizativas y, por otra, especifican con claridad, en la persistencia del conflicto social, el mayor obstáculo a la propia afirmación. Desde su prehistoria el estado se presenta claramente como la red de enlace del conjunto de tales relaciones, unificadas en el momento político de la gestión del poder.(...)Única y unitaria estructura organizativa formal de la vida asociada, de verdadero y exacto aparato para la gestión del poder, operante según procedimientos cada vez mejor definidos, pero sobre todo en función de </w:t>
      </w:r>
      <w:r w:rsidRPr="000D3432">
        <w:rPr>
          <w:rFonts w:asciiTheme="minorHAnsi" w:hAnsiTheme="minorHAnsi"/>
          <w:szCs w:val="24"/>
        </w:rPr>
        <w:lastRenderedPageBreak/>
        <w:t>un objetivo concreto: la paz interna del país, la eliminación del conflicto social, la normalización de las relaciones de fuerza a través del ejercicio monopolista del poder por parte del monarca,  capaz de establecer, en los casos controvertidos, de qué parte está el derecho, es decir, como ya se ha dicho, de “decidir en torno al caso de emergencia.”</w:t>
      </w:r>
      <w:bookmarkStart w:id="88" w:name="_ftnref18"/>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532"/>
      </w:r>
      <w:bookmarkEnd w:id="88"/>
      <w:r w:rsidRPr="000D3432">
        <w:rPr>
          <w:rFonts w:asciiTheme="minorHAnsi" w:hAnsiTheme="minorHAnsi"/>
          <w:szCs w:val="24"/>
        </w:rPr>
        <w:t>. Difícil explicarlo más claramente. Solo nos resta decir que la sociedad en formación necesitaba de una nueva estructura de organización del poder, que la política, como organización del poder, se estaría gestando precisamente en los intereses particulares, concentrando el poder, unificando a la sociedad, dándole márgenes territoriales y estructurado a través de organismos técnicos de administración, esto coincidía con las nuevas transformaciones sociales que requerían de un nuevo tipo de organización que diera cabida a sus intereses, opacados o negados por el sistema feudal. Según –sigue explicando Bobbio- con Bodin y Hobbes, medio siglo más tarde, la base mundana del poder unitario y centralizado, totalitario y absoluto está cumplida. “El estado como útil a la prevención y a  la neutralización de los casos de conflicto y al logro de  los fines terrenos que las fuerzas predominantes de la estructura social reconocen como propias e imponen como generales al país entero.”</w:t>
      </w:r>
      <w:bookmarkStart w:id="89" w:name="_ftnref19"/>
      <w:r w:rsidRPr="000D3432">
        <w:rPr>
          <w:rFonts w:asciiTheme="minorHAnsi" w:hAnsiTheme="minorHAnsi"/>
          <w:szCs w:val="24"/>
        </w:rPr>
        <w:t>, explica Bobbio.</w:t>
      </w:r>
      <w:bookmarkEnd w:id="89"/>
      <w:r w:rsidRPr="000D3432">
        <w:rPr>
          <w:rFonts w:asciiTheme="minorHAnsi" w:hAnsiTheme="minorHAnsi"/>
          <w:color w:val="0000FF"/>
          <w:szCs w:val="24"/>
        </w:rPr>
        <w:t xml:space="preserve"> </w:t>
      </w:r>
    </w:p>
    <w:p w14:paraId="30BAA14A"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02CA523A"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Se enarbola que el orden estatal ha de ser un proyecto nacional, por medio del cual se estaría pasando del estado de naturaleza al estado civil, a través del contrato social, en donde los hombres tomarían conciencia de su capacidad para controlar, organizar, utilizar los medios para la sobrevivencia. </w:t>
      </w:r>
    </w:p>
    <w:p w14:paraId="26C13358"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w:t>
      </w:r>
    </w:p>
    <w:p w14:paraId="5CDB7A41" w14:textId="77777777" w:rsidR="00FA0266" w:rsidRPr="000D3432" w:rsidRDefault="00FA0266" w:rsidP="00A95498">
      <w:pPr>
        <w:jc w:val="both"/>
        <w:rPr>
          <w:rFonts w:asciiTheme="minorHAnsi" w:hAnsiTheme="minorHAnsi"/>
          <w:b/>
          <w:szCs w:val="24"/>
        </w:rPr>
      </w:pPr>
      <w:r w:rsidRPr="000D3432">
        <w:rPr>
          <w:rFonts w:asciiTheme="minorHAnsi" w:hAnsiTheme="minorHAnsi"/>
          <w:szCs w:val="24"/>
        </w:rPr>
        <w:t>Por último, “La unicidad del mando, su carácter de última decisión, su posibilidad de aplicación a través de un sólido aparato profesional de órganos ejecutivos y coactivos, todo esto no se cambia, como no cambia el objeto de fondo al que esto estaba dirigido: la instauración y el mantenimiento del orden. / Lo que cambia es que el individo se eleva a protagonista directo de la vida no sólo civil sino política, Son ahora los valores del individuo los que conformar el orden estatal: este último se presenta más bien, a través de la mediación, y por otro lado, ahora el príncipe queda presentado como déspota”</w:t>
      </w:r>
      <w:bookmarkStart w:id="90" w:name="_ftnref20"/>
      <w:r w:rsidRPr="000D3432">
        <w:rPr>
          <w:rFonts w:asciiTheme="minorHAnsi" w:hAnsiTheme="minorHAnsi"/>
          <w:szCs w:val="24"/>
        </w:rPr>
        <w:t>, escribe Nolberto Bobbio</w:t>
      </w:r>
      <w:bookmarkEnd w:id="90"/>
      <w:r w:rsidRPr="000D3432">
        <w:rPr>
          <w:rFonts w:asciiTheme="minorHAnsi" w:hAnsiTheme="minorHAnsi"/>
          <w:szCs w:val="24"/>
        </w:rPr>
        <w:t>. Se gestiona una teoría de desarrollar una estructura horizontal, y no vertical</w:t>
      </w:r>
      <w:r w:rsidRPr="000D3432">
        <w:rPr>
          <w:rFonts w:asciiTheme="minorHAnsi" w:hAnsiTheme="minorHAnsi"/>
          <w:b/>
          <w:szCs w:val="24"/>
        </w:rPr>
        <w:t>.</w:t>
      </w:r>
    </w:p>
    <w:p w14:paraId="6AEE04CD"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 </w:t>
      </w:r>
    </w:p>
    <w:p w14:paraId="483B099C" w14:textId="77777777" w:rsidR="00FA0266" w:rsidRPr="000D3432" w:rsidRDefault="00FA0266" w:rsidP="00A95498">
      <w:pPr>
        <w:pStyle w:val="Textodecuerpo"/>
        <w:tabs>
          <w:tab w:val="left" w:pos="5229"/>
        </w:tabs>
        <w:spacing w:line="240" w:lineRule="auto"/>
        <w:rPr>
          <w:rFonts w:asciiTheme="minorHAnsi" w:hAnsiTheme="minorHAnsi"/>
          <w:sz w:val="24"/>
          <w:szCs w:val="24"/>
        </w:rPr>
      </w:pPr>
      <w:r w:rsidRPr="000D3432">
        <w:rPr>
          <w:rFonts w:asciiTheme="minorHAnsi" w:hAnsiTheme="minorHAnsi"/>
          <w:sz w:val="24"/>
          <w:szCs w:val="24"/>
        </w:rPr>
        <w:t>*   *</w:t>
      </w:r>
    </w:p>
    <w:p w14:paraId="1BEC771F"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Marcial Rubio Correa, escribe, por su parte, que “La teoría política está de acuerdo en señalar que es parte del Estado todo el conjunto de organismos (ministerios, empresas públicas, etc) que administran el país; los organismos de dirección política tales como la Presidencia de la República, el Gabinete Ministerial, el Parlamento (cuando existe); y también son parte del Estado los organismos encargados de administrar justicia, tales como los jueces y cortes (llamados Poder judicial)</w:t>
      </w:r>
      <w:bookmarkStart w:id="91" w:name="_ftnref21"/>
      <w:r w:rsidRPr="000D3432">
        <w:rPr>
          <w:rStyle w:val="Refdenotaalpie"/>
          <w:rFonts w:asciiTheme="minorHAnsi" w:eastAsiaTheme="majorEastAsia" w:hAnsiTheme="minorHAnsi"/>
          <w:sz w:val="24"/>
          <w:szCs w:val="24"/>
        </w:rPr>
        <w:footnoteReference w:id="533"/>
      </w:r>
      <w:bookmarkEnd w:id="91"/>
      <w:r w:rsidRPr="000D3432">
        <w:rPr>
          <w:rFonts w:asciiTheme="minorHAnsi" w:hAnsiTheme="minorHAnsi"/>
          <w:sz w:val="24"/>
          <w:szCs w:val="24"/>
        </w:rPr>
        <w:t xml:space="preserve">. Y además, sigue explicando- que la teoría política está de acuerdo en señalar que una de las funciones del Estado es “establecer las normas básicas del país a través de las leyes y gobernar efectivamente a todos </w:t>
      </w:r>
      <w:r w:rsidRPr="000D3432">
        <w:rPr>
          <w:rFonts w:asciiTheme="minorHAnsi" w:hAnsiTheme="minorHAnsi"/>
          <w:sz w:val="24"/>
          <w:szCs w:val="24"/>
        </w:rPr>
        <w:lastRenderedPageBreak/>
        <w:t>los miembros de la sociedad”</w:t>
      </w:r>
      <w:bookmarkStart w:id="92" w:name="_ftnref22"/>
      <w:r w:rsidRPr="000D3432">
        <w:rPr>
          <w:rStyle w:val="Refdenotaalpie"/>
          <w:rFonts w:asciiTheme="minorHAnsi" w:eastAsiaTheme="majorEastAsia" w:hAnsiTheme="minorHAnsi"/>
          <w:sz w:val="24"/>
          <w:szCs w:val="24"/>
        </w:rPr>
        <w:footnoteReference w:id="534"/>
      </w:r>
      <w:bookmarkEnd w:id="92"/>
      <w:r w:rsidRPr="000D3432">
        <w:rPr>
          <w:rFonts w:asciiTheme="minorHAnsi" w:hAnsiTheme="minorHAnsi"/>
          <w:sz w:val="24"/>
          <w:szCs w:val="24"/>
        </w:rPr>
        <w:t>. Y por último concluye que “toda la teoría política admite tres cosas antedichas:</w:t>
      </w:r>
    </w:p>
    <w:p w14:paraId="59A2A4BF"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 </w:t>
      </w:r>
    </w:p>
    <w:p w14:paraId="4F970DF9" w14:textId="77777777" w:rsidR="00FA0266" w:rsidRPr="000D3432" w:rsidRDefault="00FA0266" w:rsidP="009E6E2E">
      <w:pPr>
        <w:numPr>
          <w:ilvl w:val="0"/>
          <w:numId w:val="13"/>
        </w:numPr>
        <w:jc w:val="both"/>
        <w:textAlignment w:val="auto"/>
        <w:rPr>
          <w:rFonts w:asciiTheme="minorHAnsi" w:hAnsiTheme="minorHAnsi"/>
          <w:szCs w:val="24"/>
        </w:rPr>
      </w:pPr>
      <w:r w:rsidRPr="000D3432">
        <w:rPr>
          <w:rFonts w:asciiTheme="minorHAnsi" w:hAnsiTheme="minorHAnsi"/>
          <w:szCs w:val="24"/>
        </w:rPr>
        <w:t>Que los organismos administrativos, políticos y judiciales del país son parte del Estado;</w:t>
      </w:r>
    </w:p>
    <w:p w14:paraId="70FFFA72" w14:textId="77777777" w:rsidR="00FA0266" w:rsidRPr="000D3432" w:rsidRDefault="00FA0266" w:rsidP="009E6E2E">
      <w:pPr>
        <w:numPr>
          <w:ilvl w:val="0"/>
          <w:numId w:val="13"/>
        </w:numPr>
        <w:jc w:val="both"/>
        <w:textAlignment w:val="auto"/>
        <w:rPr>
          <w:rFonts w:asciiTheme="minorHAnsi" w:hAnsiTheme="minorHAnsi"/>
          <w:szCs w:val="24"/>
        </w:rPr>
      </w:pPr>
      <w:r w:rsidRPr="000D3432">
        <w:rPr>
          <w:rFonts w:asciiTheme="minorHAnsi" w:hAnsiTheme="minorHAnsi"/>
          <w:szCs w:val="24"/>
        </w:rPr>
        <w:t>Que una de las funciones del Estado es dar las leyes y gobernar efectivamente la sociedad; y,</w:t>
      </w:r>
    </w:p>
    <w:p w14:paraId="2737E452" w14:textId="77777777" w:rsidR="00FA0266" w:rsidRPr="000D3432" w:rsidRDefault="00FA0266" w:rsidP="00A95498">
      <w:pPr>
        <w:jc w:val="both"/>
        <w:rPr>
          <w:rFonts w:asciiTheme="minorHAnsi" w:hAnsiTheme="minorHAnsi"/>
          <w:bCs/>
          <w:szCs w:val="24"/>
        </w:rPr>
      </w:pPr>
      <w:r w:rsidRPr="000D3432">
        <w:rPr>
          <w:rFonts w:asciiTheme="minorHAnsi" w:hAnsiTheme="minorHAnsi"/>
          <w:szCs w:val="24"/>
        </w:rPr>
        <w:t>Que para mantener la tranquilidad pública y para hacer cumplir las leyes, el Estado puede utilizar la coacción, es decir, hacer uso legal de la fuerza, a diferencia de las instituciones y personas privadas que no pueden usarla legalmente por sí mismas.</w:t>
      </w:r>
      <w:bookmarkStart w:id="93" w:name="_ftnref23"/>
      <w:r w:rsidRPr="000D3432">
        <w:rPr>
          <w:rStyle w:val="Refdenotaalpie"/>
          <w:rFonts w:asciiTheme="minorHAnsi" w:hAnsiTheme="minorHAnsi"/>
          <w:b/>
          <w:sz w:val="24"/>
          <w:szCs w:val="24"/>
        </w:rPr>
        <w:t xml:space="preserve"> </w:t>
      </w:r>
      <w:r w:rsidRPr="000D3432">
        <w:rPr>
          <w:rStyle w:val="Refdenotaalpie"/>
          <w:rFonts w:asciiTheme="minorHAnsi" w:hAnsiTheme="minorHAnsi"/>
          <w:sz w:val="24"/>
          <w:szCs w:val="24"/>
        </w:rPr>
        <w:footnoteReference w:id="535"/>
      </w:r>
      <w:bookmarkEnd w:id="93"/>
      <w:r w:rsidRPr="000D3432">
        <w:rPr>
          <w:rFonts w:asciiTheme="minorHAnsi" w:hAnsiTheme="minorHAnsi"/>
          <w:bCs/>
          <w:szCs w:val="24"/>
        </w:rPr>
        <w:t>. </w:t>
      </w:r>
    </w:p>
    <w:p w14:paraId="263EEFD6" w14:textId="77777777" w:rsidR="00FA0266" w:rsidRPr="000D3432" w:rsidRDefault="00FA0266" w:rsidP="00A95498">
      <w:pPr>
        <w:jc w:val="both"/>
        <w:rPr>
          <w:rFonts w:asciiTheme="minorHAnsi" w:hAnsiTheme="minorHAnsi"/>
          <w:bCs/>
          <w:szCs w:val="24"/>
        </w:rPr>
      </w:pPr>
    </w:p>
    <w:p w14:paraId="5783BA9C" w14:textId="77777777" w:rsidR="00FA0266" w:rsidRPr="000D3432" w:rsidRDefault="00FA0266" w:rsidP="00A95498">
      <w:pPr>
        <w:jc w:val="both"/>
        <w:rPr>
          <w:rFonts w:asciiTheme="minorHAnsi" w:hAnsiTheme="minorHAnsi"/>
          <w:bCs/>
          <w:szCs w:val="24"/>
        </w:rPr>
      </w:pPr>
      <w:r w:rsidRPr="000D3432">
        <w:rPr>
          <w:rFonts w:asciiTheme="minorHAnsi" w:hAnsiTheme="minorHAnsi"/>
          <w:bCs/>
          <w:szCs w:val="24"/>
        </w:rPr>
        <w:t xml:space="preserve">(Tomado del libro: “El Estado que no elegí – Reseña de un sistema de subordinación”. Hanks Bandìni. Ediciones AZ Todo Derecho. Serie: Repensando el Derecho). </w:t>
      </w:r>
    </w:p>
    <w:p w14:paraId="739AD2A7" w14:textId="77777777" w:rsidR="00FA0266" w:rsidRPr="000D3432" w:rsidRDefault="00FA0266" w:rsidP="00A95498">
      <w:pPr>
        <w:jc w:val="both"/>
        <w:rPr>
          <w:rFonts w:asciiTheme="minorHAnsi" w:hAnsiTheme="minorHAnsi"/>
          <w:bCs/>
          <w:szCs w:val="24"/>
        </w:rPr>
      </w:pPr>
    </w:p>
    <w:p w14:paraId="159044A9" w14:textId="77777777" w:rsidR="00FA0266" w:rsidRPr="000D3432" w:rsidRDefault="00FA0266" w:rsidP="00A95498">
      <w:pPr>
        <w:jc w:val="both"/>
        <w:rPr>
          <w:rFonts w:asciiTheme="minorHAnsi" w:hAnsiTheme="minorHAnsi"/>
          <w:szCs w:val="24"/>
        </w:rPr>
      </w:pPr>
    </w:p>
    <w:p w14:paraId="6C08BEF0" w14:textId="77777777" w:rsidR="00FA0266" w:rsidRPr="000D3432" w:rsidRDefault="00FA0266" w:rsidP="00F3090F">
      <w:pPr>
        <w:jc w:val="center"/>
        <w:rPr>
          <w:rFonts w:asciiTheme="minorHAnsi" w:hAnsiTheme="minorHAnsi" w:cs="Times"/>
          <w:szCs w:val="24"/>
        </w:rPr>
      </w:pPr>
    </w:p>
    <w:p w14:paraId="2692002A" w14:textId="77777777" w:rsidR="00FA0266" w:rsidRPr="000D3432" w:rsidRDefault="00FA0266" w:rsidP="00F3090F">
      <w:pPr>
        <w:pStyle w:val="Ttulo1"/>
        <w:spacing w:line="240" w:lineRule="auto"/>
        <w:jc w:val="center"/>
        <w:rPr>
          <w:rFonts w:asciiTheme="minorHAnsi" w:hAnsiTheme="minorHAnsi"/>
          <w:sz w:val="24"/>
          <w:szCs w:val="24"/>
          <w:u w:val="single"/>
        </w:rPr>
      </w:pPr>
      <w:bookmarkStart w:id="94" w:name="_Toc318102899"/>
      <w:r w:rsidRPr="000D3432">
        <w:rPr>
          <w:rFonts w:asciiTheme="minorHAnsi" w:hAnsiTheme="minorHAnsi"/>
          <w:sz w:val="24"/>
          <w:szCs w:val="24"/>
          <w:u w:val="single"/>
        </w:rPr>
        <w:t>CITAS TRIBUTARIOS</w:t>
      </w:r>
      <w:bookmarkEnd w:id="94"/>
    </w:p>
    <w:p w14:paraId="4A1D1237" w14:textId="77777777" w:rsidR="00FA0266" w:rsidRPr="000D3432" w:rsidRDefault="00FA0266" w:rsidP="00A95498">
      <w:pPr>
        <w:jc w:val="both"/>
        <w:rPr>
          <w:rFonts w:asciiTheme="minorHAnsi" w:hAnsiTheme="minorHAnsi" w:cs="Times"/>
          <w:szCs w:val="24"/>
        </w:rPr>
      </w:pPr>
    </w:p>
    <w:p w14:paraId="5850A258" w14:textId="77777777" w:rsidR="00FA0266" w:rsidRPr="000D3432" w:rsidRDefault="00FA0266" w:rsidP="00A95498">
      <w:pPr>
        <w:jc w:val="both"/>
        <w:rPr>
          <w:rFonts w:asciiTheme="minorHAnsi" w:hAnsiTheme="minorHAnsi" w:cs="Arial"/>
          <w:b/>
          <w:color w:val="000000"/>
          <w:szCs w:val="24"/>
        </w:rPr>
      </w:pPr>
      <w:r w:rsidRPr="000D3432">
        <w:rPr>
          <w:rFonts w:asciiTheme="minorHAnsi" w:hAnsiTheme="minorHAnsi" w:cs="Arial"/>
          <w:b/>
          <w:smallCaps/>
          <w:color w:val="000000"/>
          <w:szCs w:val="24"/>
        </w:rPr>
        <w:t>Tributo</w:t>
      </w:r>
      <w:r w:rsidRPr="000D3432">
        <w:rPr>
          <w:rFonts w:asciiTheme="minorHAnsi" w:hAnsiTheme="minorHAnsi" w:cs="Arial"/>
          <w:b/>
          <w:color w:val="000000"/>
          <w:szCs w:val="24"/>
        </w:rPr>
        <w:t xml:space="preserve">: </w:t>
      </w:r>
    </w:p>
    <w:p w14:paraId="2870E60F" w14:textId="77777777" w:rsidR="00FA0266" w:rsidRPr="000D3432" w:rsidRDefault="00FA0266" w:rsidP="00A95498">
      <w:pPr>
        <w:ind w:left="708"/>
        <w:jc w:val="both"/>
        <w:rPr>
          <w:rFonts w:asciiTheme="minorHAnsi" w:hAnsiTheme="minorHAnsi" w:cs="Arial"/>
          <w:b/>
          <w:color w:val="000000"/>
          <w:szCs w:val="24"/>
        </w:rPr>
      </w:pPr>
    </w:p>
    <w:p w14:paraId="0E3689FF" w14:textId="77777777" w:rsidR="00FA0266" w:rsidRPr="000D3432" w:rsidRDefault="00FA0266" w:rsidP="00A95498">
      <w:pPr>
        <w:jc w:val="both"/>
        <w:rPr>
          <w:rFonts w:asciiTheme="minorHAnsi" w:hAnsiTheme="minorHAnsi" w:cs="Arial"/>
          <w:color w:val="000000"/>
          <w:szCs w:val="24"/>
        </w:rPr>
      </w:pPr>
      <w:r w:rsidRPr="000D3432">
        <w:rPr>
          <w:rFonts w:asciiTheme="minorHAnsi" w:hAnsiTheme="minorHAnsi" w:cs="Arial"/>
          <w:color w:val="000000"/>
          <w:szCs w:val="24"/>
        </w:rPr>
        <w:t xml:space="preserve">Ataliba escribe “Jurídicamente se define al tributo como una obligación jurídica pecuaniaria, </w:t>
      </w:r>
      <w:r w:rsidRPr="000D3432">
        <w:rPr>
          <w:rFonts w:asciiTheme="minorHAnsi" w:hAnsiTheme="minorHAnsi" w:cs="Arial"/>
          <w:i/>
          <w:color w:val="000000"/>
          <w:szCs w:val="24"/>
        </w:rPr>
        <w:t>ex lege</w:t>
      </w:r>
      <w:r w:rsidRPr="000D3432">
        <w:rPr>
          <w:rFonts w:asciiTheme="minorHAnsi" w:hAnsiTheme="minorHAnsi" w:cs="Arial"/>
          <w:color w:val="000000"/>
          <w:szCs w:val="24"/>
        </w:rPr>
        <w:t>, que no consituye sanción de acto ilícito, cuyo sujeto activo es, en principio una persona pública, y cuyo sujeto pasivo es alguien puesto en esa situación por la voluntad de la ley.”</w:t>
      </w:r>
    </w:p>
    <w:p w14:paraId="5D58A61F"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2CE9CCBA" w14:textId="77777777" w:rsidR="00FA0266" w:rsidRPr="000D3432" w:rsidRDefault="00FA0266" w:rsidP="00A95498">
      <w:pPr>
        <w:ind w:firstLine="426"/>
        <w:jc w:val="both"/>
        <w:rPr>
          <w:rFonts w:asciiTheme="minorHAnsi" w:hAnsiTheme="minorHAnsi" w:cs="Arial"/>
          <w:color w:val="000000"/>
          <w:szCs w:val="24"/>
        </w:rPr>
      </w:pPr>
      <w:r w:rsidRPr="000D3432">
        <w:rPr>
          <w:rFonts w:asciiTheme="minorHAnsi" w:hAnsiTheme="minorHAnsi" w:cs="Arial"/>
          <w:color w:val="000000"/>
          <w:szCs w:val="24"/>
        </w:rPr>
        <w:t>“...tributo de los pueblos aquello que producían, permitiendo el equilibrio entre la carga impositiva y la capacidad tributaria. Aunque los tributos eran fuertes, existía -en base a una ingeniosa organización y visión de la capacidad tributante- la posibilidad pagar los tributos. Con la conquista y el Virreinato el sistema tributario impuesto adolecía del equilibrio del régimen incaico. La exigencia de tributar y la posibilidad de efectuarlo en perfecto equilibrio y correspondencia desaparecieron. El orden tributario incaico era de carácter rígido, pero acorde. Todos tenían que tributar como símbolo de sumisión y respeto al Inca (hubo un pueblo que entregó como tributos piojitos, por que no tenía otros recursos), pero todos tenían que tributar.</w:t>
      </w:r>
      <w:r w:rsidRPr="000D3432">
        <w:rPr>
          <w:rStyle w:val="Refdenotaalpie"/>
          <w:rFonts w:asciiTheme="minorHAnsi" w:hAnsiTheme="minorHAnsi" w:cs="Arial"/>
          <w:color w:val="000000"/>
          <w:sz w:val="24"/>
          <w:szCs w:val="24"/>
        </w:rPr>
        <w:t xml:space="preserve"> </w:t>
      </w:r>
      <w:r w:rsidRPr="000D3432">
        <w:rPr>
          <w:rStyle w:val="Refdenotaalpie"/>
          <w:rFonts w:asciiTheme="minorHAnsi" w:hAnsiTheme="minorHAnsi" w:cs="Arial"/>
          <w:color w:val="000000"/>
          <w:sz w:val="24"/>
          <w:szCs w:val="24"/>
        </w:rPr>
        <w:footnoteReference w:id="536"/>
      </w:r>
      <w:r w:rsidRPr="000D3432">
        <w:rPr>
          <w:rFonts w:asciiTheme="minorHAnsi" w:hAnsiTheme="minorHAnsi" w:cs="Arial"/>
          <w:color w:val="000000"/>
          <w:szCs w:val="24"/>
        </w:rPr>
        <w:t xml:space="preserve"> </w:t>
      </w:r>
    </w:p>
    <w:p w14:paraId="205FD0C4"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16D8B6D6" w14:textId="77777777" w:rsidR="00FA0266" w:rsidRPr="000D3432" w:rsidRDefault="00FA0266" w:rsidP="00A95498">
      <w:pPr>
        <w:ind w:firstLine="426"/>
        <w:jc w:val="both"/>
        <w:rPr>
          <w:rFonts w:asciiTheme="minorHAnsi" w:hAnsiTheme="minorHAnsi" w:cs="Arial"/>
          <w:color w:val="000000"/>
          <w:szCs w:val="24"/>
        </w:rPr>
      </w:pPr>
      <w:r w:rsidRPr="000D3432">
        <w:rPr>
          <w:rFonts w:asciiTheme="minorHAnsi" w:hAnsiTheme="minorHAnsi" w:cs="Arial"/>
          <w:color w:val="000000"/>
          <w:szCs w:val="24"/>
        </w:rPr>
        <w:t>En este estado de cosas aparece el mestizo -que era hijo, generalmente, de padre español y de madre india en una relación ilegítima- que deseaba ser español no sólo por la mayor estimación social que tenía el padre sino porque además era una forma de no pagar tributos. En otras palabras, negar a la madre era en el siglo XVII, una forma de no pagar tributos y de no ser indio.</w:t>
      </w:r>
      <w:r w:rsidRPr="000D3432">
        <w:rPr>
          <w:rStyle w:val="Refdenotaalpie"/>
          <w:rFonts w:asciiTheme="minorHAnsi" w:hAnsiTheme="minorHAnsi" w:cs="Arial"/>
          <w:color w:val="000000"/>
          <w:sz w:val="24"/>
          <w:szCs w:val="24"/>
        </w:rPr>
        <w:footnoteReference w:id="537"/>
      </w:r>
    </w:p>
    <w:p w14:paraId="12EAFC19"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5BD60214" w14:textId="77777777" w:rsidR="00FA0266" w:rsidRPr="000D3432" w:rsidRDefault="00FA0266" w:rsidP="00A95498">
      <w:pPr>
        <w:ind w:firstLine="426"/>
        <w:jc w:val="both"/>
        <w:rPr>
          <w:rFonts w:asciiTheme="minorHAnsi" w:hAnsiTheme="minorHAnsi" w:cs="Arial"/>
          <w:color w:val="000000"/>
          <w:szCs w:val="24"/>
        </w:rPr>
      </w:pPr>
      <w:r w:rsidRPr="000D3432">
        <w:rPr>
          <w:rFonts w:asciiTheme="minorHAnsi" w:hAnsiTheme="minorHAnsi" w:cs="Arial"/>
          <w:color w:val="000000"/>
          <w:szCs w:val="24"/>
        </w:rPr>
        <w:t xml:space="preserve">"En el siglo XVII un indio era un tributario, el miembro de una comunidad que pagaba su contribución al Estado. Un español era alguien que, por el contrario, se encontraba libre de esta carga", la diferencia estaba claramente enfocada y las clases divididas no sólo socialmente, racialmente, políticamente, </w:t>
      </w:r>
      <w:r w:rsidRPr="000D3432">
        <w:rPr>
          <w:rFonts w:asciiTheme="minorHAnsi" w:hAnsiTheme="minorHAnsi" w:cs="Arial"/>
          <w:color w:val="000000"/>
          <w:szCs w:val="24"/>
        </w:rPr>
        <w:lastRenderedPageBreak/>
        <w:t>sino además, económicamente.</w:t>
      </w:r>
    </w:p>
    <w:p w14:paraId="3C1A9F8B"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64676F03" w14:textId="77777777" w:rsidR="00FA0266" w:rsidRPr="000D3432" w:rsidRDefault="00FA0266" w:rsidP="00A95498">
      <w:pPr>
        <w:ind w:firstLine="426"/>
        <w:jc w:val="both"/>
        <w:rPr>
          <w:rFonts w:asciiTheme="minorHAnsi" w:hAnsiTheme="minorHAnsi" w:cs="Arial"/>
          <w:szCs w:val="24"/>
        </w:rPr>
      </w:pPr>
      <w:r w:rsidRPr="000D3432">
        <w:rPr>
          <w:rFonts w:asciiTheme="minorHAnsi" w:hAnsiTheme="minorHAnsi" w:cs="Arial"/>
          <w:szCs w:val="24"/>
        </w:rPr>
        <w:t>No obstante la trascendencia de la rebelión de Túpac Amaru, algunos historiadores dicen que esta rebelión fue por motivaciones muy particulares, otros que sus motivos fueron colectivos y populares, otros dicen que al principio Túpac Amaru se sublevó por los impuestos que le iban a cobrar, pero luego la masa indígena lo atrapó inconscientemente, por lo que su sublevación se convirtió en social.</w:t>
      </w:r>
      <w:r w:rsidRPr="000D3432">
        <w:rPr>
          <w:rStyle w:val="Refdenotaalpie"/>
          <w:rFonts w:asciiTheme="minorHAnsi" w:hAnsiTheme="minorHAnsi" w:cs="Arial"/>
          <w:color w:val="000000"/>
          <w:sz w:val="24"/>
          <w:szCs w:val="24"/>
        </w:rPr>
        <w:footnoteReference w:id="538"/>
      </w:r>
      <w:r w:rsidRPr="000D3432">
        <w:rPr>
          <w:rFonts w:asciiTheme="minorHAnsi" w:hAnsiTheme="minorHAnsi" w:cs="Arial"/>
          <w:szCs w:val="24"/>
        </w:rPr>
        <w:t>, pero lo realmente cierto es que hubo tal rebelión. Tupac Amaru II empezó por la revolución (1780) en contra de la fiscalización tributaria, para luego verse empujado por la masa social a la revolución social de la independencia. Pero Tupac Amaru fue un acaudalado comerciante, que lideró una revuelta que pasó de una queja local, de un reclamo fiscal a un cuestionamiento de la supremacía española en el Perú</w:t>
      </w:r>
      <w:r w:rsidRPr="000D3432">
        <w:rPr>
          <w:rStyle w:val="Refdenotaalpie"/>
          <w:rFonts w:asciiTheme="minorHAnsi" w:hAnsiTheme="minorHAnsi" w:cs="Arial"/>
          <w:color w:val="000000"/>
          <w:sz w:val="24"/>
          <w:szCs w:val="24"/>
        </w:rPr>
        <w:footnoteReference w:id="539"/>
      </w:r>
      <w:r w:rsidRPr="000D3432">
        <w:rPr>
          <w:rFonts w:asciiTheme="minorHAnsi" w:hAnsiTheme="minorHAnsi" w:cs="Arial"/>
          <w:szCs w:val="24"/>
        </w:rPr>
        <w:t>. Pero la Corona no podía permitir esto. La sublevación significaba un pensamiento crítico en contra de la Corona. Así, este intento como contradicción al pensamiento imperante debía ser suprimido y la represión española empezó. "La represión no se hizo esperar. Tupac Amaru y algunos de sus familiares fueron descuartizados públicamente, los jefes indígenas perseguidos de por vida, el idioma Quechua abolido, prohibido el uso de indumentaria incaica y vetada  la lectura de los Comentarios Reales de Garcilaso. El miedo se había apoderado de la "república de españoles""</w:t>
      </w:r>
      <w:r w:rsidRPr="000D3432">
        <w:rPr>
          <w:rStyle w:val="Refdenotaalpie"/>
          <w:rFonts w:asciiTheme="minorHAnsi" w:hAnsiTheme="minorHAnsi" w:cs="Arial"/>
          <w:sz w:val="24"/>
          <w:szCs w:val="24"/>
        </w:rPr>
        <w:footnoteReference w:id="540"/>
      </w:r>
    </w:p>
    <w:p w14:paraId="6F1AA5EC"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6C5C34C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"...los tributos impuestos por el inca eran aplastantes; pero estaban tan acertadamente concebidos y tan ingeniosamente repartidos, que los indios los soportaban más cómodamente que soportaron después los impuestos españoles".</w:t>
      </w:r>
    </w:p>
    <w:p w14:paraId="2861EC25" w14:textId="77777777" w:rsidR="00FA0266" w:rsidRPr="000D3432" w:rsidRDefault="00FA0266" w:rsidP="00A95498">
      <w:pPr>
        <w:jc w:val="both"/>
        <w:rPr>
          <w:rFonts w:asciiTheme="minorHAnsi" w:hAnsiTheme="minorHAnsi"/>
          <w:szCs w:val="24"/>
        </w:rPr>
      </w:pPr>
    </w:p>
    <w:p w14:paraId="4FAD1B49"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3EFCA32D" w14:textId="77777777" w:rsidR="00FA0266" w:rsidRPr="000D3432" w:rsidRDefault="00FA0266" w:rsidP="00A95498">
      <w:pPr>
        <w:pStyle w:val="Pie"/>
        <w:ind w:left="425" w:hanging="425"/>
        <w:rPr>
          <w:rFonts w:asciiTheme="minorHAnsi" w:hAnsiTheme="minorHAnsi"/>
          <w:sz w:val="24"/>
          <w:szCs w:val="24"/>
        </w:rPr>
      </w:pPr>
      <w:r w:rsidRPr="000D3432">
        <w:rPr>
          <w:rFonts w:asciiTheme="minorHAnsi" w:hAnsiTheme="minorHAnsi"/>
          <w:sz w:val="24"/>
          <w:szCs w:val="24"/>
        </w:rPr>
        <w:t>“En su concepción general, el diseño de sociedad que acunaron las reformas toledanas asumía una concepción dual de la sociedad. Por un lado la república de españoles, por el otro la república de indios. Alcaldes para indios, alcaldes para españoles, corregidor de indios, corregidor de españoles. Impuestos para españoles, impuestos para indios...” /  Escribe Efraín Trelles, en un artículo denominado: “El Perú en su historia. Linderos de un nuevo desafío”.</w:t>
      </w:r>
    </w:p>
    <w:p w14:paraId="7D0CBF26" w14:textId="77777777" w:rsidR="00FA0266" w:rsidRPr="000D3432" w:rsidRDefault="00FA0266" w:rsidP="00A95498">
      <w:pPr>
        <w:jc w:val="center"/>
        <w:rPr>
          <w:rFonts w:asciiTheme="minorHAnsi" w:hAnsiTheme="minorHAnsi" w:cs="Times"/>
          <w:szCs w:val="24"/>
        </w:rPr>
      </w:pPr>
    </w:p>
    <w:p w14:paraId="6D0E11C8" w14:textId="77777777" w:rsidR="00FA0266" w:rsidRPr="000D3432" w:rsidRDefault="00FA0266" w:rsidP="00A95498">
      <w:pPr>
        <w:jc w:val="center"/>
        <w:rPr>
          <w:rFonts w:asciiTheme="minorHAnsi" w:hAnsiTheme="minorHAnsi" w:cs="Times"/>
          <w:szCs w:val="24"/>
        </w:rPr>
      </w:pPr>
      <w:r w:rsidRPr="000D3432">
        <w:rPr>
          <w:rFonts w:asciiTheme="minorHAnsi" w:hAnsiTheme="minorHAnsi" w:cs="Times"/>
          <w:szCs w:val="24"/>
        </w:rPr>
        <w:t>***</w:t>
      </w:r>
    </w:p>
    <w:p w14:paraId="4FCD24F5" w14:textId="77777777" w:rsidR="00FA0266" w:rsidRPr="000D3432" w:rsidRDefault="00FA0266" w:rsidP="00A95498">
      <w:pPr>
        <w:ind w:firstLine="425"/>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xml:space="preserve">Es decir que “este proceso, cuyos rasgos tienden a acentuarse en los principios del presente siglo, ha sido caracterizado por Fernando de Trazegnies como una modernización tradicionalista, es decir, una modernización que no modificó las estructuras y jerarquías básicas tradicionales, por lo que el contraste entre la élite dominante y el grueso de la población se hizo más notable. Una modernización que elimina el tributo indígena y la esclavitud del negro, pero incorpora, con la importación de asiáticos, nuevas expresiones de </w:t>
      </w:r>
      <w:r w:rsidRPr="000D3432">
        <w:rPr>
          <w:rFonts w:asciiTheme="minorHAnsi" w:hAnsiTheme="minorHAnsi" w:cs="Arial"/>
          <w:color w:val="000000"/>
          <w:szCs w:val="24"/>
          <w:lang w:val="es-ES_tradnl"/>
        </w:rPr>
        <w:lastRenderedPageBreak/>
        <w:t>esclavitud y mantienen la servidumbre de la masa indígena.”</w:t>
      </w:r>
      <w:r w:rsidRPr="000D3432">
        <w:rPr>
          <w:rStyle w:val="Refdenotaalpie"/>
          <w:rFonts w:asciiTheme="minorHAnsi" w:hAnsiTheme="minorHAnsi" w:cs="Arial"/>
          <w:color w:val="000000"/>
          <w:sz w:val="24"/>
          <w:szCs w:val="24"/>
          <w:lang w:val="es-ES_tradnl"/>
        </w:rPr>
        <w:footnoteReference w:id="541"/>
      </w:r>
    </w:p>
    <w:p w14:paraId="0C0FBC39" w14:textId="77777777" w:rsidR="00FA0266" w:rsidRPr="000D3432" w:rsidRDefault="00FA0266" w:rsidP="00A95498">
      <w:pPr>
        <w:jc w:val="center"/>
        <w:rPr>
          <w:rFonts w:asciiTheme="minorHAnsi" w:hAnsiTheme="minorHAnsi"/>
          <w:szCs w:val="24"/>
        </w:rPr>
      </w:pPr>
      <w:r w:rsidRPr="000D3432">
        <w:rPr>
          <w:rFonts w:asciiTheme="minorHAnsi" w:hAnsiTheme="minorHAnsi"/>
          <w:szCs w:val="24"/>
        </w:rPr>
        <w:t>***</w:t>
      </w:r>
    </w:p>
    <w:p w14:paraId="52B49BCA" w14:textId="77777777" w:rsidR="00FA0266" w:rsidRPr="000D3432" w:rsidRDefault="00FA0266" w:rsidP="00A95498">
      <w:pPr>
        <w:jc w:val="both"/>
        <w:rPr>
          <w:rFonts w:asciiTheme="minorHAnsi" w:hAnsiTheme="minorHAnsi"/>
          <w:color w:val="000000"/>
          <w:szCs w:val="24"/>
        </w:rPr>
      </w:pPr>
      <w:r w:rsidRPr="000D3432">
        <w:rPr>
          <w:rFonts w:asciiTheme="minorHAnsi" w:hAnsiTheme="minorHAnsi"/>
          <w:color w:val="000000"/>
          <w:szCs w:val="24"/>
        </w:rPr>
        <w:t>En el siglo XI el gobierno era ostentado por el monarca, el cual, empero su autoridad, solo dirigía e intervenía en cuestiones de los tributos, reclutamiento de personal para sus conquistas, dejando de lado los demás aspectos al propio pueblo, el mismo que se conducía por sus costumbres. Pilatos fue una muestra de esto último al dejar que el pueblo determinara el destino de Jesus, según nos narra la biblia y nos señala como ejemplo Marcial Rubio Correa.</w:t>
      </w:r>
    </w:p>
    <w:p w14:paraId="75C9805A" w14:textId="77777777" w:rsidR="00FA0266" w:rsidRPr="000D3432" w:rsidRDefault="00FA0266" w:rsidP="00A95498">
      <w:pPr>
        <w:jc w:val="both"/>
        <w:rPr>
          <w:rFonts w:asciiTheme="minorHAnsi" w:hAnsiTheme="minorHAnsi"/>
          <w:b/>
          <w:szCs w:val="24"/>
          <w:u w:val="single"/>
        </w:rPr>
      </w:pPr>
    </w:p>
    <w:p w14:paraId="4E4DF315" w14:textId="77777777" w:rsidR="00FA0266" w:rsidRPr="000D3432" w:rsidRDefault="00FA0266" w:rsidP="00A95498">
      <w:pPr>
        <w:jc w:val="both"/>
        <w:rPr>
          <w:rFonts w:asciiTheme="minorHAnsi" w:hAnsiTheme="minorHAnsi"/>
          <w:b/>
          <w:szCs w:val="24"/>
          <w:u w:val="single"/>
        </w:rPr>
      </w:pPr>
    </w:p>
    <w:p w14:paraId="1F73462C" w14:textId="77777777" w:rsidR="00FA0266" w:rsidRPr="000D3432" w:rsidRDefault="00FA0266" w:rsidP="00A95498">
      <w:pPr>
        <w:pStyle w:val="Textodecuerpo"/>
        <w:spacing w:line="240" w:lineRule="auto"/>
        <w:rPr>
          <w:rFonts w:asciiTheme="minorHAnsi" w:hAnsiTheme="minorHAnsi"/>
          <w:sz w:val="24"/>
          <w:szCs w:val="24"/>
          <w:lang w:val="es-ES_tradnl"/>
        </w:rPr>
      </w:pPr>
      <w:r w:rsidRPr="000D3432">
        <w:rPr>
          <w:rFonts w:asciiTheme="minorHAnsi" w:hAnsiTheme="minorHAnsi"/>
          <w:b/>
          <w:sz w:val="24"/>
          <w:szCs w:val="24"/>
          <w:lang w:val="es-ES_tradnl"/>
        </w:rPr>
        <w:t>La distribución de la riqueza</w:t>
      </w:r>
      <w:r w:rsidRPr="000D3432">
        <w:rPr>
          <w:rFonts w:asciiTheme="minorHAnsi" w:hAnsiTheme="minorHAnsi"/>
          <w:sz w:val="24"/>
          <w:szCs w:val="24"/>
          <w:lang w:val="es-ES_tradnl"/>
        </w:rPr>
        <w:t xml:space="preserve"> </w:t>
      </w:r>
    </w:p>
    <w:p w14:paraId="2457BBC9" w14:textId="77777777" w:rsidR="00FA0266" w:rsidRPr="000D3432" w:rsidRDefault="00FA0266" w:rsidP="00A95498">
      <w:pPr>
        <w:pStyle w:val="Textodecuerpo"/>
        <w:spacing w:line="240" w:lineRule="auto"/>
        <w:rPr>
          <w:rFonts w:asciiTheme="minorHAnsi" w:hAnsiTheme="minorHAnsi"/>
          <w:sz w:val="24"/>
          <w:szCs w:val="24"/>
          <w:lang w:val="es-ES_tradnl"/>
        </w:rPr>
      </w:pPr>
    </w:p>
    <w:p w14:paraId="54CBD187" w14:textId="77777777" w:rsidR="00FA0266" w:rsidRPr="000D3432" w:rsidRDefault="00FA0266"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Dentro de una concepción teórica, el dinero recaudado mediante impuestos por el Estado está determinado por los servicios que tiene que cumplir, dentro de esos servicios está la de organizar a la sociedad, procurar y promover una mejor vida, el bienestar común. Pero este bienestar común está tomando a todos como generalidad, y no hay  identificación de ciertos elementos que se constituyen como factores de proposición tributaria. Nos explicamos. La existencia de un ciudadano común y corriente significa ya un elemento a contar dentro de la planificación del Estado para lograr el bienestar común y la paz social, y la libertad, etc. Eso significa que la sola existencia de este individuo representa ya un gasto para el Estado, porque éste tiene que darle educación (si no se la pueden dar sus padres, que es la generalidad), tiene que procurarle salud, trabajo, etc. Estos servicios y su implementación han sido los justificantes del Estado para imponer los tributos. Sólo que falta una tuerca en el sistema. Si este hombre trabaja el asunto esta más o menos bien dirigido, pero si no trabaja, el asunto cambia. ¿Qué sucede? Pasa lo que al parecer decía Gandhi, “quien no trabaja roba”. Y no me estoy refiriendo al hecho o acto de arrancar una cartera a otro individuo. </w:t>
      </w:r>
    </w:p>
    <w:p w14:paraId="2A321B22" w14:textId="77777777" w:rsidR="00FA0266" w:rsidRPr="000D3432" w:rsidRDefault="00FA0266" w:rsidP="00A95498">
      <w:pPr>
        <w:pStyle w:val="Textodecuerpo"/>
        <w:spacing w:line="240" w:lineRule="auto"/>
        <w:rPr>
          <w:rFonts w:asciiTheme="minorHAnsi" w:hAnsiTheme="minorHAnsi"/>
          <w:sz w:val="24"/>
          <w:szCs w:val="24"/>
          <w:lang w:val="es-ES_tradnl"/>
        </w:rPr>
      </w:pPr>
    </w:p>
    <w:p w14:paraId="5F47C130" w14:textId="77777777" w:rsidR="00FA0266" w:rsidRPr="000D3432" w:rsidRDefault="00FA0266"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Expliquemos el asunto. Supongamos que la sociedad lo constituyen sólo 50 personas. Para sobrevivir estos cincuenta tienen que trabajar, y como están ocupados en esto, no pueden dedicarse a ordenar la sociedad, a vigilarla, dotarla de una administración de justicia, etc. Así que pagan a una entidad llamada Estado, al cual le dan el poder de arreglar estos asuntos. Y para eso crea los tributos, afirma.. Ahora supongamos que cinco ciudadanos no trabajan, por lo tanto lo que hacen es vivir a expensas de los demás, porque los demás les pagan su seguridad, su administración de justicia, etc.  Pero bien, digamos que estos cinco no pueden conseguir trabajo. Tienen mucho tiempo para hacer todo lo que quieran y para más, hacen hijos. Estos hijos representan ya una carga para el Estado, pues este tiene que proveerles de educación, seguridad, etc. Y la historia no acaba allí. El Estado como benefactor, entendiendo mal su roll, el roll asignado, usa del dinero, distribuye su riqueza, que es de todos, por ser pública, o producto de los impuestos, de forma inequívoca. Crea viviendas para los hombres que no pueden tenerla, y da prioridades. ¿Quienes tienen prioridad? Pues los casados, los que tienen hijos, etc.? Indistintamente de si estos sean o no </w:t>
      </w:r>
      <w:r w:rsidRPr="000D3432">
        <w:rPr>
          <w:rFonts w:asciiTheme="minorHAnsi" w:hAnsiTheme="minorHAnsi"/>
          <w:sz w:val="24"/>
          <w:szCs w:val="24"/>
          <w:lang w:val="es-ES_tradnl"/>
        </w:rPr>
        <w:lastRenderedPageBreak/>
        <w:t>buenos ciudadanos, o si hayan formado una familia como un acto responsable. ¿Cuál la fundamentación? Tienen mayor necesidad, dice el Estado. Con eso sólo se está ampliando la irresponsabilidad. ¿Y quien paga eso? Pues todos. Allí no hay preferencias o prioridad. Todos pagan, aunque se beneficien los más irresponsables. Aquí no existe tampoco libertad. Libertad de mercado. Si de nuestros impuestos dan beneficios a los más irresponsables, porqué no se puede dejar de pagar estos impuestos?</w:t>
      </w:r>
    </w:p>
    <w:p w14:paraId="5ECB4679" w14:textId="77777777" w:rsidR="00FA0266" w:rsidRPr="000D3432" w:rsidRDefault="00FA0266" w:rsidP="00A95498">
      <w:pPr>
        <w:jc w:val="center"/>
        <w:rPr>
          <w:rFonts w:asciiTheme="minorHAnsi" w:hAnsiTheme="minorHAnsi"/>
          <w:b/>
          <w:szCs w:val="24"/>
        </w:rPr>
      </w:pPr>
    </w:p>
    <w:p w14:paraId="375B6959" w14:textId="77777777" w:rsidR="00FA0266" w:rsidRPr="000D3432" w:rsidRDefault="00FA0266" w:rsidP="00A95498">
      <w:pPr>
        <w:jc w:val="center"/>
        <w:rPr>
          <w:rFonts w:asciiTheme="minorHAnsi" w:hAnsiTheme="minorHAnsi"/>
          <w:b/>
          <w:szCs w:val="24"/>
        </w:rPr>
      </w:pPr>
      <w:r w:rsidRPr="000D3432">
        <w:rPr>
          <w:rFonts w:asciiTheme="minorHAnsi" w:hAnsiTheme="minorHAnsi"/>
          <w:b/>
          <w:szCs w:val="24"/>
        </w:rPr>
        <w:t>***</w:t>
      </w:r>
    </w:p>
    <w:p w14:paraId="48E5498F"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Pensar en el Derecho tributario es pensar en cómo hacer para que nos cobren tributos, es una especie de buscar salir de la tributación, de no pagar impuestos. Esto es por supuesto, porque contra los tributos no podemos hacer nada, absolutamente nada, sino cumplirlos, o al menos esa es la idea. Sin embargo, no basta con cumplir con pagar los tributos, con buscar las salidas temporales, para no pagar tributos, se necesita saber qué son estos tributos. Y claro que todos tributamos, seamos o no concientes de ello, pero no todos sabemos cómo funciona esto, y menos porque es asi. Lo damos por sentado. El Estado ha creado este tributo, o la municipalidad, y nosotros no tenemos nada más que hacer que pagar. </w:t>
      </w:r>
    </w:p>
    <w:p w14:paraId="1F43BEB4" w14:textId="77777777" w:rsidR="00FA0266" w:rsidRPr="000D3432" w:rsidRDefault="00FA0266" w:rsidP="00A95498">
      <w:pPr>
        <w:jc w:val="both"/>
        <w:rPr>
          <w:rFonts w:asciiTheme="minorHAnsi" w:hAnsiTheme="minorHAnsi"/>
          <w:szCs w:val="24"/>
        </w:rPr>
      </w:pPr>
    </w:p>
    <w:p w14:paraId="04F7CB5F"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Pero esto no es suficiente, para hombre preocupado por ser abogado, o para un simple hombre que quiere saber el porque su dinero disminuye, su riqueza  o parte de ella  tiene que ser entregada al Estado, ese Estado que el no ve, pero que si le quita parte de sus ingresos. Entonces el asunto no es tan matemático. No se trata sólo de saber cual es la mecánica de los tributos, sino de saber cómo funciona, y si es realmente necesario y justo que se paguen tales o cuales tributos. </w:t>
      </w:r>
    </w:p>
    <w:p w14:paraId="3141B608" w14:textId="77777777" w:rsidR="00FA0266" w:rsidRPr="000D3432" w:rsidRDefault="00FA0266" w:rsidP="00A95498">
      <w:pPr>
        <w:jc w:val="both"/>
        <w:rPr>
          <w:rFonts w:asciiTheme="minorHAnsi" w:hAnsiTheme="minorHAnsi"/>
          <w:szCs w:val="24"/>
        </w:rPr>
      </w:pPr>
    </w:p>
    <w:p w14:paraId="40F1256D"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Lo peor de los tributos es que se encuentran ubicados encuadros y operaciones matemáticas tan confusas que por lo general todos desisten de saber cual es el origen de ellos, o cual es el proceso que siguen desde la recaudación hasta el acto final. </w:t>
      </w:r>
    </w:p>
    <w:p w14:paraId="7E359C3D" w14:textId="77777777" w:rsidR="00FA0266" w:rsidRPr="000D3432" w:rsidRDefault="00FA0266" w:rsidP="00A95498">
      <w:pPr>
        <w:jc w:val="both"/>
        <w:rPr>
          <w:rFonts w:asciiTheme="minorHAnsi" w:hAnsiTheme="minorHAnsi"/>
          <w:szCs w:val="24"/>
        </w:rPr>
      </w:pPr>
    </w:p>
    <w:p w14:paraId="69B7C19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Además, para entenderlo tenemos que entender primero algunos aspectos principales, como el hecho que es el Estado, porque es este el que crea el impuesto, y cómo funciona este Estado, además saber porque le hacemos caso al Estado. El problema se complica aún más.</w:t>
      </w:r>
    </w:p>
    <w:p w14:paraId="498B0B15" w14:textId="77777777" w:rsidR="00FA0266" w:rsidRPr="000D3432" w:rsidRDefault="00FA0266" w:rsidP="00A95498">
      <w:pPr>
        <w:jc w:val="both"/>
        <w:rPr>
          <w:rFonts w:asciiTheme="minorHAnsi" w:hAnsiTheme="minorHAnsi"/>
          <w:szCs w:val="24"/>
        </w:rPr>
      </w:pPr>
    </w:p>
    <w:p w14:paraId="7635122C"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Pero para entender el Tributo, y luego el Derecho tributario, hemos encontrado a un excelente escritor, nos dicen que es brasileño, y se llama Geraldo Ataliba.</w:t>
      </w:r>
    </w:p>
    <w:p w14:paraId="6D071140" w14:textId="77777777" w:rsidR="00FA0266" w:rsidRPr="000D3432" w:rsidRDefault="00FA0266" w:rsidP="00A95498">
      <w:pPr>
        <w:jc w:val="both"/>
        <w:rPr>
          <w:rFonts w:asciiTheme="minorHAnsi" w:hAnsiTheme="minorHAnsi"/>
          <w:szCs w:val="24"/>
        </w:rPr>
      </w:pPr>
    </w:p>
    <w:p w14:paraId="432DBA69"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 xml:space="preserve">Ataliba propone una idea central: el tributo tiene su origen en un mandato, y este mandato es necesariamente un mandato del Estado. ¿cuál es este mandato? Bueno que se tribute, en otras palabras de Ataliba “que se entregue dinero al Estado”. De allí sigue diciente Ataliba que el Derecho Tributario tiene en su contenido un mandato, el mandato de entregar dinero al estado, Pero Ataliba insiste, este mandato no es lo que le da sentido al Derecho Tributario, a la norma jurídica. sino otra cosa. ¿qué es esa otra cosa?, el objeto de la norma </w:t>
      </w:r>
      <w:r w:rsidRPr="000D3432">
        <w:rPr>
          <w:rFonts w:asciiTheme="minorHAnsi" w:hAnsiTheme="minorHAnsi"/>
          <w:szCs w:val="24"/>
        </w:rPr>
        <w:lastRenderedPageBreak/>
        <w:t xml:space="preserve">jurídica es regular las conductas humanas. Y una norma jurídica tributaria intenta regular las conductas de los seres humanos. Por lo tanto, el mandato de “entregar dinero al Estado”, no se finaliza en esa afirmación, no es el llevar dinero a los cofres, como fin, sino el hecho de obedecer ese mandato, No es el dinero el objeto de la norma tributaria dice Ataliba, sino el comportamiento del ser humano. Lo que ha sucedido es que se ha creado a través de la norma tributaria una “relación obligacional” El Derecho tributario no es un fenómeno económico, sino político y jurídico, es jurídico porque se dirige, como fin último a determinar la obediencia del sujeto, al determinar el comportamiento del ser humano. </w:t>
      </w:r>
    </w:p>
    <w:p w14:paraId="4C553937" w14:textId="77777777" w:rsidR="00FA0266" w:rsidRPr="000D3432" w:rsidRDefault="00FA0266" w:rsidP="00A95498">
      <w:pPr>
        <w:jc w:val="both"/>
        <w:rPr>
          <w:rFonts w:asciiTheme="minorHAnsi" w:hAnsiTheme="minorHAnsi"/>
          <w:szCs w:val="24"/>
        </w:rPr>
      </w:pPr>
    </w:p>
    <w:p w14:paraId="7C80E278"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El fundamento del tributo esta en el carácter colectivo de su fin.</w:t>
      </w:r>
    </w:p>
    <w:p w14:paraId="777D2095" w14:textId="77777777" w:rsidR="00FA0266" w:rsidRPr="000D3432" w:rsidRDefault="00FA0266" w:rsidP="00A95498">
      <w:pPr>
        <w:jc w:val="both"/>
        <w:rPr>
          <w:rFonts w:asciiTheme="minorHAnsi" w:hAnsiTheme="minorHAnsi"/>
          <w:b/>
          <w:szCs w:val="24"/>
          <w:u w:val="single"/>
        </w:rPr>
      </w:pPr>
    </w:p>
    <w:p w14:paraId="1657F23C" w14:textId="77777777" w:rsidR="00FA0266" w:rsidRPr="000D3432" w:rsidRDefault="00FA0266" w:rsidP="00A95498">
      <w:pPr>
        <w:jc w:val="center"/>
        <w:rPr>
          <w:rFonts w:asciiTheme="minorHAnsi" w:hAnsiTheme="minorHAnsi"/>
          <w:b/>
          <w:szCs w:val="24"/>
        </w:rPr>
      </w:pPr>
      <w:r w:rsidRPr="000D3432">
        <w:rPr>
          <w:rFonts w:asciiTheme="minorHAnsi" w:hAnsiTheme="minorHAnsi"/>
          <w:b/>
          <w:szCs w:val="24"/>
        </w:rPr>
        <w:t>***</w:t>
      </w:r>
    </w:p>
    <w:p w14:paraId="46F4B63F" w14:textId="77777777" w:rsidR="00FA0266" w:rsidRPr="000D3432" w:rsidRDefault="00FA0266" w:rsidP="00A95498">
      <w:pPr>
        <w:jc w:val="both"/>
        <w:rPr>
          <w:rFonts w:asciiTheme="minorHAnsi" w:hAnsiTheme="minorHAnsi"/>
          <w:b/>
          <w:szCs w:val="24"/>
          <w:u w:val="single"/>
        </w:rPr>
      </w:pPr>
    </w:p>
    <w:p w14:paraId="35006F8C"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Hablando ahora del Trabajo, Herbert Marcuse nos habla, o nos descifra su zoom, en un libro fascinante denominado “Etica de la Revolución”. En el inserta un ensayo “Acerca de los fundamentos filosóficos del concepto científico económico del trabajo”, en el que intenta describir qué es el trabajo, a qué fenómenos o factores responde; intenta lograr su comprensión, y hacer un deslinde de la conceptualización económica que se le ha dado, por eso empieza primero por allí, por el concepto económico.</w:t>
      </w:r>
    </w:p>
    <w:p w14:paraId="6CC40D79" w14:textId="77777777" w:rsidR="00FA0266" w:rsidRPr="000D3432" w:rsidRDefault="00FA0266" w:rsidP="00A95498">
      <w:pPr>
        <w:jc w:val="both"/>
        <w:rPr>
          <w:rFonts w:asciiTheme="minorHAnsi" w:hAnsiTheme="minorHAnsi"/>
          <w:szCs w:val="24"/>
        </w:rPr>
      </w:pPr>
    </w:p>
    <w:p w14:paraId="3845BCF7"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La primera idea que nos da, sobre el concepto del trabajo, es que es una “actividad económica”, que esta en “praxis en las dimensiones económicas”. Por lo demás, nos persuade y advierte que una definición inequívoca de lo que es el trabajo no existe. Sin embargo tenemos ya un radio de especulación: “el trabajo es una actividad humana que entra en las esferas de la economía, que tiene dimensiones económicas, que responde a una praxis económica. Pero esta economía no es individual sino colectiva, social, global. El hecho de que todos trabajemos o solo unos cuantos afecta a la organización social, a toda la sociedad.</w:t>
      </w:r>
    </w:p>
    <w:p w14:paraId="666F19AF" w14:textId="77777777" w:rsidR="00FA0266" w:rsidRPr="000D3432" w:rsidRDefault="00FA0266" w:rsidP="00A95498">
      <w:pPr>
        <w:pStyle w:val="Textonotapie"/>
        <w:rPr>
          <w:rFonts w:asciiTheme="minorHAnsi" w:hAnsiTheme="minorHAnsi"/>
          <w:sz w:val="24"/>
          <w:szCs w:val="24"/>
        </w:rPr>
      </w:pPr>
    </w:p>
    <w:p w14:paraId="4F393321" w14:textId="77777777" w:rsidR="00FA0266" w:rsidRPr="000D3432" w:rsidRDefault="00FA0266" w:rsidP="00A95498">
      <w:pPr>
        <w:pStyle w:val="Textonotapie"/>
        <w:jc w:val="center"/>
        <w:rPr>
          <w:rFonts w:asciiTheme="minorHAnsi" w:hAnsiTheme="minorHAnsi"/>
          <w:sz w:val="24"/>
          <w:szCs w:val="24"/>
        </w:rPr>
      </w:pPr>
      <w:r w:rsidRPr="000D3432">
        <w:rPr>
          <w:rFonts w:asciiTheme="minorHAnsi" w:hAnsiTheme="minorHAnsi"/>
          <w:sz w:val="24"/>
          <w:szCs w:val="24"/>
        </w:rPr>
        <w:t>***</w:t>
      </w:r>
    </w:p>
    <w:p w14:paraId="606B49AF"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Podemos definir al tributo como la generación o creación de un deuda, pero no una deuda cualquiera, sino con el Estado. Su justificación, por lo tanto está en la propia existencia y supervivencia del Estado. Es decir, el Estado tiene este poder de “generar una deuda” en la persona que vive u opera dentro de sus límites, territorioi, ueblo y soeranía.</w:t>
      </w:r>
    </w:p>
    <w:p w14:paraId="0EF6B078" w14:textId="77777777" w:rsidR="00FA0266" w:rsidRPr="000D3432" w:rsidRDefault="00FA0266" w:rsidP="00A95498">
      <w:pPr>
        <w:jc w:val="both"/>
        <w:rPr>
          <w:rFonts w:asciiTheme="minorHAnsi" w:hAnsiTheme="minorHAnsi"/>
          <w:szCs w:val="24"/>
        </w:rPr>
      </w:pPr>
    </w:p>
    <w:p w14:paraId="28DCA2AB"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Esta deuda es creada por un “vínculo jurídico”, mediante ley. Suy justificación stá en la “satisfacción de las necesidades colectivas”. ES este fundamento (lo colectivo) lo que le da legitimidad al poder coactivo del Estado para hacerlas cumlir.</w:t>
      </w:r>
    </w:p>
    <w:p w14:paraId="33594101" w14:textId="77777777" w:rsidR="00FA0266" w:rsidRPr="000D3432" w:rsidRDefault="00FA0266" w:rsidP="00A95498">
      <w:pPr>
        <w:jc w:val="both"/>
        <w:rPr>
          <w:rFonts w:asciiTheme="minorHAnsi" w:hAnsiTheme="minorHAnsi"/>
          <w:szCs w:val="24"/>
        </w:rPr>
      </w:pPr>
    </w:p>
    <w:p w14:paraId="021F96C3"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ES el precio del compromiso, y del equilibrio del Estado .</w:t>
      </w:r>
    </w:p>
    <w:p w14:paraId="10E770B0"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Equilibrar la economía del Etado.</w:t>
      </w:r>
    </w:p>
    <w:p w14:paraId="19DACC1C" w14:textId="77777777" w:rsidR="00FA0266" w:rsidRPr="000D3432" w:rsidRDefault="00FA0266" w:rsidP="00A95498">
      <w:pPr>
        <w:jc w:val="both"/>
        <w:rPr>
          <w:rFonts w:asciiTheme="minorHAnsi" w:hAnsiTheme="minorHAnsi"/>
          <w:szCs w:val="24"/>
        </w:rPr>
      </w:pPr>
      <w:r w:rsidRPr="000D3432">
        <w:rPr>
          <w:rFonts w:asciiTheme="minorHAnsi" w:hAnsiTheme="minorHAnsi"/>
          <w:szCs w:val="24"/>
        </w:rPr>
        <w:t>Para que este Estado tenga recursos para sus fines y objetivos colectivos.</w:t>
      </w:r>
    </w:p>
    <w:p w14:paraId="79D5132D" w14:textId="77777777" w:rsidR="00FA0266" w:rsidRPr="000D3432" w:rsidRDefault="00FA0266" w:rsidP="00A95498">
      <w:pPr>
        <w:jc w:val="both"/>
        <w:rPr>
          <w:rFonts w:asciiTheme="minorHAnsi" w:hAnsiTheme="minorHAnsi"/>
          <w:b/>
          <w:szCs w:val="24"/>
          <w:u w:val="single"/>
        </w:rPr>
      </w:pPr>
      <w:r w:rsidRPr="000D3432">
        <w:rPr>
          <w:rFonts w:asciiTheme="minorHAnsi" w:hAnsiTheme="minorHAnsi"/>
          <w:szCs w:val="24"/>
        </w:rPr>
        <w:lastRenderedPageBreak/>
        <w:t>El Estado puede ser un medio de redistribución de la riqueza.</w:t>
      </w:r>
    </w:p>
    <w:p w14:paraId="7E4DB0B6" w14:textId="77777777" w:rsidR="00FA0266" w:rsidRPr="000D3432" w:rsidRDefault="00FA0266" w:rsidP="00A95498">
      <w:pPr>
        <w:jc w:val="both"/>
        <w:rPr>
          <w:rFonts w:asciiTheme="minorHAnsi" w:hAnsiTheme="minorHAnsi"/>
          <w:b/>
          <w:szCs w:val="24"/>
          <w:u w:val="single"/>
        </w:rPr>
      </w:pPr>
    </w:p>
    <w:p w14:paraId="058130A1" w14:textId="77777777" w:rsidR="00FA0266" w:rsidRPr="000D3432" w:rsidRDefault="00FA0266" w:rsidP="00A95498">
      <w:pPr>
        <w:jc w:val="both"/>
        <w:rPr>
          <w:rFonts w:asciiTheme="minorHAnsi" w:hAnsiTheme="minorHAnsi"/>
          <w:b/>
          <w:szCs w:val="24"/>
          <w:u w:val="single"/>
        </w:rPr>
      </w:pPr>
    </w:p>
    <w:p w14:paraId="4833435D" w14:textId="77777777" w:rsidR="00FA0266" w:rsidRPr="000D3432" w:rsidRDefault="00FA0266" w:rsidP="00A95498">
      <w:pPr>
        <w:pStyle w:val="Ttulo1"/>
        <w:spacing w:line="240" w:lineRule="auto"/>
        <w:jc w:val="center"/>
        <w:rPr>
          <w:rFonts w:asciiTheme="minorHAnsi" w:hAnsiTheme="minorHAnsi"/>
          <w:sz w:val="24"/>
          <w:szCs w:val="24"/>
          <w:u w:val="single"/>
        </w:rPr>
      </w:pPr>
      <w:bookmarkStart w:id="95" w:name="_Toc318102900"/>
      <w:r w:rsidRPr="000D3432">
        <w:rPr>
          <w:rFonts w:asciiTheme="minorHAnsi" w:hAnsiTheme="minorHAnsi"/>
          <w:sz w:val="24"/>
          <w:szCs w:val="24"/>
          <w:u w:val="single"/>
        </w:rPr>
        <w:t>ESQUEMA JURÍDICO DE LOS TRIBUTOS</w:t>
      </w:r>
      <w:bookmarkEnd w:id="95"/>
    </w:p>
    <w:p w14:paraId="71AC2D6F" w14:textId="77777777" w:rsidR="00FA0266" w:rsidRPr="000D3432" w:rsidRDefault="00FA0266" w:rsidP="00A95498">
      <w:pPr>
        <w:rPr>
          <w:rFonts w:asciiTheme="minorHAnsi" w:hAnsiTheme="minorHAnsi"/>
          <w:szCs w:val="24"/>
        </w:rPr>
      </w:pPr>
    </w:p>
    <w:p w14:paraId="7557F5AE" w14:textId="77777777" w:rsidR="00FA0266" w:rsidRPr="000D3432" w:rsidRDefault="00FA0266" w:rsidP="00A95498">
      <w:pPr>
        <w:rPr>
          <w:rFonts w:asciiTheme="minorHAnsi" w:hAnsiTheme="minorHAnsi"/>
          <w:szCs w:val="24"/>
        </w:rPr>
      </w:pPr>
      <w:r w:rsidRPr="000D3432">
        <w:rPr>
          <w:rFonts w:asciiTheme="minorHAnsi" w:hAnsiTheme="minorHAnsi"/>
          <w:szCs w:val="24"/>
        </w:rPr>
        <w:t>Aquí un pequeño esquema de la potestada tributaria del Estado, es decir, de la facultada del Estado para crear Tributos, extraído del Internet.</w:t>
      </w:r>
    </w:p>
    <w:p w14:paraId="4A7905E0" w14:textId="77777777" w:rsidR="00FA0266" w:rsidRPr="000D3432" w:rsidRDefault="00FA0266" w:rsidP="00A95498">
      <w:pPr>
        <w:rPr>
          <w:rFonts w:asciiTheme="minorHAnsi" w:hAnsiTheme="minorHAnsi"/>
          <w:szCs w:val="24"/>
        </w:rPr>
      </w:pPr>
    </w:p>
    <w:p w14:paraId="1FE35159" w14:textId="77777777" w:rsidR="00FA0266" w:rsidRPr="000D3432" w:rsidRDefault="00FA0266" w:rsidP="00A95498">
      <w:pPr>
        <w:rPr>
          <w:rFonts w:asciiTheme="minorHAnsi" w:hAnsiTheme="minorHAnsi"/>
          <w:szCs w:val="24"/>
        </w:rPr>
      </w:pPr>
    </w:p>
    <w:p w14:paraId="6EB4772E" w14:textId="77777777" w:rsidR="00FA0266" w:rsidRPr="000D3432" w:rsidRDefault="00FA0266" w:rsidP="00A95498">
      <w:pPr>
        <w:rPr>
          <w:rFonts w:asciiTheme="minorHAnsi" w:hAnsiTheme="minorHAnsi"/>
          <w:b/>
          <w:szCs w:val="24"/>
        </w:rPr>
      </w:pPr>
      <w:r w:rsidRPr="000D3432">
        <w:rPr>
          <w:rFonts w:asciiTheme="minorHAnsi" w:hAnsiTheme="minorHAnsi"/>
          <w:b/>
          <w:szCs w:val="24"/>
        </w:rPr>
        <w:t xml:space="preserve">NORMAS: </w:t>
      </w:r>
    </w:p>
    <w:p w14:paraId="1C4D143A" w14:textId="77777777" w:rsidR="00FA0266" w:rsidRPr="000D3432" w:rsidRDefault="00FA0266" w:rsidP="00A95498">
      <w:pPr>
        <w:rPr>
          <w:rFonts w:asciiTheme="minorHAnsi" w:hAnsiTheme="minorHAnsi"/>
          <w:szCs w:val="24"/>
        </w:rPr>
      </w:pPr>
      <w:r w:rsidRPr="000D3432">
        <w:rPr>
          <w:rFonts w:asciiTheme="minorHAnsi" w:hAnsiTheme="minorHAnsi"/>
          <w:szCs w:val="24"/>
        </w:rPr>
        <w:t>LEYES (Poder Legislativo) o</w:t>
      </w:r>
    </w:p>
    <w:p w14:paraId="540DB9EE" w14:textId="77777777" w:rsidR="00FA0266" w:rsidRPr="000D3432" w:rsidRDefault="00FA0266" w:rsidP="00A95498">
      <w:pPr>
        <w:rPr>
          <w:rFonts w:asciiTheme="minorHAnsi" w:hAnsiTheme="minorHAnsi"/>
          <w:szCs w:val="24"/>
        </w:rPr>
      </w:pPr>
      <w:r w:rsidRPr="000D3432">
        <w:rPr>
          <w:rFonts w:asciiTheme="minorHAnsi" w:hAnsiTheme="minorHAnsi"/>
          <w:szCs w:val="24"/>
        </w:rPr>
        <w:t>DECRETOS LEGISLATIVOS (Poder Ejecutivo)</w:t>
      </w:r>
    </w:p>
    <w:p w14:paraId="2DA2B687" w14:textId="77777777" w:rsidR="00FA0266" w:rsidRPr="000D3432" w:rsidRDefault="00FA0266" w:rsidP="009E6E2E">
      <w:pPr>
        <w:pStyle w:val="Prrafodelista"/>
        <w:numPr>
          <w:ilvl w:val="0"/>
          <w:numId w:val="7"/>
        </w:numPr>
        <w:spacing w:after="0" w:line="240" w:lineRule="auto"/>
        <w:contextualSpacing w:val="0"/>
        <w:rPr>
          <w:sz w:val="24"/>
          <w:szCs w:val="24"/>
        </w:rPr>
      </w:pPr>
      <w:r w:rsidRPr="000D3432">
        <w:rPr>
          <w:sz w:val="24"/>
          <w:szCs w:val="24"/>
        </w:rPr>
        <w:t>Crean</w:t>
      </w:r>
    </w:p>
    <w:p w14:paraId="5641356E" w14:textId="77777777" w:rsidR="00FA0266" w:rsidRPr="000D3432" w:rsidRDefault="00FA0266" w:rsidP="009E6E2E">
      <w:pPr>
        <w:pStyle w:val="Prrafodelista"/>
        <w:numPr>
          <w:ilvl w:val="0"/>
          <w:numId w:val="7"/>
        </w:numPr>
        <w:spacing w:after="0" w:line="240" w:lineRule="auto"/>
        <w:contextualSpacing w:val="0"/>
        <w:rPr>
          <w:sz w:val="24"/>
          <w:szCs w:val="24"/>
        </w:rPr>
      </w:pPr>
      <w:r w:rsidRPr="000D3432">
        <w:rPr>
          <w:sz w:val="24"/>
          <w:szCs w:val="24"/>
        </w:rPr>
        <w:t>Modifican</w:t>
      </w:r>
    </w:p>
    <w:p w14:paraId="1EAB9561" w14:textId="77777777" w:rsidR="00FA0266" w:rsidRPr="000D3432" w:rsidRDefault="00FA0266" w:rsidP="009E6E2E">
      <w:pPr>
        <w:pStyle w:val="Prrafodelista"/>
        <w:numPr>
          <w:ilvl w:val="0"/>
          <w:numId w:val="7"/>
        </w:numPr>
        <w:spacing w:after="0" w:line="240" w:lineRule="auto"/>
        <w:contextualSpacing w:val="0"/>
        <w:rPr>
          <w:sz w:val="24"/>
          <w:szCs w:val="24"/>
        </w:rPr>
      </w:pPr>
      <w:r w:rsidRPr="000D3432">
        <w:rPr>
          <w:sz w:val="24"/>
          <w:szCs w:val="24"/>
        </w:rPr>
        <w:t>Derogan</w:t>
      </w:r>
    </w:p>
    <w:p w14:paraId="378E6A9A" w14:textId="77777777" w:rsidR="00FA0266" w:rsidRPr="000D3432" w:rsidRDefault="00FA0266" w:rsidP="009E6E2E">
      <w:pPr>
        <w:pStyle w:val="Prrafodelista"/>
        <w:numPr>
          <w:ilvl w:val="0"/>
          <w:numId w:val="7"/>
        </w:numPr>
        <w:spacing w:after="0" w:line="240" w:lineRule="auto"/>
        <w:contextualSpacing w:val="0"/>
        <w:rPr>
          <w:sz w:val="24"/>
          <w:szCs w:val="24"/>
        </w:rPr>
      </w:pPr>
      <w:r w:rsidRPr="000D3432">
        <w:rPr>
          <w:sz w:val="24"/>
          <w:szCs w:val="24"/>
        </w:rPr>
        <w:t>Exoneran</w:t>
      </w:r>
    </w:p>
    <w:p w14:paraId="6D9C70E8" w14:textId="77777777" w:rsidR="00FA0266" w:rsidRPr="000D3432" w:rsidRDefault="00FA0266" w:rsidP="00A95498">
      <w:pPr>
        <w:rPr>
          <w:rFonts w:asciiTheme="minorHAnsi" w:hAnsiTheme="minorHAnsi"/>
          <w:szCs w:val="24"/>
        </w:rPr>
      </w:pPr>
    </w:p>
    <w:p w14:paraId="25A461C1" w14:textId="77777777" w:rsidR="00FA0266" w:rsidRPr="000D3432" w:rsidRDefault="00FA0266" w:rsidP="00A95498">
      <w:pPr>
        <w:rPr>
          <w:rFonts w:asciiTheme="minorHAnsi" w:hAnsiTheme="minorHAnsi"/>
          <w:szCs w:val="24"/>
        </w:rPr>
      </w:pPr>
      <w:r w:rsidRPr="000D3432">
        <w:rPr>
          <w:rFonts w:asciiTheme="minorHAnsi" w:hAnsiTheme="minorHAnsi"/>
          <w:szCs w:val="24"/>
        </w:rPr>
        <w:t xml:space="preserve">DECRETOS SUPREMOS </w:t>
      </w:r>
    </w:p>
    <w:p w14:paraId="2E46EB20" w14:textId="77777777" w:rsidR="00FA0266" w:rsidRPr="000D3432" w:rsidRDefault="00FA0266" w:rsidP="00A95498">
      <w:pPr>
        <w:rPr>
          <w:rFonts w:asciiTheme="minorHAnsi" w:hAnsiTheme="minorHAnsi"/>
          <w:szCs w:val="24"/>
        </w:rPr>
      </w:pPr>
      <w:r w:rsidRPr="000D3432">
        <w:rPr>
          <w:rFonts w:asciiTheme="minorHAnsi" w:hAnsiTheme="minorHAnsi"/>
          <w:szCs w:val="24"/>
        </w:rPr>
        <w:t>(Poder Ejecutivo)</w:t>
      </w:r>
    </w:p>
    <w:p w14:paraId="71B7056F" w14:textId="77777777" w:rsidR="00FA0266" w:rsidRPr="000D3432" w:rsidRDefault="00FA0266" w:rsidP="009E6E2E">
      <w:pPr>
        <w:pStyle w:val="Prrafodelista"/>
        <w:numPr>
          <w:ilvl w:val="0"/>
          <w:numId w:val="8"/>
        </w:numPr>
        <w:spacing w:after="0" w:line="240" w:lineRule="auto"/>
        <w:contextualSpacing w:val="0"/>
        <w:rPr>
          <w:sz w:val="24"/>
          <w:szCs w:val="24"/>
        </w:rPr>
      </w:pPr>
      <w:r w:rsidRPr="000D3432">
        <w:rPr>
          <w:sz w:val="24"/>
          <w:szCs w:val="24"/>
        </w:rPr>
        <w:t>Aranceles</w:t>
      </w:r>
    </w:p>
    <w:p w14:paraId="15587939" w14:textId="77777777" w:rsidR="00FA0266" w:rsidRPr="000D3432" w:rsidRDefault="00FA0266" w:rsidP="009E6E2E">
      <w:pPr>
        <w:pStyle w:val="Prrafodelista"/>
        <w:numPr>
          <w:ilvl w:val="0"/>
          <w:numId w:val="8"/>
        </w:numPr>
        <w:spacing w:after="0" w:line="240" w:lineRule="auto"/>
        <w:contextualSpacing w:val="0"/>
        <w:rPr>
          <w:sz w:val="24"/>
          <w:szCs w:val="24"/>
        </w:rPr>
      </w:pPr>
      <w:r w:rsidRPr="000D3432">
        <w:rPr>
          <w:sz w:val="24"/>
          <w:szCs w:val="24"/>
        </w:rPr>
        <w:t>Tasas</w:t>
      </w:r>
    </w:p>
    <w:p w14:paraId="7E2F49F5" w14:textId="77777777" w:rsidR="00FA0266" w:rsidRPr="000D3432" w:rsidRDefault="00FA0266" w:rsidP="00A95498">
      <w:pPr>
        <w:rPr>
          <w:rFonts w:asciiTheme="minorHAnsi" w:hAnsiTheme="minorHAnsi"/>
          <w:szCs w:val="24"/>
        </w:rPr>
      </w:pPr>
    </w:p>
    <w:p w14:paraId="77353C6E" w14:textId="77777777" w:rsidR="00FA0266" w:rsidRPr="000D3432" w:rsidRDefault="00FA0266" w:rsidP="00A95498">
      <w:pPr>
        <w:rPr>
          <w:rFonts w:asciiTheme="minorHAnsi" w:hAnsiTheme="minorHAnsi"/>
          <w:szCs w:val="24"/>
        </w:rPr>
      </w:pPr>
      <w:r w:rsidRPr="000D3432">
        <w:rPr>
          <w:rFonts w:asciiTheme="minorHAnsi" w:hAnsiTheme="minorHAnsi"/>
          <w:szCs w:val="24"/>
        </w:rPr>
        <w:t>DECRETOS DE URGENCIA</w:t>
      </w:r>
    </w:p>
    <w:p w14:paraId="505C2EB0" w14:textId="77777777" w:rsidR="00FA0266" w:rsidRPr="000D3432" w:rsidRDefault="00FA0266" w:rsidP="00A95498">
      <w:pPr>
        <w:rPr>
          <w:rFonts w:asciiTheme="minorHAnsi" w:hAnsiTheme="minorHAnsi"/>
          <w:szCs w:val="24"/>
        </w:rPr>
      </w:pPr>
      <w:r w:rsidRPr="000D3432">
        <w:rPr>
          <w:rFonts w:asciiTheme="minorHAnsi" w:hAnsiTheme="minorHAnsi"/>
          <w:szCs w:val="24"/>
        </w:rPr>
        <w:t>(Poder Ejecutivo)</w:t>
      </w:r>
    </w:p>
    <w:p w14:paraId="7B77F0F9" w14:textId="77777777" w:rsidR="00FA0266" w:rsidRPr="000D3432" w:rsidRDefault="00FA0266" w:rsidP="00A95498">
      <w:pPr>
        <w:rPr>
          <w:rFonts w:asciiTheme="minorHAnsi" w:hAnsiTheme="minorHAnsi"/>
          <w:szCs w:val="24"/>
        </w:rPr>
      </w:pPr>
      <w:r w:rsidRPr="000D3432">
        <w:rPr>
          <w:rFonts w:asciiTheme="minorHAnsi" w:hAnsiTheme="minorHAnsi"/>
          <w:szCs w:val="24"/>
        </w:rPr>
        <w:t>No pueden contener materia tributaria</w:t>
      </w:r>
    </w:p>
    <w:p w14:paraId="436474E5" w14:textId="77777777" w:rsidR="00FA0266" w:rsidRPr="000D3432" w:rsidRDefault="00FA0266" w:rsidP="00A95498">
      <w:pPr>
        <w:rPr>
          <w:rFonts w:asciiTheme="minorHAnsi" w:hAnsiTheme="minorHAnsi"/>
          <w:szCs w:val="24"/>
        </w:rPr>
      </w:pPr>
    </w:p>
    <w:p w14:paraId="7FE55984" w14:textId="77777777" w:rsidR="00FA0266" w:rsidRPr="000D3432" w:rsidRDefault="00FA0266" w:rsidP="00A95498">
      <w:pPr>
        <w:rPr>
          <w:rFonts w:asciiTheme="minorHAnsi" w:hAnsiTheme="minorHAnsi"/>
          <w:szCs w:val="24"/>
        </w:rPr>
      </w:pPr>
    </w:p>
    <w:p w14:paraId="1CA8257A" w14:textId="77777777" w:rsidR="00FA0266" w:rsidRPr="000D3432" w:rsidRDefault="00FA0266" w:rsidP="00A95498">
      <w:pPr>
        <w:rPr>
          <w:rFonts w:asciiTheme="minorHAnsi" w:hAnsiTheme="minorHAnsi"/>
          <w:b/>
          <w:szCs w:val="24"/>
        </w:rPr>
      </w:pPr>
      <w:r w:rsidRPr="000D3432">
        <w:rPr>
          <w:rFonts w:asciiTheme="minorHAnsi" w:hAnsiTheme="minorHAnsi"/>
          <w:b/>
          <w:szCs w:val="24"/>
        </w:rPr>
        <w:t>ESQUEMA DEL TRIBUTO DEL GOBIERNO CENTRAL</w:t>
      </w:r>
    </w:p>
    <w:p w14:paraId="79B26AFF" w14:textId="77777777" w:rsidR="00FA0266" w:rsidRPr="000D3432" w:rsidRDefault="00FA0266" w:rsidP="00A95498">
      <w:pPr>
        <w:rPr>
          <w:rFonts w:asciiTheme="minorHAnsi" w:hAnsiTheme="minorHAnsi"/>
          <w:szCs w:val="24"/>
        </w:rPr>
      </w:pPr>
      <w:r w:rsidRPr="000D3432">
        <w:rPr>
          <w:rFonts w:asciiTheme="minorHAnsi" w:hAnsiTheme="minorHAnsi"/>
          <w:szCs w:val="24"/>
        </w:rPr>
        <w:t>El gobierno central tiene el siguiente esquema tributario:</w:t>
      </w:r>
    </w:p>
    <w:p w14:paraId="4CBFA2E2" w14:textId="77777777" w:rsidR="00FA0266" w:rsidRPr="000D3432" w:rsidRDefault="00FA0266" w:rsidP="00A95498">
      <w:pPr>
        <w:rPr>
          <w:rFonts w:asciiTheme="minorHAnsi" w:hAnsiTheme="minorHAnsi"/>
          <w:szCs w:val="24"/>
        </w:rPr>
      </w:pPr>
    </w:p>
    <w:p w14:paraId="6ED8A7D1"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TRIBUTO</w:t>
      </w:r>
    </w:p>
    <w:p w14:paraId="08AAF677"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IMPUESTO</w:t>
      </w:r>
    </w:p>
    <w:p w14:paraId="21BDD852"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Renta</w:t>
      </w:r>
    </w:p>
    <w:p w14:paraId="0B209843"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IGV</w:t>
      </w:r>
    </w:p>
    <w:p w14:paraId="7C7DE6FA"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ISC</w:t>
      </w:r>
    </w:p>
    <w:p w14:paraId="0512FE35" w14:textId="77777777" w:rsidR="00FA0266" w:rsidRPr="000D3432" w:rsidRDefault="00FA0266" w:rsidP="00A95498">
      <w:pPr>
        <w:rPr>
          <w:rFonts w:asciiTheme="minorHAnsi" w:hAnsiTheme="minorHAnsi"/>
          <w:szCs w:val="24"/>
        </w:rPr>
      </w:pPr>
    </w:p>
    <w:p w14:paraId="44AEF49F"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CONTRIBUCION</w:t>
      </w:r>
    </w:p>
    <w:p w14:paraId="06EB488A"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FONAVI</w:t>
      </w:r>
    </w:p>
    <w:p w14:paraId="0B4A8245"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SENCICO</w:t>
      </w:r>
    </w:p>
    <w:p w14:paraId="44744405"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SENATI</w:t>
      </w:r>
    </w:p>
    <w:p w14:paraId="3B623B13"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IPSS</w:t>
      </w:r>
    </w:p>
    <w:p w14:paraId="428117C7" w14:textId="77777777" w:rsidR="00FA0266" w:rsidRPr="000D3432" w:rsidRDefault="00FA0266" w:rsidP="00A95498">
      <w:pPr>
        <w:rPr>
          <w:rFonts w:asciiTheme="minorHAnsi" w:hAnsiTheme="minorHAnsi"/>
          <w:szCs w:val="24"/>
        </w:rPr>
      </w:pPr>
    </w:p>
    <w:p w14:paraId="6D79F8E5"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TASAS</w:t>
      </w:r>
    </w:p>
    <w:p w14:paraId="7B4E4D98"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Licencias</w:t>
      </w:r>
    </w:p>
    <w:p w14:paraId="0603A959"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Partidas</w:t>
      </w:r>
    </w:p>
    <w:p w14:paraId="558468D0" w14:textId="77777777" w:rsidR="00FA0266" w:rsidRPr="000D3432" w:rsidRDefault="00FA0266" w:rsidP="009E6E2E">
      <w:pPr>
        <w:pStyle w:val="Prrafodelista"/>
        <w:numPr>
          <w:ilvl w:val="0"/>
          <w:numId w:val="9"/>
        </w:numPr>
        <w:spacing w:after="0" w:line="240" w:lineRule="auto"/>
        <w:contextualSpacing w:val="0"/>
        <w:rPr>
          <w:sz w:val="24"/>
          <w:szCs w:val="24"/>
        </w:rPr>
      </w:pPr>
      <w:r w:rsidRPr="000D3432">
        <w:rPr>
          <w:sz w:val="24"/>
          <w:szCs w:val="24"/>
        </w:rPr>
        <w:t>Trámites S.P.N.</w:t>
      </w:r>
    </w:p>
    <w:p w14:paraId="53B5D737" w14:textId="77777777" w:rsidR="00FA0266" w:rsidRPr="000D3432" w:rsidRDefault="00FA0266" w:rsidP="00A95498">
      <w:pPr>
        <w:rPr>
          <w:rFonts w:asciiTheme="minorHAnsi" w:hAnsiTheme="minorHAnsi"/>
          <w:szCs w:val="24"/>
        </w:rPr>
      </w:pPr>
    </w:p>
    <w:p w14:paraId="020E4927" w14:textId="77777777" w:rsidR="00FA0266" w:rsidRPr="000D3432" w:rsidRDefault="00FA0266" w:rsidP="00A95498">
      <w:pPr>
        <w:rPr>
          <w:rFonts w:asciiTheme="minorHAnsi" w:hAnsiTheme="minorHAnsi"/>
          <w:szCs w:val="24"/>
        </w:rPr>
      </w:pPr>
      <w:r w:rsidRPr="000D3432">
        <w:rPr>
          <w:rFonts w:asciiTheme="minorHAnsi" w:hAnsiTheme="minorHAnsi"/>
          <w:szCs w:val="24"/>
        </w:rPr>
        <w:t>LEY MARCO DEL SISTEMA TRIBUTARIO NACIONAL</w:t>
      </w:r>
    </w:p>
    <w:p w14:paraId="79190D6B" w14:textId="77777777" w:rsidR="00FA0266" w:rsidRPr="000D3432" w:rsidRDefault="00FA0266" w:rsidP="00A95498">
      <w:pPr>
        <w:rPr>
          <w:rFonts w:asciiTheme="minorHAnsi" w:hAnsiTheme="minorHAnsi"/>
          <w:szCs w:val="24"/>
        </w:rPr>
      </w:pPr>
    </w:p>
    <w:p w14:paraId="5124C12D" w14:textId="77777777" w:rsidR="00FA0266" w:rsidRPr="000D3432" w:rsidRDefault="00FA0266" w:rsidP="00A95498">
      <w:pPr>
        <w:rPr>
          <w:rFonts w:asciiTheme="minorHAnsi" w:hAnsiTheme="minorHAnsi"/>
          <w:b/>
          <w:szCs w:val="24"/>
        </w:rPr>
      </w:pPr>
      <w:r w:rsidRPr="000D3432">
        <w:rPr>
          <w:rFonts w:asciiTheme="minorHAnsi" w:hAnsiTheme="minorHAnsi"/>
          <w:b/>
          <w:szCs w:val="24"/>
        </w:rPr>
        <w:t>SISTEMA TRIBUTARIO</w:t>
      </w:r>
    </w:p>
    <w:p w14:paraId="0A13BD22" w14:textId="77777777" w:rsidR="00FA0266" w:rsidRPr="000D3432" w:rsidRDefault="00FA0266" w:rsidP="00A95498">
      <w:pPr>
        <w:rPr>
          <w:rFonts w:asciiTheme="minorHAnsi" w:hAnsiTheme="minorHAnsi"/>
          <w:szCs w:val="24"/>
        </w:rPr>
      </w:pPr>
      <w:r w:rsidRPr="000D3432">
        <w:rPr>
          <w:rFonts w:asciiTheme="minorHAnsi" w:hAnsiTheme="minorHAnsi"/>
          <w:szCs w:val="24"/>
        </w:rPr>
        <w:t>Código Tributario</w:t>
      </w:r>
    </w:p>
    <w:p w14:paraId="324B7667" w14:textId="77777777" w:rsidR="00FA0266" w:rsidRPr="000D3432" w:rsidRDefault="00FA0266" w:rsidP="00A95498">
      <w:pPr>
        <w:rPr>
          <w:rFonts w:asciiTheme="minorHAnsi" w:hAnsiTheme="minorHAnsi"/>
          <w:szCs w:val="24"/>
        </w:rPr>
      </w:pPr>
    </w:p>
    <w:p w14:paraId="140A17FA" w14:textId="77777777" w:rsidR="00FA0266" w:rsidRPr="000D3432" w:rsidRDefault="00FA0266" w:rsidP="00A95498">
      <w:pPr>
        <w:rPr>
          <w:rFonts w:asciiTheme="minorHAnsi" w:hAnsiTheme="minorHAnsi"/>
          <w:szCs w:val="24"/>
        </w:rPr>
      </w:pPr>
      <w:r w:rsidRPr="000D3432">
        <w:rPr>
          <w:rFonts w:asciiTheme="minorHAnsi" w:hAnsiTheme="minorHAnsi"/>
          <w:szCs w:val="24"/>
        </w:rPr>
        <w:t xml:space="preserve">Gobiernos </w:t>
      </w:r>
    </w:p>
    <w:p w14:paraId="62467B07" w14:textId="77777777" w:rsidR="00FA0266" w:rsidRPr="000D3432" w:rsidRDefault="00FA0266" w:rsidP="00A95498">
      <w:pPr>
        <w:rPr>
          <w:rFonts w:asciiTheme="minorHAnsi" w:hAnsiTheme="minorHAnsi"/>
          <w:szCs w:val="24"/>
        </w:rPr>
      </w:pPr>
      <w:r w:rsidRPr="000D3432">
        <w:rPr>
          <w:rFonts w:asciiTheme="minorHAnsi" w:hAnsiTheme="minorHAnsi"/>
          <w:szCs w:val="24"/>
        </w:rPr>
        <w:t>Locales</w:t>
      </w:r>
    </w:p>
    <w:p w14:paraId="44EAB800" w14:textId="77777777" w:rsidR="00FA0266" w:rsidRPr="000D3432" w:rsidRDefault="00FA0266" w:rsidP="00A95498">
      <w:pPr>
        <w:rPr>
          <w:rFonts w:asciiTheme="minorHAnsi" w:hAnsiTheme="minorHAnsi"/>
          <w:szCs w:val="24"/>
        </w:rPr>
      </w:pPr>
      <w:r w:rsidRPr="000D3432">
        <w:rPr>
          <w:rFonts w:asciiTheme="minorHAnsi" w:hAnsiTheme="minorHAnsi"/>
          <w:szCs w:val="24"/>
        </w:rPr>
        <w:t>Gobierno Central</w:t>
      </w:r>
    </w:p>
    <w:p w14:paraId="7BA1A686" w14:textId="77777777" w:rsidR="00FA0266" w:rsidRPr="000D3432" w:rsidRDefault="00FA0266" w:rsidP="00A95498">
      <w:pPr>
        <w:rPr>
          <w:rFonts w:asciiTheme="minorHAnsi" w:hAnsiTheme="minorHAnsi"/>
          <w:szCs w:val="24"/>
        </w:rPr>
      </w:pPr>
      <w:r w:rsidRPr="000D3432">
        <w:rPr>
          <w:rFonts w:asciiTheme="minorHAnsi" w:hAnsiTheme="minorHAnsi"/>
          <w:szCs w:val="24"/>
        </w:rPr>
        <w:t>Contribuciones Especiales</w:t>
      </w:r>
    </w:p>
    <w:p w14:paraId="037E4A4F" w14:textId="77777777" w:rsidR="00FA0266" w:rsidRPr="000D3432" w:rsidRDefault="00FA0266" w:rsidP="00A95498">
      <w:pPr>
        <w:rPr>
          <w:rFonts w:asciiTheme="minorHAnsi" w:hAnsiTheme="minorHAnsi"/>
          <w:szCs w:val="24"/>
        </w:rPr>
      </w:pPr>
    </w:p>
    <w:p w14:paraId="1EF57445" w14:textId="77777777" w:rsidR="00FA0266" w:rsidRPr="000D3432" w:rsidRDefault="00FA0266" w:rsidP="00A95498">
      <w:pPr>
        <w:rPr>
          <w:rFonts w:asciiTheme="minorHAnsi" w:hAnsiTheme="minorHAnsi"/>
          <w:b/>
          <w:szCs w:val="24"/>
        </w:rPr>
      </w:pPr>
      <w:r w:rsidRPr="000D3432">
        <w:rPr>
          <w:rFonts w:asciiTheme="minorHAnsi" w:hAnsiTheme="minorHAnsi"/>
          <w:b/>
          <w:szCs w:val="24"/>
        </w:rPr>
        <w:t>GOBIERNO CENTRAL</w:t>
      </w:r>
    </w:p>
    <w:p w14:paraId="497A3E0D" w14:textId="77777777" w:rsidR="00FA0266" w:rsidRPr="000D3432" w:rsidRDefault="00FA0266" w:rsidP="00A95498">
      <w:pPr>
        <w:rPr>
          <w:rFonts w:asciiTheme="minorHAnsi" w:hAnsiTheme="minorHAnsi"/>
          <w:b/>
          <w:szCs w:val="24"/>
        </w:rPr>
      </w:pPr>
      <w:r w:rsidRPr="000D3432">
        <w:rPr>
          <w:rFonts w:asciiTheme="minorHAnsi" w:hAnsiTheme="minorHAnsi"/>
          <w:b/>
          <w:szCs w:val="24"/>
        </w:rPr>
        <w:t>(TRIBUTOS)</w:t>
      </w:r>
    </w:p>
    <w:p w14:paraId="71AB6165" w14:textId="77777777" w:rsidR="00FA0266" w:rsidRPr="000D3432" w:rsidRDefault="00FA0266" w:rsidP="00A95498">
      <w:pPr>
        <w:rPr>
          <w:rFonts w:asciiTheme="minorHAnsi" w:hAnsiTheme="minorHAnsi"/>
          <w:szCs w:val="24"/>
        </w:rPr>
      </w:pPr>
    </w:p>
    <w:p w14:paraId="56C45660"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 la Renta</w:t>
      </w:r>
    </w:p>
    <w:p w14:paraId="4532964A" w14:textId="77777777" w:rsidR="00FA0266" w:rsidRPr="000D3432" w:rsidRDefault="00FA0266" w:rsidP="00A95498">
      <w:pPr>
        <w:rPr>
          <w:rFonts w:asciiTheme="minorHAnsi" w:hAnsiTheme="minorHAnsi"/>
          <w:szCs w:val="24"/>
        </w:rPr>
      </w:pPr>
      <w:r w:rsidRPr="000D3432">
        <w:rPr>
          <w:rFonts w:asciiTheme="minorHAnsi" w:hAnsiTheme="minorHAnsi"/>
          <w:szCs w:val="24"/>
        </w:rPr>
        <w:t>Impuesto General a las Ventas</w:t>
      </w:r>
    </w:p>
    <w:p w14:paraId="40BC6090" w14:textId="77777777" w:rsidR="00FA0266" w:rsidRPr="000D3432" w:rsidRDefault="00FA0266" w:rsidP="00A95498">
      <w:pPr>
        <w:rPr>
          <w:rFonts w:asciiTheme="minorHAnsi" w:hAnsiTheme="minorHAnsi"/>
          <w:szCs w:val="24"/>
        </w:rPr>
      </w:pPr>
      <w:r w:rsidRPr="000D3432">
        <w:rPr>
          <w:rFonts w:asciiTheme="minorHAnsi" w:hAnsiTheme="minorHAnsi"/>
          <w:szCs w:val="24"/>
        </w:rPr>
        <w:t>Impuesto Selectivo al Consumo</w:t>
      </w:r>
    </w:p>
    <w:p w14:paraId="15D13953" w14:textId="77777777" w:rsidR="00FA0266" w:rsidRPr="000D3432" w:rsidRDefault="00FA0266" w:rsidP="00A95498">
      <w:pPr>
        <w:rPr>
          <w:rFonts w:asciiTheme="minorHAnsi" w:hAnsiTheme="minorHAnsi"/>
          <w:szCs w:val="24"/>
        </w:rPr>
      </w:pPr>
      <w:r w:rsidRPr="000D3432">
        <w:rPr>
          <w:rFonts w:asciiTheme="minorHAnsi" w:hAnsiTheme="minorHAnsi"/>
          <w:szCs w:val="24"/>
        </w:rPr>
        <w:t>Registro Unico Simplificado RUS</w:t>
      </w:r>
    </w:p>
    <w:p w14:paraId="1690E3CC" w14:textId="77777777" w:rsidR="00FA0266" w:rsidRPr="000D3432" w:rsidRDefault="00FA0266" w:rsidP="00A95498">
      <w:pPr>
        <w:rPr>
          <w:rFonts w:asciiTheme="minorHAnsi" w:hAnsiTheme="minorHAnsi"/>
          <w:szCs w:val="24"/>
        </w:rPr>
      </w:pPr>
      <w:r w:rsidRPr="000D3432">
        <w:rPr>
          <w:rFonts w:asciiTheme="minorHAnsi" w:hAnsiTheme="minorHAnsi"/>
          <w:szCs w:val="24"/>
        </w:rPr>
        <w:t>Derechos Arancelarios</w:t>
      </w:r>
    </w:p>
    <w:p w14:paraId="4F7FB6E4" w14:textId="77777777" w:rsidR="00FA0266" w:rsidRPr="000D3432" w:rsidRDefault="00FA0266" w:rsidP="00A95498">
      <w:pPr>
        <w:rPr>
          <w:rFonts w:asciiTheme="minorHAnsi" w:hAnsiTheme="minorHAnsi"/>
          <w:szCs w:val="24"/>
        </w:rPr>
      </w:pPr>
      <w:r w:rsidRPr="000D3432">
        <w:rPr>
          <w:rFonts w:asciiTheme="minorHAnsi" w:hAnsiTheme="minorHAnsi"/>
          <w:szCs w:val="24"/>
        </w:rPr>
        <w:t>Tasas por Servicios Públicos</w:t>
      </w:r>
    </w:p>
    <w:p w14:paraId="719821FD"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 los Casinos de Juego</w:t>
      </w:r>
    </w:p>
    <w:p w14:paraId="745CECF4" w14:textId="77777777" w:rsidR="00FA0266" w:rsidRPr="000D3432" w:rsidRDefault="00FA0266" w:rsidP="00A95498">
      <w:pPr>
        <w:rPr>
          <w:rFonts w:asciiTheme="minorHAnsi" w:hAnsiTheme="minorHAnsi"/>
          <w:szCs w:val="24"/>
        </w:rPr>
      </w:pPr>
    </w:p>
    <w:p w14:paraId="2BFB4B32" w14:textId="77777777" w:rsidR="00FA0266" w:rsidRPr="000D3432" w:rsidRDefault="00FA0266" w:rsidP="00A95498">
      <w:pPr>
        <w:rPr>
          <w:rFonts w:asciiTheme="minorHAnsi" w:hAnsiTheme="minorHAnsi"/>
          <w:szCs w:val="24"/>
        </w:rPr>
      </w:pPr>
    </w:p>
    <w:p w14:paraId="62808F0F" w14:textId="77777777" w:rsidR="00FA0266" w:rsidRPr="000D3432" w:rsidRDefault="00FA0266" w:rsidP="00A95498">
      <w:pPr>
        <w:rPr>
          <w:rFonts w:asciiTheme="minorHAnsi" w:hAnsiTheme="minorHAnsi"/>
          <w:b/>
          <w:szCs w:val="24"/>
        </w:rPr>
      </w:pPr>
      <w:r w:rsidRPr="000D3432">
        <w:rPr>
          <w:rFonts w:asciiTheme="minorHAnsi" w:hAnsiTheme="minorHAnsi"/>
          <w:b/>
          <w:szCs w:val="24"/>
        </w:rPr>
        <w:t>GOBIERNOS LOCALES</w:t>
      </w:r>
    </w:p>
    <w:p w14:paraId="78FD20BE" w14:textId="77777777" w:rsidR="00FA0266" w:rsidRPr="000D3432" w:rsidRDefault="00FA0266" w:rsidP="00A95498">
      <w:pPr>
        <w:rPr>
          <w:rFonts w:asciiTheme="minorHAnsi" w:hAnsiTheme="minorHAnsi"/>
          <w:b/>
          <w:szCs w:val="24"/>
        </w:rPr>
      </w:pPr>
      <w:r w:rsidRPr="000D3432">
        <w:rPr>
          <w:rFonts w:asciiTheme="minorHAnsi" w:hAnsiTheme="minorHAnsi"/>
          <w:b/>
          <w:szCs w:val="24"/>
        </w:rPr>
        <w:t>TRIBUTOS</w:t>
      </w:r>
    </w:p>
    <w:p w14:paraId="21DE0140" w14:textId="77777777" w:rsidR="00FA0266" w:rsidRPr="000D3432" w:rsidRDefault="00FA0266" w:rsidP="00A95498">
      <w:pPr>
        <w:rPr>
          <w:rFonts w:asciiTheme="minorHAnsi" w:hAnsiTheme="minorHAnsi"/>
          <w:b/>
          <w:szCs w:val="24"/>
        </w:rPr>
      </w:pPr>
      <w:r w:rsidRPr="000D3432">
        <w:rPr>
          <w:rFonts w:asciiTheme="minorHAnsi" w:hAnsiTheme="minorHAnsi"/>
          <w:b/>
          <w:szCs w:val="24"/>
        </w:rPr>
        <w:t>(D. Leg. 776)</w:t>
      </w:r>
    </w:p>
    <w:p w14:paraId="5CE2C133" w14:textId="77777777" w:rsidR="00FA0266" w:rsidRPr="000D3432" w:rsidRDefault="00FA0266" w:rsidP="00A95498">
      <w:pPr>
        <w:rPr>
          <w:rFonts w:asciiTheme="minorHAnsi" w:hAnsiTheme="minorHAnsi"/>
          <w:szCs w:val="24"/>
        </w:rPr>
      </w:pPr>
    </w:p>
    <w:p w14:paraId="021AB047" w14:textId="77777777" w:rsidR="00FA0266" w:rsidRPr="000D3432" w:rsidRDefault="00FA0266" w:rsidP="00A95498">
      <w:pPr>
        <w:rPr>
          <w:rFonts w:asciiTheme="minorHAnsi" w:hAnsiTheme="minorHAnsi"/>
          <w:szCs w:val="24"/>
        </w:rPr>
      </w:pPr>
      <w:r w:rsidRPr="000D3432">
        <w:rPr>
          <w:rFonts w:asciiTheme="minorHAnsi" w:hAnsiTheme="minorHAnsi"/>
          <w:szCs w:val="24"/>
        </w:rPr>
        <w:t>Impuestos Municipales</w:t>
      </w:r>
    </w:p>
    <w:p w14:paraId="54E932BD" w14:textId="77777777" w:rsidR="00FA0266" w:rsidRPr="000D3432" w:rsidRDefault="00FA0266" w:rsidP="00A95498">
      <w:pPr>
        <w:rPr>
          <w:rFonts w:asciiTheme="minorHAnsi" w:hAnsiTheme="minorHAnsi"/>
          <w:szCs w:val="24"/>
        </w:rPr>
      </w:pPr>
    </w:p>
    <w:p w14:paraId="114C572E" w14:textId="77777777" w:rsidR="00FA0266" w:rsidRPr="000D3432" w:rsidRDefault="00FA0266" w:rsidP="00A95498">
      <w:pPr>
        <w:rPr>
          <w:rFonts w:asciiTheme="minorHAnsi" w:hAnsiTheme="minorHAnsi"/>
          <w:szCs w:val="24"/>
        </w:rPr>
      </w:pPr>
      <w:r w:rsidRPr="000D3432">
        <w:rPr>
          <w:rFonts w:asciiTheme="minorHAnsi" w:hAnsiTheme="minorHAnsi"/>
          <w:szCs w:val="24"/>
        </w:rPr>
        <w:t>Impuesto Predial</w:t>
      </w:r>
    </w:p>
    <w:p w14:paraId="38B93403" w14:textId="77777777" w:rsidR="00FA0266" w:rsidRPr="000D3432" w:rsidRDefault="00FA0266" w:rsidP="00A95498">
      <w:pPr>
        <w:rPr>
          <w:rFonts w:asciiTheme="minorHAnsi" w:hAnsiTheme="minorHAnsi"/>
          <w:szCs w:val="24"/>
        </w:rPr>
      </w:pPr>
      <w:r w:rsidRPr="000D3432">
        <w:rPr>
          <w:rFonts w:asciiTheme="minorHAnsi" w:hAnsiTheme="minorHAnsi"/>
          <w:szCs w:val="24"/>
        </w:rPr>
        <w:t>Impuesto de Alcabala</w:t>
      </w:r>
    </w:p>
    <w:p w14:paraId="340D28B0" w14:textId="77777777" w:rsidR="00FA0266" w:rsidRPr="000D3432" w:rsidRDefault="00FA0266" w:rsidP="00A95498">
      <w:pPr>
        <w:rPr>
          <w:rFonts w:asciiTheme="minorHAnsi" w:hAnsiTheme="minorHAnsi"/>
          <w:szCs w:val="24"/>
        </w:rPr>
      </w:pPr>
      <w:r w:rsidRPr="000D3432">
        <w:rPr>
          <w:rFonts w:asciiTheme="minorHAnsi" w:hAnsiTheme="minorHAnsi"/>
          <w:szCs w:val="24"/>
        </w:rPr>
        <w:t>Impuesto Patromonio Automotriz</w:t>
      </w:r>
    </w:p>
    <w:p w14:paraId="77DEBA5B"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 las Apuestas</w:t>
      </w:r>
    </w:p>
    <w:p w14:paraId="36A02DC5"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 los juegos</w:t>
      </w:r>
    </w:p>
    <w:p w14:paraId="3A08AA05"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 los Espectáculos Públicos</w:t>
      </w:r>
    </w:p>
    <w:p w14:paraId="796F5848" w14:textId="77777777" w:rsidR="00FA0266" w:rsidRPr="000D3432" w:rsidRDefault="00FA0266" w:rsidP="00A95498">
      <w:pPr>
        <w:rPr>
          <w:rFonts w:asciiTheme="minorHAnsi" w:hAnsiTheme="minorHAnsi"/>
          <w:szCs w:val="24"/>
        </w:rPr>
      </w:pPr>
    </w:p>
    <w:p w14:paraId="3F9AB386" w14:textId="77777777" w:rsidR="00FA0266" w:rsidRPr="000D3432" w:rsidRDefault="00FA0266" w:rsidP="00A95498">
      <w:pPr>
        <w:rPr>
          <w:rFonts w:asciiTheme="minorHAnsi" w:hAnsiTheme="minorHAnsi"/>
          <w:b/>
          <w:szCs w:val="24"/>
        </w:rPr>
      </w:pPr>
      <w:r w:rsidRPr="000D3432">
        <w:rPr>
          <w:rFonts w:asciiTheme="minorHAnsi" w:hAnsiTheme="minorHAnsi"/>
          <w:b/>
          <w:szCs w:val="24"/>
        </w:rPr>
        <w:t>IMPUESTOS NACIONALES</w:t>
      </w:r>
    </w:p>
    <w:p w14:paraId="2CE5EEC7" w14:textId="77777777" w:rsidR="00FA0266" w:rsidRPr="000D3432" w:rsidRDefault="00FA0266" w:rsidP="00A95498">
      <w:pPr>
        <w:rPr>
          <w:rFonts w:asciiTheme="minorHAnsi" w:hAnsiTheme="minorHAnsi"/>
          <w:szCs w:val="24"/>
        </w:rPr>
      </w:pPr>
      <w:r w:rsidRPr="000D3432">
        <w:rPr>
          <w:rFonts w:asciiTheme="minorHAnsi" w:hAnsiTheme="minorHAnsi"/>
          <w:szCs w:val="24"/>
        </w:rPr>
        <w:t>Impuesto Promoción Municipal</w:t>
      </w:r>
    </w:p>
    <w:p w14:paraId="0C060CA2"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al Rodaje</w:t>
      </w:r>
    </w:p>
    <w:p w14:paraId="5F1F4923" w14:textId="77777777" w:rsidR="00FA0266" w:rsidRPr="000D3432" w:rsidRDefault="00FA0266" w:rsidP="00A95498">
      <w:pPr>
        <w:rPr>
          <w:rFonts w:asciiTheme="minorHAnsi" w:hAnsiTheme="minorHAnsi"/>
          <w:szCs w:val="24"/>
        </w:rPr>
      </w:pPr>
      <w:r w:rsidRPr="000D3432">
        <w:rPr>
          <w:rFonts w:asciiTheme="minorHAnsi" w:hAnsiTheme="minorHAnsi"/>
          <w:szCs w:val="24"/>
        </w:rPr>
        <w:t>Impuesto a las Embarcaciones</w:t>
      </w:r>
    </w:p>
    <w:p w14:paraId="4E45BCF3" w14:textId="77777777" w:rsidR="00FA0266" w:rsidRPr="000D3432" w:rsidRDefault="00FA0266" w:rsidP="00A95498">
      <w:pPr>
        <w:rPr>
          <w:rFonts w:asciiTheme="minorHAnsi" w:hAnsiTheme="minorHAnsi"/>
          <w:szCs w:val="24"/>
        </w:rPr>
      </w:pPr>
      <w:r w:rsidRPr="000D3432">
        <w:rPr>
          <w:rFonts w:asciiTheme="minorHAnsi" w:hAnsiTheme="minorHAnsi"/>
          <w:szCs w:val="24"/>
        </w:rPr>
        <w:t>Renta Aduana (Participación)</w:t>
      </w:r>
    </w:p>
    <w:p w14:paraId="646E8C11" w14:textId="77777777" w:rsidR="00FA0266" w:rsidRPr="000D3432" w:rsidRDefault="00FA0266" w:rsidP="00A95498">
      <w:pPr>
        <w:rPr>
          <w:rFonts w:asciiTheme="minorHAnsi" w:hAnsiTheme="minorHAnsi"/>
          <w:szCs w:val="24"/>
        </w:rPr>
      </w:pPr>
    </w:p>
    <w:p w14:paraId="0000678F" w14:textId="77777777" w:rsidR="00FA0266" w:rsidRPr="000D3432" w:rsidRDefault="00FA0266" w:rsidP="00A95498">
      <w:pPr>
        <w:rPr>
          <w:rFonts w:asciiTheme="minorHAnsi" w:hAnsiTheme="minorHAnsi"/>
          <w:b/>
          <w:szCs w:val="24"/>
        </w:rPr>
      </w:pPr>
      <w:r w:rsidRPr="000D3432">
        <w:rPr>
          <w:rFonts w:asciiTheme="minorHAnsi" w:hAnsiTheme="minorHAnsi"/>
          <w:b/>
          <w:szCs w:val="24"/>
        </w:rPr>
        <w:t>TASAS</w:t>
      </w:r>
    </w:p>
    <w:p w14:paraId="2A918456" w14:textId="77777777" w:rsidR="00FA0266" w:rsidRPr="000D3432" w:rsidRDefault="00FA0266" w:rsidP="00A95498">
      <w:pPr>
        <w:rPr>
          <w:rFonts w:asciiTheme="minorHAnsi" w:hAnsiTheme="minorHAnsi"/>
          <w:szCs w:val="24"/>
        </w:rPr>
      </w:pPr>
      <w:r w:rsidRPr="000D3432">
        <w:rPr>
          <w:rFonts w:asciiTheme="minorHAnsi" w:hAnsiTheme="minorHAnsi"/>
          <w:szCs w:val="24"/>
        </w:rPr>
        <w:t>Licencia de Funcionamiento</w:t>
      </w:r>
    </w:p>
    <w:p w14:paraId="2B8E913D" w14:textId="77777777" w:rsidR="00FA0266" w:rsidRPr="000D3432" w:rsidRDefault="00FA0266" w:rsidP="00A95498">
      <w:pPr>
        <w:rPr>
          <w:rFonts w:asciiTheme="minorHAnsi" w:hAnsiTheme="minorHAnsi"/>
          <w:szCs w:val="24"/>
        </w:rPr>
      </w:pPr>
      <w:r w:rsidRPr="000D3432">
        <w:rPr>
          <w:rFonts w:asciiTheme="minorHAnsi" w:hAnsiTheme="minorHAnsi"/>
          <w:szCs w:val="24"/>
        </w:rPr>
        <w:t>Arbitrios</w:t>
      </w:r>
    </w:p>
    <w:p w14:paraId="1766A90E" w14:textId="77777777" w:rsidR="00FA0266" w:rsidRPr="000D3432" w:rsidRDefault="00FA0266" w:rsidP="00A95498">
      <w:pPr>
        <w:rPr>
          <w:rFonts w:asciiTheme="minorHAnsi" w:hAnsiTheme="minorHAnsi"/>
          <w:szCs w:val="24"/>
        </w:rPr>
      </w:pPr>
      <w:r w:rsidRPr="000D3432">
        <w:rPr>
          <w:rFonts w:asciiTheme="minorHAnsi" w:hAnsiTheme="minorHAnsi"/>
          <w:szCs w:val="24"/>
        </w:rPr>
        <w:t>Estacionamiento de Vehículos</w:t>
      </w:r>
    </w:p>
    <w:p w14:paraId="58703408" w14:textId="77777777" w:rsidR="00FA0266" w:rsidRPr="000D3432" w:rsidRDefault="00FA0266" w:rsidP="00A95498">
      <w:pPr>
        <w:rPr>
          <w:rFonts w:asciiTheme="minorHAnsi" w:hAnsiTheme="minorHAnsi"/>
          <w:szCs w:val="24"/>
        </w:rPr>
      </w:pPr>
      <w:r w:rsidRPr="000D3432">
        <w:rPr>
          <w:rFonts w:asciiTheme="minorHAnsi" w:hAnsiTheme="minorHAnsi"/>
          <w:szCs w:val="24"/>
        </w:rPr>
        <w:t>Derecho de Servicios</w:t>
      </w:r>
    </w:p>
    <w:p w14:paraId="63890EB7" w14:textId="77777777" w:rsidR="00FA0266" w:rsidRPr="000D3432" w:rsidRDefault="00FA0266" w:rsidP="00A95498">
      <w:pPr>
        <w:rPr>
          <w:rFonts w:asciiTheme="minorHAnsi" w:hAnsiTheme="minorHAnsi"/>
          <w:szCs w:val="24"/>
        </w:rPr>
      </w:pPr>
      <w:r w:rsidRPr="000D3432">
        <w:rPr>
          <w:rFonts w:asciiTheme="minorHAnsi" w:hAnsiTheme="minorHAnsi"/>
          <w:szCs w:val="24"/>
        </w:rPr>
        <w:t>Otras Licencias</w:t>
      </w:r>
    </w:p>
    <w:p w14:paraId="1C066D55" w14:textId="77777777" w:rsidR="00FA0266" w:rsidRPr="000D3432" w:rsidRDefault="00FA0266" w:rsidP="00A95498">
      <w:pPr>
        <w:rPr>
          <w:rFonts w:asciiTheme="minorHAnsi" w:hAnsiTheme="minorHAnsi"/>
          <w:szCs w:val="24"/>
        </w:rPr>
      </w:pPr>
    </w:p>
    <w:p w14:paraId="3D9D0A1B" w14:textId="77777777" w:rsidR="00FA0266" w:rsidRPr="000D3432" w:rsidRDefault="00FA0266" w:rsidP="00A95498">
      <w:pPr>
        <w:rPr>
          <w:rFonts w:asciiTheme="minorHAnsi" w:hAnsiTheme="minorHAnsi"/>
          <w:b/>
          <w:szCs w:val="24"/>
        </w:rPr>
      </w:pPr>
      <w:r w:rsidRPr="000D3432">
        <w:rPr>
          <w:rFonts w:asciiTheme="minorHAnsi" w:hAnsiTheme="minorHAnsi"/>
          <w:b/>
          <w:szCs w:val="24"/>
        </w:rPr>
        <w:t>CONTRIBUCIONES</w:t>
      </w:r>
    </w:p>
    <w:p w14:paraId="4C997870" w14:textId="77777777" w:rsidR="00FA0266" w:rsidRPr="000D3432" w:rsidRDefault="00FA0266" w:rsidP="00A95498">
      <w:pPr>
        <w:rPr>
          <w:rFonts w:asciiTheme="minorHAnsi" w:hAnsiTheme="minorHAnsi"/>
          <w:szCs w:val="24"/>
        </w:rPr>
      </w:pPr>
      <w:r w:rsidRPr="000D3432">
        <w:rPr>
          <w:rFonts w:asciiTheme="minorHAnsi" w:hAnsiTheme="minorHAnsi"/>
          <w:szCs w:val="24"/>
        </w:rPr>
        <w:lastRenderedPageBreak/>
        <w:t>Obras Públicas</w:t>
      </w:r>
    </w:p>
    <w:p w14:paraId="36AE373B" w14:textId="77777777" w:rsidR="00FA0266" w:rsidRPr="000D3432" w:rsidRDefault="00FA0266" w:rsidP="00A95498">
      <w:pPr>
        <w:rPr>
          <w:rFonts w:asciiTheme="minorHAnsi" w:hAnsiTheme="minorHAnsi"/>
          <w:szCs w:val="24"/>
        </w:rPr>
      </w:pPr>
    </w:p>
    <w:p w14:paraId="5489A467" w14:textId="77777777" w:rsidR="00FA0266" w:rsidRPr="000D3432" w:rsidRDefault="00FA0266" w:rsidP="00A95498">
      <w:pPr>
        <w:rPr>
          <w:rFonts w:asciiTheme="minorHAnsi" w:hAnsiTheme="minorHAnsi"/>
          <w:szCs w:val="24"/>
        </w:rPr>
      </w:pPr>
    </w:p>
    <w:p w14:paraId="3F74F8AE" w14:textId="77777777" w:rsidR="00FA0266" w:rsidRPr="000D3432" w:rsidRDefault="00FA0266" w:rsidP="00A95498">
      <w:pPr>
        <w:rPr>
          <w:rFonts w:asciiTheme="minorHAnsi" w:hAnsiTheme="minorHAnsi"/>
          <w:b/>
          <w:szCs w:val="24"/>
        </w:rPr>
      </w:pPr>
      <w:r w:rsidRPr="000D3432">
        <w:rPr>
          <w:rFonts w:asciiTheme="minorHAnsi" w:hAnsiTheme="minorHAnsi"/>
          <w:b/>
          <w:szCs w:val="24"/>
        </w:rPr>
        <w:t>CONTRIBUCIONES ESPECIALES</w:t>
      </w:r>
    </w:p>
    <w:p w14:paraId="05750F52" w14:textId="77777777" w:rsidR="00FA0266" w:rsidRPr="000D3432" w:rsidRDefault="00FA0266" w:rsidP="00A95498">
      <w:pPr>
        <w:rPr>
          <w:rFonts w:asciiTheme="minorHAnsi" w:hAnsiTheme="minorHAnsi"/>
          <w:szCs w:val="24"/>
        </w:rPr>
      </w:pPr>
      <w:r w:rsidRPr="000D3432">
        <w:rPr>
          <w:rFonts w:asciiTheme="minorHAnsi" w:hAnsiTheme="minorHAnsi"/>
          <w:szCs w:val="24"/>
        </w:rPr>
        <w:t>- IPSS</w:t>
      </w:r>
    </w:p>
    <w:p w14:paraId="76D963AD" w14:textId="77777777" w:rsidR="00FA0266" w:rsidRPr="000D3432" w:rsidRDefault="00FA0266" w:rsidP="00A95498">
      <w:pPr>
        <w:rPr>
          <w:rFonts w:asciiTheme="minorHAnsi" w:hAnsiTheme="minorHAnsi"/>
          <w:szCs w:val="24"/>
        </w:rPr>
      </w:pPr>
      <w:r w:rsidRPr="000D3432">
        <w:rPr>
          <w:rFonts w:asciiTheme="minorHAnsi" w:hAnsiTheme="minorHAnsi"/>
          <w:szCs w:val="24"/>
        </w:rPr>
        <w:t>- FONAVI</w:t>
      </w:r>
    </w:p>
    <w:p w14:paraId="0CD1C81B" w14:textId="77777777" w:rsidR="00FA0266" w:rsidRPr="000D3432" w:rsidRDefault="00FA0266" w:rsidP="00A95498">
      <w:pPr>
        <w:rPr>
          <w:rFonts w:asciiTheme="minorHAnsi" w:hAnsiTheme="minorHAnsi"/>
          <w:szCs w:val="24"/>
        </w:rPr>
      </w:pPr>
      <w:r w:rsidRPr="000D3432">
        <w:rPr>
          <w:rFonts w:asciiTheme="minorHAnsi" w:hAnsiTheme="minorHAnsi"/>
          <w:szCs w:val="24"/>
        </w:rPr>
        <w:t>- SENATI</w:t>
      </w:r>
    </w:p>
    <w:p w14:paraId="66F668C8" w14:textId="77777777" w:rsidR="00FA0266" w:rsidRPr="000D3432" w:rsidRDefault="00FA0266" w:rsidP="00A95498">
      <w:pPr>
        <w:rPr>
          <w:rFonts w:asciiTheme="minorHAnsi" w:hAnsiTheme="minorHAnsi"/>
          <w:szCs w:val="24"/>
        </w:rPr>
      </w:pPr>
      <w:r w:rsidRPr="000D3432">
        <w:rPr>
          <w:rFonts w:asciiTheme="minorHAnsi" w:hAnsiTheme="minorHAnsi"/>
          <w:szCs w:val="24"/>
        </w:rPr>
        <w:t>- SENCICO</w:t>
      </w:r>
    </w:p>
    <w:p w14:paraId="161EAA9C" w14:textId="77777777" w:rsidR="00FA0266" w:rsidRPr="000D3432" w:rsidRDefault="00FA0266" w:rsidP="00A95498">
      <w:pPr>
        <w:rPr>
          <w:rFonts w:asciiTheme="minorHAnsi" w:hAnsiTheme="minorHAnsi"/>
          <w:szCs w:val="24"/>
        </w:rPr>
      </w:pPr>
    </w:p>
    <w:p w14:paraId="3183D001" w14:textId="77777777" w:rsidR="00FA0266" w:rsidRPr="000D3432" w:rsidRDefault="00FA0266" w:rsidP="00A95498">
      <w:pPr>
        <w:rPr>
          <w:rFonts w:asciiTheme="minorHAnsi" w:hAnsiTheme="minorHAnsi"/>
          <w:szCs w:val="24"/>
        </w:rPr>
      </w:pPr>
    </w:p>
    <w:p w14:paraId="28CF8C15" w14:textId="77777777" w:rsidR="00FA0266" w:rsidRPr="000D3432" w:rsidRDefault="00FA0266" w:rsidP="00A95498">
      <w:pPr>
        <w:rPr>
          <w:rFonts w:asciiTheme="minorHAnsi" w:hAnsiTheme="minorHAnsi"/>
          <w:szCs w:val="24"/>
        </w:rPr>
      </w:pPr>
      <w:r w:rsidRPr="000D3432">
        <w:rPr>
          <w:rFonts w:asciiTheme="minorHAnsi" w:hAnsiTheme="minorHAnsi"/>
          <w:szCs w:val="24"/>
        </w:rPr>
        <w:t>SISTEMA TRIBUTARIO NACIONAL</w:t>
      </w:r>
    </w:p>
    <w:p w14:paraId="3D3DD3AD" w14:textId="77777777" w:rsidR="00FA0266" w:rsidRPr="000D3432" w:rsidRDefault="00FA0266" w:rsidP="00A95498">
      <w:pPr>
        <w:rPr>
          <w:rFonts w:asciiTheme="minorHAnsi" w:hAnsiTheme="minorHAnsi"/>
          <w:szCs w:val="24"/>
        </w:rPr>
      </w:pPr>
    </w:p>
    <w:p w14:paraId="07EE69B8" w14:textId="77777777" w:rsidR="00FA0266" w:rsidRPr="000D3432" w:rsidRDefault="00FA0266" w:rsidP="00A95498">
      <w:pPr>
        <w:rPr>
          <w:rFonts w:asciiTheme="minorHAnsi" w:hAnsiTheme="minorHAnsi"/>
          <w:szCs w:val="24"/>
        </w:rPr>
      </w:pPr>
      <w:r w:rsidRPr="000D3432">
        <w:rPr>
          <w:rFonts w:asciiTheme="minorHAnsi" w:hAnsiTheme="minorHAnsi"/>
          <w:szCs w:val="24"/>
        </w:rPr>
        <w:t>SISTEMA TRIBUTARIO NACIONAL</w:t>
      </w:r>
    </w:p>
    <w:p w14:paraId="605A7176" w14:textId="77777777" w:rsidR="00FA0266" w:rsidRPr="000D3432" w:rsidRDefault="00FA0266" w:rsidP="00A95498">
      <w:pPr>
        <w:rPr>
          <w:rFonts w:asciiTheme="minorHAnsi" w:hAnsiTheme="minorHAnsi"/>
          <w:szCs w:val="24"/>
        </w:rPr>
      </w:pPr>
      <w:r w:rsidRPr="000D3432">
        <w:rPr>
          <w:rFonts w:asciiTheme="minorHAnsi" w:hAnsiTheme="minorHAnsi"/>
          <w:szCs w:val="24"/>
        </w:rPr>
        <w:t>CODIGO TRIBUTARIO</w:t>
      </w:r>
    </w:p>
    <w:p w14:paraId="08BFAFDC" w14:textId="77777777" w:rsidR="00FA0266" w:rsidRPr="000D3432" w:rsidRDefault="00FA0266" w:rsidP="00A95498">
      <w:pPr>
        <w:rPr>
          <w:rFonts w:asciiTheme="minorHAnsi" w:hAnsiTheme="minorHAnsi"/>
          <w:szCs w:val="24"/>
        </w:rPr>
      </w:pPr>
      <w:r w:rsidRPr="000D3432">
        <w:rPr>
          <w:rFonts w:asciiTheme="minorHAnsi" w:hAnsiTheme="minorHAnsi"/>
          <w:szCs w:val="24"/>
        </w:rPr>
        <w:t>TRIBUTARIO</w:t>
      </w:r>
    </w:p>
    <w:p w14:paraId="3CCA454B" w14:textId="77777777" w:rsidR="00FA0266" w:rsidRPr="000D3432" w:rsidRDefault="00FA0266" w:rsidP="00A95498">
      <w:pPr>
        <w:rPr>
          <w:rFonts w:asciiTheme="minorHAnsi" w:hAnsiTheme="minorHAnsi"/>
          <w:szCs w:val="24"/>
        </w:rPr>
      </w:pPr>
    </w:p>
    <w:p w14:paraId="36D114D4" w14:textId="77777777" w:rsidR="00FA0266" w:rsidRPr="000D3432" w:rsidRDefault="00FA0266" w:rsidP="00A95498">
      <w:pPr>
        <w:rPr>
          <w:rFonts w:asciiTheme="minorHAnsi" w:hAnsiTheme="minorHAnsi"/>
          <w:b/>
          <w:szCs w:val="24"/>
        </w:rPr>
      </w:pPr>
      <w:r w:rsidRPr="000D3432">
        <w:rPr>
          <w:rFonts w:asciiTheme="minorHAnsi" w:hAnsiTheme="minorHAnsi"/>
          <w:b/>
          <w:szCs w:val="24"/>
        </w:rPr>
        <w:t>GOBIERNO CENTRAL</w:t>
      </w:r>
    </w:p>
    <w:p w14:paraId="0E18E6E7"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 la Renta</w:t>
      </w:r>
    </w:p>
    <w:p w14:paraId="6C5EF63F"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General a las Ventas</w:t>
      </w:r>
    </w:p>
    <w:p w14:paraId="1219AFEC"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Selectivo al Consumo</w:t>
      </w:r>
    </w:p>
    <w:p w14:paraId="7E7EACE6" w14:textId="77777777" w:rsidR="00FA0266" w:rsidRPr="000D3432" w:rsidRDefault="00FA0266" w:rsidP="00A95498">
      <w:pPr>
        <w:rPr>
          <w:rFonts w:asciiTheme="minorHAnsi" w:hAnsiTheme="minorHAnsi"/>
          <w:szCs w:val="24"/>
        </w:rPr>
      </w:pPr>
      <w:r w:rsidRPr="000D3432">
        <w:rPr>
          <w:rFonts w:asciiTheme="minorHAnsi" w:hAnsiTheme="minorHAnsi"/>
          <w:szCs w:val="24"/>
        </w:rPr>
        <w:t>- Derechos Arancelarios</w:t>
      </w:r>
    </w:p>
    <w:p w14:paraId="5CBBEE49" w14:textId="77777777" w:rsidR="00FA0266" w:rsidRPr="000D3432" w:rsidRDefault="00FA0266" w:rsidP="00A95498">
      <w:pPr>
        <w:rPr>
          <w:rFonts w:asciiTheme="minorHAnsi" w:hAnsiTheme="minorHAnsi"/>
          <w:szCs w:val="24"/>
        </w:rPr>
      </w:pPr>
      <w:r w:rsidRPr="000D3432">
        <w:rPr>
          <w:rFonts w:asciiTheme="minorHAnsi" w:hAnsiTheme="minorHAnsi"/>
          <w:szCs w:val="24"/>
        </w:rPr>
        <w:t>- Tasas por Prestación de Servicios Públicos</w:t>
      </w:r>
    </w:p>
    <w:p w14:paraId="30B154BE" w14:textId="77777777" w:rsidR="00FA0266" w:rsidRPr="000D3432" w:rsidRDefault="00FA0266" w:rsidP="00A95498">
      <w:pPr>
        <w:rPr>
          <w:rFonts w:asciiTheme="minorHAnsi" w:hAnsiTheme="minorHAnsi"/>
          <w:szCs w:val="24"/>
        </w:rPr>
      </w:pPr>
      <w:r w:rsidRPr="000D3432">
        <w:rPr>
          <w:rFonts w:asciiTheme="minorHAnsi" w:hAnsiTheme="minorHAnsi"/>
          <w:szCs w:val="24"/>
        </w:rPr>
        <w:t>- Régimen Unico Simplificado (RUS)</w:t>
      </w:r>
    </w:p>
    <w:p w14:paraId="1E0CB7EB" w14:textId="77777777" w:rsidR="00FA0266" w:rsidRPr="000D3432" w:rsidRDefault="00FA0266" w:rsidP="00A95498">
      <w:pPr>
        <w:rPr>
          <w:rFonts w:asciiTheme="minorHAnsi" w:hAnsiTheme="minorHAnsi"/>
          <w:szCs w:val="24"/>
        </w:rPr>
      </w:pPr>
    </w:p>
    <w:p w14:paraId="68F8835E" w14:textId="77777777" w:rsidR="00FA0266" w:rsidRPr="000D3432" w:rsidRDefault="00FA0266" w:rsidP="00A95498">
      <w:pPr>
        <w:rPr>
          <w:rFonts w:asciiTheme="minorHAnsi" w:hAnsiTheme="minorHAnsi"/>
          <w:b/>
          <w:szCs w:val="24"/>
        </w:rPr>
      </w:pPr>
      <w:r w:rsidRPr="000D3432">
        <w:rPr>
          <w:rFonts w:asciiTheme="minorHAnsi" w:hAnsiTheme="minorHAnsi"/>
          <w:b/>
          <w:szCs w:val="24"/>
        </w:rPr>
        <w:t>GOBIERNOS LOCALES</w:t>
      </w:r>
    </w:p>
    <w:p w14:paraId="20D4948D" w14:textId="77777777" w:rsidR="00FA0266" w:rsidRPr="000D3432" w:rsidRDefault="00FA0266" w:rsidP="00A95498">
      <w:pPr>
        <w:rPr>
          <w:rFonts w:asciiTheme="minorHAnsi" w:hAnsiTheme="minorHAnsi"/>
          <w:szCs w:val="24"/>
        </w:rPr>
      </w:pPr>
      <w:r w:rsidRPr="000D3432">
        <w:rPr>
          <w:rFonts w:asciiTheme="minorHAnsi" w:hAnsiTheme="minorHAnsi"/>
          <w:szCs w:val="24"/>
        </w:rPr>
        <w:t>1.- Impuestos Municipales</w:t>
      </w:r>
    </w:p>
    <w:p w14:paraId="1653B22D"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Predial</w:t>
      </w:r>
    </w:p>
    <w:p w14:paraId="23E730BB"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de Alcabala</w:t>
      </w:r>
    </w:p>
    <w:p w14:paraId="77453B3D"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al Patrimonio Automotor</w:t>
      </w:r>
    </w:p>
    <w:p w14:paraId="35FE940A"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 las Apuestas (Eventos Hípicos y similares)</w:t>
      </w:r>
    </w:p>
    <w:p w14:paraId="0282074C"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 los Juegos (Loterías, bingos, rifas, juegos de azar)</w:t>
      </w:r>
    </w:p>
    <w:p w14:paraId="515EA2E9"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 los Espectáculos Públicos No Deportivos (Espectáculos taciturnos, Espectáculos cinematográficos)</w:t>
      </w:r>
    </w:p>
    <w:p w14:paraId="369C963F" w14:textId="77777777" w:rsidR="00FA0266" w:rsidRPr="000D3432" w:rsidRDefault="00FA0266" w:rsidP="00A95498">
      <w:pPr>
        <w:rPr>
          <w:rFonts w:asciiTheme="minorHAnsi" w:hAnsiTheme="minorHAnsi"/>
          <w:szCs w:val="24"/>
        </w:rPr>
      </w:pPr>
    </w:p>
    <w:p w14:paraId="303CB1F3" w14:textId="77777777" w:rsidR="00FA0266" w:rsidRPr="000D3432" w:rsidRDefault="00FA0266" w:rsidP="00A95498">
      <w:pPr>
        <w:rPr>
          <w:rFonts w:asciiTheme="minorHAnsi" w:hAnsiTheme="minorHAnsi"/>
          <w:szCs w:val="24"/>
        </w:rPr>
      </w:pPr>
      <w:r w:rsidRPr="000D3432">
        <w:rPr>
          <w:rFonts w:asciiTheme="minorHAnsi" w:hAnsiTheme="minorHAnsi"/>
          <w:szCs w:val="24"/>
        </w:rPr>
        <w:t>2.- Contribuciones</w:t>
      </w:r>
    </w:p>
    <w:p w14:paraId="2383808F" w14:textId="77777777" w:rsidR="00FA0266" w:rsidRPr="000D3432" w:rsidRDefault="00FA0266" w:rsidP="00A95498">
      <w:pPr>
        <w:rPr>
          <w:rFonts w:asciiTheme="minorHAnsi" w:hAnsiTheme="minorHAnsi"/>
          <w:szCs w:val="24"/>
        </w:rPr>
      </w:pPr>
      <w:r w:rsidRPr="000D3432">
        <w:rPr>
          <w:rFonts w:asciiTheme="minorHAnsi" w:hAnsiTheme="minorHAnsi"/>
          <w:szCs w:val="24"/>
        </w:rPr>
        <w:t>- Contribución Especial de Obras Públicas</w:t>
      </w:r>
    </w:p>
    <w:p w14:paraId="06E7BA28" w14:textId="77777777" w:rsidR="00FA0266" w:rsidRPr="000D3432" w:rsidRDefault="00FA0266" w:rsidP="00A95498">
      <w:pPr>
        <w:rPr>
          <w:rFonts w:asciiTheme="minorHAnsi" w:hAnsiTheme="minorHAnsi"/>
          <w:szCs w:val="24"/>
        </w:rPr>
      </w:pPr>
    </w:p>
    <w:p w14:paraId="02DD3999" w14:textId="77777777" w:rsidR="00FA0266" w:rsidRPr="000D3432" w:rsidRDefault="00FA0266" w:rsidP="00A95498">
      <w:pPr>
        <w:rPr>
          <w:rFonts w:asciiTheme="minorHAnsi" w:hAnsiTheme="minorHAnsi"/>
          <w:szCs w:val="24"/>
        </w:rPr>
      </w:pPr>
      <w:r w:rsidRPr="000D3432">
        <w:rPr>
          <w:rFonts w:asciiTheme="minorHAnsi" w:hAnsiTheme="minorHAnsi"/>
          <w:szCs w:val="24"/>
        </w:rPr>
        <w:t>3.- Tasas</w:t>
      </w:r>
    </w:p>
    <w:p w14:paraId="7BF7445F" w14:textId="77777777" w:rsidR="00FA0266" w:rsidRPr="000D3432" w:rsidRDefault="00FA0266" w:rsidP="00A95498">
      <w:pPr>
        <w:rPr>
          <w:rFonts w:asciiTheme="minorHAnsi" w:hAnsiTheme="minorHAnsi"/>
          <w:szCs w:val="24"/>
        </w:rPr>
      </w:pPr>
      <w:r w:rsidRPr="000D3432">
        <w:rPr>
          <w:rFonts w:asciiTheme="minorHAnsi" w:hAnsiTheme="minorHAnsi"/>
          <w:szCs w:val="24"/>
        </w:rPr>
        <w:t>- Servicios Públicos, Arbitrios</w:t>
      </w:r>
    </w:p>
    <w:p w14:paraId="5806EDA5" w14:textId="77777777" w:rsidR="00FA0266" w:rsidRPr="000D3432" w:rsidRDefault="00FA0266" w:rsidP="00A95498">
      <w:pPr>
        <w:rPr>
          <w:rFonts w:asciiTheme="minorHAnsi" w:hAnsiTheme="minorHAnsi"/>
          <w:szCs w:val="24"/>
        </w:rPr>
      </w:pPr>
      <w:r w:rsidRPr="000D3432">
        <w:rPr>
          <w:rFonts w:asciiTheme="minorHAnsi" w:hAnsiTheme="minorHAnsi"/>
          <w:szCs w:val="24"/>
        </w:rPr>
        <w:t>- Servicios Administrativos. Derechos</w:t>
      </w:r>
    </w:p>
    <w:p w14:paraId="1CD7AA89" w14:textId="77777777" w:rsidR="00FA0266" w:rsidRPr="000D3432" w:rsidRDefault="00FA0266" w:rsidP="00A95498">
      <w:pPr>
        <w:rPr>
          <w:rFonts w:asciiTheme="minorHAnsi" w:hAnsiTheme="minorHAnsi"/>
          <w:szCs w:val="24"/>
        </w:rPr>
      </w:pPr>
      <w:r w:rsidRPr="000D3432">
        <w:rPr>
          <w:rFonts w:asciiTheme="minorHAnsi" w:hAnsiTheme="minorHAnsi"/>
          <w:szCs w:val="24"/>
        </w:rPr>
        <w:t>- Licencia de Funcionamiento</w:t>
      </w:r>
    </w:p>
    <w:p w14:paraId="18B60A36" w14:textId="77777777" w:rsidR="00FA0266" w:rsidRPr="000D3432" w:rsidRDefault="00FA0266" w:rsidP="00A95498">
      <w:pPr>
        <w:rPr>
          <w:rFonts w:asciiTheme="minorHAnsi" w:hAnsiTheme="minorHAnsi"/>
          <w:szCs w:val="24"/>
        </w:rPr>
      </w:pPr>
      <w:r w:rsidRPr="000D3432">
        <w:rPr>
          <w:rFonts w:asciiTheme="minorHAnsi" w:hAnsiTheme="minorHAnsi"/>
          <w:szCs w:val="24"/>
        </w:rPr>
        <w:t>- Tasas por Estacionamiento Vehicular</w:t>
      </w:r>
    </w:p>
    <w:p w14:paraId="1AB27530" w14:textId="77777777" w:rsidR="00FA0266" w:rsidRPr="000D3432" w:rsidRDefault="00FA0266" w:rsidP="00A95498">
      <w:pPr>
        <w:rPr>
          <w:rFonts w:asciiTheme="minorHAnsi" w:hAnsiTheme="minorHAnsi"/>
          <w:szCs w:val="24"/>
        </w:rPr>
      </w:pPr>
    </w:p>
    <w:p w14:paraId="4B46756C" w14:textId="77777777" w:rsidR="00FA0266" w:rsidRPr="000D3432" w:rsidRDefault="00FA0266" w:rsidP="00A95498">
      <w:pPr>
        <w:rPr>
          <w:rFonts w:asciiTheme="minorHAnsi" w:hAnsiTheme="minorHAnsi"/>
          <w:szCs w:val="24"/>
        </w:rPr>
      </w:pPr>
      <w:r w:rsidRPr="000D3432">
        <w:rPr>
          <w:rFonts w:asciiTheme="minorHAnsi" w:hAnsiTheme="minorHAnsi"/>
          <w:szCs w:val="24"/>
        </w:rPr>
        <w:t>4.- Impuestos Nacionales</w:t>
      </w:r>
    </w:p>
    <w:p w14:paraId="691398E8"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de Promoción Municipal</w:t>
      </w:r>
    </w:p>
    <w:p w14:paraId="2FDDF2F8"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al Rodaje</w:t>
      </w:r>
    </w:p>
    <w:p w14:paraId="70BEE324" w14:textId="77777777" w:rsidR="00FA0266" w:rsidRPr="000D3432" w:rsidRDefault="00FA0266" w:rsidP="00A95498">
      <w:pPr>
        <w:rPr>
          <w:rFonts w:asciiTheme="minorHAnsi" w:hAnsiTheme="minorHAnsi"/>
          <w:szCs w:val="24"/>
        </w:rPr>
      </w:pPr>
      <w:r w:rsidRPr="000D3432">
        <w:rPr>
          <w:rFonts w:asciiTheme="minorHAnsi" w:hAnsiTheme="minorHAnsi"/>
          <w:szCs w:val="24"/>
        </w:rPr>
        <w:t>- Participación en Renta de Aduana</w:t>
      </w:r>
    </w:p>
    <w:p w14:paraId="661CCE1E" w14:textId="77777777" w:rsidR="00FA0266" w:rsidRPr="000D3432" w:rsidRDefault="00FA0266" w:rsidP="00A95498">
      <w:pPr>
        <w:rPr>
          <w:rFonts w:asciiTheme="minorHAnsi" w:hAnsiTheme="minorHAnsi"/>
          <w:szCs w:val="24"/>
        </w:rPr>
      </w:pPr>
      <w:r w:rsidRPr="000D3432">
        <w:rPr>
          <w:rFonts w:asciiTheme="minorHAnsi" w:hAnsiTheme="minorHAnsi"/>
          <w:szCs w:val="24"/>
        </w:rPr>
        <w:t>- Impuesto a las Embarcaciones</w:t>
      </w:r>
    </w:p>
    <w:p w14:paraId="7A1C406B" w14:textId="77777777" w:rsidR="00FA0266" w:rsidRPr="000D3432" w:rsidRDefault="00FA0266" w:rsidP="00A95498">
      <w:pPr>
        <w:rPr>
          <w:rFonts w:asciiTheme="minorHAnsi" w:hAnsiTheme="minorHAnsi"/>
          <w:szCs w:val="24"/>
        </w:rPr>
      </w:pPr>
    </w:p>
    <w:p w14:paraId="28E03BD0" w14:textId="77777777" w:rsidR="00FA0266" w:rsidRPr="000D3432" w:rsidRDefault="00FA0266" w:rsidP="00A95498">
      <w:pPr>
        <w:rPr>
          <w:rFonts w:asciiTheme="minorHAnsi" w:hAnsiTheme="minorHAnsi"/>
          <w:szCs w:val="24"/>
        </w:rPr>
      </w:pPr>
    </w:p>
    <w:p w14:paraId="3D63669D" w14:textId="77777777" w:rsidR="00FA0266" w:rsidRPr="000D3432" w:rsidRDefault="00FA0266" w:rsidP="00A95498">
      <w:pPr>
        <w:rPr>
          <w:rFonts w:asciiTheme="minorHAnsi" w:hAnsiTheme="minorHAnsi"/>
          <w:szCs w:val="24"/>
        </w:rPr>
      </w:pPr>
      <w:r w:rsidRPr="000D3432">
        <w:rPr>
          <w:rFonts w:asciiTheme="minorHAnsi" w:hAnsiTheme="minorHAnsi"/>
          <w:szCs w:val="24"/>
        </w:rPr>
        <w:t>OTROS FINES</w:t>
      </w:r>
    </w:p>
    <w:p w14:paraId="29647CE3" w14:textId="77777777" w:rsidR="00FA0266" w:rsidRPr="000D3432" w:rsidRDefault="00FA0266" w:rsidP="00A95498">
      <w:pPr>
        <w:rPr>
          <w:rFonts w:asciiTheme="minorHAnsi" w:hAnsiTheme="minorHAnsi"/>
          <w:szCs w:val="24"/>
        </w:rPr>
      </w:pPr>
      <w:r w:rsidRPr="000D3432">
        <w:rPr>
          <w:rFonts w:asciiTheme="minorHAnsi" w:hAnsiTheme="minorHAnsi"/>
          <w:szCs w:val="24"/>
        </w:rPr>
        <w:t>- IPSS</w:t>
      </w:r>
    </w:p>
    <w:p w14:paraId="0F17E0DE" w14:textId="77777777" w:rsidR="00FA0266" w:rsidRPr="000D3432" w:rsidRDefault="00FA0266" w:rsidP="009E6E2E">
      <w:pPr>
        <w:widowControl/>
        <w:numPr>
          <w:ilvl w:val="0"/>
          <w:numId w:val="6"/>
        </w:numPr>
        <w:overflowPunct/>
        <w:autoSpaceDE/>
        <w:autoSpaceDN/>
        <w:adjustRightInd/>
        <w:textAlignment w:val="auto"/>
        <w:rPr>
          <w:rFonts w:asciiTheme="minorHAnsi" w:hAnsiTheme="minorHAnsi"/>
          <w:szCs w:val="24"/>
        </w:rPr>
      </w:pPr>
      <w:r w:rsidRPr="000D3432">
        <w:rPr>
          <w:rFonts w:asciiTheme="minorHAnsi" w:hAnsiTheme="minorHAnsi"/>
          <w:szCs w:val="24"/>
        </w:rPr>
        <w:t>FONAVI</w:t>
      </w:r>
    </w:p>
    <w:p w14:paraId="221A544E" w14:textId="77777777" w:rsidR="00FA0266" w:rsidRPr="000D3432" w:rsidRDefault="00FA0266" w:rsidP="00A95498">
      <w:pPr>
        <w:rPr>
          <w:rFonts w:asciiTheme="minorHAnsi" w:hAnsiTheme="minorHAnsi"/>
          <w:szCs w:val="24"/>
        </w:rPr>
      </w:pPr>
    </w:p>
    <w:p w14:paraId="6720FBE4" w14:textId="77777777" w:rsidR="00FA0266" w:rsidRPr="000D3432" w:rsidRDefault="00FA0266" w:rsidP="00A95498">
      <w:pPr>
        <w:jc w:val="both"/>
        <w:rPr>
          <w:rFonts w:asciiTheme="minorHAnsi" w:hAnsiTheme="minorHAnsi" w:cs="Times"/>
          <w:szCs w:val="24"/>
        </w:rPr>
      </w:pPr>
    </w:p>
    <w:p w14:paraId="776C4592" w14:textId="77777777" w:rsidR="00FA0266" w:rsidRPr="000D3432" w:rsidRDefault="00FA0266" w:rsidP="00A95498">
      <w:pPr>
        <w:jc w:val="both"/>
        <w:rPr>
          <w:rFonts w:asciiTheme="minorHAnsi" w:hAnsiTheme="minorHAnsi" w:cs="Times"/>
          <w:szCs w:val="24"/>
        </w:rPr>
      </w:pPr>
    </w:p>
    <w:p w14:paraId="0FB5F9E3" w14:textId="77777777" w:rsidR="00FA0266" w:rsidRPr="000D3432" w:rsidRDefault="00FA0266" w:rsidP="00A95498">
      <w:pPr>
        <w:jc w:val="both"/>
        <w:rPr>
          <w:rFonts w:asciiTheme="minorHAnsi" w:hAnsiTheme="minorHAnsi" w:cs="Times"/>
          <w:szCs w:val="24"/>
        </w:rPr>
      </w:pPr>
    </w:p>
    <w:p w14:paraId="53403914" w14:textId="77777777" w:rsidR="00FA0266" w:rsidRPr="000D3432" w:rsidRDefault="00FA0266" w:rsidP="00A95498">
      <w:pPr>
        <w:jc w:val="both"/>
        <w:rPr>
          <w:rFonts w:asciiTheme="minorHAnsi" w:hAnsiTheme="minorHAnsi" w:cs="Arial"/>
          <w:szCs w:val="24"/>
        </w:rPr>
      </w:pPr>
    </w:p>
    <w:p w14:paraId="61DA9645" w14:textId="77777777" w:rsidR="00FA0266" w:rsidRPr="000D3432" w:rsidRDefault="00FA0266" w:rsidP="00A95498">
      <w:pPr>
        <w:pStyle w:val="Ttulo1"/>
        <w:spacing w:line="240" w:lineRule="auto"/>
        <w:jc w:val="center"/>
        <w:rPr>
          <w:rFonts w:asciiTheme="minorHAnsi" w:hAnsiTheme="minorHAnsi"/>
          <w:sz w:val="24"/>
          <w:szCs w:val="24"/>
        </w:rPr>
      </w:pPr>
      <w:bookmarkStart w:id="96" w:name="_Toc318102901"/>
      <w:r w:rsidRPr="000D3432">
        <w:rPr>
          <w:rFonts w:asciiTheme="minorHAnsi" w:hAnsiTheme="minorHAnsi"/>
          <w:sz w:val="24"/>
          <w:szCs w:val="24"/>
        </w:rPr>
        <w:t>ADMINISTRACIÓN TRIBUTARIA</w:t>
      </w:r>
      <w:bookmarkEnd w:id="96"/>
    </w:p>
    <w:p w14:paraId="19C3C563" w14:textId="77777777" w:rsidR="00FA0266" w:rsidRPr="000D3432" w:rsidRDefault="00FA0266" w:rsidP="00A95498">
      <w:pPr>
        <w:jc w:val="center"/>
        <w:rPr>
          <w:rFonts w:asciiTheme="minorHAnsi" w:hAnsiTheme="minorHAnsi" w:cs="Arial"/>
          <w:szCs w:val="24"/>
        </w:rPr>
      </w:pPr>
      <w:r w:rsidRPr="000D3432">
        <w:rPr>
          <w:rFonts w:asciiTheme="minorHAnsi" w:hAnsiTheme="minorHAnsi" w:cs="Arial"/>
          <w:szCs w:val="24"/>
        </w:rPr>
        <w:t xml:space="preserve"> (Los tributos que tenemos que pagar)</w:t>
      </w:r>
    </w:p>
    <w:p w14:paraId="06782529" w14:textId="77777777" w:rsidR="00FA0266" w:rsidRPr="000D3432" w:rsidRDefault="00FA0266" w:rsidP="00A95498">
      <w:pPr>
        <w:jc w:val="both"/>
        <w:rPr>
          <w:rFonts w:asciiTheme="minorHAnsi" w:hAnsiTheme="minorHAnsi" w:cs="Arial"/>
          <w:szCs w:val="24"/>
        </w:rPr>
      </w:pPr>
    </w:p>
    <w:p w14:paraId="4A36403B" w14:textId="77777777" w:rsidR="00FA0266" w:rsidRPr="000D3432" w:rsidRDefault="00FA0266" w:rsidP="00A95498">
      <w:pPr>
        <w:jc w:val="both"/>
        <w:rPr>
          <w:rFonts w:asciiTheme="minorHAnsi" w:hAnsiTheme="minorHAnsi" w:cs="Arial"/>
          <w:szCs w:val="24"/>
        </w:rPr>
      </w:pPr>
    </w:p>
    <w:p w14:paraId="1E4AE2F7" w14:textId="77777777" w:rsidR="00FA0266" w:rsidRPr="000D3432" w:rsidRDefault="00FA0266" w:rsidP="00A95498">
      <w:pPr>
        <w:pStyle w:val="Textodecuerpo"/>
        <w:spacing w:line="240" w:lineRule="auto"/>
        <w:rPr>
          <w:rFonts w:asciiTheme="minorHAnsi" w:hAnsiTheme="minorHAnsi"/>
          <w:sz w:val="24"/>
          <w:szCs w:val="24"/>
        </w:rPr>
      </w:pPr>
      <w:r w:rsidRPr="000D3432">
        <w:rPr>
          <w:rFonts w:asciiTheme="minorHAnsi" w:hAnsiTheme="minorHAnsi"/>
          <w:sz w:val="24"/>
          <w:szCs w:val="24"/>
        </w:rPr>
        <w:t>El Estado, como sabemos, administra los tributos, pero esta administración está organizada por algunas entidades</w:t>
      </w:r>
    </w:p>
    <w:p w14:paraId="39F1D4CE" w14:textId="77777777" w:rsidR="00FA0266" w:rsidRPr="000D3432" w:rsidRDefault="00FA0266" w:rsidP="00A95498">
      <w:pPr>
        <w:jc w:val="both"/>
        <w:rPr>
          <w:rFonts w:asciiTheme="minorHAnsi" w:hAnsiTheme="minorHAnsi" w:cs="Arial"/>
          <w:szCs w:val="24"/>
        </w:rPr>
      </w:pPr>
    </w:p>
    <w:p w14:paraId="0D7DA9B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SUNAT</w:t>
      </w:r>
    </w:p>
    <w:p w14:paraId="28E4CB3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GOBIERNO MUNICIPALES</w:t>
      </w:r>
    </w:p>
    <w:p w14:paraId="6C55C35E" w14:textId="77777777" w:rsidR="00FA0266" w:rsidRPr="000D3432" w:rsidRDefault="00FA0266" w:rsidP="00A95498">
      <w:pPr>
        <w:jc w:val="both"/>
        <w:rPr>
          <w:rFonts w:asciiTheme="minorHAnsi" w:hAnsiTheme="minorHAnsi" w:cs="Arial"/>
          <w:b/>
          <w:bCs/>
          <w:szCs w:val="24"/>
        </w:rPr>
      </w:pPr>
    </w:p>
    <w:p w14:paraId="3134CFAE" w14:textId="77777777" w:rsidR="00FA0266" w:rsidRPr="000D3432" w:rsidRDefault="00FA0266" w:rsidP="00A95498">
      <w:pPr>
        <w:pStyle w:val="Ttulo1"/>
        <w:spacing w:line="240" w:lineRule="auto"/>
        <w:rPr>
          <w:rFonts w:asciiTheme="minorHAnsi" w:hAnsiTheme="minorHAnsi"/>
          <w:sz w:val="24"/>
          <w:szCs w:val="24"/>
        </w:rPr>
      </w:pPr>
      <w:bookmarkStart w:id="97" w:name="_Toc318102902"/>
      <w:r w:rsidRPr="000D3432">
        <w:rPr>
          <w:rFonts w:asciiTheme="minorHAnsi" w:hAnsiTheme="minorHAnsi"/>
          <w:sz w:val="24"/>
          <w:szCs w:val="24"/>
        </w:rPr>
        <w:t>LA SUNAT</w:t>
      </w:r>
      <w:bookmarkEnd w:id="97"/>
    </w:p>
    <w:p w14:paraId="52101AA8"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Administra lo siguientes tributos:</w:t>
      </w:r>
    </w:p>
    <w:p w14:paraId="4EDB6DB5"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 la Renta</w:t>
      </w:r>
    </w:p>
    <w:p w14:paraId="530C87F4"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General a las Ventas</w:t>
      </w:r>
    </w:p>
    <w:p w14:paraId="22C87542"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Selectivo al Consumo</w:t>
      </w:r>
    </w:p>
    <w:p w14:paraId="7F4721BD"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de Promoción Municipal</w:t>
      </w:r>
    </w:p>
    <w:p w14:paraId="66E65BC6"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Nuevo Régimen Simplificado</w:t>
      </w:r>
    </w:p>
    <w:p w14:paraId="2E5BAE8C"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Régimen Especial del Impuesto a la Renta</w:t>
      </w:r>
    </w:p>
    <w:p w14:paraId="0E43EEC1"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Extraordinario de Solidaridad</w:t>
      </w:r>
    </w:p>
    <w:p w14:paraId="5F2B16F0"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 las Transacciones Financieras</w:t>
      </w:r>
    </w:p>
    <w:p w14:paraId="131BD134"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Contribuciones a ESSALUD y a la ONP de acuerdo a los convenios celebrados</w:t>
      </w:r>
    </w:p>
    <w:p w14:paraId="2D356D77" w14:textId="77777777" w:rsidR="00FA0266" w:rsidRPr="000D3432" w:rsidRDefault="00FA0266" w:rsidP="00A95498">
      <w:pPr>
        <w:jc w:val="both"/>
        <w:rPr>
          <w:rFonts w:asciiTheme="minorHAnsi" w:hAnsiTheme="minorHAnsi" w:cs="Arial"/>
          <w:szCs w:val="24"/>
        </w:rPr>
      </w:pPr>
    </w:p>
    <w:p w14:paraId="75B54332" w14:textId="77777777" w:rsidR="00FA0266" w:rsidRPr="000D3432" w:rsidRDefault="00FA0266" w:rsidP="00A95498">
      <w:pPr>
        <w:pStyle w:val="Ttulo1"/>
        <w:spacing w:line="240" w:lineRule="auto"/>
        <w:rPr>
          <w:rFonts w:asciiTheme="minorHAnsi" w:hAnsiTheme="minorHAnsi"/>
          <w:sz w:val="24"/>
          <w:szCs w:val="24"/>
        </w:rPr>
      </w:pPr>
      <w:bookmarkStart w:id="98" w:name="_Toc318102903"/>
      <w:r w:rsidRPr="000D3432">
        <w:rPr>
          <w:rFonts w:asciiTheme="minorHAnsi" w:hAnsiTheme="minorHAnsi"/>
          <w:sz w:val="24"/>
          <w:szCs w:val="24"/>
        </w:rPr>
        <w:t>GOBIERNOS LOCALES. Tributos que administra</w:t>
      </w:r>
      <w:bookmarkEnd w:id="98"/>
    </w:p>
    <w:p w14:paraId="45DFD49E" w14:textId="77777777" w:rsidR="00FA0266" w:rsidRPr="000D3432" w:rsidRDefault="00FA0266" w:rsidP="00A95498">
      <w:pPr>
        <w:jc w:val="both"/>
        <w:rPr>
          <w:rFonts w:asciiTheme="minorHAnsi" w:hAnsiTheme="minorHAnsi" w:cs="Arial"/>
          <w:szCs w:val="24"/>
        </w:rPr>
      </w:pPr>
    </w:p>
    <w:p w14:paraId="36EC8A30"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Impuestos Municipales</w:t>
      </w:r>
    </w:p>
    <w:p w14:paraId="2B7E36A5"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Impuestos Municipales</w:t>
      </w:r>
    </w:p>
    <w:p w14:paraId="24031E4D"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al Patrimonio Predial</w:t>
      </w:r>
    </w:p>
    <w:p w14:paraId="26AE38F4"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al Alcabala</w:t>
      </w:r>
    </w:p>
    <w:p w14:paraId="04CBBF56"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al Patrimonio Automotor</w:t>
      </w:r>
    </w:p>
    <w:p w14:paraId="1777FFCA"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 las Apuestas</w:t>
      </w:r>
    </w:p>
    <w:p w14:paraId="719CAF0A"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 los juegos</w:t>
      </w:r>
    </w:p>
    <w:p w14:paraId="22F3F77D"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 los Espectáculos Públicos</w:t>
      </w:r>
    </w:p>
    <w:p w14:paraId="046A3CC6" w14:textId="77777777" w:rsidR="00FA0266" w:rsidRPr="000D3432" w:rsidRDefault="00FA0266" w:rsidP="00A95498">
      <w:pPr>
        <w:jc w:val="both"/>
        <w:rPr>
          <w:rFonts w:asciiTheme="minorHAnsi" w:hAnsiTheme="minorHAnsi" w:cs="Arial"/>
          <w:szCs w:val="24"/>
        </w:rPr>
      </w:pPr>
    </w:p>
    <w:p w14:paraId="7AAA1A8B"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Tributos Nacionales</w:t>
      </w:r>
    </w:p>
    <w:p w14:paraId="6AC9438D"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de Promoción Municipal</w:t>
      </w:r>
    </w:p>
    <w:p w14:paraId="46315835"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al Rodaje</w:t>
      </w:r>
    </w:p>
    <w:p w14:paraId="6E11B6F4"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Impuesto a las Embarcaciones de Recreo</w:t>
      </w:r>
    </w:p>
    <w:p w14:paraId="38A49658"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lastRenderedPageBreak/>
        <w:t>Participación en Rentas de Aduana</w:t>
      </w:r>
    </w:p>
    <w:p w14:paraId="1D28706F" w14:textId="77777777" w:rsidR="00FA0266" w:rsidRPr="000D3432" w:rsidRDefault="00FA0266" w:rsidP="00A95498">
      <w:pPr>
        <w:ind w:left="360"/>
        <w:jc w:val="both"/>
        <w:rPr>
          <w:rFonts w:asciiTheme="minorHAnsi" w:hAnsiTheme="minorHAnsi" w:cs="Arial"/>
          <w:szCs w:val="24"/>
        </w:rPr>
      </w:pPr>
    </w:p>
    <w:p w14:paraId="336E0A3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Tributos creados por las Municipalidades</w:t>
      </w:r>
    </w:p>
    <w:p w14:paraId="1F8AF384"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Contribución Especial por Obras Públicas</w:t>
      </w:r>
    </w:p>
    <w:p w14:paraId="30ACDB62"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Tasas Municipales</w:t>
      </w:r>
    </w:p>
    <w:p w14:paraId="7268FC91" w14:textId="77777777" w:rsidR="00FA0266" w:rsidRPr="000D3432" w:rsidRDefault="00FA0266" w:rsidP="00A95498">
      <w:pPr>
        <w:ind w:left="360"/>
        <w:jc w:val="both"/>
        <w:rPr>
          <w:rFonts w:asciiTheme="minorHAnsi" w:hAnsiTheme="minorHAnsi" w:cs="Arial"/>
          <w:szCs w:val="24"/>
        </w:rPr>
      </w:pPr>
    </w:p>
    <w:p w14:paraId="40AE28D5" w14:textId="77777777" w:rsidR="00FA0266" w:rsidRPr="000D3432" w:rsidRDefault="00FA0266" w:rsidP="00A95498">
      <w:pPr>
        <w:pStyle w:val="Textodecuerpo2"/>
        <w:spacing w:after="0" w:line="240" w:lineRule="auto"/>
        <w:rPr>
          <w:rFonts w:asciiTheme="minorHAnsi" w:hAnsiTheme="minorHAnsi"/>
          <w:szCs w:val="24"/>
        </w:rPr>
      </w:pPr>
      <w:r w:rsidRPr="000D3432">
        <w:rPr>
          <w:rFonts w:asciiTheme="minorHAnsi" w:hAnsiTheme="minorHAnsi"/>
          <w:szCs w:val="24"/>
        </w:rPr>
        <w:t>OTROS ORGANOS QUE EN MERITO A LAYES ESPECIALES ADMINISTRAN ALGUN TRIBUTO</w:t>
      </w:r>
    </w:p>
    <w:p w14:paraId="74614B6B" w14:textId="77777777" w:rsidR="00FA0266" w:rsidRPr="000D3432" w:rsidRDefault="00FA0266" w:rsidP="00A95498">
      <w:pPr>
        <w:jc w:val="both"/>
        <w:rPr>
          <w:rFonts w:asciiTheme="minorHAnsi" w:hAnsiTheme="minorHAnsi" w:cs="Arial"/>
          <w:szCs w:val="24"/>
        </w:rPr>
      </w:pPr>
    </w:p>
    <w:p w14:paraId="5397321E"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Contribuciones para la Seguridad Social: ESSALUD</w:t>
      </w:r>
    </w:p>
    <w:p w14:paraId="6A6A989D"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Sistema Previsional: ONP</w:t>
      </w:r>
    </w:p>
    <w:p w14:paraId="166DB892"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Contribución al Servicio Nacional de Adiestramiento Técnico Industrial: SENATI</w:t>
      </w:r>
    </w:p>
    <w:p w14:paraId="0A4E8458" w14:textId="77777777" w:rsidR="00FA0266" w:rsidRPr="000D3432" w:rsidRDefault="00FA0266" w:rsidP="009E6E2E">
      <w:pPr>
        <w:widowControl/>
        <w:numPr>
          <w:ilvl w:val="0"/>
          <w:numId w:val="10"/>
        </w:numPr>
        <w:overflowPunct/>
        <w:autoSpaceDE/>
        <w:autoSpaceDN/>
        <w:adjustRightInd/>
        <w:jc w:val="both"/>
        <w:textAlignment w:val="auto"/>
        <w:rPr>
          <w:rFonts w:asciiTheme="minorHAnsi" w:hAnsiTheme="minorHAnsi" w:cs="Arial"/>
          <w:szCs w:val="24"/>
        </w:rPr>
      </w:pPr>
      <w:r w:rsidRPr="000D3432">
        <w:rPr>
          <w:rFonts w:asciiTheme="minorHAnsi" w:hAnsiTheme="minorHAnsi" w:cs="Arial"/>
          <w:szCs w:val="24"/>
        </w:rPr>
        <w:t>Contribución al Servicio Nacional de Capacitación par la Industria de la Construcción: SENCICO</w:t>
      </w:r>
    </w:p>
    <w:p w14:paraId="0137EC81"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szCs w:val="24"/>
        </w:rPr>
        <w:t xml:space="preserve">Nota: </w:t>
      </w:r>
      <w:r w:rsidRPr="000D3432">
        <w:rPr>
          <w:rFonts w:asciiTheme="minorHAnsi" w:hAnsiTheme="minorHAnsi" w:cs="Arial"/>
          <w:i/>
          <w:iCs/>
          <w:szCs w:val="24"/>
        </w:rPr>
        <w:t>Por convenio y la Ley Nro. 27334 del 30.07.2000 SUNAT administra: ESSALUD y ONP.</w:t>
      </w:r>
    </w:p>
    <w:p w14:paraId="5978BDBE" w14:textId="77777777" w:rsidR="00FA0266" w:rsidRPr="000D3432" w:rsidRDefault="00FA0266" w:rsidP="00A95498">
      <w:pPr>
        <w:ind w:left="360"/>
        <w:jc w:val="both"/>
        <w:rPr>
          <w:rFonts w:asciiTheme="minorHAnsi" w:hAnsiTheme="minorHAnsi" w:cs="Arial"/>
          <w:szCs w:val="24"/>
        </w:rPr>
      </w:pPr>
    </w:p>
    <w:p w14:paraId="08141AAA" w14:textId="77777777" w:rsidR="00FA0266" w:rsidRPr="000D3432" w:rsidRDefault="00FA0266" w:rsidP="00A95498">
      <w:pPr>
        <w:ind w:left="360"/>
        <w:jc w:val="both"/>
        <w:rPr>
          <w:rFonts w:asciiTheme="minorHAnsi" w:hAnsiTheme="minorHAnsi" w:cs="Arial"/>
          <w:szCs w:val="24"/>
        </w:rPr>
      </w:pPr>
    </w:p>
    <w:p w14:paraId="064F9546" w14:textId="77777777" w:rsidR="00FA0266" w:rsidRPr="000D3432" w:rsidRDefault="00FA0266" w:rsidP="00A95498">
      <w:pPr>
        <w:rPr>
          <w:rFonts w:asciiTheme="minorHAnsi" w:hAnsiTheme="minorHAnsi"/>
          <w:szCs w:val="24"/>
        </w:rPr>
      </w:pPr>
    </w:p>
    <w:p w14:paraId="361E43AC" w14:textId="77777777" w:rsidR="00FA0266" w:rsidRPr="000D3432" w:rsidRDefault="00FA0266" w:rsidP="00A95498">
      <w:pPr>
        <w:rPr>
          <w:rFonts w:asciiTheme="minorHAnsi" w:hAnsiTheme="minorHAnsi"/>
          <w:szCs w:val="24"/>
        </w:rPr>
      </w:pPr>
    </w:p>
    <w:p w14:paraId="4216DB86" w14:textId="77777777" w:rsidR="00FA0266" w:rsidRPr="000D3432" w:rsidRDefault="00FA0266" w:rsidP="00A95498">
      <w:pPr>
        <w:rPr>
          <w:rFonts w:asciiTheme="minorHAnsi" w:hAnsiTheme="minorHAnsi"/>
          <w:szCs w:val="24"/>
        </w:rPr>
      </w:pPr>
    </w:p>
    <w:p w14:paraId="01F08CCF" w14:textId="77777777" w:rsidR="00FA0266" w:rsidRPr="000D3432" w:rsidRDefault="00FA0266" w:rsidP="00A95498">
      <w:pPr>
        <w:rPr>
          <w:rFonts w:asciiTheme="minorHAnsi" w:hAnsiTheme="minorHAnsi"/>
          <w:szCs w:val="24"/>
        </w:rPr>
      </w:pPr>
    </w:p>
    <w:p w14:paraId="04568E9C" w14:textId="77777777" w:rsidR="00FA0266" w:rsidRPr="000D3432" w:rsidRDefault="00FA0266" w:rsidP="00A95498">
      <w:pPr>
        <w:rPr>
          <w:rFonts w:asciiTheme="minorHAnsi" w:hAnsiTheme="minorHAnsi"/>
          <w:szCs w:val="24"/>
        </w:rPr>
      </w:pPr>
    </w:p>
    <w:p w14:paraId="07A9AD00" w14:textId="77777777" w:rsidR="00FA0266" w:rsidRPr="000D3432" w:rsidRDefault="00FA0266"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135E978F" w14:textId="77777777" w:rsidR="00FA0266" w:rsidRPr="000D3432" w:rsidRDefault="00FA0266" w:rsidP="00A95498">
      <w:pPr>
        <w:rPr>
          <w:rFonts w:asciiTheme="minorHAnsi" w:hAnsiTheme="minorHAnsi"/>
          <w:szCs w:val="24"/>
        </w:rPr>
      </w:pPr>
    </w:p>
    <w:p w14:paraId="03E8960F" w14:textId="77777777" w:rsidR="00F3090F" w:rsidRPr="000D3432" w:rsidRDefault="00F3090F" w:rsidP="00A95498">
      <w:pPr>
        <w:rPr>
          <w:rFonts w:asciiTheme="minorHAnsi" w:hAnsiTheme="minorHAnsi"/>
          <w:szCs w:val="24"/>
        </w:rPr>
      </w:pPr>
    </w:p>
    <w:p w14:paraId="0CD18216" w14:textId="77777777" w:rsidR="00F3090F" w:rsidRPr="000D3432" w:rsidRDefault="00F3090F" w:rsidP="00A95498">
      <w:pPr>
        <w:rPr>
          <w:rFonts w:asciiTheme="minorHAnsi" w:hAnsiTheme="minorHAnsi"/>
          <w:szCs w:val="24"/>
        </w:rPr>
      </w:pPr>
    </w:p>
    <w:p w14:paraId="5C784827" w14:textId="77777777" w:rsidR="00F3090F" w:rsidRPr="000D3432" w:rsidRDefault="00F3090F" w:rsidP="00A95498">
      <w:pPr>
        <w:rPr>
          <w:rFonts w:asciiTheme="minorHAnsi" w:hAnsiTheme="minorHAnsi"/>
          <w:szCs w:val="24"/>
        </w:rPr>
      </w:pPr>
    </w:p>
    <w:p w14:paraId="0D74E8EC" w14:textId="77777777" w:rsidR="00F3090F" w:rsidRPr="000D3432" w:rsidRDefault="00F3090F" w:rsidP="00A95498">
      <w:pPr>
        <w:rPr>
          <w:rFonts w:asciiTheme="minorHAnsi" w:hAnsiTheme="minorHAnsi"/>
          <w:szCs w:val="24"/>
        </w:rPr>
      </w:pPr>
    </w:p>
    <w:p w14:paraId="2EE906DF" w14:textId="77777777" w:rsidR="00FA0266" w:rsidRPr="000D3432" w:rsidRDefault="00FA0266" w:rsidP="00A95498">
      <w:pPr>
        <w:rPr>
          <w:rFonts w:asciiTheme="minorHAnsi" w:hAnsiTheme="minorHAnsi"/>
          <w:szCs w:val="24"/>
        </w:rPr>
      </w:pPr>
    </w:p>
    <w:p w14:paraId="3CB95541" w14:textId="77777777" w:rsidR="00FA0266" w:rsidRPr="000D3432" w:rsidRDefault="00FA0266" w:rsidP="00A95498">
      <w:pPr>
        <w:rPr>
          <w:rFonts w:asciiTheme="minorHAnsi" w:hAnsiTheme="minorHAnsi"/>
          <w:szCs w:val="24"/>
        </w:rPr>
      </w:pPr>
    </w:p>
    <w:p w14:paraId="2D0879F4" w14:textId="77777777" w:rsidR="00FA0266" w:rsidRPr="000D3432" w:rsidRDefault="00FA0266" w:rsidP="00A95498">
      <w:pPr>
        <w:jc w:val="center"/>
        <w:rPr>
          <w:rFonts w:asciiTheme="minorHAnsi" w:hAnsiTheme="minorHAnsi"/>
          <w:b/>
          <w:color w:val="4F81BD" w:themeColor="accent1"/>
          <w:szCs w:val="24"/>
        </w:rPr>
      </w:pPr>
      <w:r w:rsidRPr="000D3432">
        <w:rPr>
          <w:rFonts w:asciiTheme="minorHAnsi" w:hAnsiTheme="minorHAnsi"/>
          <w:b/>
          <w:color w:val="4F81BD" w:themeColor="accent1"/>
          <w:szCs w:val="24"/>
        </w:rPr>
        <w:t xml:space="preserve">MEDIDAS CAUTELARES EN LA </w:t>
      </w:r>
    </w:p>
    <w:p w14:paraId="393B493A" w14:textId="77777777" w:rsidR="00FA0266" w:rsidRPr="000D3432" w:rsidRDefault="00FA0266" w:rsidP="00A95498">
      <w:pPr>
        <w:jc w:val="center"/>
        <w:rPr>
          <w:rFonts w:asciiTheme="minorHAnsi" w:hAnsiTheme="minorHAnsi"/>
          <w:b/>
          <w:color w:val="4F81BD" w:themeColor="accent1"/>
          <w:szCs w:val="24"/>
        </w:rPr>
      </w:pPr>
      <w:r w:rsidRPr="000D3432">
        <w:rPr>
          <w:rFonts w:asciiTheme="minorHAnsi" w:hAnsiTheme="minorHAnsi"/>
          <w:b/>
          <w:color w:val="4F81BD" w:themeColor="accent1"/>
          <w:szCs w:val="24"/>
        </w:rPr>
        <w:t>COBRANZA COACTIVA EN SUNAT</w:t>
      </w:r>
    </w:p>
    <w:p w14:paraId="327509C4" w14:textId="77777777" w:rsidR="00FA0266" w:rsidRPr="000D3432" w:rsidRDefault="00FA0266" w:rsidP="00A95498">
      <w:pPr>
        <w:ind w:left="708" w:hanging="708"/>
        <w:jc w:val="center"/>
        <w:rPr>
          <w:rFonts w:asciiTheme="minorHAnsi" w:hAnsiTheme="minorHAnsi" w:cs="Arial"/>
          <w:b/>
          <w:szCs w:val="24"/>
        </w:rPr>
      </w:pPr>
      <w:r w:rsidRPr="000D3432">
        <w:rPr>
          <w:rFonts w:asciiTheme="minorHAnsi" w:hAnsiTheme="minorHAnsi" w:cs="Arial"/>
          <w:b/>
          <w:szCs w:val="24"/>
        </w:rPr>
        <w:t>¿Las armas de asalto del Estado?</w:t>
      </w:r>
    </w:p>
    <w:p w14:paraId="15680ED1" w14:textId="77777777" w:rsidR="00FA0266" w:rsidRPr="000D3432" w:rsidRDefault="00FA0266" w:rsidP="00A95498">
      <w:pPr>
        <w:jc w:val="both"/>
        <w:rPr>
          <w:rFonts w:asciiTheme="minorHAnsi" w:hAnsiTheme="minorHAnsi" w:cs="Arial"/>
          <w:szCs w:val="24"/>
        </w:rPr>
      </w:pPr>
    </w:p>
    <w:p w14:paraId="540D1D20" w14:textId="77777777" w:rsidR="00FA0266" w:rsidRPr="000D3432" w:rsidRDefault="00FA0266" w:rsidP="00A95498">
      <w:pPr>
        <w:jc w:val="both"/>
        <w:rPr>
          <w:rFonts w:asciiTheme="minorHAnsi" w:hAnsiTheme="minorHAnsi" w:cs="Arial"/>
          <w:szCs w:val="24"/>
        </w:rPr>
      </w:pPr>
    </w:p>
    <w:p w14:paraId="16232D1E" w14:textId="77777777" w:rsidR="00FA0266" w:rsidRPr="000D3432" w:rsidRDefault="00FA0266" w:rsidP="00A95498">
      <w:pPr>
        <w:jc w:val="both"/>
        <w:rPr>
          <w:rFonts w:asciiTheme="minorHAnsi" w:hAnsiTheme="minorHAnsi" w:cs="Arial"/>
          <w:szCs w:val="24"/>
        </w:rPr>
      </w:pPr>
    </w:p>
    <w:p w14:paraId="5E869F3B" w14:textId="3A7DB72A" w:rsidR="00FA0266" w:rsidRPr="000D3432" w:rsidRDefault="00F3090F" w:rsidP="00A95498">
      <w:pPr>
        <w:jc w:val="center"/>
        <w:rPr>
          <w:rFonts w:asciiTheme="minorHAnsi" w:hAnsiTheme="minorHAnsi" w:cs="Arial"/>
          <w:b/>
          <w:szCs w:val="24"/>
          <w:u w:val="single"/>
        </w:rPr>
      </w:pPr>
      <w:r w:rsidRPr="000D3432">
        <w:rPr>
          <w:rFonts w:asciiTheme="minorHAnsi" w:hAnsiTheme="minorHAnsi" w:cs="Arial"/>
          <w:b/>
          <w:szCs w:val="24"/>
          <w:u w:val="single"/>
        </w:rPr>
        <w:t>Generalidades</w:t>
      </w:r>
    </w:p>
    <w:p w14:paraId="6D977146" w14:textId="77777777" w:rsidR="00FA0266" w:rsidRPr="000D3432" w:rsidRDefault="00FA0266" w:rsidP="00A95498">
      <w:pPr>
        <w:jc w:val="both"/>
        <w:rPr>
          <w:rFonts w:asciiTheme="minorHAnsi" w:hAnsiTheme="minorHAnsi" w:cs="Arial"/>
          <w:szCs w:val="24"/>
        </w:rPr>
      </w:pPr>
    </w:p>
    <w:p w14:paraId="65E1784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Fueron esos años de catedrático universitario donde, incoado por el chantaje emocional de una atractiva y delgada rubia por decisión -que era mi enamorada de ese entonces- escribí el presente texto, sobre un tema que desconocía y al cual solo asomaba porque siendo la filosofía uno de mis placeres creía que podía escribir sobre cualquier tema. Me equivoqué. Ella necesitaba del texto como parte de su tarea académica –era alumna universitaria aún- y tenía que entregar el trabajo a un profesor muy elocuente y algo aprisionado por su forma de concebir los estudios de Derecho como instrumentos o conocimientos a los que debía dificultar su alcance, en la trágica cómica creencia que el esfuerzo y capacidad pasa por la tortura sicológica, la dificultad, o el amedrentamiento con jalar al alumno en el curso. En realidad yo concebí que la dificultad la ponía para acercar a la chica a sus garras, como un acto de seducción, pero siendo dicho catedrático de correctas maneras, y al cual admiraba por su capacidad profesional y su gestión por impulsar la empresa, además de ser una persona de bien, desistí de ese pensamiento, sin embargo, según me contaba mi engreída enamorada –bailaba muy bien y construía historias de cada clip musical, haciendo narraciones tan elocuentes como locuaces, y de la cual me acuerdo hoy como quien se acuerda del viento- que dicho profesor publicaba las notas y no ponía, entre otras, las suyas. Más tarde dicho profesor se separó de su dulce, bella e inteligente esposa y se unió a una joven delgada rubia de verdad, ex alumna. Fue gracias a estas dos personas que escribí sobre las Medidas Cautelares en la cobranza coactiva en Sunat, que si bien publico, no he modificado porque quiero exponerla como un acto de la historia, de mi pasado, no como un instrumento vigente para su ejercicio, sino vigente para su contemplación.</w:t>
      </w:r>
    </w:p>
    <w:p w14:paraId="15CFFA5C" w14:textId="77777777" w:rsidR="00FA0266" w:rsidRPr="000D3432" w:rsidRDefault="00FA0266" w:rsidP="00A95498">
      <w:pPr>
        <w:jc w:val="both"/>
        <w:rPr>
          <w:rFonts w:asciiTheme="minorHAnsi" w:hAnsiTheme="minorHAnsi" w:cs="Arial"/>
          <w:szCs w:val="24"/>
        </w:rPr>
      </w:pPr>
    </w:p>
    <w:p w14:paraId="66C46899" w14:textId="77777777" w:rsidR="00FA0266" w:rsidRPr="000D3432" w:rsidRDefault="00FA0266" w:rsidP="00A95498">
      <w:pPr>
        <w:jc w:val="both"/>
        <w:rPr>
          <w:rFonts w:asciiTheme="minorHAnsi" w:hAnsiTheme="minorHAnsi" w:cs="Arial"/>
          <w:szCs w:val="24"/>
        </w:rPr>
      </w:pPr>
    </w:p>
    <w:p w14:paraId="17ED92DF"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b/>
          <w:szCs w:val="24"/>
        </w:rPr>
        <w:t>I.- GENERALIDADES</w:t>
      </w:r>
      <w:r w:rsidRPr="000D3432">
        <w:rPr>
          <w:rStyle w:val="Refdenotaalpie"/>
          <w:rFonts w:asciiTheme="minorHAnsi" w:hAnsiTheme="minorHAnsi" w:cs="Arial"/>
          <w:b/>
          <w:sz w:val="24"/>
          <w:szCs w:val="24"/>
        </w:rPr>
        <w:footnoteReference w:id="542"/>
      </w:r>
    </w:p>
    <w:p w14:paraId="10282DF6" w14:textId="77777777" w:rsidR="00FA0266" w:rsidRPr="000D3432" w:rsidRDefault="00FA0266" w:rsidP="00A95498">
      <w:pPr>
        <w:jc w:val="both"/>
        <w:rPr>
          <w:rFonts w:asciiTheme="minorHAnsi" w:hAnsiTheme="minorHAnsi" w:cs="Arial"/>
          <w:szCs w:val="24"/>
        </w:rPr>
      </w:pPr>
    </w:p>
    <w:p w14:paraId="7077EBA3" w14:textId="77777777" w:rsidR="00FA0266" w:rsidRPr="000D3432" w:rsidRDefault="00FA0266" w:rsidP="00A95498">
      <w:pPr>
        <w:pStyle w:val="Textodecuerpo"/>
        <w:spacing w:line="240" w:lineRule="auto"/>
        <w:rPr>
          <w:rFonts w:asciiTheme="minorHAnsi" w:hAnsiTheme="minorHAnsi" w:cs="Arial"/>
          <w:sz w:val="24"/>
          <w:szCs w:val="24"/>
        </w:rPr>
      </w:pPr>
      <w:r w:rsidRPr="000D3432">
        <w:rPr>
          <w:rFonts w:asciiTheme="minorHAnsi" w:hAnsiTheme="minorHAnsi" w:cs="Arial"/>
          <w:sz w:val="24"/>
          <w:szCs w:val="24"/>
        </w:rPr>
        <w:t>La Cobranza Coactiva, organizada desde la perspectiva del derecho procesal administrativo tributario(</w:t>
      </w:r>
      <w:r w:rsidRPr="000D3432">
        <w:rPr>
          <w:rStyle w:val="Refdenotaalpie"/>
          <w:rFonts w:asciiTheme="minorHAnsi" w:eastAsiaTheme="majorEastAsia" w:hAnsiTheme="minorHAnsi" w:cs="Arial"/>
          <w:sz w:val="24"/>
          <w:szCs w:val="24"/>
        </w:rPr>
        <w:footnoteReference w:id="543"/>
      </w:r>
      <w:r w:rsidRPr="000D3432">
        <w:rPr>
          <w:rFonts w:asciiTheme="minorHAnsi" w:hAnsiTheme="minorHAnsi" w:cs="Arial"/>
          <w:sz w:val="24"/>
          <w:szCs w:val="24"/>
        </w:rPr>
        <w:t xml:space="preserve">), tiene su origen primario en la existencia del </w:t>
      </w:r>
      <w:r w:rsidRPr="000D3432">
        <w:rPr>
          <w:rFonts w:asciiTheme="minorHAnsi" w:hAnsiTheme="minorHAnsi" w:cs="Arial"/>
          <w:sz w:val="24"/>
          <w:szCs w:val="24"/>
        </w:rPr>
        <w:lastRenderedPageBreak/>
        <w:t xml:space="preserve">Estado, en la cualidad de este de ser sujeto económico, es decir de poder transformar ciertos hechos sociales (la renta, el comercio, las ventas, etc.) en deudas, en créditos fiscales. Este poder de transformación está fundamentado en la satisfacción de las necesidades públicas que el Estado pretende y garantiza otorgar, como el bien común, la paz, la seguridad jurídica, etc., .organizando esta búsqueda y satisfacción, fundamentado este poder en la búsqueda y organización de la satisfacción de las necesidades públicas. Es, entonces, el Estado quien con su sola existencia crea y le imputa al ser humano una primera “deuda”, una deuda social. Las razones son históricas, historia no cómo la “memoria colectiva del pasado”, sino como origen y fuente de nuestra organización social, como fundamento normativo:  fuerza que sostiene las coordenadas de la interrelación social. </w:t>
      </w:r>
    </w:p>
    <w:p w14:paraId="4397D209" w14:textId="77777777" w:rsidR="00FA0266" w:rsidRPr="000D3432" w:rsidRDefault="00FA0266" w:rsidP="00A95498">
      <w:pPr>
        <w:pStyle w:val="Textodecuerpo"/>
        <w:spacing w:line="240" w:lineRule="auto"/>
        <w:rPr>
          <w:rFonts w:asciiTheme="minorHAnsi" w:hAnsiTheme="minorHAnsi" w:cs="Arial"/>
          <w:sz w:val="24"/>
          <w:szCs w:val="24"/>
        </w:rPr>
      </w:pPr>
    </w:p>
    <w:p w14:paraId="32618CFF" w14:textId="77777777" w:rsidR="00FA0266" w:rsidRPr="000D3432" w:rsidRDefault="00FA0266" w:rsidP="00A95498">
      <w:pPr>
        <w:pStyle w:val="Textodecuerpo"/>
        <w:spacing w:line="240" w:lineRule="auto"/>
        <w:rPr>
          <w:rFonts w:asciiTheme="minorHAnsi" w:hAnsiTheme="minorHAnsi" w:cs="Arial"/>
          <w:sz w:val="24"/>
          <w:szCs w:val="24"/>
        </w:rPr>
      </w:pPr>
      <w:r w:rsidRPr="000D3432">
        <w:rPr>
          <w:rFonts w:asciiTheme="minorHAnsi" w:hAnsiTheme="minorHAnsi" w:cs="Arial"/>
          <w:sz w:val="24"/>
          <w:szCs w:val="24"/>
        </w:rPr>
        <w:t>La causa de la tributación está en la existencia del Estado, en la cualidad que ha tomado el Estado de hacer del tributo (que se le entregue dinero al Estado) su principal forma de existir y supervivir; fenómeno político jurídico antes que económico.</w:t>
      </w:r>
    </w:p>
    <w:p w14:paraId="636AD16D" w14:textId="77777777" w:rsidR="00FA0266" w:rsidRPr="000D3432" w:rsidRDefault="00FA0266" w:rsidP="00A95498">
      <w:pPr>
        <w:jc w:val="both"/>
        <w:rPr>
          <w:rFonts w:asciiTheme="minorHAnsi" w:hAnsiTheme="minorHAnsi" w:cs="Arial"/>
          <w:szCs w:val="24"/>
        </w:rPr>
      </w:pPr>
    </w:p>
    <w:p w14:paraId="13F124AF"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La tributación es un deber, un estar sometido a derecho; eso indica que el Derecho tributario es prescriptivo, es decir prescribe un orden, deberes. Y un deber implica necesariamente organización, control y administración de las deudas, de la capacidad de hacer efectivo su cumplimiento, “…podrá darse cuenta de que el derecho, en cuanto prescribe deberes, es ordenamiento y, por tanto, es organización: lo que significa articulación de partes, correlación entre las mismas, determinación de esferas de actividad, distribución de cometidos, proponerse finalidades a conseguir, etc.”(</w:t>
      </w:r>
      <w:r w:rsidRPr="000D3432">
        <w:rPr>
          <w:rStyle w:val="Refdenotaalpie"/>
          <w:rFonts w:asciiTheme="minorHAnsi" w:hAnsiTheme="minorHAnsi" w:cs="Arial"/>
          <w:sz w:val="24"/>
          <w:szCs w:val="24"/>
        </w:rPr>
        <w:footnoteReference w:id="544"/>
      </w:r>
      <w:r w:rsidRPr="000D3432">
        <w:rPr>
          <w:rFonts w:asciiTheme="minorHAnsi" w:hAnsiTheme="minorHAnsi" w:cs="Arial"/>
          <w:szCs w:val="24"/>
        </w:rPr>
        <w:t>).</w:t>
      </w:r>
    </w:p>
    <w:p w14:paraId="2518F823" w14:textId="77777777" w:rsidR="00FA0266" w:rsidRPr="000D3432" w:rsidRDefault="00FA0266" w:rsidP="00A95498">
      <w:pPr>
        <w:jc w:val="both"/>
        <w:rPr>
          <w:rFonts w:asciiTheme="minorHAnsi" w:hAnsiTheme="minorHAnsi" w:cs="Arial"/>
          <w:szCs w:val="24"/>
        </w:rPr>
      </w:pPr>
    </w:p>
    <w:p w14:paraId="49F410C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Es para efectivizarse los deberes incumplidos que ha de implementarse medios técnicos, como la Cobranza Coactiva. Dicho de otra manera la Cobranza Coactiva es una técnica usada por el Estado para lograr se cumpla esa primera deuda impuesta por él a la sociedad.</w:t>
      </w:r>
    </w:p>
    <w:p w14:paraId="3334C018" w14:textId="77777777" w:rsidR="00FA0266" w:rsidRPr="000D3432" w:rsidRDefault="00FA0266" w:rsidP="00A95498">
      <w:pPr>
        <w:jc w:val="both"/>
        <w:rPr>
          <w:rFonts w:asciiTheme="minorHAnsi" w:hAnsiTheme="minorHAnsi" w:cs="Arial"/>
          <w:szCs w:val="24"/>
        </w:rPr>
      </w:pPr>
    </w:p>
    <w:p w14:paraId="09BA20BA"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El Derecho Tributario parece más bien un derecho del Estado como sujeto activo. Las normas son de relación entre el Estado y las personas de una determinada sociedad; normas, por lo tanto, de regulación de las relaciones entre el Estado y la sociedad, o las personas que la conforman. </w:t>
      </w:r>
    </w:p>
    <w:p w14:paraId="44864867" w14:textId="77777777" w:rsidR="00FA0266" w:rsidRPr="000D3432" w:rsidRDefault="00FA0266" w:rsidP="00A95498">
      <w:pPr>
        <w:jc w:val="both"/>
        <w:rPr>
          <w:rFonts w:asciiTheme="minorHAnsi" w:hAnsiTheme="minorHAnsi" w:cs="Arial"/>
          <w:szCs w:val="24"/>
        </w:rPr>
      </w:pPr>
    </w:p>
    <w:p w14:paraId="6E94602C"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El Estado al organizarse para existir, organiza las deudas de la sociedad, que luego el llamará presupuesto nacional. Se trata de la riqueza del Estado, de la adquisición de la riqueza del Estado, que luego tendrá que ser distribuida entre todos, entre la sociedad, porque ese es el fundamento que le da validez al </w:t>
      </w:r>
      <w:r w:rsidRPr="000D3432">
        <w:rPr>
          <w:rFonts w:asciiTheme="minorHAnsi" w:hAnsiTheme="minorHAnsi" w:cs="Arial"/>
          <w:szCs w:val="24"/>
        </w:rPr>
        <w:lastRenderedPageBreak/>
        <w:t xml:space="preserve">accionar del Estado, a su capacidad de crear deudas (que recoge, o consolida por medio de la tributación). </w:t>
      </w:r>
    </w:p>
    <w:p w14:paraId="4D3A6022" w14:textId="77777777" w:rsidR="00FA0266" w:rsidRPr="000D3432" w:rsidRDefault="00FA0266" w:rsidP="00A95498">
      <w:pPr>
        <w:jc w:val="both"/>
        <w:rPr>
          <w:rFonts w:asciiTheme="minorHAnsi" w:hAnsiTheme="minorHAnsi" w:cs="Arial"/>
          <w:szCs w:val="24"/>
        </w:rPr>
      </w:pPr>
    </w:p>
    <w:p w14:paraId="5386E4C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Estado crea deudas y para efectivizar estas tributos, y estos los impone a través de la ley, que describe y prescribe una determinada condición o circunstancia fenomenológica, así, “la ley atribuye a ciertos hechos la virtud, la potencialidad, la fuerza necesaria para determinar el nacimiento de la obligación tributaria.”(</w:t>
      </w:r>
      <w:r w:rsidRPr="000D3432">
        <w:rPr>
          <w:rStyle w:val="Refdenotaalpie"/>
          <w:rFonts w:asciiTheme="minorHAnsi" w:hAnsiTheme="minorHAnsi" w:cs="Arial"/>
          <w:sz w:val="24"/>
          <w:szCs w:val="24"/>
        </w:rPr>
        <w:footnoteReference w:id="545"/>
      </w:r>
      <w:r w:rsidRPr="000D3432">
        <w:rPr>
          <w:rFonts w:asciiTheme="minorHAnsi" w:hAnsiTheme="minorHAnsi" w:cs="Arial"/>
          <w:szCs w:val="24"/>
        </w:rPr>
        <w:t>)  Es más, el nacimiento del sujeto, o persona como deudor, responde pues a la creación de una hipótesis legal, de un hecho como hipótesis; verificada esta hipótesis el deudor nace. Podemos decirlo parafraseando a Ataliba: “Desde que se verifica el hecho al que la ley atribuyó esta virtud jurídica, la cuantía en dinero (legalmente fijada) es crédito del Estado; en el mismo instante, la persona privada prevista en la ley y relacionada con el referido hecho se convierte en deudor.”(</w:t>
      </w:r>
      <w:r w:rsidRPr="000D3432">
        <w:rPr>
          <w:rStyle w:val="Refdenotaalpie"/>
          <w:rFonts w:asciiTheme="minorHAnsi" w:hAnsiTheme="minorHAnsi" w:cs="Arial"/>
          <w:sz w:val="24"/>
          <w:szCs w:val="24"/>
        </w:rPr>
        <w:footnoteReference w:id="546"/>
      </w:r>
      <w:r w:rsidRPr="000D3432">
        <w:rPr>
          <w:rFonts w:asciiTheme="minorHAnsi" w:hAnsiTheme="minorHAnsi" w:cs="Arial"/>
          <w:szCs w:val="24"/>
        </w:rPr>
        <w:t>).</w:t>
      </w:r>
    </w:p>
    <w:p w14:paraId="79035366" w14:textId="77777777" w:rsidR="00FA0266" w:rsidRPr="000D3432" w:rsidRDefault="00FA0266" w:rsidP="00A95498">
      <w:pPr>
        <w:jc w:val="both"/>
        <w:rPr>
          <w:rFonts w:asciiTheme="minorHAnsi" w:hAnsiTheme="minorHAnsi" w:cs="Arial"/>
          <w:szCs w:val="24"/>
        </w:rPr>
      </w:pPr>
    </w:p>
    <w:p w14:paraId="0FA3573C"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hecho que encuentra la hipótesis legal crea el crédito. El Estado ha generado su riqueza de un hecho externo y fuera de él. El sólo tiene que recoger los frutos y estos se dan cuando hay .</w:t>
      </w:r>
    </w:p>
    <w:p w14:paraId="085650EC" w14:textId="77777777" w:rsidR="00FA0266" w:rsidRPr="000D3432" w:rsidRDefault="00FA0266" w:rsidP="00A95498">
      <w:pPr>
        <w:jc w:val="both"/>
        <w:rPr>
          <w:rFonts w:asciiTheme="minorHAnsi" w:hAnsiTheme="minorHAnsi" w:cs="Arial"/>
          <w:szCs w:val="24"/>
        </w:rPr>
      </w:pPr>
    </w:p>
    <w:p w14:paraId="726B2315" w14:textId="77777777" w:rsidR="00FA0266" w:rsidRPr="000D3432" w:rsidRDefault="00FA0266" w:rsidP="00A95498">
      <w:pPr>
        <w:pStyle w:val="Ttulo1"/>
        <w:spacing w:line="240" w:lineRule="auto"/>
        <w:rPr>
          <w:rFonts w:asciiTheme="minorHAnsi" w:hAnsiTheme="minorHAnsi" w:cs="Arial"/>
          <w:sz w:val="24"/>
          <w:szCs w:val="24"/>
        </w:rPr>
      </w:pPr>
    </w:p>
    <w:p w14:paraId="132DC30F" w14:textId="77777777" w:rsidR="00FA0266" w:rsidRPr="000D3432" w:rsidRDefault="00FA0266" w:rsidP="00A95498">
      <w:pPr>
        <w:pStyle w:val="Ttulo1"/>
        <w:spacing w:line="240" w:lineRule="auto"/>
        <w:rPr>
          <w:rFonts w:asciiTheme="minorHAnsi" w:hAnsiTheme="minorHAnsi" w:cs="Arial"/>
          <w:sz w:val="24"/>
          <w:szCs w:val="24"/>
        </w:rPr>
      </w:pPr>
      <w:bookmarkStart w:id="99" w:name="_Toc318102904"/>
      <w:r w:rsidRPr="000D3432">
        <w:rPr>
          <w:rFonts w:asciiTheme="minorHAnsi" w:hAnsiTheme="minorHAnsi" w:cs="Arial"/>
          <w:sz w:val="24"/>
          <w:szCs w:val="24"/>
        </w:rPr>
        <w:t>II.- MEDIDAS CAUTELARES CONCEPTO:</w:t>
      </w:r>
      <w:bookmarkEnd w:id="99"/>
    </w:p>
    <w:p w14:paraId="5DA0D59D" w14:textId="77777777" w:rsidR="00FA0266" w:rsidRPr="000D3432" w:rsidRDefault="00FA0266" w:rsidP="00A95498">
      <w:pPr>
        <w:jc w:val="both"/>
        <w:rPr>
          <w:rFonts w:asciiTheme="minorHAnsi" w:hAnsiTheme="minorHAnsi" w:cs="Arial"/>
          <w:b/>
          <w:szCs w:val="24"/>
        </w:rPr>
      </w:pPr>
    </w:p>
    <w:p w14:paraId="7E2FC69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Dentro de nuestro sistema normativo, y específicamente, el procesal, tenemos un instrumento, o institución, que cumple una función anticipativa, preventiva, garantista, que es la medida cautelar. Esta se manifiesta como una expresión de la capacidad y técnica futurística del ser humano, en ejercicio del uso externo y posterior de su derecho. El hombre mediante la razón, puede pues prever el futuro y anticiparse a él, asegurarlo y disponer sus consecuencia o efectos mediatos, claro que sólo dentro de la medida de lo cognoscible, o de lo posible de racionalizar. La medida cautelar, es por lo tanto, un método, o técnica, utilizada a priori, para determinar aposteriori, un efecto querido, una consecuencia pretendida. Pero como técnica se enmarca dentro del Derecho, y o en referencia a el. Así, siendo específicos, podemos decir, citando a Juan Monroy Gálvez, que la medida cautelar es (</w:t>
      </w:r>
      <w:r w:rsidRPr="000D3432">
        <w:rPr>
          <w:rStyle w:val="Refdenotaalpie"/>
          <w:rFonts w:asciiTheme="minorHAnsi" w:hAnsiTheme="minorHAnsi" w:cs="Arial"/>
          <w:sz w:val="24"/>
          <w:szCs w:val="24"/>
        </w:rPr>
        <w:footnoteReference w:id="547"/>
      </w:r>
      <w:r w:rsidRPr="000D3432">
        <w:rPr>
          <w:rFonts w:asciiTheme="minorHAnsi" w:hAnsiTheme="minorHAnsi" w:cs="Arial"/>
          <w:szCs w:val="24"/>
        </w:rPr>
        <w:t xml:space="preserve">): </w:t>
      </w:r>
    </w:p>
    <w:p w14:paraId="09E297E7" w14:textId="77777777" w:rsidR="00FA0266" w:rsidRPr="000D3432" w:rsidRDefault="00FA0266" w:rsidP="00A95498">
      <w:pPr>
        <w:jc w:val="both"/>
        <w:rPr>
          <w:rFonts w:asciiTheme="minorHAnsi" w:hAnsiTheme="minorHAnsi" w:cs="Arial"/>
          <w:szCs w:val="24"/>
        </w:rPr>
      </w:pPr>
    </w:p>
    <w:p w14:paraId="54EA34EF" w14:textId="77777777" w:rsidR="00FA0266" w:rsidRPr="000D3432" w:rsidRDefault="00FA0266" w:rsidP="00A95498">
      <w:pPr>
        <w:pStyle w:val="Textodecuerpo21"/>
        <w:rPr>
          <w:rFonts w:asciiTheme="minorHAnsi" w:hAnsiTheme="minorHAnsi" w:cs="Arial"/>
          <w:sz w:val="24"/>
          <w:szCs w:val="24"/>
        </w:rPr>
      </w:pPr>
      <w:r w:rsidRPr="000D3432">
        <w:rPr>
          <w:rFonts w:asciiTheme="minorHAnsi" w:hAnsiTheme="minorHAnsi" w:cs="Arial"/>
          <w:sz w:val="24"/>
          <w:szCs w:val="24"/>
        </w:rPr>
        <w:t>“un instituto procesal a través del cual el órgano jurisdiccional, a petición de parte, adelanta ciertos efectos o todos de un fallo definitivo o el aseguramiento de una prueba, al admitir la existencia de una apariencia de derecho y el peligro que puede significar la demora producida por la espera del fallo definitivo o la actuación de una prueba”</w:t>
      </w:r>
    </w:p>
    <w:p w14:paraId="37FDA19F" w14:textId="77777777" w:rsidR="00FA0266" w:rsidRPr="000D3432" w:rsidRDefault="00FA0266" w:rsidP="00A95498">
      <w:pPr>
        <w:jc w:val="both"/>
        <w:rPr>
          <w:rFonts w:asciiTheme="minorHAnsi" w:hAnsiTheme="minorHAnsi" w:cs="Arial"/>
          <w:szCs w:val="24"/>
        </w:rPr>
      </w:pPr>
    </w:p>
    <w:p w14:paraId="182E20B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En el concepto arriba expuesto encontramos varios elementos que dan forma y constituyen a la medida cautelar. Por ejemplo, decir que es un instituto procesal, es decir que tiene validez y conformación estructural, que es reconocido y que se compone de ciertos elementos teóricos conceptuales que permiten su </w:t>
      </w:r>
      <w:r w:rsidRPr="000D3432">
        <w:rPr>
          <w:rFonts w:asciiTheme="minorHAnsi" w:hAnsiTheme="minorHAnsi" w:cs="Arial"/>
          <w:szCs w:val="24"/>
        </w:rPr>
        <w:lastRenderedPageBreak/>
        <w:t>comprensión y uso. Una institución jurídica por ser tal tiene, no sólo reconocimiento de la existencia del mismo, sino un lugar determinado en el sistema jerárquico del derecho, y desde donde puede ser aplicado, efectivizado, operacionalizado. La existencia de este como instituto le da el amparo del derecho, y la validez del mismo, validez que significa, parafraseando a Marcial Rubio Correa, “la cualidad para que algo surta los efectos propios de su naturaleza”(</w:t>
      </w:r>
      <w:r w:rsidRPr="000D3432">
        <w:rPr>
          <w:rStyle w:val="Refdenotaalpie"/>
          <w:rFonts w:asciiTheme="minorHAnsi" w:hAnsiTheme="minorHAnsi" w:cs="Arial"/>
          <w:sz w:val="24"/>
          <w:szCs w:val="24"/>
        </w:rPr>
        <w:footnoteReference w:id="548"/>
      </w:r>
      <w:r w:rsidRPr="000D3432">
        <w:rPr>
          <w:rFonts w:asciiTheme="minorHAnsi" w:hAnsiTheme="minorHAnsi" w:cs="Arial"/>
          <w:szCs w:val="24"/>
        </w:rPr>
        <w:t>) Una institución jurídica es un objeto que por ser tal tiene historia, es decir, ha sido conformado, registrado y creado a través de todo un proceso social que le han dado solidez y que por lo tanto contiene sus propios fundamentos. Es más, cuando hablamos de institución jurídica podemos describirla por sus elementos internos y por sus elementos externos, los internos son aquello que lo compone como el derecho mismo, y lo externo supone sus efectos, el interés social, etc. El hecho de que una institución sea jurídica significa que tiene su fundamento último en la sociedad, en el bienestar social, en la composición, organización y estructuración social, es decir se halla implícito o implicado dentro de lo social, dentro de lo social normativo. El hecho que sea, además, un instituto procesal completa la idea de la medida cautelar como medio, o instrumento, porque como instrumento procesal no define el derecho, sino que coadyuva, colabora en la determinación de este derecho. No tiene pues un fin valorativo, sino técnico, de medio, y no de fin. No dice el Derecho, sino que es más bien un camino, un instrumento para que se pueda decir</w:t>
      </w:r>
      <w:r w:rsidRPr="000D3432">
        <w:rPr>
          <w:rStyle w:val="Refdenotaalpie"/>
          <w:rFonts w:asciiTheme="minorHAnsi" w:hAnsiTheme="minorHAnsi" w:cs="Arial"/>
          <w:sz w:val="24"/>
          <w:szCs w:val="24"/>
        </w:rPr>
        <w:footnoteReference w:id="549"/>
      </w:r>
      <w:r w:rsidRPr="000D3432">
        <w:rPr>
          <w:rFonts w:asciiTheme="minorHAnsi" w:hAnsiTheme="minorHAnsi" w:cs="Arial"/>
          <w:szCs w:val="24"/>
        </w:rPr>
        <w:t xml:space="preserve"> el derecho, o se lo pueda crear. </w:t>
      </w:r>
    </w:p>
    <w:p w14:paraId="3CA9B8B0" w14:textId="77777777" w:rsidR="00FA0266" w:rsidRPr="000D3432" w:rsidRDefault="00FA0266" w:rsidP="00A95498">
      <w:pPr>
        <w:jc w:val="both"/>
        <w:rPr>
          <w:rFonts w:asciiTheme="minorHAnsi" w:hAnsiTheme="minorHAnsi" w:cs="Arial"/>
          <w:szCs w:val="24"/>
        </w:rPr>
      </w:pPr>
    </w:p>
    <w:p w14:paraId="561F1838"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Juan Monroy Gálvez repite el concepto de Medida Cautelar en un artículo sobre la Acción de Amparo(</w:t>
      </w:r>
      <w:r w:rsidRPr="000D3432">
        <w:rPr>
          <w:rStyle w:val="Refdenotaalpie"/>
          <w:rFonts w:asciiTheme="minorHAnsi" w:hAnsiTheme="minorHAnsi" w:cs="Arial"/>
          <w:sz w:val="24"/>
          <w:szCs w:val="24"/>
        </w:rPr>
        <w:footnoteReference w:id="550"/>
      </w:r>
      <w:r w:rsidRPr="000D3432">
        <w:rPr>
          <w:rFonts w:asciiTheme="minorHAnsi" w:hAnsiTheme="minorHAnsi" w:cs="Arial"/>
          <w:szCs w:val="24"/>
        </w:rPr>
        <w:t>):</w:t>
      </w:r>
    </w:p>
    <w:p w14:paraId="01F105D9" w14:textId="77777777" w:rsidR="00FA0266" w:rsidRPr="000D3432" w:rsidRDefault="00FA0266" w:rsidP="00A95498">
      <w:pPr>
        <w:jc w:val="both"/>
        <w:rPr>
          <w:rFonts w:asciiTheme="minorHAnsi" w:hAnsiTheme="minorHAnsi" w:cs="Arial"/>
          <w:szCs w:val="24"/>
        </w:rPr>
      </w:pPr>
    </w:p>
    <w:p w14:paraId="1679FFB8" w14:textId="77777777" w:rsidR="00FA0266" w:rsidRPr="000D3432" w:rsidRDefault="00FA0266" w:rsidP="00A95498">
      <w:pPr>
        <w:pStyle w:val="Textodecuerpo21"/>
        <w:rPr>
          <w:rFonts w:asciiTheme="minorHAnsi" w:hAnsiTheme="minorHAnsi" w:cs="Arial"/>
          <w:sz w:val="24"/>
          <w:szCs w:val="24"/>
        </w:rPr>
      </w:pPr>
      <w:r w:rsidRPr="000D3432">
        <w:rPr>
          <w:rFonts w:asciiTheme="minorHAnsi" w:hAnsiTheme="minorHAnsi" w:cs="Arial"/>
          <w:sz w:val="24"/>
          <w:szCs w:val="24"/>
        </w:rPr>
        <w:t xml:space="preserve"> “Genéricamente, medida cautelar es el instituto procesal a través del cual el juez –a pedido de parte- asegura el cumplimiento del fallo final, sea anticipando algunos efectos del fallo o todos, u ordenando se mantenga inmodificable la situación material conforme al momento de la demanda.”</w:t>
      </w:r>
    </w:p>
    <w:p w14:paraId="6153FDED" w14:textId="77777777" w:rsidR="00FA0266" w:rsidRPr="000D3432" w:rsidRDefault="00FA0266" w:rsidP="00A95498">
      <w:pPr>
        <w:jc w:val="both"/>
        <w:rPr>
          <w:rFonts w:asciiTheme="minorHAnsi" w:hAnsiTheme="minorHAnsi" w:cs="Arial"/>
          <w:szCs w:val="24"/>
        </w:rPr>
      </w:pPr>
    </w:p>
    <w:p w14:paraId="6E4153E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Las medidas cautelares son, pues, medios de garantizar el futuro, se presenta como una opinión anticipada, que garantiza un final también anticipado, pero no necesariamente unívoco. Sucede  que “el juez debe anticipar su opinión”. Y al hacer eso esta prejuzgando, “En estricto, al dar o negar una medida cautelar el juez </w:t>
      </w:r>
      <w:r w:rsidRPr="000D3432">
        <w:rPr>
          <w:rFonts w:asciiTheme="minorHAnsi" w:hAnsiTheme="minorHAnsi" w:cs="Arial"/>
          <w:i/>
          <w:szCs w:val="24"/>
        </w:rPr>
        <w:t>prejuzga</w:t>
      </w:r>
      <w:r w:rsidRPr="000D3432">
        <w:rPr>
          <w:rFonts w:asciiTheme="minorHAnsi" w:hAnsiTheme="minorHAnsi" w:cs="Arial"/>
          <w:szCs w:val="24"/>
        </w:rPr>
        <w:t>”(</w:t>
      </w:r>
      <w:r w:rsidRPr="000D3432">
        <w:rPr>
          <w:rStyle w:val="Refdenotaalpie"/>
          <w:rFonts w:asciiTheme="minorHAnsi" w:hAnsiTheme="minorHAnsi" w:cs="Arial"/>
          <w:sz w:val="24"/>
          <w:szCs w:val="24"/>
        </w:rPr>
        <w:footnoteReference w:id="551"/>
      </w:r>
      <w:r w:rsidRPr="000D3432">
        <w:rPr>
          <w:rFonts w:asciiTheme="minorHAnsi" w:hAnsiTheme="minorHAnsi" w:cs="Arial"/>
          <w:szCs w:val="24"/>
        </w:rPr>
        <w:t>). Según el mismo Juan Monroy Gálvez, la institución de la medida cautelar, en el derecho procesal en general, tiene algunos rasgos identificatorios, como son: el prejuzgamiento,  (anticipación de una opinión) la apariencia de derecho, la contracautela, la provisionalidad y la variabilidad (</w:t>
      </w:r>
      <w:r w:rsidRPr="000D3432">
        <w:rPr>
          <w:rStyle w:val="Refdenotaalpie"/>
          <w:rFonts w:asciiTheme="minorHAnsi" w:hAnsiTheme="minorHAnsi" w:cs="Arial"/>
          <w:sz w:val="24"/>
          <w:szCs w:val="24"/>
        </w:rPr>
        <w:footnoteReference w:id="552"/>
      </w:r>
      <w:r w:rsidRPr="000D3432">
        <w:rPr>
          <w:rFonts w:asciiTheme="minorHAnsi" w:hAnsiTheme="minorHAnsi" w:cs="Arial"/>
          <w:szCs w:val="24"/>
        </w:rPr>
        <w:t>)</w:t>
      </w:r>
    </w:p>
    <w:p w14:paraId="5B3C807C" w14:textId="77777777" w:rsidR="00FA0266" w:rsidRPr="000D3432" w:rsidRDefault="00FA0266" w:rsidP="00A95498">
      <w:pPr>
        <w:jc w:val="both"/>
        <w:rPr>
          <w:rFonts w:asciiTheme="minorHAnsi" w:hAnsiTheme="minorHAnsi" w:cs="Arial"/>
          <w:szCs w:val="24"/>
        </w:rPr>
      </w:pPr>
    </w:p>
    <w:p w14:paraId="3B19FE79" w14:textId="77777777" w:rsidR="00FA0266" w:rsidRPr="000D3432" w:rsidRDefault="00FA0266" w:rsidP="00A95498">
      <w:pPr>
        <w:jc w:val="both"/>
        <w:rPr>
          <w:rFonts w:asciiTheme="minorHAnsi" w:hAnsiTheme="minorHAnsi" w:cs="Arial"/>
          <w:szCs w:val="24"/>
        </w:rPr>
      </w:pPr>
    </w:p>
    <w:p w14:paraId="6F44313C"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En el Derecho tributario, sin embargo las cosas el tratamiento y la aplicación de las medidas cautelares son más bien de un orden diferente, en el Derecho Tributario las </w:t>
      </w:r>
      <w:r w:rsidRPr="000D3432">
        <w:rPr>
          <w:rFonts w:asciiTheme="minorHAnsi" w:hAnsiTheme="minorHAnsi" w:cs="Arial"/>
          <w:b/>
          <w:szCs w:val="24"/>
        </w:rPr>
        <w:t xml:space="preserve">medidas cautelares </w:t>
      </w:r>
      <w:r w:rsidRPr="000D3432">
        <w:rPr>
          <w:rFonts w:asciiTheme="minorHAnsi" w:hAnsiTheme="minorHAnsi" w:cs="Arial"/>
          <w:szCs w:val="24"/>
        </w:rPr>
        <w:t>son:</w:t>
      </w:r>
    </w:p>
    <w:p w14:paraId="2621BD5D" w14:textId="77777777" w:rsidR="00FA0266" w:rsidRPr="000D3432" w:rsidRDefault="00FA0266" w:rsidP="00A95498">
      <w:pPr>
        <w:jc w:val="both"/>
        <w:rPr>
          <w:rFonts w:asciiTheme="minorHAnsi" w:hAnsiTheme="minorHAnsi" w:cs="Arial"/>
          <w:szCs w:val="24"/>
        </w:rPr>
      </w:pPr>
    </w:p>
    <w:p w14:paraId="776A6848"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 xml:space="preserve"> “una potestad o privilegio de la Administración, y su fundamento es el de asegurar la pronta y eficaz satisfacción del interés general representado por la Administración”, escribe Rosendo Huamán Cueva parafraseando a Danós Ordoñez y Zegarra Valdivia (</w:t>
      </w:r>
      <w:r w:rsidRPr="000D3432">
        <w:rPr>
          <w:rStyle w:val="Refdenotaalpie"/>
          <w:rFonts w:asciiTheme="minorHAnsi" w:hAnsiTheme="minorHAnsi" w:cs="Arial"/>
          <w:sz w:val="24"/>
          <w:szCs w:val="24"/>
        </w:rPr>
        <w:footnoteReference w:id="553"/>
      </w:r>
      <w:r w:rsidRPr="000D3432">
        <w:rPr>
          <w:rFonts w:asciiTheme="minorHAnsi" w:hAnsiTheme="minorHAnsi" w:cs="Arial"/>
          <w:szCs w:val="24"/>
        </w:rPr>
        <w:t>)</w:t>
      </w:r>
    </w:p>
    <w:p w14:paraId="482F87A5" w14:textId="77777777" w:rsidR="00FA0266" w:rsidRPr="000D3432" w:rsidRDefault="00FA0266" w:rsidP="00A95498">
      <w:pPr>
        <w:jc w:val="both"/>
        <w:rPr>
          <w:rFonts w:asciiTheme="minorHAnsi" w:hAnsiTheme="minorHAnsi" w:cs="Arial"/>
          <w:szCs w:val="24"/>
        </w:rPr>
      </w:pPr>
    </w:p>
    <w:p w14:paraId="6273979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Una concepto más simple de medida cautelar es la siguiente:</w:t>
      </w:r>
    </w:p>
    <w:p w14:paraId="078B3CBF" w14:textId="77777777" w:rsidR="00FA0266" w:rsidRPr="000D3432" w:rsidRDefault="00FA0266" w:rsidP="00A95498">
      <w:pPr>
        <w:jc w:val="both"/>
        <w:rPr>
          <w:rFonts w:asciiTheme="minorHAnsi" w:hAnsiTheme="minorHAnsi" w:cs="Arial"/>
          <w:szCs w:val="24"/>
        </w:rPr>
      </w:pPr>
    </w:p>
    <w:p w14:paraId="03A62A68"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“…las medidas cautelares son acciones destinadas a asegurar el pago de la deuda tributaria, ante eventuales actos del deudor que puedan obstaculizar su cobranza (por ejemplo, que venda, de que en aporte o done sus propiedades).”(</w:t>
      </w:r>
      <w:r w:rsidRPr="000D3432">
        <w:rPr>
          <w:rStyle w:val="Refdenotaalpie"/>
          <w:rFonts w:asciiTheme="minorHAnsi" w:hAnsiTheme="minorHAnsi" w:cs="Arial"/>
          <w:sz w:val="24"/>
          <w:szCs w:val="24"/>
        </w:rPr>
        <w:footnoteReference w:id="554"/>
      </w:r>
      <w:r w:rsidRPr="000D3432">
        <w:rPr>
          <w:rFonts w:asciiTheme="minorHAnsi" w:hAnsiTheme="minorHAnsi" w:cs="Arial"/>
          <w:szCs w:val="24"/>
        </w:rPr>
        <w:t>).</w:t>
      </w:r>
    </w:p>
    <w:p w14:paraId="18B5820B" w14:textId="77777777" w:rsidR="00FA0266" w:rsidRPr="000D3432" w:rsidRDefault="00FA0266" w:rsidP="00A95498">
      <w:pPr>
        <w:ind w:left="708"/>
        <w:jc w:val="both"/>
        <w:rPr>
          <w:rFonts w:asciiTheme="minorHAnsi" w:hAnsiTheme="minorHAnsi" w:cs="Arial"/>
          <w:szCs w:val="24"/>
        </w:rPr>
      </w:pPr>
    </w:p>
    <w:p w14:paraId="064AA48F"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En resumidas cuentas la Medida Cautelar trabaja con la idea de que el deudor tenderá a aplazar o a no cumplir con su deuda, e intentará desenvolverse de ella. Frente a esta posibilidad, hay acciones como la Medida cautelar (</w:t>
      </w:r>
      <w:r w:rsidRPr="000D3432">
        <w:rPr>
          <w:rStyle w:val="Refdenotaalpie"/>
          <w:rFonts w:asciiTheme="minorHAnsi" w:hAnsiTheme="minorHAnsi" w:cs="Arial"/>
          <w:sz w:val="24"/>
          <w:szCs w:val="24"/>
        </w:rPr>
        <w:footnoteReference w:id="555"/>
      </w:r>
      <w:r w:rsidRPr="000D3432">
        <w:rPr>
          <w:rFonts w:asciiTheme="minorHAnsi" w:hAnsiTheme="minorHAnsi" w:cs="Arial"/>
          <w:szCs w:val="24"/>
        </w:rPr>
        <w:t>).</w:t>
      </w:r>
    </w:p>
    <w:p w14:paraId="7897BD24" w14:textId="77777777" w:rsidR="00FA0266" w:rsidRPr="000D3432" w:rsidRDefault="00FA0266" w:rsidP="00A95498">
      <w:pPr>
        <w:jc w:val="both"/>
        <w:rPr>
          <w:rFonts w:asciiTheme="minorHAnsi" w:hAnsiTheme="minorHAnsi" w:cs="Arial"/>
          <w:szCs w:val="24"/>
        </w:rPr>
      </w:pPr>
    </w:p>
    <w:p w14:paraId="703FFAF2"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Según indica Rosendo Huamán Cueva, la medida cautelar clásica es el famoso “embargo”, y este es de diferentes modalidades. Además de este tipo de medida cautelar existen otros no previstos en el Código, que tienen como fundamento de su existencia y aplicación el hecho de asegurar “de la forma más adecuada el pago de la deuda tributaria materia de cobranza”(</w:t>
      </w:r>
      <w:r w:rsidRPr="000D3432">
        <w:rPr>
          <w:rStyle w:val="Refdenotaalpie"/>
          <w:rFonts w:asciiTheme="minorHAnsi" w:hAnsiTheme="minorHAnsi" w:cs="Arial"/>
          <w:sz w:val="24"/>
          <w:szCs w:val="24"/>
        </w:rPr>
        <w:footnoteReference w:id="556"/>
      </w:r>
      <w:r w:rsidRPr="000D3432">
        <w:rPr>
          <w:rFonts w:asciiTheme="minorHAnsi" w:hAnsiTheme="minorHAnsi" w:cs="Arial"/>
          <w:szCs w:val="24"/>
        </w:rPr>
        <w:t>).</w:t>
      </w:r>
    </w:p>
    <w:p w14:paraId="618B1344" w14:textId="77777777" w:rsidR="00FA0266" w:rsidRPr="000D3432" w:rsidRDefault="00FA0266" w:rsidP="00A95498">
      <w:pPr>
        <w:jc w:val="both"/>
        <w:rPr>
          <w:rFonts w:asciiTheme="minorHAnsi" w:hAnsiTheme="minorHAnsi" w:cs="Arial"/>
          <w:szCs w:val="24"/>
        </w:rPr>
      </w:pPr>
    </w:p>
    <w:p w14:paraId="2F6F1390"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Las medidas cautelares están previstas textualmente en el Capítulo II del Reglamento del Procedimiento de Cobranza Coactiva Resolución de Superintendencia N° 016-97/SUNAT. En sus artículos 14° y siguientes. Y en el Código Tributario, Título II Procedimiento de Cobranza Coactiva, artículos 118 y siguientes.</w:t>
      </w:r>
    </w:p>
    <w:p w14:paraId="534E3874" w14:textId="77777777" w:rsidR="00FA0266" w:rsidRPr="000D3432" w:rsidRDefault="00FA0266" w:rsidP="00A95498">
      <w:pPr>
        <w:pStyle w:val="Ttulo2"/>
        <w:spacing w:line="240" w:lineRule="auto"/>
        <w:rPr>
          <w:rFonts w:asciiTheme="minorHAnsi" w:hAnsiTheme="minorHAnsi" w:cs="Arial"/>
          <w:sz w:val="24"/>
          <w:szCs w:val="24"/>
        </w:rPr>
      </w:pPr>
    </w:p>
    <w:p w14:paraId="7AD89C5E" w14:textId="77777777" w:rsidR="00FA0266" w:rsidRPr="000D3432" w:rsidRDefault="00FA0266" w:rsidP="00A95498">
      <w:pPr>
        <w:pStyle w:val="Textodecuerpo"/>
        <w:spacing w:line="240" w:lineRule="auto"/>
        <w:rPr>
          <w:rFonts w:asciiTheme="minorHAnsi" w:hAnsiTheme="minorHAnsi" w:cs="Arial"/>
          <w:sz w:val="24"/>
          <w:szCs w:val="24"/>
        </w:rPr>
      </w:pPr>
      <w:r w:rsidRPr="000D3432">
        <w:rPr>
          <w:rFonts w:asciiTheme="minorHAnsi" w:hAnsiTheme="minorHAnsi" w:cs="Arial"/>
          <w:sz w:val="24"/>
          <w:szCs w:val="24"/>
        </w:rPr>
        <w:t>Cabe mencionar que para llevarse a cabo una medida cautelar es necesario previamente ciertos requisitos:</w:t>
      </w:r>
    </w:p>
    <w:p w14:paraId="62F3C75F"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De acuerdo con el Artículo 16° del Reglamento de Procedimiento de Cobranza </w:t>
      </w:r>
      <w:r w:rsidRPr="000D3432">
        <w:rPr>
          <w:rFonts w:asciiTheme="minorHAnsi" w:hAnsiTheme="minorHAnsi" w:cs="Arial"/>
          <w:szCs w:val="24"/>
        </w:rPr>
        <w:lastRenderedPageBreak/>
        <w:t>Coactiva de la SUNAT:</w:t>
      </w:r>
    </w:p>
    <w:p w14:paraId="3D345FDA" w14:textId="77777777" w:rsidR="00FA0266" w:rsidRPr="000D3432" w:rsidRDefault="00FA0266" w:rsidP="00A95498">
      <w:pPr>
        <w:jc w:val="both"/>
        <w:rPr>
          <w:rFonts w:asciiTheme="minorHAnsi" w:hAnsiTheme="minorHAnsi" w:cs="Arial"/>
          <w:szCs w:val="24"/>
        </w:rPr>
      </w:pPr>
    </w:p>
    <w:p w14:paraId="1D4E0DF5" w14:textId="77777777" w:rsidR="00FA0266" w:rsidRPr="000D3432" w:rsidRDefault="00FA0266" w:rsidP="009E6E2E">
      <w:pPr>
        <w:widowControl/>
        <w:numPr>
          <w:ilvl w:val="0"/>
          <w:numId w:val="14"/>
        </w:numPr>
        <w:tabs>
          <w:tab w:val="left" w:pos="720"/>
        </w:tabs>
        <w:jc w:val="both"/>
        <w:rPr>
          <w:rFonts w:asciiTheme="minorHAnsi" w:hAnsiTheme="minorHAnsi" w:cs="Arial"/>
          <w:szCs w:val="24"/>
        </w:rPr>
      </w:pPr>
      <w:r w:rsidRPr="000D3432">
        <w:rPr>
          <w:rFonts w:asciiTheme="minorHAnsi" w:hAnsiTheme="minorHAnsi" w:cs="Arial"/>
          <w:szCs w:val="24"/>
        </w:rPr>
        <w:t>Antes de trabar una medida cautelar, el Ejecutor podrá ordenar que se realicen las indagaciones que se considere pertinentes a fin de adoptar la medida más adecuada con el objeto de recuperar lo adeudado.</w:t>
      </w:r>
    </w:p>
    <w:p w14:paraId="567A28B9"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p>
    <w:p w14:paraId="27792E4E"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r w:rsidRPr="000D3432">
        <w:rPr>
          <w:rFonts w:asciiTheme="minorHAnsi" w:hAnsiTheme="minorHAnsi" w:cs="Arial"/>
          <w:szCs w:val="24"/>
        </w:rPr>
        <w:t>Qué tipo de indagaciones pueden ser estas? Una indagación es un proceso mental mediante la cual se obtienen y organiza la información a fin de componer un sistema de datos manejable, válido y pertinente. Este conjunto de conocimientos sobre un echo determinado, la situación jurídica patrimonial de un sujeto. Esto se indaga. Se indaga sobre la consistencia y solvencia patrimonial del deudor tributario. El patrimonio es más que un bien material y económico, económico porque es objeto de intercambio, medio de transferencia pero es jurídico cuando existe un mecanismo que asegure la tenencia, asignación o adherencia a un individuo expreso. Es jurídico sólo si existe algo que proteja esta relación entre bien y ser humano. Jurídico porque es el reconocimiento del sujeto y de la ampliación y extensión por medio de sus bienes. La indagación es tècnica que permite el logro y conexión entre medios y fines.</w:t>
      </w:r>
    </w:p>
    <w:p w14:paraId="6EF22BCB"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p>
    <w:p w14:paraId="5B86F332" w14:textId="77777777" w:rsidR="00FA0266" w:rsidRPr="000D3432" w:rsidRDefault="00FA0266" w:rsidP="009E6E2E">
      <w:pPr>
        <w:widowControl/>
        <w:numPr>
          <w:ilvl w:val="0"/>
          <w:numId w:val="14"/>
        </w:numPr>
        <w:tabs>
          <w:tab w:val="left" w:pos="720"/>
        </w:tabs>
        <w:jc w:val="both"/>
        <w:rPr>
          <w:rFonts w:asciiTheme="minorHAnsi" w:hAnsiTheme="minorHAnsi" w:cs="Arial"/>
          <w:b/>
          <w:szCs w:val="24"/>
        </w:rPr>
      </w:pPr>
      <w:r w:rsidRPr="000D3432">
        <w:rPr>
          <w:rFonts w:asciiTheme="minorHAnsi" w:hAnsiTheme="minorHAnsi" w:cs="Arial"/>
          <w:b/>
          <w:szCs w:val="24"/>
        </w:rPr>
        <w:t>En base a la información obtenida y teniendo en cuenta la relación costo-beneficio, el Ejecutor podrá adoptar las medidas cautelares que, a su juicio, garanticen el cobro de dicha deuda.</w:t>
      </w:r>
    </w:p>
    <w:p w14:paraId="632CA718"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p>
    <w:p w14:paraId="43132D11"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r w:rsidRPr="000D3432">
        <w:rPr>
          <w:rFonts w:asciiTheme="minorHAnsi" w:hAnsiTheme="minorHAnsi" w:cs="Arial"/>
          <w:szCs w:val="24"/>
        </w:rPr>
        <w:t>La relación costo beneficio que indica este inciso  introduce la concepción económica del análisis económico del derecho. Determina al acto procesal  una referencia económica. Entonces, antes que un asunto jurídico es un asunto económico, pero esto es así para hacer sensible y posibilitar la existencia del fenómeno jurídico. Esta relación costo beneficio es fundamental porque revela la posibilidad o no de ejecución de la cobranza coactiva. Punto fundamental que no se toma en cuenta en otro rubros. Como en las reparaciones civiles y tampoco en las omisiones por asistencia familiar. Esa deber ser lo que tiene de importante en el Derecho la economía . la calidad de posibilidad del acto, que precede a la propia normatividad. Si el objeto normativo no es posible entonces es la normatividad misma no es suficiente. A pesar que el indice económico costo beneficio debería verse en todas los procesos normativos.</w:t>
      </w:r>
    </w:p>
    <w:p w14:paraId="51B4CDDA"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p>
    <w:p w14:paraId="2049F485" w14:textId="77777777" w:rsidR="00FA0266" w:rsidRPr="000D3432" w:rsidRDefault="00FA0266" w:rsidP="00A95498">
      <w:pPr>
        <w:numPr>
          <w:ilvl w:val="12"/>
          <w:numId w:val="0"/>
        </w:numPr>
        <w:tabs>
          <w:tab w:val="left" w:pos="720"/>
        </w:tabs>
        <w:ind w:left="360"/>
        <w:jc w:val="both"/>
        <w:rPr>
          <w:rFonts w:asciiTheme="minorHAnsi" w:hAnsiTheme="minorHAnsi" w:cs="Arial"/>
          <w:szCs w:val="24"/>
        </w:rPr>
      </w:pPr>
    </w:p>
    <w:p w14:paraId="5036615D" w14:textId="77777777" w:rsidR="00FA0266" w:rsidRPr="000D3432" w:rsidRDefault="00FA0266" w:rsidP="009E6E2E">
      <w:pPr>
        <w:widowControl/>
        <w:numPr>
          <w:ilvl w:val="0"/>
          <w:numId w:val="14"/>
        </w:numPr>
        <w:tabs>
          <w:tab w:val="left" w:pos="720"/>
        </w:tabs>
        <w:jc w:val="both"/>
        <w:rPr>
          <w:rFonts w:asciiTheme="minorHAnsi" w:hAnsiTheme="minorHAnsi" w:cs="Arial"/>
          <w:szCs w:val="24"/>
        </w:rPr>
      </w:pPr>
      <w:r w:rsidRPr="000D3432">
        <w:rPr>
          <w:rFonts w:asciiTheme="minorHAnsi" w:hAnsiTheme="minorHAnsi" w:cs="Arial"/>
          <w:szCs w:val="24"/>
        </w:rPr>
        <w:t>Señalar cualesquiera de los bienes y/o derechos del deudor, aun cuando se encuentren en poder de un tercero, considerando lo establecido en el literal b) del numeral 2) del Artículo 18°.</w:t>
      </w:r>
    </w:p>
    <w:p w14:paraId="51421ED3" w14:textId="77777777" w:rsidR="00FA0266" w:rsidRPr="000D3432" w:rsidRDefault="00FA0266" w:rsidP="009E6E2E">
      <w:pPr>
        <w:widowControl/>
        <w:numPr>
          <w:ilvl w:val="0"/>
          <w:numId w:val="14"/>
        </w:numPr>
        <w:tabs>
          <w:tab w:val="left" w:pos="720"/>
        </w:tabs>
        <w:jc w:val="both"/>
        <w:rPr>
          <w:rFonts w:asciiTheme="minorHAnsi" w:hAnsiTheme="minorHAnsi" w:cs="Arial"/>
          <w:szCs w:val="24"/>
        </w:rPr>
      </w:pPr>
      <w:r w:rsidRPr="000D3432">
        <w:rPr>
          <w:rFonts w:asciiTheme="minorHAnsi" w:hAnsiTheme="minorHAnsi" w:cs="Arial"/>
          <w:szCs w:val="24"/>
        </w:rPr>
        <w:t>El Ejecutor deberá solicitar autorización judicial para efectuar el descerraje, cuando medien circunstancias que impidan el desarrollo de las diligencias.</w:t>
      </w:r>
    </w:p>
    <w:p w14:paraId="70A57006" w14:textId="77777777" w:rsidR="00FA0266" w:rsidRPr="000D3432" w:rsidRDefault="00FA0266" w:rsidP="009E6E2E">
      <w:pPr>
        <w:widowControl/>
        <w:numPr>
          <w:ilvl w:val="0"/>
          <w:numId w:val="14"/>
        </w:numPr>
        <w:tabs>
          <w:tab w:val="left" w:pos="720"/>
        </w:tabs>
        <w:jc w:val="both"/>
        <w:rPr>
          <w:rFonts w:asciiTheme="minorHAnsi" w:hAnsiTheme="minorHAnsi" w:cs="Arial"/>
          <w:szCs w:val="24"/>
        </w:rPr>
      </w:pPr>
      <w:r w:rsidRPr="000D3432">
        <w:rPr>
          <w:rFonts w:asciiTheme="minorHAnsi" w:hAnsiTheme="minorHAnsi" w:cs="Arial"/>
          <w:szCs w:val="24"/>
        </w:rPr>
        <w:t xml:space="preserve">La medida cautelar trabada deberá garantizar inclusive el pago de los gastos, costas e intereses moratorios que se devenguen hasta la cancelación de la deuda. </w:t>
      </w:r>
    </w:p>
    <w:p w14:paraId="15C77B30" w14:textId="77777777" w:rsidR="00FA0266" w:rsidRPr="000D3432" w:rsidRDefault="00FA0266" w:rsidP="00A95498">
      <w:pPr>
        <w:pStyle w:val="Textodecuerpo21"/>
        <w:numPr>
          <w:ilvl w:val="12"/>
          <w:numId w:val="0"/>
        </w:numPr>
        <w:ind w:left="708"/>
        <w:rPr>
          <w:rFonts w:asciiTheme="minorHAnsi" w:hAnsiTheme="minorHAnsi" w:cs="Arial"/>
          <w:sz w:val="24"/>
          <w:szCs w:val="24"/>
        </w:rPr>
      </w:pPr>
      <w:r w:rsidRPr="000D3432">
        <w:rPr>
          <w:rFonts w:asciiTheme="minorHAnsi" w:hAnsiTheme="minorHAnsi" w:cs="Arial"/>
          <w:sz w:val="24"/>
          <w:szCs w:val="24"/>
        </w:rPr>
        <w:lastRenderedPageBreak/>
        <w:t>Si las medidas trabadas, superan en demasía el monto necesario para asegurar el pago de la deuda tributaria y de los conceptos antes señalados, el Ejecutor, de oficio, las reducirá en la parte correspondiente.</w:t>
      </w:r>
    </w:p>
    <w:p w14:paraId="20CD8E39" w14:textId="77777777" w:rsidR="00FA0266" w:rsidRPr="000D3432" w:rsidRDefault="00FA0266" w:rsidP="009E6E2E">
      <w:pPr>
        <w:widowControl/>
        <w:numPr>
          <w:ilvl w:val="0"/>
          <w:numId w:val="14"/>
        </w:numPr>
        <w:tabs>
          <w:tab w:val="left" w:pos="720"/>
        </w:tabs>
        <w:jc w:val="both"/>
        <w:rPr>
          <w:rFonts w:asciiTheme="minorHAnsi" w:hAnsiTheme="minorHAnsi" w:cs="Arial"/>
          <w:szCs w:val="24"/>
        </w:rPr>
      </w:pPr>
      <w:r w:rsidRPr="000D3432">
        <w:rPr>
          <w:rFonts w:asciiTheme="minorHAnsi" w:hAnsiTheme="minorHAnsi" w:cs="Arial"/>
          <w:szCs w:val="24"/>
        </w:rPr>
        <w:t>Podrá trabarse medidas cautelares concurrentes, bajo responsabilidad del Ejecutor de dejar sin efecto, de oficio, aquellas o la parte que supere el monto necesario para cautelar el pago de la deuda tributaria materia de cobranza, así como los gastos señalados en el literal precedente.</w:t>
      </w:r>
    </w:p>
    <w:p w14:paraId="08D5D383" w14:textId="77777777" w:rsidR="00FA0266" w:rsidRPr="000D3432" w:rsidRDefault="00FA0266" w:rsidP="00A95498">
      <w:pPr>
        <w:ind w:left="360"/>
        <w:jc w:val="both"/>
        <w:rPr>
          <w:rFonts w:asciiTheme="minorHAnsi" w:hAnsiTheme="minorHAnsi" w:cs="Arial"/>
          <w:szCs w:val="24"/>
        </w:rPr>
      </w:pPr>
    </w:p>
    <w:p w14:paraId="0E2001EA" w14:textId="77777777" w:rsidR="00FA0266" w:rsidRPr="000D3432" w:rsidRDefault="00FA0266" w:rsidP="00A95498">
      <w:pPr>
        <w:ind w:left="360"/>
        <w:jc w:val="both"/>
        <w:rPr>
          <w:rFonts w:asciiTheme="minorHAnsi" w:hAnsiTheme="minorHAnsi" w:cs="Arial"/>
          <w:szCs w:val="24"/>
        </w:rPr>
      </w:pPr>
    </w:p>
    <w:p w14:paraId="7CF61FC2" w14:textId="77777777" w:rsidR="00FA0266" w:rsidRPr="000D3432" w:rsidRDefault="00FA0266" w:rsidP="00A95498">
      <w:pPr>
        <w:pStyle w:val="Ttulo2"/>
        <w:spacing w:line="240" w:lineRule="auto"/>
        <w:rPr>
          <w:rFonts w:asciiTheme="minorHAnsi" w:hAnsiTheme="minorHAnsi" w:cs="Arial"/>
          <w:sz w:val="24"/>
          <w:szCs w:val="24"/>
        </w:rPr>
      </w:pPr>
      <w:bookmarkStart w:id="100" w:name="_Toc318102905"/>
      <w:r w:rsidRPr="000D3432">
        <w:rPr>
          <w:rFonts w:asciiTheme="minorHAnsi" w:hAnsiTheme="minorHAnsi" w:cs="Arial"/>
          <w:sz w:val="24"/>
          <w:szCs w:val="24"/>
        </w:rPr>
        <w:t>II.1.- EL EMBARGO EN LA COBRANZA COACTIVA</w:t>
      </w:r>
      <w:bookmarkEnd w:id="100"/>
    </w:p>
    <w:p w14:paraId="092D46B2" w14:textId="77777777" w:rsidR="00FA0266" w:rsidRPr="000D3432" w:rsidRDefault="00FA0266" w:rsidP="00A95498">
      <w:pPr>
        <w:jc w:val="both"/>
        <w:rPr>
          <w:rFonts w:asciiTheme="minorHAnsi" w:hAnsiTheme="minorHAnsi" w:cs="Arial"/>
          <w:szCs w:val="24"/>
        </w:rPr>
      </w:pPr>
    </w:p>
    <w:p w14:paraId="28FDDFD3"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Diccionario de la Lengua Española de la Real Academia Española, describe al embargo, en general, como  “Retención, traba o secuestro de bienes por mandamiento de juez o autoridad competente.”(</w:t>
      </w:r>
      <w:r w:rsidRPr="000D3432">
        <w:rPr>
          <w:rStyle w:val="Refdenotaalpie"/>
          <w:rFonts w:asciiTheme="minorHAnsi" w:hAnsiTheme="minorHAnsi" w:cs="Arial"/>
          <w:sz w:val="24"/>
          <w:szCs w:val="24"/>
        </w:rPr>
        <w:footnoteReference w:id="557"/>
      </w:r>
      <w:r w:rsidRPr="000D3432">
        <w:rPr>
          <w:rFonts w:asciiTheme="minorHAnsi" w:hAnsiTheme="minorHAnsi" w:cs="Arial"/>
          <w:szCs w:val="24"/>
        </w:rPr>
        <w:t>). Lo fundamental, pues, en el embargo, es la retención, traba o secuestro de bienes. Pero este concepto sólo describe el hecho. Es un hecho, no una teorización que busca los fines de ese hecho. El embargo, en este sentido es sólo formal, o procedimiento, es un acto procesal, pero como tal se agota en su ejercicio y no en la valoración de este ejercicio. El concepto trascrito arriba también menciona quién ordena este acto de “retención, traba o secuestro”: “el juez o autoridad competente”. Eso indica que otra vez sólo existe determinación de los que pueden imponer esta relación, pero no del contenido valorativo, axiológico,  por lo tal es una figura procesal, de derecho adjetivo, y no sustantivo. El fin que persigue si es, mas bien, sustantivo. No hay duda de la consistencia procesal de este término. Pero la definición dada no agota el contenido del Derecho al que tutela, en el fondo, el embargo. Y ni siquiera Guillermo Cabanellas da una respuesta entera, sino instrumental. El embargo es pues un instrumento, que, en sentido general, definido por Cabanellas es un “impedimento, embarazo u obstáculo; y también como incomodidad, molestia, daño” (</w:t>
      </w:r>
      <w:r w:rsidRPr="000D3432">
        <w:rPr>
          <w:rStyle w:val="Refdenotaalpie"/>
          <w:rFonts w:asciiTheme="minorHAnsi" w:hAnsiTheme="minorHAnsi" w:cs="Arial"/>
          <w:sz w:val="24"/>
          <w:szCs w:val="24"/>
        </w:rPr>
        <w:footnoteReference w:id="558"/>
      </w:r>
      <w:r w:rsidRPr="000D3432">
        <w:rPr>
          <w:rFonts w:asciiTheme="minorHAnsi" w:hAnsiTheme="minorHAnsi" w:cs="Arial"/>
          <w:szCs w:val="24"/>
        </w:rPr>
        <w:t>). Este concepto aclara ya una idea, la de que el embargo como tal produce, en quien lo sufre, “impedimento, incomodidad, molestia”, pero es tal porque su relación, o vínculo con su deber no ha logrado desarrollarse o concretarse. Es pues el deber quien determina la existencia de este acto procesal (el embargo). El deber, la deuda, es pues creada por la norma jurídica (</w:t>
      </w:r>
      <w:r w:rsidRPr="000D3432">
        <w:rPr>
          <w:rStyle w:val="Refdenotaalpie"/>
          <w:rFonts w:asciiTheme="minorHAnsi" w:hAnsiTheme="minorHAnsi" w:cs="Arial"/>
          <w:sz w:val="24"/>
          <w:szCs w:val="24"/>
        </w:rPr>
        <w:footnoteReference w:id="559"/>
      </w:r>
      <w:r w:rsidRPr="000D3432">
        <w:rPr>
          <w:rFonts w:asciiTheme="minorHAnsi" w:hAnsiTheme="minorHAnsi" w:cs="Arial"/>
          <w:szCs w:val="24"/>
        </w:rPr>
        <w:t>), y si seguimos a Luis Diez Picazo, la norma jurídica no impone derechos, sino simplemente determina deberes (</w:t>
      </w:r>
      <w:r w:rsidRPr="000D3432">
        <w:rPr>
          <w:rStyle w:val="Refdenotaalpie"/>
          <w:rFonts w:asciiTheme="minorHAnsi" w:hAnsiTheme="minorHAnsi" w:cs="Arial"/>
          <w:sz w:val="24"/>
          <w:szCs w:val="24"/>
        </w:rPr>
        <w:footnoteReference w:id="560"/>
      </w:r>
      <w:r w:rsidRPr="000D3432">
        <w:rPr>
          <w:rFonts w:asciiTheme="minorHAnsi" w:hAnsiTheme="minorHAnsi" w:cs="Arial"/>
          <w:szCs w:val="24"/>
        </w:rPr>
        <w:t xml:space="preserve">), imputa deberes, crea deudas. </w:t>
      </w:r>
    </w:p>
    <w:p w14:paraId="2E806E3B" w14:textId="77777777" w:rsidR="00FA0266" w:rsidRPr="000D3432" w:rsidRDefault="00FA0266" w:rsidP="00A95498">
      <w:pPr>
        <w:jc w:val="both"/>
        <w:rPr>
          <w:rFonts w:asciiTheme="minorHAnsi" w:hAnsiTheme="minorHAnsi" w:cs="Arial"/>
          <w:szCs w:val="24"/>
        </w:rPr>
      </w:pPr>
    </w:p>
    <w:p w14:paraId="1011995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En su forma más simple el Embargo significa “Retener una cosa judicialmente”, es decir que este retener esta asociado a su vinculación con la utilidad social. </w:t>
      </w:r>
      <w:r w:rsidRPr="000D3432">
        <w:rPr>
          <w:rFonts w:asciiTheme="minorHAnsi" w:hAnsiTheme="minorHAnsi" w:cs="Arial"/>
          <w:szCs w:val="24"/>
        </w:rPr>
        <w:lastRenderedPageBreak/>
        <w:t xml:space="preserve">Pero se requiere para comprender el instituto mencionado otros elementos, como qué se va a retener, qué molestia se va a causar, y para qué se va a realizar esto. Por ello, un concepto más acabo sobre el Embargo es el siguiente: </w:t>
      </w:r>
    </w:p>
    <w:p w14:paraId="0E345229"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El embargo es un “acto procesal consistente en la determinación de los bienes que han de ser objeto de la realización forzosa de entre los que posee el deudor –en su poder o en el de terceros-, fijando su sometimiento a la ejecución y que tiene como contenido una intimación al deudor para que se abstenga de realizar cualquier acto dirigido a sustraer los bienes determinados y sus frutos a la garantía del crédito.”(</w:t>
      </w:r>
      <w:r w:rsidRPr="000D3432">
        <w:rPr>
          <w:rStyle w:val="Refdenotaalpie"/>
          <w:rFonts w:asciiTheme="minorHAnsi" w:hAnsiTheme="minorHAnsi" w:cs="Arial"/>
          <w:sz w:val="24"/>
          <w:szCs w:val="24"/>
        </w:rPr>
        <w:footnoteReference w:id="561"/>
      </w:r>
      <w:r w:rsidRPr="000D3432">
        <w:rPr>
          <w:rFonts w:asciiTheme="minorHAnsi" w:hAnsiTheme="minorHAnsi" w:cs="Arial"/>
          <w:szCs w:val="24"/>
        </w:rPr>
        <w:t>)</w:t>
      </w:r>
    </w:p>
    <w:p w14:paraId="0840A12D" w14:textId="77777777" w:rsidR="00FA0266" w:rsidRPr="000D3432" w:rsidRDefault="00FA0266" w:rsidP="00A95498">
      <w:pPr>
        <w:jc w:val="both"/>
        <w:rPr>
          <w:rFonts w:asciiTheme="minorHAnsi" w:hAnsiTheme="minorHAnsi" w:cs="Arial"/>
          <w:szCs w:val="24"/>
        </w:rPr>
      </w:pPr>
    </w:p>
    <w:p w14:paraId="3273EA41"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embargo es un acto procesal evidentemente, acto que no tiene que ser confundido con la acción. Un acto es un hecho, una acción es un derecho en ejercicio(</w:t>
      </w:r>
      <w:r w:rsidRPr="000D3432">
        <w:rPr>
          <w:rStyle w:val="Refdenotaalpie"/>
          <w:rFonts w:asciiTheme="minorHAnsi" w:hAnsiTheme="minorHAnsi" w:cs="Arial"/>
          <w:sz w:val="24"/>
          <w:szCs w:val="24"/>
        </w:rPr>
        <w:footnoteReference w:id="562"/>
      </w:r>
      <w:r w:rsidRPr="000D3432">
        <w:rPr>
          <w:rFonts w:asciiTheme="minorHAnsi" w:hAnsiTheme="minorHAnsi" w:cs="Arial"/>
          <w:szCs w:val="24"/>
        </w:rPr>
        <w:t>). Pero al ser un acto procesal, al ser derecho adjetivo, su marco es descriptivo, su función es la de coordinar los pasos necesarios para el logro de una finalidad, para esto tiene que -por medio de este acto procesal- determinar -decir qué, cuales, y hasta dónde- que bienes van a embargarse, van a ser susceptibles de retención, y el tipo de esta retención, tipo determinado por sus modalidades. La finalidad, por supuesto, es provocar en el deudor no una impresión, sino una necesidad, o al menos una disposición al cumplimiento del deber. Lo afectado no es el patrimonio sino la voluntad que será transformada en conducta, del deudor. Es más una experiencia política -gobierno y poder- que económica -acumulación de la riqueza-, y por lo tal es necesariamente jurídica, es decir normativa. Porque, si observamos con atención en el fenómeno del embargo no hay sólo una mera búsqueda del cumplimiento de la deuda, sino un fenómeno más extenso, más amplio, como creyera Kant, una afirmación de la libertad, porque “forzarle a cancelar su deuda, a la devolución de lo adeudado, siempre tiene referencia en la libertad general”. Hay, pues, en ejercicio “un principio exterior de determinación para el arbitrio”(</w:t>
      </w:r>
      <w:r w:rsidRPr="000D3432">
        <w:rPr>
          <w:rStyle w:val="Refdenotaalpie"/>
          <w:rFonts w:asciiTheme="minorHAnsi" w:hAnsiTheme="minorHAnsi" w:cs="Arial"/>
          <w:sz w:val="24"/>
          <w:szCs w:val="24"/>
        </w:rPr>
        <w:footnoteReference w:id="563"/>
      </w:r>
      <w:r w:rsidRPr="000D3432">
        <w:rPr>
          <w:rFonts w:asciiTheme="minorHAnsi" w:hAnsiTheme="minorHAnsi" w:cs="Arial"/>
          <w:szCs w:val="24"/>
        </w:rPr>
        <w:t>).</w:t>
      </w:r>
    </w:p>
    <w:p w14:paraId="23EE8E37" w14:textId="77777777" w:rsidR="00FA0266" w:rsidRPr="000D3432" w:rsidRDefault="00FA0266" w:rsidP="00A95498">
      <w:pPr>
        <w:jc w:val="both"/>
        <w:rPr>
          <w:rFonts w:asciiTheme="minorHAnsi" w:hAnsiTheme="minorHAnsi" w:cs="Arial"/>
          <w:szCs w:val="24"/>
        </w:rPr>
      </w:pPr>
    </w:p>
    <w:p w14:paraId="11D29C3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Además, el embargo no es, como lo dice el concepto, sólo “intimación al deudor” para que no perjudique el interés, o el derecho del acreedor, sino que es un proceso de subordinación a una norma general, el derecho, a través de la cual se garantiza la posibilidad de que las operaciones crediticias funcionen. El embargo tiene contenido patrimonial (afecta a los bienes -pero también derechos), pero su razón de ser no es el patrimonio, sino la posibilidad de flujo de las operaciones intersubjetivas. El embargo como garantía de pago, no se agota, pues en la “persecución”, sino en otros elementos, valores jurídicos, como la seguridad jurídica, por ejemplo. </w:t>
      </w:r>
    </w:p>
    <w:p w14:paraId="57BFA15A" w14:textId="77777777" w:rsidR="00FA0266" w:rsidRPr="000D3432" w:rsidRDefault="00FA0266" w:rsidP="00A95498">
      <w:pPr>
        <w:jc w:val="both"/>
        <w:rPr>
          <w:rFonts w:asciiTheme="minorHAnsi" w:hAnsiTheme="minorHAnsi" w:cs="Arial"/>
          <w:szCs w:val="24"/>
        </w:rPr>
      </w:pPr>
    </w:p>
    <w:p w14:paraId="6D9DDC73"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El embargo es una medida que se concentra en la medida de imposibilitar al deudor disponer de los intereses, bienes, que afecten el cumplimiento de pago al </w:t>
      </w:r>
      <w:r w:rsidRPr="000D3432">
        <w:rPr>
          <w:rFonts w:asciiTheme="minorHAnsi" w:hAnsiTheme="minorHAnsi" w:cs="Arial"/>
          <w:szCs w:val="24"/>
        </w:rPr>
        <w:lastRenderedPageBreak/>
        <w:t>acreedor. Garantía, pues, apriori, sobre el crédito (</w:t>
      </w:r>
      <w:r w:rsidRPr="000D3432">
        <w:rPr>
          <w:rStyle w:val="Refdenotaalpie"/>
          <w:rFonts w:asciiTheme="minorHAnsi" w:hAnsiTheme="minorHAnsi" w:cs="Arial"/>
          <w:sz w:val="24"/>
          <w:szCs w:val="24"/>
        </w:rPr>
        <w:footnoteReference w:id="564"/>
      </w:r>
      <w:r w:rsidRPr="000D3432">
        <w:rPr>
          <w:rFonts w:asciiTheme="minorHAnsi" w:hAnsiTheme="minorHAnsi" w:cs="Arial"/>
          <w:szCs w:val="24"/>
        </w:rPr>
        <w:t>), para resultados a posteriori.</w:t>
      </w:r>
    </w:p>
    <w:p w14:paraId="5C1F110D" w14:textId="77777777" w:rsidR="00FA0266" w:rsidRPr="000D3432" w:rsidRDefault="00FA0266" w:rsidP="00A95498">
      <w:pPr>
        <w:jc w:val="both"/>
        <w:rPr>
          <w:rFonts w:asciiTheme="minorHAnsi" w:hAnsiTheme="minorHAnsi" w:cs="Arial"/>
          <w:szCs w:val="24"/>
        </w:rPr>
      </w:pPr>
    </w:p>
    <w:p w14:paraId="2EDE0181" w14:textId="77777777" w:rsidR="00FA0266" w:rsidRPr="000D3432" w:rsidRDefault="00FA0266" w:rsidP="00A95498">
      <w:pPr>
        <w:jc w:val="both"/>
        <w:rPr>
          <w:rFonts w:asciiTheme="minorHAnsi" w:hAnsiTheme="minorHAnsi" w:cs="Arial"/>
          <w:szCs w:val="24"/>
        </w:rPr>
      </w:pPr>
    </w:p>
    <w:p w14:paraId="15EC8D47"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El embargo en nuestra legislación:</w:t>
      </w:r>
    </w:p>
    <w:p w14:paraId="2EF4A759" w14:textId="77777777" w:rsidR="00FA0266" w:rsidRPr="000D3432" w:rsidRDefault="00FA0266" w:rsidP="00A95498">
      <w:pPr>
        <w:jc w:val="both"/>
        <w:rPr>
          <w:rFonts w:asciiTheme="minorHAnsi" w:hAnsiTheme="minorHAnsi" w:cs="Arial"/>
          <w:szCs w:val="24"/>
        </w:rPr>
      </w:pPr>
    </w:p>
    <w:p w14:paraId="7AC4D0E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El embargo la encontramos positivizada en el Código Tributario, Título II. Procedimiento de Cobranza Coactiva. Artículo 118; donde también se determina los tipos de embargo existentes. </w:t>
      </w:r>
    </w:p>
    <w:p w14:paraId="6B8F2A5F" w14:textId="77777777" w:rsidR="00FA0266" w:rsidRPr="000D3432" w:rsidRDefault="00FA0266" w:rsidP="00A95498">
      <w:pPr>
        <w:jc w:val="both"/>
        <w:rPr>
          <w:rFonts w:asciiTheme="minorHAnsi" w:hAnsiTheme="minorHAnsi" w:cs="Arial"/>
          <w:szCs w:val="24"/>
        </w:rPr>
      </w:pPr>
    </w:p>
    <w:p w14:paraId="6E59737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Rubén D. Sanabria Ortiz menciona que es el Código Tributario quien nos menciona las formas de embargo existente, y que supletoriamente podrán usarse las normas del Código Procesal Civil; o dicho mejor en sus propias palabras: “El Código Tributario menciona diversas formas de embargo a cuyas reglas aplicarán supletoriamente las normas del Código procesal Civil hasta donde sean aplicables. </w:t>
      </w:r>
    </w:p>
    <w:p w14:paraId="78AFD79F" w14:textId="77777777" w:rsidR="00FA0266" w:rsidRPr="000D3432" w:rsidRDefault="00FA0266" w:rsidP="00A95498">
      <w:pPr>
        <w:jc w:val="both"/>
        <w:rPr>
          <w:rFonts w:asciiTheme="minorHAnsi" w:hAnsiTheme="minorHAnsi" w:cs="Arial"/>
          <w:szCs w:val="24"/>
        </w:rPr>
      </w:pPr>
    </w:p>
    <w:p w14:paraId="0CEFF9E8"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Insertaremos, para mejor comprensión el artículo 118° del Código Tributario.</w:t>
      </w:r>
    </w:p>
    <w:p w14:paraId="6D52F898" w14:textId="77777777" w:rsidR="00FA0266" w:rsidRPr="000D3432" w:rsidRDefault="00FA0266" w:rsidP="00A95498">
      <w:pPr>
        <w:jc w:val="both"/>
        <w:rPr>
          <w:rFonts w:asciiTheme="minorHAnsi" w:hAnsiTheme="minorHAnsi" w:cs="Arial"/>
          <w:szCs w:val="24"/>
        </w:rPr>
      </w:pPr>
    </w:p>
    <w:p w14:paraId="2317CBB8" w14:textId="77777777" w:rsidR="00FA0266" w:rsidRPr="000D3432" w:rsidRDefault="00FA0266" w:rsidP="00A95498">
      <w:pPr>
        <w:jc w:val="both"/>
        <w:rPr>
          <w:rFonts w:asciiTheme="minorHAnsi" w:hAnsiTheme="minorHAnsi" w:cs="Arial"/>
          <w:szCs w:val="24"/>
        </w:rPr>
      </w:pPr>
    </w:p>
    <w:p w14:paraId="62EF05EB"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Código tributario. Titulo II. Procedimiento de cobranza coactiva</w:t>
      </w:r>
    </w:p>
    <w:p w14:paraId="06C2EB6E" w14:textId="77777777" w:rsidR="00FA0266" w:rsidRPr="000D3432" w:rsidRDefault="00FA0266" w:rsidP="00A95498">
      <w:pPr>
        <w:jc w:val="both"/>
        <w:rPr>
          <w:rFonts w:asciiTheme="minorHAnsi" w:hAnsiTheme="minorHAnsi" w:cs="Arial"/>
          <w:szCs w:val="24"/>
        </w:rPr>
      </w:pPr>
    </w:p>
    <w:p w14:paraId="7ECE9361"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b/>
          <w:szCs w:val="24"/>
        </w:rPr>
        <w:t>Artículo 118°</w:t>
      </w:r>
      <w:r w:rsidRPr="000D3432">
        <w:rPr>
          <w:rFonts w:asciiTheme="minorHAnsi" w:hAnsiTheme="minorHAnsi" w:cs="Arial"/>
          <w:szCs w:val="24"/>
        </w:rPr>
        <w:t>.- MEDIDAS CAUTELARES.- MEDIDA CAUTELAR GENÉRICA</w:t>
      </w:r>
    </w:p>
    <w:p w14:paraId="55F8E7D3" w14:textId="77777777" w:rsidR="00FA0266" w:rsidRPr="000D3432" w:rsidRDefault="00FA0266" w:rsidP="00A95498">
      <w:pPr>
        <w:ind w:left="708"/>
        <w:jc w:val="both"/>
        <w:rPr>
          <w:rFonts w:asciiTheme="minorHAnsi" w:hAnsiTheme="minorHAnsi" w:cs="Arial"/>
          <w:szCs w:val="24"/>
        </w:rPr>
      </w:pPr>
    </w:p>
    <w:p w14:paraId="48E25F98"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Vencido el plazo de siete (7) días, el Ejecutor Coactivo podrá disponer se trabe las medidas cautelares previstas en el presente artículo, que considere necesarias.</w:t>
      </w:r>
    </w:p>
    <w:p w14:paraId="2F7A312C"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Además de las medidas cautelares reguladas en el presente artículo, se podrán adoptar otras medidas no previstas, siempre que aseguren de la forma más adecuada el pago d el adeuda tributaria materia de cobranza. Para tal efecto:</w:t>
      </w:r>
    </w:p>
    <w:p w14:paraId="7DBD2E7C"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a) Notificará las medidas cautelares, las que surtirán sus efectos desde el momento de su recepción.</w:t>
      </w:r>
    </w:p>
    <w:p w14:paraId="5DAD5284"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b) Señalará cualesquiera de los bienes y/o derechos del deudor tributario, aún cuando se encuentren en poder de un tercero.</w:t>
      </w:r>
    </w:p>
    <w:p w14:paraId="5D437B60" w14:textId="77777777" w:rsidR="00FA0266" w:rsidRPr="000D3432" w:rsidRDefault="00FA0266" w:rsidP="00A95498">
      <w:pPr>
        <w:ind w:left="993"/>
        <w:jc w:val="both"/>
        <w:rPr>
          <w:rFonts w:asciiTheme="minorHAnsi" w:hAnsiTheme="minorHAnsi" w:cs="Arial"/>
          <w:szCs w:val="24"/>
        </w:rPr>
      </w:pPr>
      <w:r w:rsidRPr="000D3432">
        <w:rPr>
          <w:rFonts w:asciiTheme="minorHAnsi" w:hAnsiTheme="minorHAnsi" w:cs="Arial"/>
          <w:szCs w:val="24"/>
        </w:rPr>
        <w:t xml:space="preserve">La superintendencia Nacional de Administración Tributaria - SUNAT y la Superintendencia Nacional de Aduanas - ADUANAS, podrán señalar inclusive los bienes que se encuentren dentro de la unidad de producción o comercio, sobre los que, inicialmente, no se podrá trabar embargo en forma de depósito con extracción de bienes, salvo que el deudor tributario ofrezca otros bienes o garantías que sean suficientes </w:t>
      </w:r>
      <w:r w:rsidRPr="000D3432">
        <w:rPr>
          <w:rFonts w:asciiTheme="minorHAnsi" w:hAnsiTheme="minorHAnsi" w:cs="Arial"/>
          <w:szCs w:val="24"/>
        </w:rPr>
        <w:lastRenderedPageBreak/>
        <w:t>para cautelar el pago de la deuda.</w:t>
      </w:r>
    </w:p>
    <w:p w14:paraId="00E10186" w14:textId="77777777" w:rsidR="00FA0266" w:rsidRPr="000D3432" w:rsidRDefault="00FA0266" w:rsidP="00A95498">
      <w:pPr>
        <w:ind w:left="993"/>
        <w:jc w:val="both"/>
        <w:rPr>
          <w:rFonts w:asciiTheme="minorHAnsi" w:hAnsiTheme="minorHAnsi" w:cs="Arial"/>
          <w:szCs w:val="24"/>
        </w:rPr>
      </w:pPr>
      <w:r w:rsidRPr="000D3432">
        <w:rPr>
          <w:rFonts w:asciiTheme="minorHAnsi" w:hAnsiTheme="minorHAnsi" w:cs="Arial"/>
          <w:szCs w:val="24"/>
        </w:rPr>
        <w:t>Se podrá trabar, desde el inicio, el embargo en forma de depósito con extracción, así como cualesquiera de las medidas cautelares a que se refiere el artículo 118, cuando los bienes conformantes de la unidad de producción o comercio aisladamente, no afecten el proceso de producción o de comercio.</w:t>
      </w:r>
    </w:p>
    <w:p w14:paraId="53041785"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c) Modificado por el Artículo 2 de la Ley N° 26663, Los Ejecutores Coactivos de la superintendencia Nacional de administración Tributaria - SUNAT, la Superintendencia Nacional de Aduanas-ADUANAS y el instituto Peruano de Seguridad Social-IPSS, podrán hacer usos de medidas como el descerraje o similares, previa autorización judicial. Para tal efecto deberán cursar solicitud motivada ante cualquier Juez especializado en lo civil, quien debe resolver en el término de veinticuatro (24) horas sin correr traslado a la otra parte, bajo responsabilidad.</w:t>
      </w:r>
    </w:p>
    <w:p w14:paraId="5F0718BD" w14:textId="77777777" w:rsidR="00FA0266" w:rsidRPr="000D3432" w:rsidRDefault="00FA0266" w:rsidP="00A95498">
      <w:pPr>
        <w:ind w:left="708"/>
        <w:jc w:val="both"/>
        <w:rPr>
          <w:rFonts w:asciiTheme="minorHAnsi" w:hAnsiTheme="minorHAnsi" w:cs="Arial"/>
          <w:szCs w:val="24"/>
        </w:rPr>
      </w:pPr>
    </w:p>
    <w:p w14:paraId="2E4D04A5"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Las formas de embargo que podrá trabar el Ejecutor Coactivo son las siguientes:</w:t>
      </w:r>
    </w:p>
    <w:p w14:paraId="5BB7FCB1"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1. En forma de intervención en recaudación, en información o en administración de bienes, debiendo entenderse con el representante de la empresa o negocio.</w:t>
      </w:r>
    </w:p>
    <w:p w14:paraId="3C65E878"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2. En forma de depósito, con o sin extracción de bienes, el que se ejecutará sobre los bienes que se encuentren en cualquier establecimiento, inclusive los comerciales o industriales, u oficinas de profesionales independientes, para lo cual el Ejecutor Coactivo o el Auxiliar Coactivo podrán designar como depositario de los bienes al deudor tributario, a un tercero o a la Administración Tributaria.</w:t>
      </w:r>
    </w:p>
    <w:p w14:paraId="2C941917" w14:textId="77777777" w:rsidR="00FA0266" w:rsidRPr="000D3432" w:rsidRDefault="00FA0266" w:rsidP="00A95498">
      <w:pPr>
        <w:ind w:left="993"/>
        <w:jc w:val="both"/>
        <w:rPr>
          <w:rFonts w:asciiTheme="minorHAnsi" w:hAnsiTheme="minorHAnsi" w:cs="Arial"/>
          <w:szCs w:val="24"/>
        </w:rPr>
      </w:pPr>
      <w:r w:rsidRPr="000D3432">
        <w:rPr>
          <w:rFonts w:asciiTheme="minorHAnsi" w:hAnsiTheme="minorHAnsi" w:cs="Arial"/>
          <w:szCs w:val="24"/>
        </w:rPr>
        <w:t>Cuando se trate de bienes inmuebles no inscritos en Registros Públicos, el Ejecutor Coactivo podrá trabar embargo en forma de depósito respecto de los citados bienes, debiendo nombrarse al deudor tributario como depositario.</w:t>
      </w:r>
    </w:p>
    <w:p w14:paraId="4893447F"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 xml:space="preserve">3. En forma de inscripción, debiendo anotare en el Registro Público u otro registro, según corresponda. El importe de tasas registrales u otros derechos, deberá ser pagado por la Administración Tributaria con el producto del remate, luego de obtenido éste, o por el interesado con ocasión del levantamiento de la medida. </w:t>
      </w:r>
    </w:p>
    <w:p w14:paraId="54B79E5E"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4. En forma de retención, en cuyo caso recae sobre los bienes, valores y fondos en cuentas corrientes, depósitos, custodia y otros, así como sobre los derechos de crédito de los cuales el deudor tributario sea titular, que se encuentren en poder de terceros.</w:t>
      </w:r>
    </w:p>
    <w:p w14:paraId="23435B02" w14:textId="77777777" w:rsidR="00FA0266" w:rsidRPr="000D3432" w:rsidRDefault="00FA0266" w:rsidP="00A95498">
      <w:pPr>
        <w:ind w:left="993" w:hanging="285"/>
        <w:jc w:val="both"/>
        <w:rPr>
          <w:rFonts w:asciiTheme="minorHAnsi" w:hAnsiTheme="minorHAnsi" w:cs="Arial"/>
          <w:szCs w:val="24"/>
        </w:rPr>
      </w:pPr>
    </w:p>
    <w:p w14:paraId="6A0733EA" w14:textId="77777777" w:rsidR="00FA0266" w:rsidRPr="000D3432" w:rsidRDefault="00FA0266" w:rsidP="00A95498">
      <w:pPr>
        <w:ind w:left="993"/>
        <w:jc w:val="both"/>
        <w:rPr>
          <w:rFonts w:asciiTheme="minorHAnsi" w:hAnsiTheme="minorHAnsi" w:cs="Arial"/>
          <w:szCs w:val="24"/>
        </w:rPr>
      </w:pPr>
      <w:r w:rsidRPr="000D3432">
        <w:rPr>
          <w:rFonts w:asciiTheme="minorHAnsi" w:hAnsiTheme="minorHAnsi" w:cs="Arial"/>
          <w:szCs w:val="24"/>
        </w:rPr>
        <w:t>La medida podrá ejecutarse mediante la diligencia de toma de dicho o notificando al tercero a efectos que se retenga el pago a la orden de la Administración Tributaria. En ambos casos, el tercero se encuentra obligado a poner en conocimiento del Ejecutor Coactivo la retención o la imposibilidad de ésta en el plazo máximo de cinco (5) días hábiles de notificada, bajo pena de incurrir en la infracción tipificada en el numeral (6) del artículo 177.</w:t>
      </w:r>
    </w:p>
    <w:p w14:paraId="315F9032" w14:textId="77777777" w:rsidR="00FA0266" w:rsidRPr="000D3432" w:rsidRDefault="00FA0266" w:rsidP="00A95498">
      <w:pPr>
        <w:ind w:left="993"/>
        <w:jc w:val="both"/>
        <w:rPr>
          <w:rFonts w:asciiTheme="minorHAnsi" w:hAnsiTheme="minorHAnsi" w:cs="Arial"/>
          <w:szCs w:val="24"/>
        </w:rPr>
      </w:pPr>
    </w:p>
    <w:p w14:paraId="3A2B8F21" w14:textId="77777777" w:rsidR="00FA0266" w:rsidRPr="000D3432" w:rsidRDefault="00FA0266" w:rsidP="00A95498">
      <w:pPr>
        <w:ind w:left="993"/>
        <w:jc w:val="both"/>
        <w:rPr>
          <w:rFonts w:asciiTheme="minorHAnsi" w:hAnsiTheme="minorHAnsi" w:cs="Arial"/>
          <w:szCs w:val="24"/>
        </w:rPr>
      </w:pPr>
      <w:r w:rsidRPr="000D3432">
        <w:rPr>
          <w:rFonts w:asciiTheme="minorHAnsi" w:hAnsiTheme="minorHAnsi" w:cs="Arial"/>
          <w:szCs w:val="24"/>
        </w:rPr>
        <w:t>El tercero niega la existencia de créditos y/o bienes, aún cuando éstos existan, estará obligado a pagar el monto que omitió retener, sin perjuicio de la sanción correspondiente a la infracción tipificada en el numeral 7)  del artículo 177 y de la responsabilidad penal a que haya lugar.</w:t>
      </w:r>
    </w:p>
    <w:p w14:paraId="341EAAF9" w14:textId="77777777" w:rsidR="00FA0266" w:rsidRPr="000D3432" w:rsidRDefault="00FA0266" w:rsidP="00A95498">
      <w:pPr>
        <w:ind w:left="993"/>
        <w:jc w:val="both"/>
        <w:rPr>
          <w:rFonts w:asciiTheme="minorHAnsi" w:hAnsiTheme="minorHAnsi" w:cs="Arial"/>
          <w:szCs w:val="24"/>
        </w:rPr>
      </w:pPr>
    </w:p>
    <w:p w14:paraId="1791DEF6"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Asimismo, si el tercero no cumple la orden de retener y paga al ejecutado o a un designado por cuenta de aquél, estará obligado a pagar a la Administración Tributaria el monto que debió retener.</w:t>
      </w:r>
    </w:p>
    <w:p w14:paraId="5223484D" w14:textId="77777777" w:rsidR="00FA0266" w:rsidRPr="000D3432" w:rsidRDefault="00FA0266" w:rsidP="00A95498">
      <w:pPr>
        <w:ind w:left="708"/>
        <w:jc w:val="both"/>
        <w:rPr>
          <w:rFonts w:asciiTheme="minorHAnsi" w:hAnsiTheme="minorHAnsi" w:cs="Arial"/>
          <w:szCs w:val="24"/>
        </w:rPr>
      </w:pPr>
    </w:p>
    <w:p w14:paraId="2E999002"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La medida se mantendrá por el monto que el Ejecutor Coactivo ordenó retener al tercero y hasta su entrega al Ejecutor Coactivo.</w:t>
      </w:r>
    </w:p>
    <w:p w14:paraId="543674FE"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En caso que el embargo no cubra la deuda, podrá comprender nuevas cuentas, depósitos, custodia u otros de propiedad del ejecutado.</w:t>
      </w:r>
    </w:p>
    <w:p w14:paraId="48330D10" w14:textId="77777777" w:rsidR="00FA0266" w:rsidRPr="000D3432" w:rsidRDefault="00FA0266" w:rsidP="00A95498">
      <w:pPr>
        <w:jc w:val="both"/>
        <w:rPr>
          <w:rFonts w:asciiTheme="minorHAnsi" w:hAnsiTheme="minorHAnsi" w:cs="Arial"/>
          <w:szCs w:val="24"/>
        </w:rPr>
      </w:pPr>
    </w:p>
    <w:p w14:paraId="69890204" w14:textId="77777777" w:rsidR="00FA0266" w:rsidRPr="000D3432" w:rsidRDefault="00FA0266" w:rsidP="00A95498">
      <w:pPr>
        <w:jc w:val="both"/>
        <w:rPr>
          <w:rFonts w:asciiTheme="minorHAnsi" w:hAnsiTheme="minorHAnsi" w:cs="Arial"/>
          <w:szCs w:val="24"/>
        </w:rPr>
      </w:pPr>
    </w:p>
    <w:p w14:paraId="481F402D"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b/>
          <w:szCs w:val="24"/>
        </w:rPr>
        <w:t>DETERMINACIONES CONCEPTUALES Y GENÉRICAS SOBRE EL ARTÍCULO 118° DEL CÓDIGO TRIBUTARIO</w:t>
      </w:r>
    </w:p>
    <w:p w14:paraId="71EDC753" w14:textId="77777777" w:rsidR="00FA0266" w:rsidRPr="000D3432" w:rsidRDefault="00FA0266" w:rsidP="00A95498">
      <w:pPr>
        <w:jc w:val="both"/>
        <w:rPr>
          <w:rFonts w:asciiTheme="minorHAnsi" w:hAnsiTheme="minorHAnsi" w:cs="Arial"/>
          <w:szCs w:val="24"/>
        </w:rPr>
      </w:pPr>
    </w:p>
    <w:p w14:paraId="4A04B835"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Según se describe en el libro Procedimiento de cobranza coactiva en el Código Tributario (</w:t>
      </w:r>
      <w:r w:rsidRPr="000D3432">
        <w:rPr>
          <w:rStyle w:val="Refdenotaalpie"/>
          <w:rFonts w:asciiTheme="minorHAnsi" w:hAnsiTheme="minorHAnsi" w:cs="Arial"/>
          <w:sz w:val="24"/>
          <w:szCs w:val="24"/>
        </w:rPr>
        <w:footnoteReference w:id="565"/>
      </w:r>
      <w:r w:rsidRPr="000D3432">
        <w:rPr>
          <w:rFonts w:asciiTheme="minorHAnsi" w:hAnsiTheme="minorHAnsi" w:cs="Arial"/>
          <w:szCs w:val="24"/>
        </w:rPr>
        <w:t>) El artículo 118 nos habla sobre las Medidas Cautelares. Medida Cautelar Genérica. En el se determina la existencia de un Ejecutor Coactivo (</w:t>
      </w:r>
      <w:r w:rsidRPr="000D3432">
        <w:rPr>
          <w:rStyle w:val="Refdenotaalpie"/>
          <w:rFonts w:asciiTheme="minorHAnsi" w:hAnsiTheme="minorHAnsi" w:cs="Arial"/>
          <w:sz w:val="24"/>
          <w:szCs w:val="24"/>
        </w:rPr>
        <w:footnoteReference w:id="566"/>
      </w:r>
      <w:r w:rsidRPr="000D3432">
        <w:rPr>
          <w:rFonts w:asciiTheme="minorHAnsi" w:hAnsiTheme="minorHAnsi" w:cs="Arial"/>
          <w:szCs w:val="24"/>
        </w:rPr>
        <w:t>) que posibilite la “eficacia” del cobro de la deuda. Su existencia está fundamentada en su condición de ente para la “recuperación de la deuda tributaria”. Para asegurar el resultado -el cobro de la deuda- el Ejecutor Coactivo  puede elegir entre diversas formas o tipos de medidas cautelares, y éstas se dan en forma de embargo, que pueden ser “sobre cualquier bien y/o derecho del deudor tributario”(</w:t>
      </w:r>
      <w:r w:rsidRPr="000D3432">
        <w:rPr>
          <w:rStyle w:val="Refdenotaalpie"/>
          <w:rFonts w:asciiTheme="minorHAnsi" w:hAnsiTheme="minorHAnsi" w:cs="Arial"/>
          <w:sz w:val="24"/>
          <w:szCs w:val="24"/>
        </w:rPr>
        <w:footnoteReference w:id="567"/>
      </w:r>
      <w:r w:rsidRPr="000D3432">
        <w:rPr>
          <w:rFonts w:asciiTheme="minorHAnsi" w:hAnsiTheme="minorHAnsi" w:cs="Arial"/>
          <w:szCs w:val="24"/>
        </w:rPr>
        <w:t>), incluso sobre aquellos bienes que son considerados “dentro de la unidad de producción o comercio”(</w:t>
      </w:r>
      <w:r w:rsidRPr="000D3432">
        <w:rPr>
          <w:rStyle w:val="Refdenotaalpie"/>
          <w:rFonts w:asciiTheme="minorHAnsi" w:hAnsiTheme="minorHAnsi" w:cs="Arial"/>
          <w:sz w:val="24"/>
          <w:szCs w:val="24"/>
        </w:rPr>
        <w:footnoteReference w:id="568"/>
      </w:r>
      <w:r w:rsidRPr="000D3432">
        <w:rPr>
          <w:rFonts w:asciiTheme="minorHAnsi" w:hAnsiTheme="minorHAnsi" w:cs="Arial"/>
          <w:szCs w:val="24"/>
        </w:rPr>
        <w:t xml:space="preserve">), hasta el </w:t>
      </w:r>
      <w:r w:rsidRPr="000D3432">
        <w:rPr>
          <w:rFonts w:asciiTheme="minorHAnsi" w:hAnsiTheme="minorHAnsi" w:cs="Arial"/>
          <w:szCs w:val="24"/>
        </w:rPr>
        <w:lastRenderedPageBreak/>
        <w:t>límite en donde no dañe o atente contra la propia existencia de la institución deudora.  Recordemos que la intención de estas medidas, de la Cobranza Coactiva no es aniquilar al contribuyente y su capacidad productiva, sino recuperar o cobrar la deuda tributaria; por eso sus potestades tienen necesariamente que tener un límite.</w:t>
      </w:r>
    </w:p>
    <w:p w14:paraId="321BA93D" w14:textId="77777777" w:rsidR="00FA0266" w:rsidRPr="000D3432" w:rsidRDefault="00FA0266" w:rsidP="00A95498">
      <w:pPr>
        <w:jc w:val="both"/>
        <w:rPr>
          <w:rFonts w:asciiTheme="minorHAnsi" w:hAnsiTheme="minorHAnsi" w:cs="Arial"/>
          <w:szCs w:val="24"/>
        </w:rPr>
      </w:pPr>
    </w:p>
    <w:p w14:paraId="6A3856C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Mediante este procedimiento de Cobranza Coactiva, la SUNAT puede acelerar los procesos, realizar embargos genéricos, evitar cambios de domicilio, recurrir al descerraje, obtener información de bancos, seguros(</w:t>
      </w:r>
      <w:r w:rsidRPr="000D3432">
        <w:rPr>
          <w:rStyle w:val="Refdenotaalpie"/>
          <w:rFonts w:asciiTheme="minorHAnsi" w:hAnsiTheme="minorHAnsi" w:cs="Arial"/>
          <w:sz w:val="24"/>
          <w:szCs w:val="24"/>
        </w:rPr>
        <w:footnoteReference w:id="569"/>
      </w:r>
      <w:r w:rsidRPr="000D3432">
        <w:rPr>
          <w:rFonts w:asciiTheme="minorHAnsi" w:hAnsiTheme="minorHAnsi" w:cs="Arial"/>
          <w:szCs w:val="24"/>
        </w:rPr>
        <w:t>).</w:t>
      </w:r>
    </w:p>
    <w:p w14:paraId="0E663DC1" w14:textId="77777777" w:rsidR="00FA0266" w:rsidRPr="000D3432" w:rsidRDefault="00FA0266" w:rsidP="00A95498">
      <w:pPr>
        <w:jc w:val="both"/>
        <w:rPr>
          <w:rFonts w:asciiTheme="minorHAnsi" w:hAnsiTheme="minorHAnsi" w:cs="Arial"/>
          <w:szCs w:val="24"/>
        </w:rPr>
      </w:pPr>
    </w:p>
    <w:p w14:paraId="035BDBB3"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Otra de las características de este procedimiento es el de las fianzas, que la SUNAT puede indicar -el monto- al Juez. La referencia de la fianza es un base a un “30 % de la presunta evasión”(</w:t>
      </w:r>
      <w:r w:rsidRPr="000D3432">
        <w:rPr>
          <w:rStyle w:val="Refdenotaalpie"/>
          <w:rFonts w:asciiTheme="minorHAnsi" w:hAnsiTheme="minorHAnsi" w:cs="Arial"/>
          <w:sz w:val="24"/>
          <w:szCs w:val="24"/>
        </w:rPr>
        <w:footnoteReference w:id="570"/>
      </w:r>
      <w:r w:rsidRPr="000D3432">
        <w:rPr>
          <w:rFonts w:asciiTheme="minorHAnsi" w:hAnsiTheme="minorHAnsi" w:cs="Arial"/>
          <w:szCs w:val="24"/>
        </w:rPr>
        <w:t>).</w:t>
      </w:r>
    </w:p>
    <w:p w14:paraId="7608198C" w14:textId="77777777" w:rsidR="00FA0266" w:rsidRPr="000D3432" w:rsidRDefault="00FA0266" w:rsidP="00A95498">
      <w:pPr>
        <w:jc w:val="both"/>
        <w:rPr>
          <w:rFonts w:asciiTheme="minorHAnsi" w:hAnsiTheme="minorHAnsi" w:cs="Arial"/>
          <w:szCs w:val="24"/>
        </w:rPr>
      </w:pPr>
    </w:p>
    <w:p w14:paraId="2FC9008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deudor puede a través de una carta fianza bancaria solicitar el levantamiento de la medida cautelar, pero tiene que realizarlo antes de iniciado el procedimiento coactivo. También puede levantarse la medida cautelar por medio de otra garantía, que no sea la de la carta fianza, pero que asegure el pago de la deuda tributaria.</w:t>
      </w:r>
    </w:p>
    <w:p w14:paraId="4D270241" w14:textId="77777777" w:rsidR="00FA0266" w:rsidRPr="000D3432" w:rsidRDefault="00FA0266" w:rsidP="00A95498">
      <w:pPr>
        <w:jc w:val="both"/>
        <w:rPr>
          <w:rFonts w:asciiTheme="minorHAnsi" w:hAnsiTheme="minorHAnsi" w:cs="Arial"/>
          <w:szCs w:val="24"/>
        </w:rPr>
      </w:pPr>
    </w:p>
    <w:p w14:paraId="6C8E5A11"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Se ha dejado, además, de lado o eliminado la clasificación del embargo preventivo o definitivo. En el caso del embargo preventivo, éste parece significar que el deudor contribuyente tenía un plazo para poder ponerse al día, antes de iniciado el procedimiento de Cobranza coactiva. </w:t>
      </w:r>
    </w:p>
    <w:p w14:paraId="2C2231F1" w14:textId="77777777" w:rsidR="00FA0266" w:rsidRPr="000D3432" w:rsidRDefault="00FA0266" w:rsidP="00A95498">
      <w:pPr>
        <w:jc w:val="both"/>
        <w:rPr>
          <w:rFonts w:asciiTheme="minorHAnsi" w:hAnsiTheme="minorHAnsi" w:cs="Arial"/>
          <w:szCs w:val="24"/>
        </w:rPr>
      </w:pPr>
    </w:p>
    <w:p w14:paraId="36E2B674"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ANTECEDENTES LEGALES:</w:t>
      </w:r>
    </w:p>
    <w:p w14:paraId="327E5A0E" w14:textId="77777777" w:rsidR="00FA0266" w:rsidRPr="000D3432" w:rsidRDefault="00FA0266" w:rsidP="00A95498">
      <w:pPr>
        <w:jc w:val="both"/>
        <w:rPr>
          <w:rFonts w:asciiTheme="minorHAnsi" w:hAnsiTheme="minorHAnsi" w:cs="Arial"/>
          <w:b/>
          <w:szCs w:val="24"/>
        </w:rPr>
      </w:pPr>
    </w:p>
    <w:p w14:paraId="3451A3BA"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1.- Las Medidas Cautelares tienen sus antecedentes legales (</w:t>
      </w:r>
      <w:r w:rsidRPr="000D3432">
        <w:rPr>
          <w:rStyle w:val="Refdenotaalpie"/>
          <w:rFonts w:asciiTheme="minorHAnsi" w:hAnsiTheme="minorHAnsi" w:cs="Arial"/>
          <w:b/>
          <w:sz w:val="24"/>
          <w:szCs w:val="24"/>
        </w:rPr>
        <w:footnoteReference w:id="571"/>
      </w:r>
      <w:r w:rsidRPr="000D3432">
        <w:rPr>
          <w:rFonts w:asciiTheme="minorHAnsi" w:hAnsiTheme="minorHAnsi" w:cs="Arial"/>
          <w:b/>
          <w:szCs w:val="24"/>
        </w:rPr>
        <w:t>) en:</w:t>
      </w:r>
    </w:p>
    <w:p w14:paraId="3B02EBD7" w14:textId="77777777" w:rsidR="00FA0266" w:rsidRPr="000D3432" w:rsidRDefault="00FA0266" w:rsidP="00A95498">
      <w:pPr>
        <w:ind w:left="284" w:hanging="284"/>
        <w:jc w:val="both"/>
        <w:rPr>
          <w:rFonts w:asciiTheme="minorHAnsi" w:hAnsiTheme="minorHAnsi" w:cs="Arial"/>
          <w:szCs w:val="24"/>
        </w:rPr>
      </w:pPr>
    </w:p>
    <w:p w14:paraId="7A1E65B4" w14:textId="77777777" w:rsidR="00FA0266" w:rsidRPr="000D3432" w:rsidRDefault="00FA0266" w:rsidP="00A95498">
      <w:pPr>
        <w:ind w:left="284" w:hanging="284"/>
        <w:jc w:val="both"/>
        <w:rPr>
          <w:rFonts w:asciiTheme="minorHAnsi" w:hAnsiTheme="minorHAnsi" w:cs="Arial"/>
          <w:szCs w:val="24"/>
        </w:rPr>
      </w:pPr>
      <w:r w:rsidRPr="000D3432">
        <w:rPr>
          <w:rFonts w:asciiTheme="minorHAnsi" w:hAnsiTheme="minorHAnsi" w:cs="Arial"/>
          <w:szCs w:val="24"/>
        </w:rPr>
        <w:t xml:space="preserve">a) </w:t>
      </w:r>
      <w:r w:rsidRPr="000D3432">
        <w:rPr>
          <w:rFonts w:asciiTheme="minorHAnsi" w:hAnsiTheme="minorHAnsi" w:cs="Arial"/>
          <w:b/>
          <w:szCs w:val="24"/>
        </w:rPr>
        <w:t>Código original</w:t>
      </w:r>
      <w:r w:rsidRPr="000D3432">
        <w:rPr>
          <w:rFonts w:asciiTheme="minorHAnsi" w:hAnsiTheme="minorHAnsi" w:cs="Arial"/>
          <w:szCs w:val="24"/>
        </w:rPr>
        <w:t>. Ley 16043/DS. 263-H (C.T. 1966), art. 102°.; D.S. 395-82-EFC (T.U.O. 1982), art. 100°; D.L. 17355, art. 4°.; D.Leg. 300, art. 1°.; D.Leg. 501, art. 5°. Inc. E); D.Leg. 520, art. 1°.; D.S. 218-90-EF (T.U.O. 1990), art. 100°.</w:t>
      </w:r>
    </w:p>
    <w:p w14:paraId="7B3098FB" w14:textId="77777777" w:rsidR="00FA0266" w:rsidRPr="000D3432" w:rsidRDefault="00FA0266" w:rsidP="00A95498">
      <w:pPr>
        <w:ind w:left="284" w:hanging="284"/>
        <w:jc w:val="both"/>
        <w:rPr>
          <w:rFonts w:asciiTheme="minorHAnsi" w:hAnsiTheme="minorHAnsi" w:cs="Arial"/>
          <w:szCs w:val="24"/>
        </w:rPr>
      </w:pPr>
      <w:r w:rsidRPr="000D3432">
        <w:rPr>
          <w:rFonts w:asciiTheme="minorHAnsi" w:hAnsiTheme="minorHAnsi" w:cs="Arial"/>
          <w:szCs w:val="24"/>
        </w:rPr>
        <w:t xml:space="preserve">b) </w:t>
      </w:r>
      <w:r w:rsidRPr="000D3432">
        <w:rPr>
          <w:rFonts w:asciiTheme="minorHAnsi" w:hAnsiTheme="minorHAnsi" w:cs="Arial"/>
          <w:b/>
          <w:szCs w:val="24"/>
        </w:rPr>
        <w:t>Códigos posteriores:</w:t>
      </w:r>
      <w:r w:rsidRPr="000D3432">
        <w:rPr>
          <w:rFonts w:asciiTheme="minorHAnsi" w:hAnsiTheme="minorHAnsi" w:cs="Arial"/>
          <w:szCs w:val="24"/>
        </w:rPr>
        <w:t xml:space="preserve"> D.L. 25859 (C.T. 1992), art. 118°.; D.Leg. 773 (C.T. 1993), art. 118°.</w:t>
      </w:r>
    </w:p>
    <w:p w14:paraId="1269D949" w14:textId="77777777" w:rsidR="00FA0266" w:rsidRPr="000D3432" w:rsidRDefault="00FA0266" w:rsidP="00A95498">
      <w:pPr>
        <w:ind w:left="284" w:hanging="284"/>
        <w:jc w:val="both"/>
        <w:rPr>
          <w:rFonts w:asciiTheme="minorHAnsi" w:hAnsiTheme="minorHAnsi" w:cs="Arial"/>
          <w:szCs w:val="24"/>
        </w:rPr>
      </w:pPr>
    </w:p>
    <w:p w14:paraId="01C181FE" w14:textId="77777777" w:rsidR="00FA0266" w:rsidRPr="000D3432" w:rsidRDefault="00FA0266" w:rsidP="00A95498">
      <w:pPr>
        <w:ind w:left="284" w:hanging="284"/>
        <w:jc w:val="both"/>
        <w:rPr>
          <w:rFonts w:asciiTheme="minorHAnsi" w:hAnsiTheme="minorHAnsi" w:cs="Arial"/>
          <w:b/>
          <w:szCs w:val="24"/>
        </w:rPr>
      </w:pPr>
      <w:r w:rsidRPr="000D3432">
        <w:rPr>
          <w:rFonts w:asciiTheme="minorHAnsi" w:hAnsiTheme="minorHAnsi" w:cs="Arial"/>
          <w:b/>
          <w:szCs w:val="24"/>
        </w:rPr>
        <w:t>2.- Concordancias:</w:t>
      </w:r>
    </w:p>
    <w:p w14:paraId="77A490C9"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Según lo indicado en el texto: Comentarios Legales tenemos:</w:t>
      </w:r>
    </w:p>
    <w:p w14:paraId="7F5372F8" w14:textId="77777777" w:rsidR="00FA0266" w:rsidRPr="000D3432" w:rsidRDefault="00FA0266" w:rsidP="00A95498">
      <w:pPr>
        <w:jc w:val="both"/>
        <w:rPr>
          <w:rFonts w:asciiTheme="minorHAnsi" w:hAnsiTheme="minorHAnsi" w:cs="Arial"/>
          <w:szCs w:val="24"/>
        </w:rPr>
      </w:pPr>
    </w:p>
    <w:p w14:paraId="3F6E7FEA"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a) </w:t>
      </w:r>
      <w:r w:rsidRPr="000D3432">
        <w:rPr>
          <w:rFonts w:asciiTheme="minorHAnsi" w:hAnsiTheme="minorHAnsi" w:cs="Arial"/>
          <w:b/>
          <w:szCs w:val="24"/>
        </w:rPr>
        <w:t>Legislación</w:t>
      </w:r>
      <w:r w:rsidRPr="000D3432">
        <w:rPr>
          <w:rFonts w:asciiTheme="minorHAnsi" w:hAnsiTheme="minorHAnsi" w:cs="Arial"/>
          <w:szCs w:val="24"/>
        </w:rPr>
        <w:t xml:space="preserve">.- C.T., arts. 56°.- 58°. (Medidas cautelares), 106°. (Efectos de las notificaciones), 115°. (Deuda exigible en cobranza coactiva); C.P.C., art. 629°. (Medida cautelar genérica); Ley 26979 (Ley de Procedimiento de Ejecución Coactiva), arts. 3° (Función del ejecutor Coactivo), 5°. D (Suscripción de documentos), 13°. 13.1. (Medida cautelar), 17°. (Medida cautelar), 18°. (Responsabilidad y obligación de terceros), 19° 8Descerraje), 32°. (Medidas </w:t>
      </w:r>
      <w:r w:rsidRPr="000D3432">
        <w:rPr>
          <w:rFonts w:asciiTheme="minorHAnsi" w:hAnsiTheme="minorHAnsi" w:cs="Arial"/>
          <w:szCs w:val="24"/>
        </w:rPr>
        <w:lastRenderedPageBreak/>
        <w:t>cautelares), 33° (Formas de embargo), 34° (Responsabilidad y obligación de terceros), 35° (Descerraje); D.L. 17355, arts. 5° (Liquidación de costas), 6° Suspensión de procedimiento coactivo).</w:t>
      </w:r>
    </w:p>
    <w:p w14:paraId="0D2E1C89" w14:textId="77777777" w:rsidR="00FA0266" w:rsidRPr="000D3432" w:rsidRDefault="00FA0266" w:rsidP="00A95498">
      <w:pPr>
        <w:jc w:val="both"/>
        <w:rPr>
          <w:rFonts w:asciiTheme="minorHAnsi" w:hAnsiTheme="minorHAnsi" w:cs="Arial"/>
          <w:szCs w:val="24"/>
        </w:rPr>
      </w:pPr>
    </w:p>
    <w:p w14:paraId="3D097628"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 xml:space="preserve">3.- Reglamentos: </w:t>
      </w:r>
    </w:p>
    <w:p w14:paraId="2F06B3D3" w14:textId="77777777" w:rsidR="00FA0266" w:rsidRPr="000D3432" w:rsidRDefault="00FA0266" w:rsidP="00A95498">
      <w:pPr>
        <w:jc w:val="both"/>
        <w:rPr>
          <w:rFonts w:asciiTheme="minorHAnsi" w:hAnsiTheme="minorHAnsi" w:cs="Arial"/>
          <w:szCs w:val="24"/>
        </w:rPr>
      </w:pPr>
    </w:p>
    <w:p w14:paraId="2F2D7095"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También trata sobre el Embargo el Reglamento del Procedimiento de Cobranza Coactiva. Resolución de Superintendencia N° 016-97/SUNAT, publicada en el Diario el Peruano - Normas Legales, el jueves 6 de marzo de 1997. El embargo se encuentra dentro del Capítulo II Medidas Cautelares, del mencionado Reglamento, en sus artículos 14° y siguientes:</w:t>
      </w:r>
    </w:p>
    <w:p w14:paraId="7D44D02D" w14:textId="77777777" w:rsidR="00FA0266" w:rsidRPr="000D3432" w:rsidRDefault="00FA0266" w:rsidP="00A95498">
      <w:pPr>
        <w:jc w:val="both"/>
        <w:rPr>
          <w:rFonts w:asciiTheme="minorHAnsi" w:hAnsiTheme="minorHAnsi" w:cs="Arial"/>
          <w:szCs w:val="24"/>
        </w:rPr>
      </w:pPr>
    </w:p>
    <w:p w14:paraId="53F35C90"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Artículo 14° TIPOS DE MEDIDAS CAUTELARES</w:t>
      </w:r>
    </w:p>
    <w:p w14:paraId="3A32D0DC"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De conformidad con lo dispuesto en el Artículo 118° del Código, las medidas cautelares que pueden trabarse son:</w:t>
      </w:r>
    </w:p>
    <w:p w14:paraId="4A836BE0" w14:textId="77777777" w:rsidR="00FA0266" w:rsidRPr="000D3432" w:rsidRDefault="00FA0266" w:rsidP="00A95498">
      <w:pPr>
        <w:jc w:val="both"/>
        <w:rPr>
          <w:rFonts w:asciiTheme="minorHAnsi" w:hAnsiTheme="minorHAnsi" w:cs="Arial"/>
          <w:szCs w:val="24"/>
        </w:rPr>
      </w:pPr>
    </w:p>
    <w:p w14:paraId="2ECE560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1. Embargos</w:t>
      </w:r>
    </w:p>
    <w:p w14:paraId="3CC81D38"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a) En forma de intervención:</w:t>
      </w:r>
    </w:p>
    <w:p w14:paraId="6415C7C8"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 En recaudación.</w:t>
      </w:r>
    </w:p>
    <w:p w14:paraId="329E26B6"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 En Información.</w:t>
      </w:r>
    </w:p>
    <w:p w14:paraId="783FF2E6"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 En Administración de bienes.</w:t>
      </w:r>
    </w:p>
    <w:p w14:paraId="48565924"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b) En forma de depósito.</w:t>
      </w:r>
    </w:p>
    <w:p w14:paraId="33A69006"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c) En forma de inscripción.</w:t>
      </w:r>
    </w:p>
    <w:p w14:paraId="17EFF6C5"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d) En forma  de retención.</w:t>
      </w:r>
    </w:p>
    <w:p w14:paraId="6BDAAD12" w14:textId="77777777" w:rsidR="00FA0266" w:rsidRPr="000D3432" w:rsidRDefault="00FA0266" w:rsidP="00A95498">
      <w:pPr>
        <w:jc w:val="both"/>
        <w:rPr>
          <w:rFonts w:asciiTheme="minorHAnsi" w:hAnsiTheme="minorHAnsi" w:cs="Arial"/>
          <w:szCs w:val="24"/>
        </w:rPr>
      </w:pPr>
    </w:p>
    <w:p w14:paraId="3F2E6CA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2. Otras medidas no previstas, siempre que aseguren de la forma más adecuada el pago de la deuda tributaria materia de cobranza.</w:t>
      </w:r>
    </w:p>
    <w:p w14:paraId="730ADF5D" w14:textId="77777777" w:rsidR="00FA0266" w:rsidRPr="000D3432" w:rsidRDefault="00FA0266" w:rsidP="00A95498">
      <w:pPr>
        <w:jc w:val="both"/>
        <w:rPr>
          <w:rFonts w:asciiTheme="minorHAnsi" w:hAnsiTheme="minorHAnsi" w:cs="Arial"/>
          <w:szCs w:val="24"/>
        </w:rPr>
      </w:pPr>
    </w:p>
    <w:p w14:paraId="0327E26F" w14:textId="77777777" w:rsidR="00FA0266" w:rsidRPr="000D3432" w:rsidRDefault="00FA0266" w:rsidP="00A95498">
      <w:pPr>
        <w:jc w:val="both"/>
        <w:rPr>
          <w:rFonts w:asciiTheme="minorHAnsi" w:hAnsiTheme="minorHAnsi" w:cs="Arial"/>
          <w:szCs w:val="24"/>
        </w:rPr>
      </w:pPr>
    </w:p>
    <w:p w14:paraId="2C266250"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II. 2.- TIPOS o FORMAS DE EMBARGO</w:t>
      </w:r>
    </w:p>
    <w:p w14:paraId="5796746D" w14:textId="77777777" w:rsidR="00FA0266" w:rsidRPr="000D3432" w:rsidRDefault="00FA0266" w:rsidP="00A95498">
      <w:pPr>
        <w:jc w:val="both"/>
        <w:rPr>
          <w:rFonts w:asciiTheme="minorHAnsi" w:hAnsiTheme="minorHAnsi" w:cs="Arial"/>
          <w:b/>
          <w:szCs w:val="24"/>
        </w:rPr>
      </w:pPr>
    </w:p>
    <w:p w14:paraId="41FD5084"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embargo puede ser entablada por el Ejecutor Coactivo, quien tiene esa facultad, y puede ser de las siguientes formas:</w:t>
      </w:r>
    </w:p>
    <w:p w14:paraId="2E06A668"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a)En forma de intervención: (En recaudación; En Información; En Administración de bienes).</w:t>
      </w:r>
    </w:p>
    <w:p w14:paraId="502A9E13"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b) En forma de depósito.</w:t>
      </w:r>
    </w:p>
    <w:p w14:paraId="0DFF24E2" w14:textId="77777777" w:rsidR="00FA0266" w:rsidRPr="000D3432" w:rsidRDefault="00FA0266" w:rsidP="00A95498">
      <w:pPr>
        <w:ind w:left="993" w:hanging="285"/>
        <w:jc w:val="both"/>
        <w:rPr>
          <w:rFonts w:asciiTheme="minorHAnsi" w:hAnsiTheme="minorHAnsi" w:cs="Arial"/>
          <w:szCs w:val="24"/>
        </w:rPr>
      </w:pPr>
      <w:r w:rsidRPr="000D3432">
        <w:rPr>
          <w:rFonts w:asciiTheme="minorHAnsi" w:hAnsiTheme="minorHAnsi" w:cs="Arial"/>
          <w:szCs w:val="24"/>
        </w:rPr>
        <w:t>c) En forma de inscripción.</w:t>
      </w:r>
    </w:p>
    <w:p w14:paraId="1036ADBF" w14:textId="77777777" w:rsidR="00FA0266" w:rsidRPr="000D3432" w:rsidRDefault="00FA0266" w:rsidP="00A95498">
      <w:pPr>
        <w:ind w:left="993" w:hanging="285"/>
        <w:jc w:val="both"/>
        <w:rPr>
          <w:rFonts w:asciiTheme="minorHAnsi" w:hAnsiTheme="minorHAnsi" w:cs="Arial"/>
          <w:szCs w:val="24"/>
        </w:rPr>
      </w:pPr>
    </w:p>
    <w:p w14:paraId="1CB44258" w14:textId="77777777" w:rsidR="00FA0266" w:rsidRPr="000D3432" w:rsidRDefault="00FA0266" w:rsidP="00A95498">
      <w:pPr>
        <w:jc w:val="both"/>
        <w:rPr>
          <w:rFonts w:asciiTheme="minorHAnsi" w:hAnsiTheme="minorHAnsi" w:cs="Arial"/>
          <w:b/>
          <w:szCs w:val="24"/>
        </w:rPr>
      </w:pPr>
      <w:r w:rsidRPr="000D3432">
        <w:rPr>
          <w:rFonts w:asciiTheme="minorHAnsi" w:hAnsiTheme="minorHAnsi" w:cs="Arial"/>
          <w:b/>
          <w:szCs w:val="24"/>
        </w:rPr>
        <w:t>a) EMBARGO EN FORMA DE INTERVENCIÓN EN RECAUDACIÓN</w:t>
      </w:r>
    </w:p>
    <w:p w14:paraId="4A61E829" w14:textId="77777777" w:rsidR="00FA0266" w:rsidRPr="000D3432" w:rsidRDefault="00FA0266" w:rsidP="00A95498">
      <w:pPr>
        <w:jc w:val="both"/>
        <w:rPr>
          <w:rFonts w:asciiTheme="minorHAnsi" w:hAnsiTheme="minorHAnsi" w:cs="Arial"/>
          <w:b/>
          <w:szCs w:val="24"/>
        </w:rPr>
      </w:pPr>
    </w:p>
    <w:p w14:paraId="29143D98"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Según el artículo 17° del Reglamento de Procedimiento de Cobranza Coactiva, el Embargo en forma de Intervención en Recaudación “consiste en la afectación de los ingresos de una empresa, negocio u oficina de profesionales independientes donde se realice la actividad económica, con el objeto de recaudar directamente de aquella, durante el tiempo d}que dure la medida, los ingresos necesarios para la cancelación de la deuda tributaria en cobranza.</w:t>
      </w:r>
    </w:p>
    <w:p w14:paraId="088BBBC0" w14:textId="77777777" w:rsidR="00FA0266" w:rsidRPr="000D3432" w:rsidRDefault="00FA0266" w:rsidP="00A95498">
      <w:pPr>
        <w:jc w:val="both"/>
        <w:rPr>
          <w:rFonts w:asciiTheme="minorHAnsi" w:hAnsiTheme="minorHAnsi" w:cs="Arial"/>
          <w:szCs w:val="24"/>
        </w:rPr>
      </w:pPr>
    </w:p>
    <w:p w14:paraId="73AE6BD2"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Este tipo de embargo también se encuentra regulado en el artículo 118, numeral </w:t>
      </w:r>
      <w:r w:rsidRPr="000D3432">
        <w:rPr>
          <w:rFonts w:asciiTheme="minorHAnsi" w:hAnsiTheme="minorHAnsi" w:cs="Arial"/>
          <w:szCs w:val="24"/>
        </w:rPr>
        <w:lastRenderedPageBreak/>
        <w:t>1 del Código Tributario y, además, en el Código Procesal Civil Art. 661, según indica Ruben. D. Sanabria Ortiz (</w:t>
      </w:r>
      <w:r w:rsidRPr="000D3432">
        <w:rPr>
          <w:rStyle w:val="Refdenotaalpie"/>
          <w:rFonts w:asciiTheme="minorHAnsi" w:hAnsiTheme="minorHAnsi" w:cs="Arial"/>
          <w:sz w:val="24"/>
          <w:szCs w:val="24"/>
        </w:rPr>
        <w:footnoteReference w:id="572"/>
      </w:r>
      <w:r w:rsidRPr="000D3432">
        <w:rPr>
          <w:rFonts w:asciiTheme="minorHAnsi" w:hAnsiTheme="minorHAnsi" w:cs="Arial"/>
          <w:szCs w:val="24"/>
        </w:rPr>
        <w:t xml:space="preserve">). </w:t>
      </w:r>
    </w:p>
    <w:p w14:paraId="056B448A" w14:textId="77777777" w:rsidR="00FA0266" w:rsidRPr="000D3432" w:rsidRDefault="00FA0266" w:rsidP="00A95498">
      <w:pPr>
        <w:jc w:val="both"/>
        <w:rPr>
          <w:rFonts w:asciiTheme="minorHAnsi" w:hAnsiTheme="minorHAnsi" w:cs="Arial"/>
          <w:szCs w:val="24"/>
        </w:rPr>
      </w:pPr>
    </w:p>
    <w:p w14:paraId="7F310F50"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Este tipo de embargo consiste en la afectación de los ingresos de una empresa, de persona natural o jurídica. Eso significa que lo embargado son los “ingresos”. Y para que sea efectivo es necesario la designación de los interventores. </w:t>
      </w:r>
    </w:p>
    <w:p w14:paraId="18255E36" w14:textId="77777777" w:rsidR="00FA0266" w:rsidRPr="000D3432" w:rsidRDefault="00FA0266" w:rsidP="00A95498">
      <w:pPr>
        <w:jc w:val="both"/>
        <w:rPr>
          <w:rFonts w:asciiTheme="minorHAnsi" w:hAnsiTheme="minorHAnsi" w:cs="Arial"/>
          <w:szCs w:val="24"/>
        </w:rPr>
      </w:pPr>
    </w:p>
    <w:p w14:paraId="6C9BF1B1"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Según Rubén D. Sanabria Ortiz, este tipo de embargo puede ser preventivo, en una primera etapa, y luego convertirse en definitivo. Se tiene que tomar en cuenta que este embargo no afectan la “estabilidad económica de la empresa”, porque si bien se quiere logra el cobro de la deuda, no se puede afectar la existencia de la empresa, y esta existencia se sustenta en su régimen económico, en su estabilidad económica, sustrayendo sólo aquellos ingresos que, sin afectar esta estabilidad económica, sean necesarios para cubrir la deuda. La afectación, por ello se hace en los ingresos de la empresa. </w:t>
      </w:r>
    </w:p>
    <w:p w14:paraId="3593F65B" w14:textId="77777777" w:rsidR="00FA0266" w:rsidRPr="000D3432" w:rsidRDefault="00FA0266" w:rsidP="00A95498">
      <w:pPr>
        <w:jc w:val="both"/>
        <w:rPr>
          <w:rFonts w:asciiTheme="minorHAnsi" w:hAnsiTheme="minorHAnsi" w:cs="Arial"/>
          <w:szCs w:val="24"/>
        </w:rPr>
      </w:pPr>
    </w:p>
    <w:p w14:paraId="085EDFFF"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La Administración cumple la función de recaudar el monto referido a la deuda a través de un interventor hasta lograr cubrir el monto total de la deuda. La recaudación es directamente desde la empresa. Esta última es la peculiaridad. Se tiene que hacer, para poder lograr esto una previa evaluación. El Ejecutor coactivo, de acuerdo con el artículo 16 Reglas Generales, del Reglamento del Procedimiento de Cobranza Coactiva, numeral a) puede antes de trabar la medida cautelar recabar información, indagaciones que considere pertinentes a fin de poder elegir que tipo de embargo hacer, para efectuar la medida “más adecuada” para lograr recuperar o efectuar el cobro de la deuda tributaria.. Además es potestad del Ejecutor Coactivo, de acuerdo al numeral c), Art. 16 del Reglamento de Procedimientos de Cobranza Coactiva, “señalar cualquiera de los bienes y/o derechos del deudor”. </w:t>
      </w:r>
    </w:p>
    <w:p w14:paraId="3AC3F26F" w14:textId="77777777" w:rsidR="00FA0266" w:rsidRPr="000D3432" w:rsidRDefault="00FA0266" w:rsidP="00A95498">
      <w:pPr>
        <w:jc w:val="both"/>
        <w:rPr>
          <w:rFonts w:asciiTheme="minorHAnsi" w:hAnsiTheme="minorHAnsi" w:cs="Arial"/>
          <w:szCs w:val="24"/>
        </w:rPr>
      </w:pPr>
    </w:p>
    <w:p w14:paraId="0A385A0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Para realizar el embargo en forma de Intervención en Recaudación se requiere, de acuerdo  al Artículo 17° del Reglamento del Procedimiento de Cobranza Coactiva, de:</w:t>
      </w:r>
    </w:p>
    <w:p w14:paraId="2EE27FE2" w14:textId="77777777" w:rsidR="00FA0266" w:rsidRPr="000D3432" w:rsidRDefault="00FA0266" w:rsidP="009E6E2E">
      <w:pPr>
        <w:widowControl/>
        <w:numPr>
          <w:ilvl w:val="0"/>
          <w:numId w:val="15"/>
        </w:numPr>
        <w:tabs>
          <w:tab w:val="left" w:pos="720"/>
        </w:tabs>
        <w:jc w:val="both"/>
        <w:rPr>
          <w:rFonts w:asciiTheme="minorHAnsi" w:hAnsiTheme="minorHAnsi" w:cs="Arial"/>
          <w:szCs w:val="24"/>
        </w:rPr>
      </w:pPr>
      <w:r w:rsidRPr="000D3432">
        <w:rPr>
          <w:rFonts w:asciiTheme="minorHAnsi" w:hAnsiTheme="minorHAnsi" w:cs="Arial"/>
          <w:szCs w:val="24"/>
        </w:rPr>
        <w:t>Se notificará al deudor o a su representante la resolución de embargo en la cual se nombrará al interventor o a los interventores recaudadores.</w:t>
      </w:r>
    </w:p>
    <w:p w14:paraId="4250C390" w14:textId="77777777" w:rsidR="00FA0266" w:rsidRPr="000D3432" w:rsidRDefault="00FA0266" w:rsidP="009E6E2E">
      <w:pPr>
        <w:widowControl/>
        <w:numPr>
          <w:ilvl w:val="0"/>
          <w:numId w:val="15"/>
        </w:numPr>
        <w:tabs>
          <w:tab w:val="left" w:pos="720"/>
        </w:tabs>
        <w:jc w:val="both"/>
        <w:rPr>
          <w:rFonts w:asciiTheme="minorHAnsi" w:hAnsiTheme="minorHAnsi" w:cs="Arial"/>
          <w:szCs w:val="24"/>
        </w:rPr>
      </w:pPr>
      <w:r w:rsidRPr="000D3432">
        <w:rPr>
          <w:rFonts w:asciiTheme="minorHAnsi" w:hAnsiTheme="minorHAnsi" w:cs="Arial"/>
          <w:szCs w:val="24"/>
        </w:rPr>
        <w:t>Son funciones del interventor recaudador:</w:t>
      </w:r>
    </w:p>
    <w:p w14:paraId="2F6B4993" w14:textId="77777777" w:rsidR="00FA0266" w:rsidRPr="000D3432" w:rsidRDefault="00FA0266" w:rsidP="009E6E2E">
      <w:pPr>
        <w:widowControl/>
        <w:numPr>
          <w:ilvl w:val="0"/>
          <w:numId w:val="16"/>
        </w:numPr>
        <w:tabs>
          <w:tab w:val="left" w:pos="1440"/>
        </w:tabs>
        <w:jc w:val="both"/>
        <w:rPr>
          <w:rFonts w:asciiTheme="minorHAnsi" w:hAnsiTheme="minorHAnsi" w:cs="Arial"/>
          <w:szCs w:val="24"/>
        </w:rPr>
      </w:pPr>
      <w:r w:rsidRPr="000D3432">
        <w:rPr>
          <w:rFonts w:asciiTheme="minorHAnsi" w:hAnsiTheme="minorHAnsi" w:cs="Arial"/>
          <w:szCs w:val="24"/>
        </w:rPr>
        <w:t>Efectuar el arqueo de caja inicial, cuyos resultados serán consignados en el Acta de Instalación respectivo.</w:t>
      </w:r>
    </w:p>
    <w:p w14:paraId="41F25336" w14:textId="77777777" w:rsidR="00FA0266" w:rsidRPr="000D3432" w:rsidRDefault="00FA0266" w:rsidP="009E6E2E">
      <w:pPr>
        <w:widowControl/>
        <w:numPr>
          <w:ilvl w:val="0"/>
          <w:numId w:val="16"/>
        </w:numPr>
        <w:tabs>
          <w:tab w:val="left" w:pos="1440"/>
        </w:tabs>
        <w:jc w:val="both"/>
        <w:rPr>
          <w:rFonts w:asciiTheme="minorHAnsi" w:hAnsiTheme="minorHAnsi" w:cs="Arial"/>
          <w:szCs w:val="24"/>
        </w:rPr>
      </w:pPr>
      <w:r w:rsidRPr="000D3432">
        <w:rPr>
          <w:rFonts w:asciiTheme="minorHAnsi" w:hAnsiTheme="minorHAnsi" w:cs="Arial"/>
          <w:szCs w:val="24"/>
        </w:rPr>
        <w:t>Llevar control de ingresos y de egresos, efectuando diariamente el arqueo de caja.</w:t>
      </w:r>
    </w:p>
    <w:p w14:paraId="086F0B0C" w14:textId="77777777" w:rsidR="00FA0266" w:rsidRPr="000D3432" w:rsidRDefault="00FA0266" w:rsidP="009E6E2E">
      <w:pPr>
        <w:widowControl/>
        <w:numPr>
          <w:ilvl w:val="0"/>
          <w:numId w:val="16"/>
        </w:numPr>
        <w:tabs>
          <w:tab w:val="left" w:pos="1440"/>
        </w:tabs>
        <w:jc w:val="both"/>
        <w:rPr>
          <w:rFonts w:asciiTheme="minorHAnsi" w:hAnsiTheme="minorHAnsi" w:cs="Arial"/>
          <w:szCs w:val="24"/>
        </w:rPr>
      </w:pPr>
      <w:r w:rsidRPr="000D3432">
        <w:rPr>
          <w:rFonts w:asciiTheme="minorHAnsi" w:hAnsiTheme="minorHAnsi" w:cs="Arial"/>
          <w:szCs w:val="24"/>
        </w:rPr>
        <w:t>Verificar que durante la diligencia sólo se realicen los pagos que sean necesario para el funcionamiento regular y ordinario del negocio, así como el cumplimiento de las obligaciones legales (laborales, tributarias y alimenticias) cuyo vencimiento o fecha de pago se produzca durante la intervención.</w:t>
      </w:r>
    </w:p>
    <w:p w14:paraId="27078954" w14:textId="77777777" w:rsidR="00FA0266" w:rsidRPr="000D3432" w:rsidRDefault="00FA0266" w:rsidP="009E6E2E">
      <w:pPr>
        <w:widowControl/>
        <w:numPr>
          <w:ilvl w:val="0"/>
          <w:numId w:val="16"/>
        </w:numPr>
        <w:tabs>
          <w:tab w:val="left" w:pos="1440"/>
        </w:tabs>
        <w:jc w:val="both"/>
        <w:rPr>
          <w:rFonts w:asciiTheme="minorHAnsi" w:hAnsiTheme="minorHAnsi" w:cs="Arial"/>
          <w:szCs w:val="24"/>
        </w:rPr>
      </w:pPr>
      <w:r w:rsidRPr="000D3432">
        <w:rPr>
          <w:rFonts w:asciiTheme="minorHAnsi" w:hAnsiTheme="minorHAnsi" w:cs="Arial"/>
          <w:szCs w:val="24"/>
        </w:rPr>
        <w:lastRenderedPageBreak/>
        <w:t>Realizar el arqueo de caja final con la anotación precisa del monto que se detrae por concepto de pago d la deuda tributaria materia del procedimiento.</w:t>
      </w:r>
    </w:p>
    <w:p w14:paraId="672C174E" w14:textId="77777777" w:rsidR="00FA0266" w:rsidRPr="000D3432" w:rsidRDefault="00FA0266" w:rsidP="009E6E2E">
      <w:pPr>
        <w:widowControl/>
        <w:numPr>
          <w:ilvl w:val="0"/>
          <w:numId w:val="16"/>
        </w:numPr>
        <w:tabs>
          <w:tab w:val="left" w:pos="1440"/>
        </w:tabs>
        <w:jc w:val="both"/>
        <w:rPr>
          <w:rFonts w:asciiTheme="minorHAnsi" w:hAnsiTheme="minorHAnsi" w:cs="Arial"/>
          <w:szCs w:val="24"/>
        </w:rPr>
      </w:pPr>
      <w:r w:rsidRPr="000D3432">
        <w:rPr>
          <w:rFonts w:asciiTheme="minorHAnsi" w:hAnsiTheme="minorHAnsi" w:cs="Arial"/>
          <w:szCs w:val="24"/>
        </w:rPr>
        <w:t>Informar al Ejecutor de los hechos que obstaculicen su normal desarrollo, tales como falta de ingresos o, resistencia e intencional obstrucción, a fin de que éste tome las medidas del caso.</w:t>
      </w:r>
    </w:p>
    <w:p w14:paraId="21870998" w14:textId="77777777" w:rsidR="00FA0266" w:rsidRPr="000D3432" w:rsidRDefault="00FA0266" w:rsidP="009E6E2E">
      <w:pPr>
        <w:widowControl/>
        <w:numPr>
          <w:ilvl w:val="0"/>
          <w:numId w:val="15"/>
        </w:numPr>
        <w:tabs>
          <w:tab w:val="left" w:pos="720"/>
        </w:tabs>
        <w:jc w:val="both"/>
        <w:rPr>
          <w:rFonts w:asciiTheme="minorHAnsi" w:hAnsiTheme="minorHAnsi" w:cs="Arial"/>
          <w:szCs w:val="24"/>
        </w:rPr>
      </w:pPr>
      <w:r w:rsidRPr="000D3432">
        <w:rPr>
          <w:rFonts w:asciiTheme="minorHAnsi" w:hAnsiTheme="minorHAnsi" w:cs="Arial"/>
          <w:szCs w:val="24"/>
        </w:rPr>
        <w:t>El interventor  recaudador incluirá los resultados del Arqueo Final de Caja en la respectiva Acta de Cierre, cuya copia será entregada al deudor o a su representante.</w:t>
      </w:r>
    </w:p>
    <w:p w14:paraId="5487C22B" w14:textId="77777777" w:rsidR="00FA0266" w:rsidRPr="000D3432" w:rsidRDefault="00FA0266" w:rsidP="009E6E2E">
      <w:pPr>
        <w:widowControl/>
        <w:numPr>
          <w:ilvl w:val="0"/>
          <w:numId w:val="15"/>
        </w:numPr>
        <w:tabs>
          <w:tab w:val="left" w:pos="720"/>
        </w:tabs>
        <w:jc w:val="both"/>
        <w:rPr>
          <w:rFonts w:asciiTheme="minorHAnsi" w:hAnsiTheme="minorHAnsi" w:cs="Arial"/>
          <w:szCs w:val="24"/>
        </w:rPr>
      </w:pPr>
      <w:r w:rsidRPr="000D3432">
        <w:rPr>
          <w:rFonts w:asciiTheme="minorHAnsi" w:hAnsiTheme="minorHAnsi" w:cs="Arial"/>
          <w:szCs w:val="24"/>
        </w:rPr>
        <w:t xml:space="preserve">El interventor recaudador ingresará el monto recaudado en la dependencia de SUNAT o entidad bancaria autorizada según corresponda, en el día en que se realizó la diligencia o a más tardar dentro del día hábil siguiente. </w:t>
      </w:r>
    </w:p>
    <w:p w14:paraId="7730BD11" w14:textId="77777777" w:rsidR="00FA0266" w:rsidRPr="000D3432" w:rsidRDefault="00FA0266" w:rsidP="00A95498">
      <w:pPr>
        <w:ind w:left="360"/>
        <w:jc w:val="both"/>
        <w:rPr>
          <w:rFonts w:asciiTheme="minorHAnsi" w:hAnsiTheme="minorHAnsi" w:cs="Arial"/>
          <w:szCs w:val="24"/>
        </w:rPr>
      </w:pPr>
    </w:p>
    <w:p w14:paraId="23D22007"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szCs w:val="24"/>
        </w:rPr>
        <w:t>El interventor recaudador es responsable por el dinero que recaude..</w:t>
      </w:r>
    </w:p>
    <w:p w14:paraId="4F2360EB" w14:textId="77777777" w:rsidR="00FA0266" w:rsidRPr="000D3432" w:rsidRDefault="00FA0266" w:rsidP="00A95498">
      <w:pPr>
        <w:ind w:left="360"/>
        <w:jc w:val="both"/>
        <w:rPr>
          <w:rFonts w:asciiTheme="minorHAnsi" w:hAnsiTheme="minorHAnsi" w:cs="Arial"/>
          <w:szCs w:val="24"/>
        </w:rPr>
      </w:pPr>
    </w:p>
    <w:p w14:paraId="1B49EFF0"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szCs w:val="24"/>
        </w:rPr>
        <w:t>Como se ve el interventor recaudador cumple una función administrativa importante, porque permite y posibilita que el embargo surta sus efectos (</w:t>
      </w:r>
      <w:r w:rsidRPr="000D3432">
        <w:rPr>
          <w:rStyle w:val="Refdenotaalpie"/>
          <w:rFonts w:asciiTheme="minorHAnsi" w:hAnsiTheme="minorHAnsi" w:cs="Arial"/>
          <w:sz w:val="24"/>
          <w:szCs w:val="24"/>
        </w:rPr>
        <w:footnoteReference w:id="573"/>
      </w:r>
      <w:r w:rsidRPr="000D3432">
        <w:rPr>
          <w:rFonts w:asciiTheme="minorHAnsi" w:hAnsiTheme="minorHAnsi" w:cs="Arial"/>
          <w:szCs w:val="24"/>
        </w:rPr>
        <w:t>).</w:t>
      </w:r>
    </w:p>
    <w:p w14:paraId="7E86987C" w14:textId="77777777" w:rsidR="00FA0266" w:rsidRPr="000D3432" w:rsidRDefault="00FA0266" w:rsidP="00A95498">
      <w:pPr>
        <w:ind w:left="360"/>
        <w:jc w:val="both"/>
        <w:rPr>
          <w:rFonts w:asciiTheme="minorHAnsi" w:hAnsiTheme="minorHAnsi" w:cs="Arial"/>
          <w:szCs w:val="24"/>
        </w:rPr>
      </w:pPr>
    </w:p>
    <w:p w14:paraId="0C94C622" w14:textId="77777777" w:rsidR="00FA0266" w:rsidRPr="000D3432" w:rsidRDefault="00FA0266" w:rsidP="00A95498">
      <w:pPr>
        <w:ind w:left="360"/>
        <w:jc w:val="both"/>
        <w:rPr>
          <w:rFonts w:asciiTheme="minorHAnsi" w:hAnsiTheme="minorHAnsi" w:cs="Arial"/>
          <w:szCs w:val="24"/>
        </w:rPr>
      </w:pPr>
    </w:p>
    <w:p w14:paraId="4281CE35"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szCs w:val="24"/>
        </w:rPr>
        <w:t>Rubén D Sanabria Ortiz da un concepto sintético del Embargo en forma de Intervención en Recaudación, usando específicamente a la ley y escribe que este tipo de embargo “Implica la afectación de los ingresos de una empresa, negocio u oficina de profesionales independientes a fin de recaudar de manera directa los ingresos necesarios para la cancelación de la deuda en cobranza, designándose para estos efectos al interventor”</w:t>
      </w:r>
      <w:r w:rsidRPr="000D3432">
        <w:rPr>
          <w:rStyle w:val="Refdenotaalpie"/>
          <w:rFonts w:asciiTheme="minorHAnsi" w:hAnsiTheme="minorHAnsi" w:cs="Arial"/>
          <w:sz w:val="24"/>
          <w:szCs w:val="24"/>
        </w:rPr>
        <w:t xml:space="preserve"> </w:t>
      </w:r>
      <w:r w:rsidRPr="000D3432">
        <w:rPr>
          <w:rStyle w:val="Refdenotaalpie"/>
          <w:rFonts w:asciiTheme="minorHAnsi" w:hAnsiTheme="minorHAnsi" w:cs="Arial"/>
          <w:sz w:val="24"/>
          <w:szCs w:val="24"/>
        </w:rPr>
        <w:footnoteReference w:id="574"/>
      </w:r>
      <w:r w:rsidRPr="000D3432">
        <w:rPr>
          <w:rFonts w:asciiTheme="minorHAnsi" w:hAnsiTheme="minorHAnsi" w:cs="Arial"/>
          <w:szCs w:val="24"/>
        </w:rPr>
        <w:t xml:space="preserve"> . Como vemos este tipo de medida cautelar parece sencillo, pero hay que tener en cuenta todos los actos que se tienen que llevar a cabo para hacerlo efectivo, desde el nombramiento de los interventores en recaudación, hasta los actos de arqueo de caja, y otros que se especifican en el artículo 17° del Reglamento de Procedimiento de Cobranza Coactiva, inciso b), como funciones del interventor en recaudación.</w:t>
      </w:r>
      <w:r w:rsidRPr="000D3432">
        <w:rPr>
          <w:rStyle w:val="Refdenotaalpie"/>
          <w:rFonts w:asciiTheme="minorHAnsi" w:hAnsiTheme="minorHAnsi" w:cs="Arial"/>
          <w:sz w:val="24"/>
          <w:szCs w:val="24"/>
        </w:rPr>
        <w:t xml:space="preserve"> </w:t>
      </w:r>
      <w:r w:rsidRPr="000D3432">
        <w:rPr>
          <w:rStyle w:val="Refdenotaalpie"/>
          <w:rFonts w:asciiTheme="minorHAnsi" w:hAnsiTheme="minorHAnsi" w:cs="Arial"/>
          <w:sz w:val="24"/>
          <w:szCs w:val="24"/>
        </w:rPr>
        <w:footnoteReference w:id="575"/>
      </w:r>
      <w:r w:rsidRPr="000D3432">
        <w:rPr>
          <w:rFonts w:asciiTheme="minorHAnsi" w:hAnsiTheme="minorHAnsi" w:cs="Arial"/>
          <w:szCs w:val="24"/>
        </w:rPr>
        <w:t xml:space="preserve">  </w:t>
      </w:r>
    </w:p>
    <w:p w14:paraId="08D0A884" w14:textId="77777777" w:rsidR="00FA0266" w:rsidRPr="000D3432" w:rsidRDefault="00FA0266" w:rsidP="00A95498">
      <w:pPr>
        <w:ind w:left="360"/>
        <w:jc w:val="both"/>
        <w:rPr>
          <w:rFonts w:asciiTheme="minorHAnsi" w:hAnsiTheme="minorHAnsi" w:cs="Arial"/>
          <w:szCs w:val="24"/>
        </w:rPr>
      </w:pPr>
    </w:p>
    <w:p w14:paraId="47DD7A96"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b/>
          <w:szCs w:val="24"/>
        </w:rPr>
        <w:t>b) EL EMBARGO EN FORMA DE INTERVENCIÓN EN INFORMACIÓN</w:t>
      </w:r>
    </w:p>
    <w:p w14:paraId="16B4B3E5" w14:textId="77777777" w:rsidR="00FA0266" w:rsidRPr="000D3432" w:rsidRDefault="00FA0266" w:rsidP="00A95498">
      <w:pPr>
        <w:ind w:left="360"/>
        <w:jc w:val="both"/>
        <w:rPr>
          <w:rFonts w:asciiTheme="minorHAnsi" w:hAnsiTheme="minorHAnsi" w:cs="Arial"/>
          <w:szCs w:val="24"/>
        </w:rPr>
      </w:pPr>
    </w:p>
    <w:p w14:paraId="2D662525"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szCs w:val="24"/>
        </w:rPr>
        <w:t xml:space="preserve">El concepto del Embargo en forma de intervención en información  puede </w:t>
      </w:r>
      <w:r w:rsidRPr="000D3432">
        <w:rPr>
          <w:rFonts w:asciiTheme="minorHAnsi" w:hAnsiTheme="minorHAnsi" w:cs="Arial"/>
          <w:szCs w:val="24"/>
        </w:rPr>
        <w:lastRenderedPageBreak/>
        <w:t>definirse de la siguiente manera:</w:t>
      </w:r>
    </w:p>
    <w:p w14:paraId="42ABC4D3" w14:textId="77777777" w:rsidR="00FA0266" w:rsidRPr="000D3432" w:rsidRDefault="00FA0266" w:rsidP="00A95498">
      <w:pPr>
        <w:ind w:left="708"/>
        <w:jc w:val="both"/>
        <w:rPr>
          <w:rFonts w:asciiTheme="minorHAnsi" w:hAnsiTheme="minorHAnsi" w:cs="Arial"/>
          <w:szCs w:val="24"/>
        </w:rPr>
      </w:pPr>
      <w:r w:rsidRPr="000D3432">
        <w:rPr>
          <w:rFonts w:asciiTheme="minorHAnsi" w:hAnsiTheme="minorHAnsi" w:cs="Arial"/>
          <w:szCs w:val="24"/>
        </w:rPr>
        <w:t xml:space="preserve"> “Por embargo en forma de Intervención en información, la SUNAT nombra uno o varios interventores informadores para que recaben información y verifiquen directamente el movimiento económico del deudor y su situación patrimonial, con el fin de hacer efectivo el cobro de la deuda.</w:t>
      </w:r>
    </w:p>
    <w:p w14:paraId="52AA97F6" w14:textId="77777777" w:rsidR="00FA0266" w:rsidRPr="000D3432" w:rsidRDefault="00FA0266" w:rsidP="00A95498">
      <w:pPr>
        <w:ind w:left="360"/>
        <w:jc w:val="both"/>
        <w:rPr>
          <w:rFonts w:asciiTheme="minorHAnsi" w:hAnsiTheme="minorHAnsi" w:cs="Arial"/>
          <w:szCs w:val="24"/>
        </w:rPr>
      </w:pPr>
    </w:p>
    <w:p w14:paraId="759492E1" w14:textId="77777777" w:rsidR="00FA0266" w:rsidRPr="000D3432" w:rsidRDefault="00FA0266" w:rsidP="00A95498">
      <w:pPr>
        <w:ind w:left="360"/>
        <w:jc w:val="both"/>
        <w:rPr>
          <w:rFonts w:asciiTheme="minorHAnsi" w:hAnsiTheme="minorHAnsi" w:cs="Arial"/>
          <w:szCs w:val="24"/>
        </w:rPr>
      </w:pPr>
      <w:r w:rsidRPr="000D3432">
        <w:rPr>
          <w:rFonts w:asciiTheme="minorHAnsi" w:hAnsiTheme="minorHAnsi" w:cs="Arial"/>
          <w:szCs w:val="24"/>
        </w:rPr>
        <w:t>En el embargo en forma de intervención en información se observará lo siguiente:</w:t>
      </w:r>
    </w:p>
    <w:p w14:paraId="5FD3ABC3" w14:textId="77777777" w:rsidR="00FA0266" w:rsidRPr="000D3432" w:rsidRDefault="00FA0266" w:rsidP="009E6E2E">
      <w:pPr>
        <w:widowControl/>
        <w:numPr>
          <w:ilvl w:val="0"/>
          <w:numId w:val="17"/>
        </w:numPr>
        <w:tabs>
          <w:tab w:val="left" w:pos="720"/>
        </w:tabs>
        <w:jc w:val="both"/>
        <w:rPr>
          <w:rFonts w:asciiTheme="minorHAnsi" w:hAnsiTheme="minorHAnsi" w:cs="Arial"/>
          <w:szCs w:val="24"/>
        </w:rPr>
      </w:pPr>
      <w:r w:rsidRPr="000D3432">
        <w:rPr>
          <w:rFonts w:asciiTheme="minorHAnsi" w:hAnsiTheme="minorHAnsi" w:cs="Arial"/>
          <w:szCs w:val="24"/>
        </w:rPr>
        <w:t>Se notificará al deudor la resolución de embargo, la cual contendrá la identificación del interventor informador.</w:t>
      </w:r>
    </w:p>
    <w:p w14:paraId="56713294" w14:textId="77777777" w:rsidR="00FA0266" w:rsidRPr="000D3432" w:rsidRDefault="00FA0266" w:rsidP="009E6E2E">
      <w:pPr>
        <w:widowControl/>
        <w:numPr>
          <w:ilvl w:val="0"/>
          <w:numId w:val="17"/>
        </w:numPr>
        <w:tabs>
          <w:tab w:val="left" w:pos="720"/>
        </w:tabs>
        <w:jc w:val="both"/>
        <w:rPr>
          <w:rFonts w:asciiTheme="minorHAnsi" w:hAnsiTheme="minorHAnsi" w:cs="Arial"/>
          <w:szCs w:val="24"/>
        </w:rPr>
      </w:pPr>
      <w:r w:rsidRPr="000D3432">
        <w:rPr>
          <w:rFonts w:asciiTheme="minorHAnsi" w:hAnsiTheme="minorHAnsi" w:cs="Arial"/>
          <w:szCs w:val="24"/>
        </w:rPr>
        <w:t>El interventor informador designado no podrá recabar la información relacionada a procesos productivos conocimientos tecnológicos y similares, salvo que se encuentre relacionada con información relativa al movimiento económico o a la situación patrimonial del deudor.</w:t>
      </w:r>
    </w:p>
    <w:p w14:paraId="4FAE3055" w14:textId="77777777" w:rsidR="00FA0266" w:rsidRPr="000D3432" w:rsidRDefault="00FA0266" w:rsidP="009E6E2E">
      <w:pPr>
        <w:widowControl/>
        <w:numPr>
          <w:ilvl w:val="0"/>
          <w:numId w:val="17"/>
        </w:numPr>
        <w:tabs>
          <w:tab w:val="left" w:pos="720"/>
        </w:tabs>
        <w:jc w:val="both"/>
        <w:rPr>
          <w:rFonts w:asciiTheme="minorHAnsi" w:hAnsiTheme="minorHAnsi" w:cs="Arial"/>
          <w:szCs w:val="24"/>
        </w:rPr>
      </w:pPr>
      <w:r w:rsidRPr="000D3432">
        <w:rPr>
          <w:rFonts w:asciiTheme="minorHAnsi" w:hAnsiTheme="minorHAnsi" w:cs="Arial"/>
          <w:szCs w:val="24"/>
        </w:rPr>
        <w:t>El interventor informador pondrá en conocimiento del Ejecutor los hechos que obstaculicen el normal desarrollo de sus funciones, a fin de adoptar las medidas correspondientes.</w:t>
      </w:r>
    </w:p>
    <w:p w14:paraId="6880FB2D" w14:textId="77777777" w:rsidR="00FA0266" w:rsidRPr="000D3432" w:rsidRDefault="00FA0266" w:rsidP="009E6E2E">
      <w:pPr>
        <w:widowControl/>
        <w:numPr>
          <w:ilvl w:val="0"/>
          <w:numId w:val="17"/>
        </w:numPr>
        <w:tabs>
          <w:tab w:val="left" w:pos="720"/>
        </w:tabs>
        <w:jc w:val="both"/>
        <w:rPr>
          <w:rFonts w:asciiTheme="minorHAnsi" w:hAnsiTheme="minorHAnsi" w:cs="Arial"/>
          <w:b/>
          <w:szCs w:val="24"/>
        </w:rPr>
      </w:pPr>
      <w:r w:rsidRPr="000D3432">
        <w:rPr>
          <w:rFonts w:asciiTheme="minorHAnsi" w:hAnsiTheme="minorHAnsi" w:cs="Arial"/>
          <w:szCs w:val="24"/>
        </w:rPr>
        <w:t>Vencido el plazo, el interventor informará por escrito al Ejecutor del resultado de las verificaciones efectuadas.”</w:t>
      </w:r>
    </w:p>
    <w:p w14:paraId="3730E66F" w14:textId="77777777" w:rsidR="00FA0266" w:rsidRPr="000D3432" w:rsidRDefault="00FA0266" w:rsidP="00A95498">
      <w:pPr>
        <w:tabs>
          <w:tab w:val="left" w:pos="720"/>
        </w:tabs>
        <w:jc w:val="both"/>
        <w:rPr>
          <w:rFonts w:asciiTheme="minorHAnsi" w:hAnsiTheme="minorHAnsi" w:cs="Arial"/>
          <w:szCs w:val="24"/>
        </w:rPr>
      </w:pPr>
    </w:p>
    <w:p w14:paraId="6A04F82E" w14:textId="77777777" w:rsidR="00FA0266" w:rsidRPr="000D3432" w:rsidRDefault="00FA0266" w:rsidP="00A95498">
      <w:pPr>
        <w:tabs>
          <w:tab w:val="left" w:pos="720"/>
        </w:tabs>
        <w:jc w:val="both"/>
        <w:rPr>
          <w:rFonts w:asciiTheme="minorHAnsi" w:hAnsiTheme="minorHAnsi" w:cs="Arial"/>
          <w:szCs w:val="24"/>
        </w:rPr>
      </w:pPr>
      <w:r w:rsidRPr="000D3432">
        <w:rPr>
          <w:rFonts w:asciiTheme="minorHAnsi" w:hAnsiTheme="minorHAnsi" w:cs="Arial"/>
          <w:szCs w:val="24"/>
        </w:rPr>
        <w:t>Este tipo de embargo  que los interventores deben recabar información para verificar la situación económica del deudor. Ruben Sanabria Ortiz escribe al respecto que “El embargo en forma de ‘Intervención en información’, implica el nombramiento de uno o más interventores a fin de recabar información y verificar el movimiento económico del deudor así como su situación patrimonial”</w:t>
      </w:r>
      <w:r w:rsidRPr="000D3432">
        <w:rPr>
          <w:rStyle w:val="Refdenotaalpie"/>
          <w:rFonts w:asciiTheme="minorHAnsi" w:hAnsiTheme="minorHAnsi" w:cs="Arial"/>
          <w:sz w:val="24"/>
          <w:szCs w:val="24"/>
        </w:rPr>
        <w:t xml:space="preserve"> </w:t>
      </w:r>
      <w:r w:rsidRPr="000D3432">
        <w:rPr>
          <w:rStyle w:val="Refdenotaalpie"/>
          <w:rFonts w:asciiTheme="minorHAnsi" w:hAnsiTheme="minorHAnsi" w:cs="Arial"/>
          <w:sz w:val="24"/>
          <w:szCs w:val="24"/>
        </w:rPr>
        <w:footnoteReference w:id="576"/>
      </w:r>
      <w:r w:rsidRPr="000D3432">
        <w:rPr>
          <w:rFonts w:asciiTheme="minorHAnsi" w:hAnsiTheme="minorHAnsi" w:cs="Arial"/>
          <w:szCs w:val="24"/>
          <w:vertAlign w:val="superscript"/>
        </w:rPr>
        <w:t xml:space="preserve"> </w:t>
      </w:r>
    </w:p>
    <w:p w14:paraId="5BB1DDF7" w14:textId="77777777" w:rsidR="00FA0266" w:rsidRPr="000D3432" w:rsidRDefault="00FA0266" w:rsidP="00A95498">
      <w:pPr>
        <w:tabs>
          <w:tab w:val="left" w:pos="720"/>
        </w:tabs>
        <w:jc w:val="both"/>
        <w:rPr>
          <w:rFonts w:asciiTheme="minorHAnsi" w:hAnsiTheme="minorHAnsi" w:cs="Arial"/>
          <w:szCs w:val="24"/>
        </w:rPr>
      </w:pPr>
    </w:p>
    <w:p w14:paraId="519D4417" w14:textId="77777777" w:rsidR="00FA0266" w:rsidRPr="000D3432" w:rsidRDefault="00FA0266" w:rsidP="00A95498">
      <w:pPr>
        <w:tabs>
          <w:tab w:val="left" w:pos="720"/>
        </w:tabs>
        <w:jc w:val="both"/>
        <w:rPr>
          <w:rFonts w:asciiTheme="minorHAnsi" w:hAnsiTheme="minorHAnsi" w:cs="Arial"/>
          <w:szCs w:val="24"/>
        </w:rPr>
      </w:pPr>
      <w:r w:rsidRPr="000D3432">
        <w:rPr>
          <w:rFonts w:asciiTheme="minorHAnsi" w:hAnsiTheme="minorHAnsi" w:cs="Arial"/>
          <w:szCs w:val="24"/>
        </w:rPr>
        <w:t>Como vemos aquí ya no se trata de recaudación, sino de información. Lo principal es determinar, a través de los interventores informadores, si la empresa tiene o no tiene movimiento económico que asegure o posibilite el cobro de la deuda. El fin de este tipo de embargo es verificar -a través del proceso de información- “el movimiento económico del deudor y su situación patrimonial”. El Reglamento del Procedimiento de Cobranza Coactiva hace una aclaración en el capítulo sobre embargo en forma de internvención en información, y explica los límites de este tipo de embargo. Esos límites son que el interventor informador puede recabar información específicamente sobre el movimiento económico de la empresa y la situación patrimonial, pero no podrá informarse sobre “los procesos productivos, conocimientos tecnológicos y similares”. Esto es un límite general, pero tiene una excepción, y que es que esta información sobre el proceso productivo o conocimientos tecnológicos tengan directa relación con el conocimiento del movimiento económico y de la situación patrimonial de la empresa</w:t>
      </w:r>
      <w:r w:rsidRPr="000D3432">
        <w:rPr>
          <w:rStyle w:val="Refdenotaalpie"/>
          <w:rFonts w:asciiTheme="minorHAnsi" w:hAnsiTheme="minorHAnsi" w:cs="Arial"/>
          <w:sz w:val="24"/>
          <w:szCs w:val="24"/>
        </w:rPr>
        <w:footnoteReference w:id="577"/>
      </w:r>
      <w:r w:rsidRPr="000D3432">
        <w:rPr>
          <w:rFonts w:asciiTheme="minorHAnsi" w:hAnsiTheme="minorHAnsi" w:cs="Arial"/>
          <w:szCs w:val="24"/>
        </w:rPr>
        <w:t>.</w:t>
      </w:r>
    </w:p>
    <w:p w14:paraId="194A0DC2" w14:textId="77777777" w:rsidR="00FA0266" w:rsidRPr="000D3432" w:rsidRDefault="00FA0266" w:rsidP="00A95498">
      <w:pPr>
        <w:tabs>
          <w:tab w:val="left" w:pos="720"/>
        </w:tabs>
        <w:jc w:val="both"/>
        <w:rPr>
          <w:rFonts w:asciiTheme="minorHAnsi" w:hAnsiTheme="minorHAnsi" w:cs="Arial"/>
          <w:szCs w:val="24"/>
        </w:rPr>
      </w:pPr>
    </w:p>
    <w:p w14:paraId="48FE986D" w14:textId="77777777" w:rsidR="00FA0266" w:rsidRPr="000D3432" w:rsidRDefault="00FA0266" w:rsidP="00A95498">
      <w:pPr>
        <w:tabs>
          <w:tab w:val="left" w:pos="720"/>
        </w:tabs>
        <w:jc w:val="both"/>
        <w:rPr>
          <w:rFonts w:asciiTheme="minorHAnsi" w:hAnsiTheme="minorHAnsi" w:cs="Arial"/>
          <w:szCs w:val="24"/>
        </w:rPr>
      </w:pPr>
      <w:r w:rsidRPr="000D3432">
        <w:rPr>
          <w:rFonts w:asciiTheme="minorHAnsi" w:hAnsiTheme="minorHAnsi" w:cs="Arial"/>
          <w:szCs w:val="24"/>
        </w:rPr>
        <w:t xml:space="preserve">Cuando se habla de limitación de conocer e informarse sobre el proceso productivo o conocimientos similares, se está hablando de aquellos procesos que por su naturaleza determinan y le dan una característica especial a la empresa, que de ser conocidos podría ser sujeto de copia, plagio, robo; lo que se está produciendo entonces, es la integridad de la empresa. El ejemplo más importante podemos verlo a través de la empresa Cocacola; nadie puede conocer la fórmula (proceso productivo) con la cual se hace esta bebida gaseosa, porque precisamente es este secreto en el proceso productivo lo que le ha generado las utilidades y ganancias mayores. </w:t>
      </w:r>
    </w:p>
    <w:p w14:paraId="6A2A7C57" w14:textId="77777777" w:rsidR="00FA0266" w:rsidRPr="000D3432" w:rsidRDefault="00FA0266" w:rsidP="00A95498">
      <w:pPr>
        <w:tabs>
          <w:tab w:val="left" w:pos="720"/>
        </w:tabs>
        <w:jc w:val="both"/>
        <w:rPr>
          <w:rFonts w:asciiTheme="minorHAnsi" w:hAnsiTheme="minorHAnsi" w:cs="Arial"/>
          <w:szCs w:val="24"/>
        </w:rPr>
      </w:pPr>
    </w:p>
    <w:p w14:paraId="7AF10146" w14:textId="77777777" w:rsidR="00FA0266" w:rsidRPr="000D3432" w:rsidRDefault="00FA0266" w:rsidP="00A95498">
      <w:pPr>
        <w:tabs>
          <w:tab w:val="left" w:pos="720"/>
        </w:tabs>
        <w:jc w:val="both"/>
        <w:rPr>
          <w:rFonts w:asciiTheme="minorHAnsi" w:hAnsiTheme="minorHAnsi" w:cs="Arial"/>
          <w:szCs w:val="24"/>
        </w:rPr>
      </w:pPr>
      <w:r w:rsidRPr="000D3432">
        <w:rPr>
          <w:rFonts w:asciiTheme="minorHAnsi" w:hAnsiTheme="minorHAnsi" w:cs="Arial"/>
          <w:szCs w:val="24"/>
        </w:rPr>
        <w:t>El Código Tributario en su artículo 118° y el Reglamento del Procedimiento de Cobranza Coactiva -SUNAT, en su artículo 17°, contienen este tipo de embargo.</w:t>
      </w:r>
    </w:p>
    <w:p w14:paraId="0ACADB4F" w14:textId="77777777" w:rsidR="00FA0266" w:rsidRPr="000D3432" w:rsidRDefault="00FA0266" w:rsidP="00A95498">
      <w:pPr>
        <w:tabs>
          <w:tab w:val="left" w:pos="720"/>
        </w:tabs>
        <w:jc w:val="both"/>
        <w:rPr>
          <w:rFonts w:asciiTheme="minorHAnsi" w:hAnsiTheme="minorHAnsi" w:cs="Arial"/>
          <w:szCs w:val="24"/>
        </w:rPr>
      </w:pPr>
    </w:p>
    <w:p w14:paraId="234C295D" w14:textId="77777777" w:rsidR="00FA0266" w:rsidRPr="000D3432" w:rsidRDefault="00FA0266" w:rsidP="00A95498">
      <w:pPr>
        <w:tabs>
          <w:tab w:val="left" w:pos="720"/>
        </w:tabs>
        <w:jc w:val="both"/>
        <w:rPr>
          <w:rFonts w:asciiTheme="minorHAnsi" w:hAnsiTheme="minorHAnsi" w:cs="Arial"/>
          <w:szCs w:val="24"/>
        </w:rPr>
      </w:pPr>
    </w:p>
    <w:p w14:paraId="3BDB8916" w14:textId="77777777" w:rsidR="00FA0266" w:rsidRPr="000D3432" w:rsidRDefault="00FA0266" w:rsidP="00A95498">
      <w:pPr>
        <w:tabs>
          <w:tab w:val="left" w:pos="720"/>
        </w:tabs>
        <w:jc w:val="both"/>
        <w:rPr>
          <w:rFonts w:asciiTheme="minorHAnsi" w:hAnsiTheme="minorHAnsi" w:cs="Arial"/>
          <w:b/>
          <w:szCs w:val="24"/>
        </w:rPr>
      </w:pPr>
      <w:r w:rsidRPr="000D3432">
        <w:rPr>
          <w:rFonts w:asciiTheme="minorHAnsi" w:hAnsiTheme="minorHAnsi" w:cs="Arial"/>
          <w:b/>
          <w:szCs w:val="24"/>
        </w:rPr>
        <w:t>EMBARGO EN FORMA DE INTERVENCIÓN EN ADMINISTRACIÓN DE BIENES</w:t>
      </w:r>
    </w:p>
    <w:p w14:paraId="7026E296" w14:textId="77777777" w:rsidR="00FA0266" w:rsidRPr="000D3432" w:rsidRDefault="00FA0266" w:rsidP="00A95498">
      <w:pPr>
        <w:pStyle w:val="Textodecuerpo21"/>
        <w:rPr>
          <w:rFonts w:asciiTheme="minorHAnsi" w:hAnsiTheme="minorHAnsi" w:cs="Arial"/>
          <w:sz w:val="24"/>
          <w:szCs w:val="24"/>
        </w:rPr>
      </w:pPr>
    </w:p>
    <w:p w14:paraId="1ECF8D47"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b w:val="0"/>
          <w:sz w:val="24"/>
          <w:szCs w:val="24"/>
        </w:rPr>
        <w:t>El embargo en forma de intervención en administración de bienes “implica el nombramiento de uno o más interventores administradores a fin de recaudar las utilidades que produzcan los bienes embargados”</w:t>
      </w:r>
      <w:r w:rsidRPr="000D3432">
        <w:rPr>
          <w:rStyle w:val="Refdenotaalpie"/>
          <w:rFonts w:asciiTheme="minorHAnsi" w:eastAsiaTheme="majorEastAsia" w:hAnsiTheme="minorHAnsi" w:cs="Arial"/>
          <w:b w:val="0"/>
          <w:sz w:val="24"/>
          <w:szCs w:val="24"/>
        </w:rPr>
        <w:t xml:space="preserve"> </w:t>
      </w:r>
      <w:r w:rsidRPr="000D3432">
        <w:rPr>
          <w:rStyle w:val="Refdenotaalpie"/>
          <w:rFonts w:asciiTheme="minorHAnsi" w:eastAsiaTheme="majorEastAsia" w:hAnsiTheme="minorHAnsi" w:cs="Arial"/>
          <w:b w:val="0"/>
          <w:sz w:val="24"/>
          <w:szCs w:val="24"/>
        </w:rPr>
        <w:footnoteReference w:id="578"/>
      </w:r>
      <w:r w:rsidRPr="000D3432">
        <w:rPr>
          <w:rFonts w:asciiTheme="minorHAnsi" w:hAnsiTheme="minorHAnsi" w:cs="Arial"/>
          <w:b w:val="0"/>
          <w:sz w:val="24"/>
          <w:szCs w:val="24"/>
        </w:rPr>
        <w:t>.</w:t>
      </w:r>
    </w:p>
    <w:p w14:paraId="1B6BAF24" w14:textId="77777777" w:rsidR="00FA0266" w:rsidRPr="000D3432" w:rsidRDefault="00FA0266" w:rsidP="00A95498">
      <w:pPr>
        <w:pStyle w:val="Textodecuerpo21"/>
        <w:rPr>
          <w:rFonts w:asciiTheme="minorHAnsi" w:hAnsiTheme="minorHAnsi" w:cs="Arial"/>
          <w:sz w:val="24"/>
          <w:szCs w:val="24"/>
        </w:rPr>
      </w:pPr>
    </w:p>
    <w:p w14:paraId="0D2AC376"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b w:val="0"/>
          <w:sz w:val="24"/>
          <w:szCs w:val="24"/>
        </w:rPr>
        <w:t>Mientras tanto el Reglamento del Procedimiento de Cobranza Coactiva señala que por  el embargo en forma de intervención en administración de bienes, el Ejecutor está facultado a nombrar uno o varios interventores administradores con la finalidad de recaudar los frutos o utilidades que pudieran producir los bienes embargados..</w:t>
      </w:r>
    </w:p>
    <w:p w14:paraId="3C992F01" w14:textId="77777777" w:rsidR="00FA0266" w:rsidRPr="000D3432" w:rsidRDefault="00FA0266" w:rsidP="00A95498">
      <w:pPr>
        <w:pStyle w:val="Textodecuerpo21"/>
        <w:rPr>
          <w:rFonts w:asciiTheme="minorHAnsi" w:hAnsiTheme="minorHAnsi" w:cs="Arial"/>
          <w:sz w:val="24"/>
          <w:szCs w:val="24"/>
        </w:rPr>
      </w:pPr>
    </w:p>
    <w:p w14:paraId="5BAD087C"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b w:val="0"/>
          <w:sz w:val="24"/>
          <w:szCs w:val="24"/>
        </w:rPr>
        <w:t>En el embargo en forma de intervención en administración de bienes se observará lo siguiente:</w:t>
      </w:r>
    </w:p>
    <w:p w14:paraId="182B760F" w14:textId="77777777" w:rsidR="00FA0266" w:rsidRPr="000D3432" w:rsidRDefault="00FA0266" w:rsidP="009E6E2E">
      <w:pPr>
        <w:pStyle w:val="Textodecuerpo21"/>
        <w:widowControl/>
        <w:numPr>
          <w:ilvl w:val="0"/>
          <w:numId w:val="18"/>
        </w:numPr>
        <w:tabs>
          <w:tab w:val="left" w:pos="720"/>
          <w:tab w:val="left" w:pos="5670"/>
        </w:tabs>
        <w:rPr>
          <w:rFonts w:asciiTheme="minorHAnsi" w:hAnsiTheme="minorHAnsi" w:cs="Arial"/>
          <w:b w:val="0"/>
          <w:sz w:val="24"/>
          <w:szCs w:val="24"/>
        </w:rPr>
      </w:pPr>
      <w:r w:rsidRPr="000D3432">
        <w:rPr>
          <w:rFonts w:asciiTheme="minorHAnsi" w:hAnsiTheme="minorHAnsi" w:cs="Arial"/>
          <w:b w:val="0"/>
          <w:sz w:val="24"/>
          <w:szCs w:val="24"/>
        </w:rPr>
        <w:t>En la resolución de embargo se nombrará interventor administrador, así como el plazo que durará su gestión. El interventor administrador deberá tener experiencia en funciones similares a la encomendada.</w:t>
      </w:r>
    </w:p>
    <w:p w14:paraId="565CDE56" w14:textId="77777777" w:rsidR="00FA0266" w:rsidRPr="000D3432" w:rsidRDefault="00FA0266" w:rsidP="009E6E2E">
      <w:pPr>
        <w:pStyle w:val="Textodecuerpo21"/>
        <w:widowControl/>
        <w:numPr>
          <w:ilvl w:val="0"/>
          <w:numId w:val="18"/>
        </w:numPr>
        <w:tabs>
          <w:tab w:val="left" w:pos="720"/>
        </w:tabs>
        <w:rPr>
          <w:rFonts w:asciiTheme="minorHAnsi" w:hAnsiTheme="minorHAnsi" w:cs="Arial"/>
          <w:b w:val="0"/>
          <w:sz w:val="24"/>
          <w:szCs w:val="24"/>
        </w:rPr>
      </w:pPr>
      <w:r w:rsidRPr="000D3432">
        <w:rPr>
          <w:rFonts w:asciiTheme="minorHAnsi" w:hAnsiTheme="minorHAnsi" w:cs="Arial"/>
          <w:b w:val="0"/>
          <w:sz w:val="24"/>
          <w:szCs w:val="24"/>
        </w:rPr>
        <w:t>Son funciones del interventor administrador:</w:t>
      </w:r>
    </w:p>
    <w:p w14:paraId="43CA6E9F" w14:textId="77777777" w:rsidR="00FA0266" w:rsidRPr="000D3432" w:rsidRDefault="00FA0266" w:rsidP="009E6E2E">
      <w:pPr>
        <w:pStyle w:val="Textodecuerpo21"/>
        <w:widowControl/>
        <w:numPr>
          <w:ilvl w:val="0"/>
          <w:numId w:val="16"/>
        </w:numPr>
        <w:tabs>
          <w:tab w:val="left" w:pos="1440"/>
        </w:tabs>
        <w:rPr>
          <w:rFonts w:asciiTheme="minorHAnsi" w:hAnsiTheme="minorHAnsi" w:cs="Arial"/>
          <w:b w:val="0"/>
          <w:sz w:val="24"/>
          <w:szCs w:val="24"/>
        </w:rPr>
      </w:pPr>
      <w:r w:rsidRPr="000D3432">
        <w:rPr>
          <w:rFonts w:asciiTheme="minorHAnsi" w:hAnsiTheme="minorHAnsi" w:cs="Arial"/>
          <w:b w:val="0"/>
          <w:sz w:val="24"/>
          <w:szCs w:val="24"/>
        </w:rPr>
        <w:lastRenderedPageBreak/>
        <w:t>Verificar y supervisar la administración de los frutos o utilidades que produzca el o los bienes embargados.</w:t>
      </w:r>
    </w:p>
    <w:p w14:paraId="48029A62" w14:textId="77777777" w:rsidR="00FA0266" w:rsidRPr="000D3432" w:rsidRDefault="00FA0266" w:rsidP="009E6E2E">
      <w:pPr>
        <w:pStyle w:val="Textodecuerpo21"/>
        <w:widowControl/>
        <w:numPr>
          <w:ilvl w:val="0"/>
          <w:numId w:val="16"/>
        </w:numPr>
        <w:tabs>
          <w:tab w:val="left" w:pos="1440"/>
        </w:tabs>
        <w:rPr>
          <w:rFonts w:asciiTheme="minorHAnsi" w:hAnsiTheme="minorHAnsi" w:cs="Arial"/>
          <w:b w:val="0"/>
          <w:sz w:val="24"/>
          <w:szCs w:val="24"/>
        </w:rPr>
      </w:pPr>
      <w:r w:rsidRPr="000D3432">
        <w:rPr>
          <w:rFonts w:asciiTheme="minorHAnsi" w:hAnsiTheme="minorHAnsi" w:cs="Arial"/>
          <w:b w:val="0"/>
          <w:sz w:val="24"/>
          <w:szCs w:val="24"/>
        </w:rPr>
        <w:t>Si el bien embargado es la fuente principal de ingresos del deudor, comprobar que de lo producido por él, sólo se realicen los gastos necesarios para el mantenimiento  de la fuente productora, así como para el cumplimiento de las obligaciones legales (laborales, tributarias y alimenticias) cuyo vencimiento o fecha de pago se produzca durante la intervención.</w:t>
      </w:r>
    </w:p>
    <w:p w14:paraId="26E98C87" w14:textId="77777777" w:rsidR="00FA0266" w:rsidRPr="000D3432" w:rsidRDefault="00FA0266" w:rsidP="009E6E2E">
      <w:pPr>
        <w:pStyle w:val="Textodecuerpo21"/>
        <w:widowControl/>
        <w:numPr>
          <w:ilvl w:val="0"/>
          <w:numId w:val="16"/>
        </w:numPr>
        <w:tabs>
          <w:tab w:val="left" w:pos="1440"/>
        </w:tabs>
        <w:rPr>
          <w:rFonts w:asciiTheme="minorHAnsi" w:hAnsiTheme="minorHAnsi" w:cs="Arial"/>
          <w:b w:val="0"/>
          <w:sz w:val="24"/>
          <w:szCs w:val="24"/>
        </w:rPr>
      </w:pPr>
      <w:r w:rsidRPr="000D3432">
        <w:rPr>
          <w:rFonts w:asciiTheme="minorHAnsi" w:hAnsiTheme="minorHAnsi" w:cs="Arial"/>
          <w:b w:val="0"/>
          <w:sz w:val="24"/>
          <w:szCs w:val="24"/>
        </w:rPr>
        <w:t>Rendir cuenta el Ejecutor de la gestión en forma periódica, en un lapso no mayor al mensual, a fin de evaluar la efectividad de la medida cautelar.</w:t>
      </w:r>
    </w:p>
    <w:p w14:paraId="68C0D23C" w14:textId="77777777" w:rsidR="00FA0266" w:rsidRPr="000D3432" w:rsidRDefault="00FA0266" w:rsidP="009E6E2E">
      <w:pPr>
        <w:pStyle w:val="Textodecuerpo21"/>
        <w:widowControl/>
        <w:numPr>
          <w:ilvl w:val="0"/>
          <w:numId w:val="16"/>
        </w:numPr>
        <w:tabs>
          <w:tab w:val="left" w:pos="1440"/>
        </w:tabs>
        <w:rPr>
          <w:rFonts w:asciiTheme="minorHAnsi" w:hAnsiTheme="minorHAnsi" w:cs="Arial"/>
          <w:b w:val="0"/>
          <w:sz w:val="24"/>
          <w:szCs w:val="24"/>
        </w:rPr>
      </w:pPr>
      <w:r w:rsidRPr="000D3432">
        <w:rPr>
          <w:rFonts w:asciiTheme="minorHAnsi" w:hAnsiTheme="minorHAnsi" w:cs="Arial"/>
          <w:b w:val="0"/>
          <w:sz w:val="24"/>
          <w:szCs w:val="24"/>
        </w:rPr>
        <w:t>Poner a disposición de la SUNAT las utilidades o frutos obtenidos, dejando constancia de ello en el Acta correspondiente, cuya copia será entregada al deudor o a su representante.</w:t>
      </w:r>
    </w:p>
    <w:p w14:paraId="484E34AB" w14:textId="77777777" w:rsidR="00FA0266" w:rsidRPr="000D3432" w:rsidRDefault="00FA0266" w:rsidP="009E6E2E">
      <w:pPr>
        <w:pStyle w:val="Textodecuerpo21"/>
        <w:widowControl/>
        <w:numPr>
          <w:ilvl w:val="0"/>
          <w:numId w:val="16"/>
        </w:numPr>
        <w:tabs>
          <w:tab w:val="left" w:pos="1440"/>
        </w:tabs>
        <w:rPr>
          <w:rFonts w:asciiTheme="minorHAnsi" w:hAnsiTheme="minorHAnsi" w:cs="Arial"/>
          <w:b w:val="0"/>
          <w:sz w:val="24"/>
          <w:szCs w:val="24"/>
        </w:rPr>
      </w:pPr>
      <w:r w:rsidRPr="000D3432">
        <w:rPr>
          <w:rFonts w:asciiTheme="minorHAnsi" w:hAnsiTheme="minorHAnsi" w:cs="Arial"/>
          <w:b w:val="0"/>
          <w:sz w:val="24"/>
          <w:szCs w:val="24"/>
        </w:rPr>
        <w:t>Informar al Ejecutor de las situaciones que  obstaculicen su desempeño, a fin de adoptar las medidas del caso.</w:t>
      </w:r>
    </w:p>
    <w:p w14:paraId="7B475B09" w14:textId="77777777" w:rsidR="00FA0266" w:rsidRPr="000D3432" w:rsidRDefault="00FA0266" w:rsidP="009E6E2E">
      <w:pPr>
        <w:pStyle w:val="Textodecuerpo21"/>
        <w:widowControl/>
        <w:numPr>
          <w:ilvl w:val="0"/>
          <w:numId w:val="18"/>
        </w:numPr>
        <w:tabs>
          <w:tab w:val="left" w:pos="720"/>
        </w:tabs>
        <w:rPr>
          <w:rFonts w:asciiTheme="minorHAnsi" w:hAnsiTheme="minorHAnsi" w:cs="Arial"/>
          <w:b w:val="0"/>
          <w:sz w:val="24"/>
          <w:szCs w:val="24"/>
        </w:rPr>
      </w:pPr>
      <w:r w:rsidRPr="000D3432">
        <w:rPr>
          <w:rFonts w:asciiTheme="minorHAnsi" w:hAnsiTheme="minorHAnsi" w:cs="Arial"/>
          <w:b w:val="0"/>
          <w:sz w:val="24"/>
          <w:szCs w:val="24"/>
        </w:rPr>
        <w:t>Si como resultado de la medida de embargo se pone a disposición de la SUNAT bienes distintos a dinero, se variará dicha medida a embargo en forma de depósito.</w:t>
      </w:r>
    </w:p>
    <w:p w14:paraId="7B7C5D14" w14:textId="77777777" w:rsidR="00FA0266" w:rsidRPr="000D3432" w:rsidRDefault="00FA0266" w:rsidP="009E6E2E">
      <w:pPr>
        <w:pStyle w:val="Textodecuerpo21"/>
        <w:widowControl/>
        <w:numPr>
          <w:ilvl w:val="0"/>
          <w:numId w:val="18"/>
        </w:numPr>
        <w:tabs>
          <w:tab w:val="left" w:pos="720"/>
        </w:tabs>
        <w:rPr>
          <w:rFonts w:asciiTheme="minorHAnsi" w:hAnsiTheme="minorHAnsi" w:cs="Arial"/>
          <w:b w:val="0"/>
          <w:sz w:val="24"/>
          <w:szCs w:val="24"/>
        </w:rPr>
      </w:pPr>
      <w:r w:rsidRPr="000D3432">
        <w:rPr>
          <w:rFonts w:asciiTheme="minorHAnsi" w:hAnsiTheme="minorHAnsi" w:cs="Arial"/>
          <w:b w:val="0"/>
          <w:sz w:val="24"/>
          <w:szCs w:val="24"/>
        </w:rPr>
        <w:t>El interventor, al término de su gestión, presentará un informe al Ejecutor detallando las utilidades y los frutos que se hubieren recaudado durante la medida, así como de las diversas gestiones realizadas en su función.</w:t>
      </w:r>
    </w:p>
    <w:p w14:paraId="6D0BCF5C" w14:textId="77777777" w:rsidR="00FA0266" w:rsidRPr="000D3432" w:rsidRDefault="00FA0266" w:rsidP="00A95498">
      <w:pPr>
        <w:pStyle w:val="Textodecuerpo21"/>
        <w:rPr>
          <w:rFonts w:asciiTheme="minorHAnsi" w:hAnsiTheme="minorHAnsi" w:cs="Arial"/>
          <w:b w:val="0"/>
          <w:sz w:val="24"/>
          <w:szCs w:val="24"/>
        </w:rPr>
      </w:pPr>
    </w:p>
    <w:p w14:paraId="791EE970"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b w:val="0"/>
          <w:sz w:val="24"/>
          <w:szCs w:val="24"/>
        </w:rPr>
        <w:t>Como se observa este tipo de embargo es sobre ciertos bienes, y para administrar las utilidades o frutos de estos bienes, pues de ellos derivará la recaudación para cancelar la deuda tributaria. Vemos que en este tipo de embargo es de carácter específico. Si recordamos el primer tipo de embargo en forma de intervención en recaudación se puede observar que éste último es en todos los ingresos por lo tal tiene naturaleza general; sin embargo en el embargo en forma de intervención en administración de bienes, ya no es en los ingresos la afectación, como generalidad, sino en sólo cierto bien o bienes, y desde los cuales se recaudará los frutos y utilidades que produzcan, con el fin de cancelar la deuda tributaria. ¿Se trata pues de administrar estos bienes embargados o de administrar los frutos y utilidades producidos por estos bienes? La respuesta está implícita en las funciones del interventor administrador: “Verificar y supervisar la administración de los frutos o utilidades que produzca el o los bienes embargados” La administración, como ven, no puede darse en los bienes que producen frutos o utilidades, porque es la empresa quien maneja el sistema de producción de estos bienes, y no compete a la Administración Tributaria administrar ninguna empresa, sino recaudar el monto adeudado, su función o intención no es de gestión sino de recaudación de los tributos.</w:t>
      </w:r>
    </w:p>
    <w:p w14:paraId="31EE78FB" w14:textId="77777777" w:rsidR="00FA0266" w:rsidRPr="000D3432" w:rsidRDefault="00FA0266" w:rsidP="00A95498">
      <w:pPr>
        <w:pStyle w:val="Textodecuerpo21"/>
        <w:rPr>
          <w:rFonts w:asciiTheme="minorHAnsi" w:hAnsiTheme="minorHAnsi" w:cs="Arial"/>
          <w:b w:val="0"/>
          <w:sz w:val="24"/>
          <w:szCs w:val="24"/>
        </w:rPr>
      </w:pPr>
    </w:p>
    <w:p w14:paraId="24A40270"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b w:val="0"/>
          <w:sz w:val="24"/>
          <w:szCs w:val="24"/>
        </w:rPr>
        <w:t xml:space="preserve">Este tipo de embargo se encuentra positivizado en el artículo 17°, numeral </w:t>
      </w:r>
      <w:r w:rsidRPr="000D3432">
        <w:rPr>
          <w:rFonts w:asciiTheme="minorHAnsi" w:hAnsiTheme="minorHAnsi" w:cs="Arial"/>
          <w:b w:val="0"/>
          <w:sz w:val="24"/>
          <w:szCs w:val="24"/>
        </w:rPr>
        <w:lastRenderedPageBreak/>
        <w:t>3 del Reglamento del Procedimiento de Cobranza Coactiva - SUNAT y en el artículo 118° del Código Tributario.</w:t>
      </w:r>
    </w:p>
    <w:p w14:paraId="42FE4094" w14:textId="77777777" w:rsidR="00FA0266" w:rsidRPr="000D3432" w:rsidRDefault="00FA0266" w:rsidP="00A95498">
      <w:pPr>
        <w:pStyle w:val="Textodecuerpo21"/>
        <w:rPr>
          <w:rFonts w:asciiTheme="minorHAnsi" w:hAnsiTheme="minorHAnsi" w:cs="Arial"/>
          <w:b w:val="0"/>
          <w:sz w:val="24"/>
          <w:szCs w:val="24"/>
        </w:rPr>
      </w:pPr>
    </w:p>
    <w:p w14:paraId="2F0048F4" w14:textId="77777777" w:rsidR="00FA0266" w:rsidRPr="000D3432" w:rsidRDefault="00FA0266" w:rsidP="00A95498">
      <w:pPr>
        <w:pStyle w:val="Textodecuerpo21"/>
        <w:rPr>
          <w:rFonts w:asciiTheme="minorHAnsi" w:hAnsiTheme="minorHAnsi" w:cs="Arial"/>
          <w:b w:val="0"/>
          <w:sz w:val="24"/>
          <w:szCs w:val="24"/>
        </w:rPr>
      </w:pPr>
    </w:p>
    <w:p w14:paraId="38FB94A7" w14:textId="77777777" w:rsidR="00FA0266" w:rsidRPr="000D3432" w:rsidRDefault="00FA0266" w:rsidP="00A95498">
      <w:pPr>
        <w:pStyle w:val="Textodecuerpo21"/>
        <w:rPr>
          <w:rFonts w:asciiTheme="minorHAnsi" w:hAnsiTheme="minorHAnsi" w:cs="Arial"/>
          <w:b w:val="0"/>
          <w:sz w:val="24"/>
          <w:szCs w:val="24"/>
        </w:rPr>
      </w:pPr>
      <w:r w:rsidRPr="000D3432">
        <w:rPr>
          <w:rFonts w:asciiTheme="minorHAnsi" w:hAnsiTheme="minorHAnsi" w:cs="Arial"/>
          <w:sz w:val="24"/>
          <w:szCs w:val="24"/>
        </w:rPr>
        <w:t>EMBARGO EN FORMA DE DEPOSITO</w:t>
      </w:r>
    </w:p>
    <w:p w14:paraId="2682A69B" w14:textId="77777777" w:rsidR="00FA0266" w:rsidRPr="000D3432" w:rsidRDefault="00FA0266" w:rsidP="00A95498">
      <w:pPr>
        <w:jc w:val="both"/>
        <w:rPr>
          <w:rFonts w:asciiTheme="minorHAnsi" w:hAnsiTheme="minorHAnsi" w:cs="Arial"/>
          <w:szCs w:val="24"/>
        </w:rPr>
      </w:pPr>
    </w:p>
    <w:p w14:paraId="7D3E5D46" w14:textId="77777777" w:rsidR="00FA0266" w:rsidRPr="000D3432" w:rsidRDefault="00FA0266" w:rsidP="00A95498">
      <w:pPr>
        <w:jc w:val="both"/>
        <w:rPr>
          <w:rFonts w:asciiTheme="minorHAnsi" w:hAnsiTheme="minorHAnsi" w:cs="Arial"/>
          <w:szCs w:val="24"/>
          <w:vertAlign w:val="superscript"/>
        </w:rPr>
      </w:pPr>
      <w:r w:rsidRPr="000D3432">
        <w:rPr>
          <w:rFonts w:asciiTheme="minorHAnsi" w:hAnsiTheme="minorHAnsi" w:cs="Arial"/>
          <w:szCs w:val="24"/>
        </w:rPr>
        <w:t>Este tipo de embargo consiste en “la afectación de bienes muebles o inmuebles no registrados, de propiedad del deudor, nombrándosele depositario, pudiendo ser con o sin extracción. Es importante resaltar que la diligencia se podrá realizar en el domicilio fiscal o establecimientos anexos donde el deudor realice su actividad, o en cualquier otro establecimiento donde se encuentren sus bienes. Es obligatorio nombrarse al deudor o su representante legal como depositario de los bienes inmuebles no inscritos.”</w:t>
      </w:r>
      <w:r w:rsidRPr="000D3432">
        <w:rPr>
          <w:rStyle w:val="Refdenotaalpie"/>
          <w:rFonts w:asciiTheme="minorHAnsi" w:hAnsiTheme="minorHAnsi" w:cs="Arial"/>
          <w:sz w:val="24"/>
          <w:szCs w:val="24"/>
        </w:rPr>
        <w:t xml:space="preserve"> </w:t>
      </w:r>
      <w:r w:rsidRPr="000D3432">
        <w:rPr>
          <w:rStyle w:val="Refdenotaalpie"/>
          <w:rFonts w:asciiTheme="minorHAnsi" w:hAnsiTheme="minorHAnsi" w:cs="Arial"/>
          <w:sz w:val="24"/>
          <w:szCs w:val="24"/>
        </w:rPr>
        <w:footnoteReference w:id="579"/>
      </w:r>
    </w:p>
    <w:p w14:paraId="5C8D45E2"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ab/>
      </w:r>
    </w:p>
    <w:p w14:paraId="32BEC7E5"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Este tipo de embargo está regulado en el Código Tributario, Art. 118° numeral 2, y en el Código Procesal Civil, Art. 651°, y en el Reglamento del Procedimiento de Cobranza Coactiva  - SUNAT, en su artículo 18°.</w:t>
      </w:r>
    </w:p>
    <w:p w14:paraId="5C075908" w14:textId="77777777" w:rsidR="00FA0266" w:rsidRPr="000D3432" w:rsidRDefault="00FA0266" w:rsidP="00A95498">
      <w:pPr>
        <w:jc w:val="both"/>
        <w:rPr>
          <w:rFonts w:asciiTheme="minorHAnsi" w:hAnsiTheme="minorHAnsi" w:cs="Arial"/>
          <w:szCs w:val="24"/>
        </w:rPr>
      </w:pPr>
    </w:p>
    <w:p w14:paraId="20EF74A1"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Embargo “En forma de depósito, con o sin extracción de bienes, es el que se ejecutará sobre los bienes que se encuentren en cualquier establecimiento, inclusive los comerciantes o industriales, u oficinas de profesionales independientes, para lo cual el Ejecutor Coactivo o el Auxiliar Coactivo podrán designar como depositario de los bienes al deudor tributario, a un tercero o a la Administración Tributaria.</w:t>
      </w:r>
    </w:p>
    <w:p w14:paraId="1D5A0D79" w14:textId="77777777" w:rsidR="00FA0266" w:rsidRPr="000D3432" w:rsidRDefault="00FA0266" w:rsidP="00A95498">
      <w:pPr>
        <w:jc w:val="both"/>
        <w:rPr>
          <w:rFonts w:asciiTheme="minorHAnsi" w:hAnsiTheme="minorHAnsi" w:cs="Arial"/>
          <w:szCs w:val="24"/>
        </w:rPr>
      </w:pPr>
    </w:p>
    <w:p w14:paraId="22C38B4A"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Cuando se trate de bienes inmuebles no inscritos en Registros Públicos, el Ejecutor Coactivo podrá trabar embargo en forma de depósito respecto de los citados bienes, debiendo nombrarse al deudor tributario como depositario”.</w:t>
      </w:r>
    </w:p>
    <w:p w14:paraId="42C34F6E" w14:textId="77777777" w:rsidR="00FA0266" w:rsidRPr="000D3432" w:rsidRDefault="00FA0266" w:rsidP="00A95498">
      <w:pPr>
        <w:jc w:val="both"/>
        <w:rPr>
          <w:rFonts w:asciiTheme="minorHAnsi" w:hAnsiTheme="minorHAnsi" w:cs="Arial"/>
          <w:szCs w:val="24"/>
        </w:rPr>
      </w:pPr>
    </w:p>
    <w:p w14:paraId="59CAF59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Artículo 18° del Reglamento de Procedimiento de Cobranza Coactiva establece sobre esta forma de embargo, lo siguiente:</w:t>
      </w:r>
    </w:p>
    <w:p w14:paraId="5A3D9340" w14:textId="77777777" w:rsidR="00FA0266" w:rsidRPr="000D3432" w:rsidRDefault="00FA0266" w:rsidP="00A95498">
      <w:pPr>
        <w:jc w:val="both"/>
        <w:rPr>
          <w:rFonts w:asciiTheme="minorHAnsi" w:hAnsiTheme="minorHAnsi" w:cs="Arial"/>
          <w:szCs w:val="24"/>
        </w:rPr>
      </w:pPr>
    </w:p>
    <w:p w14:paraId="0746EAD3" w14:textId="77777777" w:rsidR="00FA0266" w:rsidRPr="000D3432" w:rsidRDefault="00FA0266" w:rsidP="009E6E2E">
      <w:pPr>
        <w:widowControl/>
        <w:numPr>
          <w:ilvl w:val="0"/>
          <w:numId w:val="19"/>
        </w:numPr>
        <w:tabs>
          <w:tab w:val="left" w:pos="720"/>
        </w:tabs>
        <w:jc w:val="both"/>
        <w:rPr>
          <w:rFonts w:asciiTheme="minorHAnsi" w:hAnsiTheme="minorHAnsi" w:cs="Arial"/>
          <w:szCs w:val="24"/>
        </w:rPr>
      </w:pPr>
      <w:r w:rsidRPr="000D3432">
        <w:rPr>
          <w:rFonts w:asciiTheme="minorHAnsi" w:hAnsiTheme="minorHAnsi" w:cs="Arial"/>
          <w:szCs w:val="24"/>
        </w:rPr>
        <w:t>De conformidad con lo dispuesto en el numeral 2) del Artículo 118° del Código, por el embargo en forma de depósito, la SUNAT  afecta los bienes muebles o inmuebles no registrados de propiedad del deudor, nombrándose depositario para su conservación o custodia. El embargo de bienes muebles puede realizarse con o sin extracción.</w:t>
      </w:r>
    </w:p>
    <w:p w14:paraId="46AB5BB2" w14:textId="77777777" w:rsidR="00FA0266" w:rsidRPr="000D3432" w:rsidRDefault="00FA0266" w:rsidP="009E6E2E">
      <w:pPr>
        <w:widowControl/>
        <w:numPr>
          <w:ilvl w:val="0"/>
          <w:numId w:val="19"/>
        </w:numPr>
        <w:tabs>
          <w:tab w:val="left" w:pos="720"/>
        </w:tabs>
        <w:jc w:val="both"/>
        <w:rPr>
          <w:rFonts w:asciiTheme="minorHAnsi" w:hAnsiTheme="minorHAnsi" w:cs="Arial"/>
          <w:szCs w:val="24"/>
        </w:rPr>
      </w:pPr>
      <w:r w:rsidRPr="000D3432">
        <w:rPr>
          <w:rFonts w:asciiTheme="minorHAnsi" w:hAnsiTheme="minorHAnsi" w:cs="Arial"/>
          <w:szCs w:val="24"/>
        </w:rPr>
        <w:t>En el embargo en forma de depósito se observará lo siguiente:</w:t>
      </w:r>
    </w:p>
    <w:p w14:paraId="36E99A99" w14:textId="77777777" w:rsidR="00FA0266" w:rsidRPr="000D3432" w:rsidRDefault="00FA0266" w:rsidP="009E6E2E">
      <w:pPr>
        <w:pStyle w:val="Sangra2detdecuerpo1"/>
        <w:numPr>
          <w:ilvl w:val="0"/>
          <w:numId w:val="20"/>
        </w:numPr>
        <w:tabs>
          <w:tab w:val="left" w:pos="1440"/>
        </w:tabs>
        <w:rPr>
          <w:rFonts w:asciiTheme="minorHAnsi" w:hAnsiTheme="minorHAnsi" w:cs="Arial"/>
          <w:szCs w:val="24"/>
        </w:rPr>
      </w:pPr>
      <w:r w:rsidRPr="000D3432">
        <w:rPr>
          <w:rFonts w:asciiTheme="minorHAnsi" w:hAnsiTheme="minorHAnsi" w:cs="Arial"/>
          <w:szCs w:val="24"/>
        </w:rPr>
        <w:t>La diligencia podrá llevarse a cabo en el domicilio fiscal y/o en los establecimientos anexos donde el deudor realice su actividad, o en cualquier otro establecimiento donde se encuentren sus bienes, ya sea que se trate de locales comerciales, industriales o de profesionales independientes.</w:t>
      </w:r>
    </w:p>
    <w:p w14:paraId="3ADCBEBE" w14:textId="77777777" w:rsidR="00FA0266" w:rsidRPr="000D3432" w:rsidRDefault="00FA0266" w:rsidP="009E6E2E">
      <w:pPr>
        <w:pStyle w:val="Sangra2detdecuerpo1"/>
        <w:numPr>
          <w:ilvl w:val="0"/>
          <w:numId w:val="20"/>
        </w:numPr>
        <w:tabs>
          <w:tab w:val="left" w:pos="1440"/>
        </w:tabs>
        <w:rPr>
          <w:rFonts w:asciiTheme="minorHAnsi" w:hAnsiTheme="minorHAnsi" w:cs="Arial"/>
          <w:szCs w:val="24"/>
        </w:rPr>
      </w:pPr>
      <w:r w:rsidRPr="000D3432">
        <w:rPr>
          <w:rFonts w:asciiTheme="minorHAnsi" w:hAnsiTheme="minorHAnsi" w:cs="Arial"/>
          <w:szCs w:val="24"/>
        </w:rPr>
        <w:t>Al trabar el embargo, se preferirá afectar bienes:</w:t>
      </w:r>
    </w:p>
    <w:p w14:paraId="418E4CB9" w14:textId="77777777" w:rsidR="00FA0266" w:rsidRPr="000D3432" w:rsidRDefault="00FA0266" w:rsidP="009E6E2E">
      <w:pPr>
        <w:pStyle w:val="Sangra2detdecuerpo1"/>
        <w:numPr>
          <w:ilvl w:val="0"/>
          <w:numId w:val="16"/>
        </w:numPr>
        <w:tabs>
          <w:tab w:val="left" w:pos="2340"/>
        </w:tabs>
        <w:ind w:left="2340"/>
        <w:rPr>
          <w:rFonts w:asciiTheme="minorHAnsi" w:hAnsiTheme="minorHAnsi" w:cs="Arial"/>
          <w:szCs w:val="24"/>
        </w:rPr>
      </w:pPr>
      <w:r w:rsidRPr="000D3432">
        <w:rPr>
          <w:rFonts w:asciiTheme="minorHAnsi" w:hAnsiTheme="minorHAnsi" w:cs="Arial"/>
          <w:szCs w:val="24"/>
        </w:rPr>
        <w:t>Determinados.</w:t>
      </w:r>
    </w:p>
    <w:p w14:paraId="0B223CE9" w14:textId="77777777" w:rsidR="00FA0266" w:rsidRPr="000D3432" w:rsidRDefault="00FA0266" w:rsidP="009E6E2E">
      <w:pPr>
        <w:pStyle w:val="Sangra2detdecuerpo1"/>
        <w:numPr>
          <w:ilvl w:val="0"/>
          <w:numId w:val="16"/>
        </w:numPr>
        <w:tabs>
          <w:tab w:val="left" w:pos="2340"/>
        </w:tabs>
        <w:ind w:left="2340"/>
        <w:rPr>
          <w:rFonts w:asciiTheme="minorHAnsi" w:hAnsiTheme="minorHAnsi" w:cs="Arial"/>
          <w:szCs w:val="24"/>
        </w:rPr>
      </w:pPr>
      <w:r w:rsidRPr="000D3432">
        <w:rPr>
          <w:rFonts w:asciiTheme="minorHAnsi" w:hAnsiTheme="minorHAnsi" w:cs="Arial"/>
          <w:szCs w:val="24"/>
        </w:rPr>
        <w:t>No perecederos.</w:t>
      </w:r>
    </w:p>
    <w:p w14:paraId="3B87791B" w14:textId="77777777" w:rsidR="00FA0266" w:rsidRPr="000D3432" w:rsidRDefault="00FA0266" w:rsidP="009E6E2E">
      <w:pPr>
        <w:pStyle w:val="Sangra2detdecuerpo1"/>
        <w:numPr>
          <w:ilvl w:val="0"/>
          <w:numId w:val="16"/>
        </w:numPr>
        <w:tabs>
          <w:tab w:val="left" w:pos="2340"/>
        </w:tabs>
        <w:ind w:left="2340"/>
        <w:rPr>
          <w:rFonts w:asciiTheme="minorHAnsi" w:hAnsiTheme="minorHAnsi" w:cs="Arial"/>
          <w:szCs w:val="24"/>
        </w:rPr>
      </w:pPr>
      <w:r w:rsidRPr="000D3432">
        <w:rPr>
          <w:rFonts w:asciiTheme="minorHAnsi" w:hAnsiTheme="minorHAnsi" w:cs="Arial"/>
          <w:szCs w:val="24"/>
        </w:rPr>
        <w:lastRenderedPageBreak/>
        <w:t>Que no pertenezcan a la unidad de producción y comercio. No obstante, cuando las circunstancias del caso lo ameriten, en virtud a lo estable ido en el literal b) del Artículo 118° del Código, podrán:</w:t>
      </w:r>
    </w:p>
    <w:p w14:paraId="573DDF11" w14:textId="77777777" w:rsidR="00FA0266" w:rsidRPr="000D3432" w:rsidRDefault="00FA0266" w:rsidP="009E6E2E">
      <w:pPr>
        <w:pStyle w:val="Sangra2detdecuerpo1"/>
        <w:numPr>
          <w:ilvl w:val="0"/>
          <w:numId w:val="21"/>
        </w:numPr>
        <w:tabs>
          <w:tab w:val="left" w:pos="3240"/>
        </w:tabs>
        <w:rPr>
          <w:rFonts w:asciiTheme="minorHAnsi" w:hAnsiTheme="minorHAnsi" w:cs="Arial"/>
          <w:szCs w:val="24"/>
        </w:rPr>
      </w:pPr>
      <w:r w:rsidRPr="000D3432">
        <w:rPr>
          <w:rFonts w:asciiTheme="minorHAnsi" w:hAnsiTheme="minorHAnsi" w:cs="Arial"/>
          <w:szCs w:val="24"/>
        </w:rPr>
        <w:t>Embargar bienes que individualmente considerados no afecten la unidad de producción y comercio para los cuales fueron adquiridos, inclusive aplicando el embargo en forma de depósito con extracción.</w:t>
      </w:r>
    </w:p>
    <w:p w14:paraId="7BA37C58" w14:textId="77777777" w:rsidR="00FA0266" w:rsidRPr="000D3432" w:rsidRDefault="00FA0266" w:rsidP="009E6E2E">
      <w:pPr>
        <w:pStyle w:val="Sangra2detdecuerpo1"/>
        <w:numPr>
          <w:ilvl w:val="0"/>
          <w:numId w:val="21"/>
        </w:numPr>
        <w:tabs>
          <w:tab w:val="left" w:pos="3240"/>
        </w:tabs>
        <w:rPr>
          <w:rFonts w:asciiTheme="minorHAnsi" w:hAnsiTheme="minorHAnsi" w:cs="Arial"/>
          <w:szCs w:val="24"/>
        </w:rPr>
      </w:pPr>
      <w:r w:rsidRPr="000D3432">
        <w:rPr>
          <w:rFonts w:asciiTheme="minorHAnsi" w:hAnsiTheme="minorHAnsi" w:cs="Arial"/>
          <w:szCs w:val="24"/>
        </w:rPr>
        <w:t>Excepcionalmente, señalar bienes comprendidos en la unidad de producción y comercio, sobre los que inicialmente no se podrá trabar embargo en forma de depósito con extracción. Sólo vencidos treinta (30) días hábiles de trabada la medida, el Ejecutor podrá adoptar el embargo en forma de depósito con extracción, salvo que el deudor ofrezca otros bienes o garantías que san suficientes para cautelar el pago de la deuda.</w:t>
      </w:r>
    </w:p>
    <w:p w14:paraId="49E62EC2" w14:textId="77777777" w:rsidR="00FA0266" w:rsidRPr="000D3432" w:rsidRDefault="00FA0266" w:rsidP="009E6E2E">
      <w:pPr>
        <w:pStyle w:val="Sangra2detdecuerpo1"/>
        <w:numPr>
          <w:ilvl w:val="0"/>
          <w:numId w:val="22"/>
        </w:numPr>
        <w:tabs>
          <w:tab w:val="left" w:pos="1440"/>
        </w:tabs>
        <w:rPr>
          <w:rFonts w:asciiTheme="minorHAnsi" w:hAnsiTheme="minorHAnsi" w:cs="Arial"/>
          <w:szCs w:val="24"/>
        </w:rPr>
      </w:pPr>
      <w:r w:rsidRPr="000D3432">
        <w:rPr>
          <w:rFonts w:asciiTheme="minorHAnsi" w:hAnsiTheme="minorHAnsi" w:cs="Arial"/>
          <w:szCs w:val="24"/>
        </w:rPr>
        <w:t>En el acta se consignará, los datos que permitan identificar a los bienes embargados, tales como la naturaleza de los bienes, cantidad, número de serie, marca de fábrica, modelo, color, año de fabricación, estado de conservación y de funcionamiento, señas particulares, de acuerdo al tipo de bien.</w:t>
      </w:r>
    </w:p>
    <w:p w14:paraId="1E9CACCF" w14:textId="77777777" w:rsidR="00FA0266" w:rsidRPr="000D3432" w:rsidRDefault="00FA0266" w:rsidP="009E6E2E">
      <w:pPr>
        <w:pStyle w:val="Sangra2detdecuerpo1"/>
        <w:numPr>
          <w:ilvl w:val="0"/>
          <w:numId w:val="22"/>
        </w:numPr>
        <w:tabs>
          <w:tab w:val="left" w:pos="1440"/>
        </w:tabs>
        <w:rPr>
          <w:rFonts w:asciiTheme="minorHAnsi" w:hAnsiTheme="minorHAnsi" w:cs="Arial"/>
          <w:szCs w:val="24"/>
        </w:rPr>
      </w:pPr>
      <w:r w:rsidRPr="000D3432">
        <w:rPr>
          <w:rFonts w:asciiTheme="minorHAnsi" w:hAnsiTheme="minorHAnsi" w:cs="Arial"/>
          <w:szCs w:val="24"/>
        </w:rPr>
        <w:t>Se nombrará como depositario de los bienes consignados en el acta, al deudor o a su representante legal, a un tercero o a la propia SUNAT, informándole de las obligaciones de los efectos de la designación.</w:t>
      </w:r>
    </w:p>
    <w:p w14:paraId="7B9E3CFD" w14:textId="77777777" w:rsidR="00FA0266" w:rsidRPr="000D3432" w:rsidRDefault="00FA0266" w:rsidP="00A95498">
      <w:pPr>
        <w:pStyle w:val="Sangra2detdecuerpo1"/>
        <w:numPr>
          <w:ilvl w:val="12"/>
          <w:numId w:val="0"/>
        </w:numPr>
        <w:ind w:left="1416"/>
        <w:rPr>
          <w:rFonts w:asciiTheme="minorHAnsi" w:hAnsiTheme="minorHAnsi" w:cs="Arial"/>
          <w:szCs w:val="24"/>
        </w:rPr>
      </w:pPr>
      <w:r w:rsidRPr="000D3432">
        <w:rPr>
          <w:rFonts w:asciiTheme="minorHAnsi" w:hAnsiTheme="minorHAnsi" w:cs="Arial"/>
          <w:szCs w:val="24"/>
        </w:rPr>
        <w:t>En los casos que la SUNAT sea constituida en depositaria de los bienes, señalará un representante para que suscriba el acta.</w:t>
      </w:r>
    </w:p>
    <w:p w14:paraId="0096B42B" w14:textId="77777777" w:rsidR="00FA0266" w:rsidRPr="000D3432" w:rsidRDefault="00FA0266" w:rsidP="009E6E2E">
      <w:pPr>
        <w:pStyle w:val="Sangra2detdecuerpo1"/>
        <w:numPr>
          <w:ilvl w:val="0"/>
          <w:numId w:val="22"/>
        </w:numPr>
        <w:tabs>
          <w:tab w:val="left" w:pos="1440"/>
        </w:tabs>
        <w:rPr>
          <w:rFonts w:asciiTheme="minorHAnsi" w:hAnsiTheme="minorHAnsi" w:cs="Arial"/>
          <w:szCs w:val="24"/>
        </w:rPr>
      </w:pPr>
      <w:r w:rsidRPr="000D3432">
        <w:rPr>
          <w:rFonts w:asciiTheme="minorHAnsi" w:hAnsiTheme="minorHAnsi" w:cs="Arial"/>
          <w:szCs w:val="24"/>
        </w:rPr>
        <w:t>Si el deudor o quien lo representa en la diligencia se niega a firmar el acta, se dejará constancia de tal hecho en la misma yh podrá variarse el embargo en forma de depósito sin extracción a embargo en forma de depósito con extracción, considerando que de tratarse de bienes comprendidos en una unidad de producción o de comercio, la variación de embargo podrá efectuarse vencidos los treinta (30) días hábiles de haberse frustrado la adopción del embargo en forma de depósito, de acuerdo a lo previsto en el literal b).</w:t>
      </w:r>
    </w:p>
    <w:p w14:paraId="308A8BA5" w14:textId="77777777" w:rsidR="00FA0266" w:rsidRPr="000D3432" w:rsidRDefault="00FA0266" w:rsidP="009E6E2E">
      <w:pPr>
        <w:pStyle w:val="Sangra2detdecuerpo1"/>
        <w:numPr>
          <w:ilvl w:val="0"/>
          <w:numId w:val="22"/>
        </w:numPr>
        <w:tabs>
          <w:tab w:val="left" w:pos="1440"/>
        </w:tabs>
        <w:rPr>
          <w:rFonts w:asciiTheme="minorHAnsi" w:hAnsiTheme="minorHAnsi" w:cs="Arial"/>
          <w:szCs w:val="24"/>
        </w:rPr>
      </w:pPr>
      <w:r w:rsidRPr="000D3432">
        <w:rPr>
          <w:rFonts w:asciiTheme="minorHAnsi" w:hAnsiTheme="minorHAnsi" w:cs="Arial"/>
          <w:szCs w:val="24"/>
        </w:rPr>
        <w:t>Tratándose de vehículos, de ser el caso, se oficiará a la Policía Nacional par su captura. Una vez capturado el vehículo, o de encontrarse en posesión del deudor o de terceros, se levantará el acta de depósito respectiva señalando como depositario a la SUNAT, al tercero que ésta designe o al deudor, procediéndose, adicionalmente a inscribir el embargo en el Registro de Propiedad Vehicular.</w:t>
      </w:r>
    </w:p>
    <w:p w14:paraId="4E1C115C" w14:textId="77777777" w:rsidR="00FA0266" w:rsidRPr="000D3432" w:rsidRDefault="00FA0266" w:rsidP="00A95498">
      <w:pPr>
        <w:pStyle w:val="Sangra2detdecuerpo1"/>
        <w:numPr>
          <w:ilvl w:val="12"/>
          <w:numId w:val="0"/>
        </w:numPr>
        <w:ind w:left="1416"/>
        <w:rPr>
          <w:rFonts w:asciiTheme="minorHAnsi" w:hAnsiTheme="minorHAnsi" w:cs="Arial"/>
          <w:szCs w:val="24"/>
        </w:rPr>
      </w:pPr>
      <w:r w:rsidRPr="000D3432">
        <w:rPr>
          <w:rFonts w:asciiTheme="minorHAnsi" w:hAnsiTheme="minorHAnsi" w:cs="Arial"/>
          <w:szCs w:val="24"/>
        </w:rPr>
        <w:t>En el acta antes mencionada se consignará detalladamente las características del vehículo y el estado en que se encuentra.</w:t>
      </w:r>
    </w:p>
    <w:p w14:paraId="25D2C24A" w14:textId="77777777" w:rsidR="00FA0266" w:rsidRPr="000D3432" w:rsidRDefault="00FA0266" w:rsidP="009E6E2E">
      <w:pPr>
        <w:pStyle w:val="Sangra2detdecuerpo1"/>
        <w:numPr>
          <w:ilvl w:val="0"/>
          <w:numId w:val="22"/>
        </w:numPr>
        <w:tabs>
          <w:tab w:val="left" w:pos="1440"/>
        </w:tabs>
        <w:rPr>
          <w:rFonts w:asciiTheme="minorHAnsi" w:hAnsiTheme="minorHAnsi" w:cs="Arial"/>
          <w:szCs w:val="24"/>
        </w:rPr>
      </w:pPr>
      <w:r w:rsidRPr="000D3432">
        <w:rPr>
          <w:rFonts w:asciiTheme="minorHAnsi" w:hAnsiTheme="minorHAnsi" w:cs="Arial"/>
          <w:szCs w:val="24"/>
        </w:rPr>
        <w:lastRenderedPageBreak/>
        <w:t>Tratándose de bienes inmuebles no inscritos se consignará en el acta las característica y ubicación del inmueble, nombrándose necesariamente como depositario al propio deudor o a su represente legal.</w:t>
      </w:r>
    </w:p>
    <w:p w14:paraId="2174542C" w14:textId="77777777" w:rsidR="00FA0266" w:rsidRPr="000D3432" w:rsidRDefault="00FA0266" w:rsidP="00A95498">
      <w:pPr>
        <w:pStyle w:val="Sangra2detdecuerpo1"/>
        <w:numPr>
          <w:ilvl w:val="12"/>
          <w:numId w:val="0"/>
        </w:numPr>
        <w:ind w:left="1416"/>
        <w:rPr>
          <w:rFonts w:asciiTheme="minorHAnsi" w:hAnsiTheme="minorHAnsi" w:cs="Arial"/>
          <w:szCs w:val="24"/>
        </w:rPr>
      </w:pPr>
      <w:r w:rsidRPr="000D3432">
        <w:rPr>
          <w:rFonts w:asciiTheme="minorHAnsi" w:hAnsiTheme="minorHAnsi" w:cs="Arial"/>
          <w:szCs w:val="24"/>
        </w:rPr>
        <w:t>A efecto de salvaguardar los derechos de terceros posibles adquirientes de buena fe, una vez trabado el embargo en forma de depósito sobre inmueble no inscrito, se podrá disponer la colocación de afiches o carteles alusivos a dicha medida en parte visible del inmueble embargado y/o la publicación en el diario encargado de los avisos judiciales u otro medio que se considere conveniente.</w:t>
      </w:r>
    </w:p>
    <w:p w14:paraId="06CDD3CF" w14:textId="77777777" w:rsidR="00FA0266" w:rsidRPr="000D3432" w:rsidRDefault="00FA0266" w:rsidP="009E6E2E">
      <w:pPr>
        <w:pStyle w:val="Sangra2detdecuerpo1"/>
        <w:numPr>
          <w:ilvl w:val="0"/>
          <w:numId w:val="22"/>
        </w:numPr>
        <w:tabs>
          <w:tab w:val="left" w:pos="1440"/>
        </w:tabs>
        <w:rPr>
          <w:rFonts w:asciiTheme="minorHAnsi" w:hAnsiTheme="minorHAnsi" w:cs="Arial"/>
          <w:szCs w:val="24"/>
        </w:rPr>
      </w:pPr>
      <w:r w:rsidRPr="000D3432">
        <w:rPr>
          <w:rFonts w:asciiTheme="minorHAnsi" w:hAnsiTheme="minorHAnsi" w:cs="Arial"/>
          <w:szCs w:val="24"/>
        </w:rPr>
        <w:t>El Ejecutor podrá contar con el apoyo del perito que él designe, a fin de verificar la idoneidad y las características de los bienes a embargar, el mismo que deberá suscribir el acta correspondiente.</w:t>
      </w:r>
    </w:p>
    <w:p w14:paraId="21436C0A" w14:textId="77777777" w:rsidR="00FA0266" w:rsidRPr="000D3432" w:rsidRDefault="00FA0266" w:rsidP="00A95498">
      <w:pPr>
        <w:pStyle w:val="Sangra2detdecuerpo1"/>
        <w:numPr>
          <w:ilvl w:val="12"/>
          <w:numId w:val="0"/>
        </w:numPr>
        <w:ind w:left="1080"/>
        <w:rPr>
          <w:rFonts w:asciiTheme="minorHAnsi" w:hAnsiTheme="minorHAnsi" w:cs="Arial"/>
          <w:szCs w:val="24"/>
        </w:rPr>
      </w:pPr>
    </w:p>
    <w:p w14:paraId="32948C2F" w14:textId="77777777" w:rsidR="00FA0266" w:rsidRPr="000D3432" w:rsidRDefault="00FA0266" w:rsidP="00A95498">
      <w:pPr>
        <w:pStyle w:val="Sangra2detdecuerpo1"/>
        <w:numPr>
          <w:ilvl w:val="12"/>
          <w:numId w:val="0"/>
        </w:numPr>
        <w:rPr>
          <w:rFonts w:asciiTheme="minorHAnsi" w:hAnsiTheme="minorHAnsi" w:cs="Arial"/>
          <w:b/>
          <w:szCs w:val="24"/>
        </w:rPr>
      </w:pPr>
      <w:r w:rsidRPr="000D3432">
        <w:rPr>
          <w:rFonts w:asciiTheme="minorHAnsi" w:hAnsiTheme="minorHAnsi" w:cs="Arial"/>
          <w:b/>
          <w:szCs w:val="24"/>
        </w:rPr>
        <w:t>Obligaciones del Depositario:</w:t>
      </w:r>
    </w:p>
    <w:p w14:paraId="07D2A4AB" w14:textId="77777777" w:rsidR="00FA0266" w:rsidRPr="000D3432" w:rsidRDefault="00FA0266" w:rsidP="009E6E2E">
      <w:pPr>
        <w:widowControl/>
        <w:numPr>
          <w:ilvl w:val="0"/>
          <w:numId w:val="22"/>
        </w:numPr>
        <w:tabs>
          <w:tab w:val="left" w:pos="720"/>
        </w:tabs>
        <w:ind w:left="720"/>
        <w:jc w:val="both"/>
        <w:rPr>
          <w:rFonts w:asciiTheme="minorHAnsi" w:hAnsiTheme="minorHAnsi" w:cs="Arial"/>
          <w:szCs w:val="24"/>
        </w:rPr>
      </w:pPr>
      <w:r w:rsidRPr="000D3432">
        <w:rPr>
          <w:rFonts w:asciiTheme="minorHAnsi" w:hAnsiTheme="minorHAnsi" w:cs="Arial"/>
          <w:szCs w:val="24"/>
        </w:rPr>
        <w:t>Conservar y custodiar los bienes en depósito en el mismo estado que los recibe.</w:t>
      </w:r>
    </w:p>
    <w:p w14:paraId="3703F370" w14:textId="77777777" w:rsidR="00FA0266" w:rsidRPr="000D3432" w:rsidRDefault="00FA0266" w:rsidP="009E6E2E">
      <w:pPr>
        <w:widowControl/>
        <w:numPr>
          <w:ilvl w:val="0"/>
          <w:numId w:val="22"/>
        </w:numPr>
        <w:tabs>
          <w:tab w:val="left" w:pos="720"/>
        </w:tabs>
        <w:ind w:left="720"/>
        <w:jc w:val="both"/>
        <w:rPr>
          <w:rFonts w:asciiTheme="minorHAnsi" w:hAnsiTheme="minorHAnsi" w:cs="Arial"/>
          <w:szCs w:val="24"/>
        </w:rPr>
      </w:pPr>
      <w:r w:rsidRPr="000D3432">
        <w:rPr>
          <w:rFonts w:asciiTheme="minorHAnsi" w:hAnsiTheme="minorHAnsi" w:cs="Arial"/>
          <w:szCs w:val="24"/>
        </w:rPr>
        <w:t>Dar cuenta inmediata al Ejecutor de todo hecho que pueda significar la alteración de cualquier naturaleza de los bienes afectados por el embargo, bajo responsabilidad.</w:t>
      </w:r>
    </w:p>
    <w:p w14:paraId="2D9ED5D2" w14:textId="77777777" w:rsidR="00FA0266" w:rsidRPr="000D3432" w:rsidRDefault="00FA0266" w:rsidP="009E6E2E">
      <w:pPr>
        <w:widowControl/>
        <w:numPr>
          <w:ilvl w:val="0"/>
          <w:numId w:val="22"/>
        </w:numPr>
        <w:tabs>
          <w:tab w:val="left" w:pos="720"/>
        </w:tabs>
        <w:ind w:left="720"/>
        <w:jc w:val="both"/>
        <w:rPr>
          <w:rFonts w:asciiTheme="minorHAnsi" w:hAnsiTheme="minorHAnsi" w:cs="Arial"/>
          <w:szCs w:val="24"/>
        </w:rPr>
      </w:pPr>
      <w:r w:rsidRPr="000D3432">
        <w:rPr>
          <w:rFonts w:asciiTheme="minorHAnsi" w:hAnsiTheme="minorHAnsi" w:cs="Arial"/>
          <w:szCs w:val="24"/>
        </w:rPr>
        <w:t>Facilitar el acceso permanente a la verificación del estado y la conservación de los bienes, así como entregar los bienes cuando le sea solicitado.</w:t>
      </w:r>
    </w:p>
    <w:p w14:paraId="417DB3BA" w14:textId="77777777" w:rsidR="00FA0266" w:rsidRPr="000D3432" w:rsidRDefault="00FA0266" w:rsidP="00A95498">
      <w:pPr>
        <w:pStyle w:val="Sangra2detdecuerpo1"/>
        <w:numPr>
          <w:ilvl w:val="12"/>
          <w:numId w:val="0"/>
        </w:numPr>
        <w:ind w:left="708"/>
        <w:rPr>
          <w:rFonts w:asciiTheme="minorHAnsi" w:hAnsiTheme="minorHAnsi" w:cs="Arial"/>
          <w:szCs w:val="24"/>
        </w:rPr>
      </w:pPr>
      <w:r w:rsidRPr="000D3432">
        <w:rPr>
          <w:rFonts w:asciiTheme="minorHAnsi" w:hAnsiTheme="minorHAnsi" w:cs="Arial"/>
          <w:szCs w:val="24"/>
        </w:rPr>
        <w:t>Conforme lo establece el Artículo 18° del Código, el depositario podrá ser imputado como responsable solidario hasta por el monto de la deuda tributaria en cobranza si no pone a disposición de la SUNAT los bienes cuya custodia y conservación le fue encargada, en las condiciones en las que le fueron entregados, por causas imputables a él.</w:t>
      </w:r>
    </w:p>
    <w:p w14:paraId="0E64C9A1" w14:textId="77777777" w:rsidR="00FA0266" w:rsidRPr="000D3432" w:rsidRDefault="00FA0266" w:rsidP="00A95498">
      <w:pPr>
        <w:numPr>
          <w:ilvl w:val="12"/>
          <w:numId w:val="0"/>
        </w:numPr>
        <w:ind w:left="708"/>
        <w:jc w:val="both"/>
        <w:rPr>
          <w:rFonts w:asciiTheme="minorHAnsi" w:hAnsiTheme="minorHAnsi" w:cs="Arial"/>
          <w:szCs w:val="24"/>
        </w:rPr>
      </w:pPr>
      <w:r w:rsidRPr="000D3432">
        <w:rPr>
          <w:rFonts w:asciiTheme="minorHAnsi" w:hAnsiTheme="minorHAnsi" w:cs="Arial"/>
          <w:szCs w:val="24"/>
        </w:rPr>
        <w:t>De existir razón justificada, a solicitud de parte, del depositario o de oficio, el Ejecutor podrá ordenar la designación de un nuevo depositario, a quien el subrogado deberá entregar los bienes en el plazo señalado en la respectiva Resolución, bajo apercibimiento de ley. Dicha subrogación se hará efectiva en una diligencia, suscribiéndose el acta correspondiente.</w:t>
      </w:r>
    </w:p>
    <w:p w14:paraId="4B97DDE9" w14:textId="77777777" w:rsidR="00FA0266" w:rsidRPr="000D3432" w:rsidRDefault="00FA0266" w:rsidP="00A95498">
      <w:pPr>
        <w:numPr>
          <w:ilvl w:val="12"/>
          <w:numId w:val="0"/>
        </w:numPr>
        <w:jc w:val="both"/>
        <w:rPr>
          <w:rFonts w:asciiTheme="minorHAnsi" w:hAnsiTheme="minorHAnsi" w:cs="Arial"/>
          <w:szCs w:val="24"/>
        </w:rPr>
      </w:pPr>
    </w:p>
    <w:p w14:paraId="1C2904DF" w14:textId="77777777" w:rsidR="00FA0266" w:rsidRPr="000D3432" w:rsidRDefault="00FA0266" w:rsidP="00A95498">
      <w:pPr>
        <w:pStyle w:val="Ttulo3"/>
        <w:numPr>
          <w:ilvl w:val="12"/>
          <w:numId w:val="0"/>
        </w:numPr>
        <w:rPr>
          <w:rFonts w:asciiTheme="minorHAnsi" w:hAnsiTheme="minorHAnsi" w:cs="Arial"/>
          <w:sz w:val="24"/>
          <w:szCs w:val="24"/>
        </w:rPr>
      </w:pPr>
      <w:bookmarkStart w:id="101" w:name="_Toc318102906"/>
      <w:r w:rsidRPr="000D3432">
        <w:rPr>
          <w:rFonts w:asciiTheme="minorHAnsi" w:hAnsiTheme="minorHAnsi" w:cs="Arial"/>
          <w:sz w:val="24"/>
          <w:szCs w:val="24"/>
        </w:rPr>
        <w:t>EMBARGO EN FORMA DE INSCRIPCIÓN</w:t>
      </w:r>
      <w:bookmarkEnd w:id="101"/>
    </w:p>
    <w:p w14:paraId="6CAC8E97" w14:textId="77777777" w:rsidR="00FA0266" w:rsidRPr="000D3432" w:rsidRDefault="00FA0266" w:rsidP="00A95498">
      <w:pPr>
        <w:jc w:val="both"/>
        <w:rPr>
          <w:rFonts w:asciiTheme="minorHAnsi" w:hAnsiTheme="minorHAnsi" w:cs="Arial"/>
          <w:szCs w:val="24"/>
        </w:rPr>
      </w:pPr>
    </w:p>
    <w:p w14:paraId="32E71DCF" w14:textId="77777777" w:rsidR="00FA0266" w:rsidRPr="000D3432" w:rsidRDefault="00FA0266" w:rsidP="00A95498">
      <w:pPr>
        <w:pStyle w:val="Textodecuerpo21"/>
        <w:numPr>
          <w:ilvl w:val="12"/>
          <w:numId w:val="0"/>
        </w:numPr>
        <w:ind w:left="708"/>
        <w:rPr>
          <w:rFonts w:asciiTheme="minorHAnsi" w:hAnsiTheme="minorHAnsi" w:cs="Arial"/>
          <w:b w:val="0"/>
          <w:sz w:val="24"/>
          <w:szCs w:val="24"/>
        </w:rPr>
      </w:pPr>
      <w:r w:rsidRPr="000D3432">
        <w:rPr>
          <w:rFonts w:asciiTheme="minorHAnsi" w:hAnsiTheme="minorHAnsi" w:cs="Arial"/>
          <w:b w:val="0"/>
          <w:sz w:val="24"/>
          <w:szCs w:val="24"/>
        </w:rPr>
        <w:t>En forma de inscripción, debiendo anotarse en el Registro Público u otro registro, según corresponda. El importe de tasas registrales u otros derechos, deberá ser pagado por la Administración Tributaria con el producto del remate, luego de obtenido éste, o por el interesado con ocasión del levantamiento de la medida.</w:t>
      </w:r>
    </w:p>
    <w:p w14:paraId="676F57DA" w14:textId="77777777" w:rsidR="00FA0266" w:rsidRPr="000D3432" w:rsidRDefault="00FA0266" w:rsidP="00A95498">
      <w:pPr>
        <w:numPr>
          <w:ilvl w:val="12"/>
          <w:numId w:val="0"/>
        </w:numPr>
        <w:jc w:val="both"/>
        <w:rPr>
          <w:rFonts w:asciiTheme="minorHAnsi" w:hAnsiTheme="minorHAnsi" w:cs="Arial"/>
          <w:szCs w:val="24"/>
        </w:rPr>
      </w:pPr>
      <w:r w:rsidRPr="000D3432">
        <w:rPr>
          <w:rFonts w:asciiTheme="minorHAnsi" w:hAnsiTheme="minorHAnsi" w:cs="Arial"/>
          <w:szCs w:val="24"/>
        </w:rPr>
        <w:t>El Artículo 19° del Reglamento de Procedimiento de Cobranza Coactiva establece sobre esta forma de embargo, lo siguiente:</w:t>
      </w:r>
    </w:p>
    <w:p w14:paraId="358A353D" w14:textId="77777777" w:rsidR="00FA0266" w:rsidRPr="000D3432" w:rsidRDefault="00FA0266" w:rsidP="00A95498">
      <w:pPr>
        <w:numPr>
          <w:ilvl w:val="12"/>
          <w:numId w:val="0"/>
        </w:numPr>
        <w:jc w:val="both"/>
        <w:rPr>
          <w:rFonts w:asciiTheme="minorHAnsi" w:hAnsiTheme="minorHAnsi" w:cs="Arial"/>
          <w:szCs w:val="24"/>
        </w:rPr>
      </w:pPr>
      <w:r w:rsidRPr="000D3432">
        <w:rPr>
          <w:rFonts w:asciiTheme="minorHAnsi" w:hAnsiTheme="minorHAnsi" w:cs="Arial"/>
          <w:szCs w:val="24"/>
        </w:rPr>
        <w:t xml:space="preserve">Por el embargo en forma de inscripción, la SUNAT afecta bienes muebles o inmuebles registrados, inscribiéndose la medida por el monto total o parcialmente adeudado en los registros respectivos, siempre que sea </w:t>
      </w:r>
      <w:r w:rsidRPr="000D3432">
        <w:rPr>
          <w:rFonts w:asciiTheme="minorHAnsi" w:hAnsiTheme="minorHAnsi" w:cs="Arial"/>
          <w:szCs w:val="24"/>
        </w:rPr>
        <w:lastRenderedPageBreak/>
        <w:t>compatible con el título de propiedad ya inscrito.</w:t>
      </w:r>
    </w:p>
    <w:p w14:paraId="12294658" w14:textId="77777777" w:rsidR="00FA0266" w:rsidRPr="000D3432" w:rsidRDefault="00FA0266" w:rsidP="00A95498">
      <w:pPr>
        <w:numPr>
          <w:ilvl w:val="12"/>
          <w:numId w:val="0"/>
        </w:numPr>
        <w:jc w:val="both"/>
        <w:rPr>
          <w:rFonts w:asciiTheme="minorHAnsi" w:hAnsiTheme="minorHAnsi" w:cs="Arial"/>
          <w:szCs w:val="24"/>
        </w:rPr>
      </w:pPr>
      <w:r w:rsidRPr="000D3432">
        <w:rPr>
          <w:rFonts w:asciiTheme="minorHAnsi" w:hAnsiTheme="minorHAnsi" w:cs="Arial"/>
          <w:szCs w:val="24"/>
        </w:rPr>
        <w:t>En el embargo en forma de inscripción se observará lo siguiente:</w:t>
      </w:r>
    </w:p>
    <w:p w14:paraId="547C67FF" w14:textId="77777777" w:rsidR="00FA0266" w:rsidRPr="000D3432" w:rsidRDefault="00FA0266" w:rsidP="009E6E2E">
      <w:pPr>
        <w:widowControl/>
        <w:numPr>
          <w:ilvl w:val="0"/>
          <w:numId w:val="23"/>
        </w:numPr>
        <w:tabs>
          <w:tab w:val="left" w:pos="735"/>
        </w:tabs>
        <w:jc w:val="both"/>
        <w:rPr>
          <w:rFonts w:asciiTheme="minorHAnsi" w:hAnsiTheme="minorHAnsi" w:cs="Arial"/>
          <w:szCs w:val="24"/>
        </w:rPr>
      </w:pPr>
      <w:r w:rsidRPr="000D3432">
        <w:rPr>
          <w:rFonts w:asciiTheme="minorHAnsi" w:hAnsiTheme="minorHAnsi" w:cs="Arial"/>
          <w:szCs w:val="24"/>
        </w:rPr>
        <w:t>La Resolución de embargo señalará la información registral correspondiente consignando, entre otros datos, la ficha o la partida registral donde se encuentra inscrito el bien y, de ser necesario, la información adicional que permita su identificación.</w:t>
      </w:r>
    </w:p>
    <w:p w14:paraId="43AE8D29" w14:textId="77777777" w:rsidR="00FA0266" w:rsidRPr="000D3432" w:rsidRDefault="00FA0266" w:rsidP="009E6E2E">
      <w:pPr>
        <w:widowControl/>
        <w:numPr>
          <w:ilvl w:val="0"/>
          <w:numId w:val="23"/>
        </w:numPr>
        <w:tabs>
          <w:tab w:val="left" w:pos="735"/>
        </w:tabs>
        <w:jc w:val="both"/>
        <w:rPr>
          <w:rFonts w:asciiTheme="minorHAnsi" w:hAnsiTheme="minorHAnsi" w:cs="Arial"/>
          <w:szCs w:val="24"/>
        </w:rPr>
      </w:pPr>
      <w:r w:rsidRPr="000D3432">
        <w:rPr>
          <w:rFonts w:asciiTheme="minorHAnsi" w:hAnsiTheme="minorHAnsi" w:cs="Arial"/>
          <w:szCs w:val="24"/>
        </w:rPr>
        <w:t>El embargo será notificado al deudor después de haber sido inscrito en el registro pertinente.</w:t>
      </w:r>
    </w:p>
    <w:p w14:paraId="1A6A2A79" w14:textId="77777777" w:rsidR="00FA0266" w:rsidRPr="000D3432" w:rsidRDefault="00FA0266" w:rsidP="009E6E2E">
      <w:pPr>
        <w:widowControl/>
        <w:numPr>
          <w:ilvl w:val="0"/>
          <w:numId w:val="23"/>
        </w:numPr>
        <w:tabs>
          <w:tab w:val="left" w:pos="735"/>
        </w:tabs>
        <w:jc w:val="both"/>
        <w:rPr>
          <w:rFonts w:asciiTheme="minorHAnsi" w:hAnsiTheme="minorHAnsi" w:cs="Arial"/>
          <w:szCs w:val="24"/>
        </w:rPr>
      </w:pPr>
      <w:r w:rsidRPr="000D3432">
        <w:rPr>
          <w:rFonts w:asciiTheme="minorHAnsi" w:hAnsiTheme="minorHAnsi" w:cs="Arial"/>
          <w:szCs w:val="24"/>
        </w:rPr>
        <w:t>El importe de ls TASS registrales u toros derechos deberá ser cancelado por la SUNAT, con el producto del remate o por el interesado con ocasión del levantamiento de la medida.</w:t>
      </w:r>
    </w:p>
    <w:p w14:paraId="75EC2FDB" w14:textId="77777777" w:rsidR="00FA0266" w:rsidRPr="000D3432" w:rsidRDefault="00FA0266" w:rsidP="00A95498">
      <w:pPr>
        <w:jc w:val="both"/>
        <w:rPr>
          <w:rFonts w:asciiTheme="minorHAnsi" w:hAnsiTheme="minorHAnsi" w:cs="Arial"/>
          <w:szCs w:val="24"/>
        </w:rPr>
      </w:pPr>
    </w:p>
    <w:p w14:paraId="00F4E4D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Los embargos en forma de inscripción sobre bienes muebles sujetos a inscripción según leyes especiales se regularán conforme a estas normas, sin desnaturalizar el presente procedimiento.</w:t>
      </w:r>
    </w:p>
    <w:p w14:paraId="4DFBBE62" w14:textId="77777777" w:rsidR="00FA0266" w:rsidRPr="000D3432" w:rsidRDefault="00FA0266" w:rsidP="00A95498">
      <w:pPr>
        <w:jc w:val="both"/>
        <w:rPr>
          <w:rFonts w:asciiTheme="minorHAnsi" w:hAnsiTheme="minorHAnsi" w:cs="Arial"/>
          <w:szCs w:val="24"/>
        </w:rPr>
      </w:pPr>
    </w:p>
    <w:p w14:paraId="4DC38ADF" w14:textId="77777777" w:rsidR="00FA0266" w:rsidRPr="000D3432" w:rsidRDefault="00FA0266" w:rsidP="00A95498">
      <w:pPr>
        <w:pStyle w:val="Ttulo3"/>
        <w:rPr>
          <w:rFonts w:asciiTheme="minorHAnsi" w:hAnsiTheme="minorHAnsi" w:cs="Arial"/>
          <w:sz w:val="24"/>
          <w:szCs w:val="24"/>
        </w:rPr>
      </w:pPr>
      <w:bookmarkStart w:id="102" w:name="_Toc318102907"/>
      <w:r w:rsidRPr="000D3432">
        <w:rPr>
          <w:rFonts w:asciiTheme="minorHAnsi" w:hAnsiTheme="minorHAnsi" w:cs="Arial"/>
          <w:sz w:val="24"/>
          <w:szCs w:val="24"/>
        </w:rPr>
        <w:t>EMBARGO EN FORMA DE RETENCIÓN</w:t>
      </w:r>
      <w:bookmarkEnd w:id="102"/>
    </w:p>
    <w:p w14:paraId="61B36713" w14:textId="77777777" w:rsidR="00FA0266" w:rsidRPr="000D3432" w:rsidRDefault="00FA0266" w:rsidP="00A95498">
      <w:pPr>
        <w:jc w:val="both"/>
        <w:rPr>
          <w:rFonts w:asciiTheme="minorHAnsi" w:hAnsiTheme="minorHAnsi" w:cs="Arial"/>
          <w:szCs w:val="24"/>
        </w:rPr>
      </w:pPr>
    </w:p>
    <w:p w14:paraId="3A862A7B"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En forma de retención, en cuyo caso recae sobre los bienes, valores y fondos en cuentas corrientes, depósitos, custodia y otos, así como sobre los derechos del crédito de los cuales el deudor tributario sea titular, que se encuentren en poder de terceros.</w:t>
      </w:r>
    </w:p>
    <w:p w14:paraId="48187DB6"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La medida podrá ejecutarse mediante la diligencia de toma de dicho o notificando al tercero a efectos que se retenga el pago a la orden de la Administración Tributaria.</w:t>
      </w:r>
    </w:p>
    <w:p w14:paraId="6E9B7E7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En ambos caos, el tercero se encuentra obligado a poner en conocimiento del ejecutor Coactivo la retención o la imposibilidad de ésta en el plazo máximo d cinco días hábiles de notificada, bajo pena de incurrir en la infracción tipificada en el numeral 6) del Artículo 177°.</w:t>
      </w:r>
    </w:p>
    <w:p w14:paraId="5E4F82C8"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El tercero no podrá informar al ejecutado de la ejecución de la medida hasta que se realice la misma.</w:t>
      </w:r>
    </w:p>
    <w:p w14:paraId="2B590DB2"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Si el tercero niega la existencia de créditos y/o bienes, aún cuando estos existan, estará obligado a pagar el monto que omitió retener, sin perjuicio de la sanción correspondiente a la infracción tipificada en el numeral 7) del Artículo 177° y de la responsabilidad penal a que haya lugar.</w:t>
      </w:r>
    </w:p>
    <w:p w14:paraId="126F33B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Asimismo, si el tercero incumple la orden de retener y paga al ejecutado o a un designado por cuenta de aquél, estará obligado a pagar a la Administración Tributaria el monto que debió retener.</w:t>
      </w:r>
    </w:p>
    <w:p w14:paraId="4F20BDD7"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La medida se mantendrá por el monto que el Ejecutor Coactivo ordenó retener al tercero y hasta su entrega al Ejecutor Coactivo.</w:t>
      </w:r>
    </w:p>
    <w:p w14:paraId="361FB553"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Con esta guía, el Artículo 20° del Reglamento de Procedimiento de cobranza Coactiva establece sobre esta forma de embargo, lo siguiente:</w:t>
      </w:r>
    </w:p>
    <w:p w14:paraId="797C1148" w14:textId="77777777" w:rsidR="00FA0266" w:rsidRPr="000D3432" w:rsidRDefault="00FA0266" w:rsidP="009E6E2E">
      <w:pPr>
        <w:widowControl/>
        <w:numPr>
          <w:ilvl w:val="0"/>
          <w:numId w:val="24"/>
        </w:numPr>
        <w:tabs>
          <w:tab w:val="left" w:pos="720"/>
        </w:tabs>
        <w:jc w:val="both"/>
        <w:rPr>
          <w:rFonts w:asciiTheme="minorHAnsi" w:hAnsiTheme="minorHAnsi" w:cs="Arial"/>
          <w:szCs w:val="24"/>
        </w:rPr>
      </w:pPr>
      <w:r w:rsidRPr="000D3432">
        <w:rPr>
          <w:rFonts w:asciiTheme="minorHAnsi" w:hAnsiTheme="minorHAnsi" w:cs="Arial"/>
          <w:szCs w:val="24"/>
        </w:rPr>
        <w:t>Por el embargo en forma de retención, el Ejecutor está facultado a ordenar se disponga la retención y posterior entrega de bienes, valores y fondos que se encuentren en depósito, custodia o bajo cualquier otra modalidad, siempre que el deudor sea el titular y se encuentren en posesión de terceros. La retención también podrá efectuarse respecto de aquellos derechos de crédito de los que el deudor sea titular.</w:t>
      </w:r>
    </w:p>
    <w:p w14:paraId="27AFF915" w14:textId="77777777" w:rsidR="00FA0266" w:rsidRPr="000D3432" w:rsidRDefault="00FA0266" w:rsidP="00A95498">
      <w:pPr>
        <w:pStyle w:val="Sangra3detdecuerpo1"/>
        <w:numPr>
          <w:ilvl w:val="12"/>
          <w:numId w:val="0"/>
        </w:numPr>
        <w:ind w:left="708"/>
        <w:jc w:val="both"/>
        <w:rPr>
          <w:rFonts w:asciiTheme="minorHAnsi" w:hAnsiTheme="minorHAnsi" w:cs="Arial"/>
          <w:sz w:val="24"/>
          <w:szCs w:val="24"/>
        </w:rPr>
      </w:pPr>
      <w:r w:rsidRPr="000D3432">
        <w:rPr>
          <w:rFonts w:asciiTheme="minorHAnsi" w:hAnsiTheme="minorHAnsi" w:cs="Arial"/>
          <w:sz w:val="24"/>
          <w:szCs w:val="24"/>
        </w:rPr>
        <w:lastRenderedPageBreak/>
        <w:t>De conformidad con el Artículo 18° del Código, el tercero notificado para efectuar un embargo en forma de retención que niegue la existencia o el valor de créditos o bienes, o pague al deudor o a un tercero designado por aquél, se convierte en responsable solidario con el contribuyente, hasta por el monto que debió retener.</w:t>
      </w:r>
    </w:p>
    <w:p w14:paraId="24F37345" w14:textId="77777777" w:rsidR="00FA0266" w:rsidRPr="000D3432" w:rsidRDefault="00FA0266" w:rsidP="009E6E2E">
      <w:pPr>
        <w:widowControl/>
        <w:numPr>
          <w:ilvl w:val="0"/>
          <w:numId w:val="24"/>
        </w:numPr>
        <w:tabs>
          <w:tab w:val="left" w:pos="720"/>
        </w:tabs>
        <w:jc w:val="both"/>
        <w:rPr>
          <w:rFonts w:asciiTheme="minorHAnsi" w:hAnsiTheme="minorHAnsi" w:cs="Arial"/>
          <w:szCs w:val="24"/>
        </w:rPr>
      </w:pPr>
      <w:r w:rsidRPr="000D3432">
        <w:rPr>
          <w:rFonts w:asciiTheme="minorHAnsi" w:hAnsiTheme="minorHAnsi" w:cs="Arial"/>
          <w:szCs w:val="24"/>
        </w:rPr>
        <w:t>Procedimiento</w:t>
      </w:r>
    </w:p>
    <w:p w14:paraId="2A99F356" w14:textId="77777777" w:rsidR="00FA0266" w:rsidRPr="000D3432" w:rsidRDefault="00FA0266" w:rsidP="009E6E2E">
      <w:pPr>
        <w:widowControl/>
        <w:numPr>
          <w:ilvl w:val="0"/>
          <w:numId w:val="25"/>
        </w:numPr>
        <w:tabs>
          <w:tab w:val="left" w:pos="1110"/>
        </w:tabs>
        <w:jc w:val="both"/>
        <w:rPr>
          <w:rFonts w:asciiTheme="minorHAnsi" w:hAnsiTheme="minorHAnsi" w:cs="Arial"/>
          <w:szCs w:val="24"/>
        </w:rPr>
      </w:pPr>
      <w:r w:rsidRPr="000D3432">
        <w:rPr>
          <w:rFonts w:asciiTheme="minorHAnsi" w:hAnsiTheme="minorHAnsi" w:cs="Arial"/>
          <w:szCs w:val="24"/>
        </w:rPr>
        <w:t>Cuando el embargo en forma de retención se trabajo en una empresa del sistema financiero respecto de valores o fondos que se encuentren en depósito, custodia o bajo cualquier otra modalidad de operación propia del sistema financiero, se seguirá el siguiente procedimiento:</w:t>
      </w:r>
    </w:p>
    <w:p w14:paraId="6F18F8D7" w14:textId="77777777" w:rsidR="00FA0266" w:rsidRPr="000D3432" w:rsidRDefault="00FA0266" w:rsidP="009E6E2E">
      <w:pPr>
        <w:widowControl/>
        <w:numPr>
          <w:ilvl w:val="0"/>
          <w:numId w:val="26"/>
        </w:numPr>
        <w:tabs>
          <w:tab w:val="left" w:pos="1080"/>
        </w:tabs>
        <w:jc w:val="both"/>
        <w:rPr>
          <w:rFonts w:asciiTheme="minorHAnsi" w:hAnsiTheme="minorHAnsi" w:cs="Arial"/>
          <w:szCs w:val="24"/>
        </w:rPr>
      </w:pPr>
      <w:r w:rsidRPr="000D3432">
        <w:rPr>
          <w:rFonts w:asciiTheme="minorHAnsi" w:hAnsiTheme="minorHAnsi" w:cs="Arial"/>
          <w:szCs w:val="24"/>
        </w:rPr>
        <w:t>La medida será notificada a la empresa del sistema financiero, a la que en adelante se denominará entidad. En caso que la notificación sea realizada por el Ejecutor o Auxiliar la toma de dicho podrá realizarse en ese momento.</w:t>
      </w:r>
    </w:p>
    <w:p w14:paraId="2C0F3EB3" w14:textId="77777777" w:rsidR="00FA0266" w:rsidRPr="000D3432" w:rsidRDefault="00FA0266" w:rsidP="00A95498">
      <w:pPr>
        <w:numPr>
          <w:ilvl w:val="12"/>
          <w:numId w:val="0"/>
        </w:numPr>
        <w:ind w:left="1080"/>
        <w:jc w:val="both"/>
        <w:rPr>
          <w:rFonts w:asciiTheme="minorHAnsi" w:hAnsiTheme="minorHAnsi" w:cs="Arial"/>
          <w:szCs w:val="24"/>
        </w:rPr>
      </w:pPr>
      <w:r w:rsidRPr="000D3432">
        <w:rPr>
          <w:rFonts w:asciiTheme="minorHAnsi" w:hAnsiTheme="minorHAnsi" w:cs="Arial"/>
          <w:szCs w:val="24"/>
        </w:rPr>
        <w:t>La toma de dicho también podrá realizarse con posterioridad a la notificación de la medida.</w:t>
      </w:r>
    </w:p>
    <w:p w14:paraId="5FE536C3" w14:textId="77777777" w:rsidR="00FA0266" w:rsidRPr="000D3432" w:rsidRDefault="00FA0266" w:rsidP="00A95498">
      <w:pPr>
        <w:numPr>
          <w:ilvl w:val="12"/>
          <w:numId w:val="0"/>
        </w:numPr>
        <w:ind w:left="1080"/>
        <w:jc w:val="both"/>
        <w:rPr>
          <w:rFonts w:asciiTheme="minorHAnsi" w:hAnsiTheme="minorHAnsi" w:cs="Arial"/>
          <w:szCs w:val="24"/>
        </w:rPr>
      </w:pPr>
      <w:r w:rsidRPr="000D3432">
        <w:rPr>
          <w:rFonts w:asciiTheme="minorHAnsi" w:hAnsiTheme="minorHAnsi" w:cs="Arial"/>
          <w:szCs w:val="24"/>
        </w:rPr>
        <w:t>En la toma de dicho el Ejecutor o Auxiliar constatará la existencia o inexistencia de fondos en la respectiva entidad. La existencia o inexistencia de fondos deberá ser acreditada por la entidad con el documento correspondiente, el que será suscrito por su represente legal, debiendo adjuntarse al acta de toma de dicho.</w:t>
      </w:r>
    </w:p>
    <w:p w14:paraId="7772B998" w14:textId="77777777" w:rsidR="00FA0266" w:rsidRPr="000D3432" w:rsidRDefault="00FA0266" w:rsidP="009E6E2E">
      <w:pPr>
        <w:widowControl/>
        <w:numPr>
          <w:ilvl w:val="0"/>
          <w:numId w:val="26"/>
        </w:numPr>
        <w:tabs>
          <w:tab w:val="left" w:pos="1080"/>
        </w:tabs>
        <w:jc w:val="both"/>
        <w:rPr>
          <w:rFonts w:asciiTheme="minorHAnsi" w:hAnsiTheme="minorHAnsi" w:cs="Arial"/>
          <w:szCs w:val="24"/>
        </w:rPr>
      </w:pPr>
      <w:r w:rsidRPr="000D3432">
        <w:rPr>
          <w:rFonts w:asciiTheme="minorHAnsi" w:hAnsiTheme="minorHAnsi" w:cs="Arial"/>
          <w:szCs w:val="24"/>
        </w:rPr>
        <w:t>Efectuada la notificación de la medida, el tercero se encuentra obligado a poner en conocimiento del Ejecutor la retención o la imposibilidad de ésta en el plazo máximo de cinco (5) días hábiles de notificada, bajo los apercibimientos señalados en el numeral 4) del Artículo 118° del Código, vale decir de ser sancionado por incurrir en las infracciones tributarias siguientes:</w:t>
      </w:r>
    </w:p>
    <w:p w14:paraId="0746E57F" w14:textId="77777777" w:rsidR="00FA0266" w:rsidRPr="000D3432" w:rsidRDefault="00FA0266" w:rsidP="009E6E2E">
      <w:pPr>
        <w:widowControl/>
        <w:numPr>
          <w:ilvl w:val="0"/>
          <w:numId w:val="16"/>
        </w:numPr>
        <w:tabs>
          <w:tab w:val="left" w:pos="2340"/>
        </w:tabs>
        <w:ind w:left="2340"/>
        <w:jc w:val="both"/>
        <w:rPr>
          <w:rFonts w:asciiTheme="minorHAnsi" w:hAnsiTheme="minorHAnsi" w:cs="Arial"/>
          <w:szCs w:val="24"/>
        </w:rPr>
      </w:pPr>
      <w:r w:rsidRPr="000D3432">
        <w:rPr>
          <w:rFonts w:asciiTheme="minorHAnsi" w:hAnsiTheme="minorHAnsi" w:cs="Arial"/>
          <w:szCs w:val="24"/>
        </w:rPr>
        <w:t>Artículo 177° Numeral 6) . Si no se pone en conocimiento del ejecutor la realización de la retención o de la imposibilidad d hacerla.</w:t>
      </w:r>
    </w:p>
    <w:p w14:paraId="45DEF48E" w14:textId="77777777" w:rsidR="00FA0266" w:rsidRPr="000D3432" w:rsidRDefault="00FA0266" w:rsidP="009E6E2E">
      <w:pPr>
        <w:widowControl/>
        <w:numPr>
          <w:ilvl w:val="0"/>
          <w:numId w:val="16"/>
        </w:numPr>
        <w:tabs>
          <w:tab w:val="left" w:pos="2340"/>
        </w:tabs>
        <w:ind w:left="2340"/>
        <w:jc w:val="both"/>
        <w:rPr>
          <w:rFonts w:asciiTheme="minorHAnsi" w:hAnsiTheme="minorHAnsi" w:cs="Arial"/>
          <w:szCs w:val="24"/>
        </w:rPr>
      </w:pPr>
      <w:r w:rsidRPr="000D3432">
        <w:rPr>
          <w:rFonts w:asciiTheme="minorHAnsi" w:hAnsiTheme="minorHAnsi" w:cs="Arial"/>
          <w:szCs w:val="24"/>
        </w:rPr>
        <w:t>Artículo 177°, numeral 7): Si se niega la existencia de créditos y/o bienes aún cuando +éstos existan.</w:t>
      </w:r>
    </w:p>
    <w:p w14:paraId="1558C700"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Asimismo, el tercero que niegue la existencia de créditos y/o bienes cuando éstos existan, o que incumpla con retener uy pague al deudor o aun designado por cuenta de aquél, estará obligado a pagar el monto que omitió retener.</w:t>
      </w:r>
    </w:p>
    <w:p w14:paraId="09D7158F" w14:textId="77777777" w:rsidR="00FA0266" w:rsidRPr="000D3432" w:rsidRDefault="00FA0266" w:rsidP="009E6E2E">
      <w:pPr>
        <w:pStyle w:val="Sangra3detdecuerpo1"/>
        <w:numPr>
          <w:ilvl w:val="0"/>
          <w:numId w:val="27"/>
        </w:numPr>
        <w:tabs>
          <w:tab w:val="left" w:pos="1080"/>
        </w:tabs>
        <w:jc w:val="both"/>
        <w:rPr>
          <w:rFonts w:asciiTheme="minorHAnsi" w:hAnsiTheme="minorHAnsi" w:cs="Arial"/>
          <w:sz w:val="24"/>
          <w:szCs w:val="24"/>
        </w:rPr>
      </w:pPr>
      <w:r w:rsidRPr="000D3432">
        <w:rPr>
          <w:rFonts w:asciiTheme="minorHAnsi" w:hAnsiTheme="minorHAnsi" w:cs="Arial"/>
          <w:sz w:val="24"/>
          <w:szCs w:val="24"/>
        </w:rPr>
        <w:t>Luego de recibido el informe de la entidad, el deudor será notificado de la medida trabada.</w:t>
      </w:r>
    </w:p>
    <w:p w14:paraId="1B62B82A" w14:textId="77777777" w:rsidR="00FA0266" w:rsidRPr="000D3432" w:rsidRDefault="00FA0266" w:rsidP="009E6E2E">
      <w:pPr>
        <w:widowControl/>
        <w:numPr>
          <w:ilvl w:val="0"/>
          <w:numId w:val="27"/>
        </w:numPr>
        <w:tabs>
          <w:tab w:val="left" w:pos="1080"/>
        </w:tabs>
        <w:jc w:val="both"/>
        <w:rPr>
          <w:rFonts w:asciiTheme="minorHAnsi" w:hAnsiTheme="minorHAnsi" w:cs="Arial"/>
          <w:szCs w:val="24"/>
        </w:rPr>
      </w:pPr>
      <w:r w:rsidRPr="000D3432">
        <w:rPr>
          <w:rFonts w:asciiTheme="minorHAnsi" w:hAnsiTheme="minorHAnsi" w:cs="Arial"/>
          <w:szCs w:val="24"/>
        </w:rPr>
        <w:t>Si la entidad comunica la existencia de fondos retenidos, sean en moneda nacional o extranjera, el Ejecutor le ordenará inmediatamente la emisión del cheque respectivo, el cual será en moneda nacional y en las condiciones que se señalen.</w:t>
      </w:r>
    </w:p>
    <w:p w14:paraId="353FD2FD" w14:textId="77777777" w:rsidR="00FA0266" w:rsidRPr="000D3432" w:rsidRDefault="00FA0266" w:rsidP="009E6E2E">
      <w:pPr>
        <w:widowControl/>
        <w:numPr>
          <w:ilvl w:val="0"/>
          <w:numId w:val="27"/>
        </w:numPr>
        <w:tabs>
          <w:tab w:val="left" w:pos="1080"/>
        </w:tabs>
        <w:jc w:val="both"/>
        <w:rPr>
          <w:rFonts w:asciiTheme="minorHAnsi" w:hAnsiTheme="minorHAnsi" w:cs="Arial"/>
          <w:szCs w:val="24"/>
        </w:rPr>
      </w:pPr>
      <w:r w:rsidRPr="000D3432">
        <w:rPr>
          <w:rFonts w:asciiTheme="minorHAnsi" w:hAnsiTheme="minorHAnsi" w:cs="Arial"/>
          <w:szCs w:val="24"/>
        </w:rPr>
        <w:t>La medida subsistirá hasta su levantamiento expreso por el Ejecutor, teniendo la entidad la obligación de comunicar al Ejecutor, en un plazo de cinco (5) días hábiles, cuando existan fondos.</w:t>
      </w:r>
    </w:p>
    <w:p w14:paraId="6C8E026F" w14:textId="77777777" w:rsidR="00FA0266" w:rsidRPr="000D3432" w:rsidRDefault="00FA0266" w:rsidP="00A95498">
      <w:pPr>
        <w:jc w:val="both"/>
        <w:rPr>
          <w:rFonts w:asciiTheme="minorHAnsi" w:hAnsiTheme="minorHAnsi" w:cs="Arial"/>
          <w:szCs w:val="24"/>
        </w:rPr>
      </w:pPr>
    </w:p>
    <w:p w14:paraId="1F0043F4" w14:textId="77777777" w:rsidR="00FA0266" w:rsidRPr="000D3432" w:rsidRDefault="00FA0266" w:rsidP="009E6E2E">
      <w:pPr>
        <w:widowControl/>
        <w:numPr>
          <w:ilvl w:val="0"/>
          <w:numId w:val="28"/>
        </w:numPr>
        <w:tabs>
          <w:tab w:val="left" w:pos="1110"/>
        </w:tabs>
        <w:jc w:val="both"/>
        <w:rPr>
          <w:rFonts w:asciiTheme="minorHAnsi" w:hAnsiTheme="minorHAnsi" w:cs="Arial"/>
          <w:szCs w:val="24"/>
        </w:rPr>
      </w:pPr>
      <w:r w:rsidRPr="000D3432">
        <w:rPr>
          <w:rFonts w:asciiTheme="minorHAnsi" w:hAnsiTheme="minorHAnsi" w:cs="Arial"/>
          <w:szCs w:val="24"/>
        </w:rPr>
        <w:lastRenderedPageBreak/>
        <w:t>Cuando el embargo en forma de retención en una empresa del sistema financiero respecto de operaciones distintas a las señaladas en el punto 2.1. o en personas o empresas distintas a las antes mencionadas, deberá considerarse lo siguiente:</w:t>
      </w:r>
    </w:p>
    <w:p w14:paraId="683BA335" w14:textId="77777777" w:rsidR="00FA0266" w:rsidRPr="000D3432" w:rsidRDefault="00FA0266" w:rsidP="00A95498">
      <w:pPr>
        <w:ind w:left="1110"/>
        <w:jc w:val="both"/>
        <w:rPr>
          <w:rFonts w:asciiTheme="minorHAnsi" w:hAnsiTheme="minorHAnsi" w:cs="Arial"/>
          <w:szCs w:val="24"/>
        </w:rPr>
      </w:pPr>
      <w:r w:rsidRPr="000D3432">
        <w:rPr>
          <w:rFonts w:asciiTheme="minorHAnsi" w:hAnsiTheme="minorHAnsi" w:cs="Arial"/>
          <w:szCs w:val="24"/>
        </w:rPr>
        <w:t>Antes de ordenar el embargo en forma de retención sobre los bienes, valores y fondos de los que  el deudor sea titular y se encuentren en poder de terceros, así como sobre los derechos de crédito de los que el deudor sea titular, el Ejecutor podrá disponer el embargo en forma de intervención en información, a fin de evaluar la conveniencia de trabar dicha medida.</w:t>
      </w:r>
    </w:p>
    <w:p w14:paraId="52F1119A" w14:textId="77777777" w:rsidR="00FA0266" w:rsidRPr="000D3432" w:rsidRDefault="00FA0266" w:rsidP="00A95498">
      <w:pPr>
        <w:ind w:left="1110"/>
        <w:jc w:val="both"/>
        <w:rPr>
          <w:rFonts w:asciiTheme="minorHAnsi" w:hAnsiTheme="minorHAnsi" w:cs="Arial"/>
          <w:szCs w:val="24"/>
        </w:rPr>
      </w:pPr>
      <w:r w:rsidRPr="000D3432">
        <w:rPr>
          <w:rFonts w:asciiTheme="minorHAnsi" w:hAnsiTheme="minorHAnsi" w:cs="Arial"/>
          <w:szCs w:val="24"/>
        </w:rPr>
        <w:t>Una  vez trabajo el embargo en forma de retención, el Ejecutor ordenará la retención de os bienes, valores y fondos en poder de terceros y la entrega d los mismos señalando las condiciones para ello. Tratándose de dinero la entrega se efectuará en moneda nacional.</w:t>
      </w:r>
    </w:p>
    <w:p w14:paraId="053D29A0" w14:textId="77777777" w:rsidR="00FA0266" w:rsidRPr="000D3432" w:rsidRDefault="00FA0266" w:rsidP="00A95498">
      <w:pPr>
        <w:ind w:left="1110"/>
        <w:jc w:val="both"/>
        <w:rPr>
          <w:rFonts w:asciiTheme="minorHAnsi" w:hAnsiTheme="minorHAnsi" w:cs="Arial"/>
          <w:szCs w:val="24"/>
        </w:rPr>
      </w:pPr>
      <w:r w:rsidRPr="000D3432">
        <w:rPr>
          <w:rFonts w:asciiTheme="minorHAnsi" w:hAnsiTheme="minorHAnsi" w:cs="Arial"/>
          <w:szCs w:val="24"/>
        </w:rPr>
        <w:t>El retenedor deberá poner en conocimiento del Ejecutor , en el plazo de cinco (5) días hábiles, la retención efectuada o la imposibilidad de ésta, bajo los apercibimientos señalados en el numeral 4) del Artículo 188° del Código, vale decir de ser sancionado por incurrir en las infracciones tributarias siguientes:</w:t>
      </w:r>
    </w:p>
    <w:p w14:paraId="16728916" w14:textId="77777777" w:rsidR="00FA0266" w:rsidRPr="000D3432" w:rsidRDefault="00FA0266" w:rsidP="009E6E2E">
      <w:pPr>
        <w:widowControl/>
        <w:numPr>
          <w:ilvl w:val="0"/>
          <w:numId w:val="16"/>
        </w:numPr>
        <w:tabs>
          <w:tab w:val="left" w:pos="2340"/>
        </w:tabs>
        <w:ind w:left="2340"/>
        <w:jc w:val="both"/>
        <w:rPr>
          <w:rFonts w:asciiTheme="minorHAnsi" w:hAnsiTheme="minorHAnsi" w:cs="Arial"/>
          <w:szCs w:val="24"/>
        </w:rPr>
      </w:pPr>
      <w:r w:rsidRPr="000D3432">
        <w:rPr>
          <w:rFonts w:asciiTheme="minorHAnsi" w:hAnsiTheme="minorHAnsi" w:cs="Arial"/>
          <w:szCs w:val="24"/>
        </w:rPr>
        <w:t>Artículo 177°, numeral 6): Si se niega la existencia de créditos y/o bienes aun cuando éstos existan.</w:t>
      </w:r>
    </w:p>
    <w:p w14:paraId="4301E00B"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Asimismo, el tercero que niegue la existencia de crédito y/o bienes cuando éstos existan, o que incumpla con retener y pague al deudor o a un designado por cuenta de aquél, estará obligado a pagar el monto que omitió retener.</w:t>
      </w:r>
    </w:p>
    <w:p w14:paraId="39FCD1AD"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En caso de haberse embargado derechos de crédito, bienes, valores y fondos en poder de terceros, se notificará al deudor para que tome conocimiento de la medida trabajada. Si las retenciones que se realicen a consecuencia de la medida impiden que el deudor cumpla con las obligaciones legales (tributarias, laborales y alimenticias) o con los pagos necesarios par el funcionamiento regular y ordinario del negocio, siempre que sus vencimientos o fechas de pago se produzcan durante la permanencia de la orden de embargo, el deudor podrá presentar una solicitud debidamente sustentada a efecto que las retenciones no le impidan el cumplimiento de las obligaciones antes mencionadas. Queda a criterio de ejecutor aceptar el pedido formulado por el deudor. En caso de aceptar el pedido, el Ejecutor podrá señalar si se detrae el dinero d los montos retenidos o de los que s retengan con posterioridad.</w:t>
      </w:r>
    </w:p>
    <w:p w14:paraId="33049EDC" w14:textId="77777777" w:rsidR="00FA0266" w:rsidRPr="000D3432" w:rsidRDefault="00FA0266" w:rsidP="00A95498">
      <w:pPr>
        <w:ind w:left="1416"/>
        <w:jc w:val="both"/>
        <w:rPr>
          <w:rFonts w:asciiTheme="minorHAnsi" w:hAnsiTheme="minorHAnsi" w:cs="Arial"/>
          <w:szCs w:val="24"/>
        </w:rPr>
      </w:pPr>
      <w:r w:rsidRPr="000D3432">
        <w:rPr>
          <w:rFonts w:asciiTheme="minorHAnsi" w:hAnsiTheme="minorHAnsi" w:cs="Arial"/>
          <w:szCs w:val="24"/>
        </w:rPr>
        <w:t>En caso que el embargo no cubra la deuda, podrá comprender nuevas cuentas, depósitos, custodias u otros de propiedad del deudor.</w:t>
      </w:r>
    </w:p>
    <w:p w14:paraId="534F1C90" w14:textId="77777777" w:rsidR="00FA0266" w:rsidRPr="000D3432" w:rsidRDefault="00FA0266" w:rsidP="00A95498">
      <w:pPr>
        <w:pStyle w:val="Ttulo4"/>
        <w:rPr>
          <w:rFonts w:asciiTheme="minorHAnsi" w:hAnsiTheme="minorHAnsi" w:cs="Arial"/>
        </w:rPr>
      </w:pPr>
    </w:p>
    <w:p w14:paraId="1D079476" w14:textId="77777777" w:rsidR="00FA0266" w:rsidRPr="000D3432" w:rsidRDefault="00FA0266" w:rsidP="00A95498">
      <w:pPr>
        <w:pStyle w:val="Ttulo4"/>
        <w:rPr>
          <w:rFonts w:asciiTheme="minorHAnsi" w:hAnsiTheme="minorHAnsi" w:cs="Arial"/>
        </w:rPr>
      </w:pPr>
      <w:r w:rsidRPr="000D3432">
        <w:rPr>
          <w:rFonts w:asciiTheme="minorHAnsi" w:hAnsiTheme="minorHAnsi" w:cs="Arial"/>
        </w:rPr>
        <w:t>BIENES INEMBARGABLES</w:t>
      </w:r>
    </w:p>
    <w:p w14:paraId="46D725AB" w14:textId="77777777" w:rsidR="00FA0266" w:rsidRPr="000D3432" w:rsidRDefault="00FA0266" w:rsidP="00A95498">
      <w:pPr>
        <w:jc w:val="both"/>
        <w:rPr>
          <w:rFonts w:asciiTheme="minorHAnsi" w:hAnsiTheme="minorHAnsi" w:cs="Arial"/>
          <w:szCs w:val="24"/>
        </w:rPr>
      </w:pPr>
    </w:p>
    <w:p w14:paraId="46CCF0CE"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 xml:space="preserve">Sin perjuicio de los supuestos de inembargabilidad o intangibilidad de </w:t>
      </w:r>
      <w:r w:rsidRPr="000D3432">
        <w:rPr>
          <w:rFonts w:asciiTheme="minorHAnsi" w:hAnsiTheme="minorHAnsi" w:cs="Arial"/>
          <w:szCs w:val="24"/>
        </w:rPr>
        <w:lastRenderedPageBreak/>
        <w:t>determinados recursos (señalados en las disposiciones concordantes y / o vinculadas), debemos recordar que el Artículo 648° del Código Procesal Civil, según la sustitución establecida por la Ley N° 26599, contienen el siguiente listado de bienes inembargables.</w:t>
      </w:r>
    </w:p>
    <w:p w14:paraId="3F3EE6F4"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Los bienes del Estado.</w:t>
      </w:r>
    </w:p>
    <w:p w14:paraId="6B2EE97E" w14:textId="77777777" w:rsidR="00FA0266" w:rsidRPr="000D3432" w:rsidRDefault="00FA0266" w:rsidP="00A95498">
      <w:pPr>
        <w:numPr>
          <w:ilvl w:val="12"/>
          <w:numId w:val="0"/>
        </w:numPr>
        <w:ind w:left="1800"/>
        <w:jc w:val="both"/>
        <w:rPr>
          <w:rFonts w:asciiTheme="minorHAnsi" w:hAnsiTheme="minorHAnsi" w:cs="Arial"/>
          <w:szCs w:val="24"/>
        </w:rPr>
      </w:pPr>
      <w:r w:rsidRPr="000D3432">
        <w:rPr>
          <w:rFonts w:asciiTheme="minorHAnsi" w:hAnsiTheme="minorHAnsi" w:cs="Arial"/>
          <w:szCs w:val="24"/>
        </w:rPr>
        <w:t>Las resoluciones judiciales o administrativas, consentidas o ejecutoriadas que dispongan el pago de obligaciones a cargo del Estado, sólo serán atendidas con las partidas previamente presupuestadas del Sector al que correspondan;</w:t>
      </w:r>
    </w:p>
    <w:p w14:paraId="01C0723A"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Los bienes constituidos en patrimonio familiar, sin perjuicio de los dispuesto por el Artículo 492° del Código Civil:</w:t>
      </w:r>
    </w:p>
    <w:p w14:paraId="4EEABA77"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Las prendas de estricto uso personal, libros y alimentos básicos del obligado y de sus parientes con los que conforma una unidad familiar, así como los bines que resultan indispensable para su subsistencia;</w:t>
      </w:r>
    </w:p>
    <w:p w14:paraId="1E004532"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Los vehículos, máquinas, utensilios y herramientas indispensables para el ejercicio directo de la profesión, oficio, enseñanza o aprendizaje del obligado;</w:t>
      </w:r>
    </w:p>
    <w:p w14:paraId="0B6B511B"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Las insignias condecorativas, los uniformes de los funcionarios y servidores del Estado y las armas y equipos de los miembros de las Fuerzas Armada y de la policía Nacional.</w:t>
      </w:r>
    </w:p>
    <w:p w14:paraId="2F13264B"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Las remuneraciones y pensiones, cuando no excedan de cinco Unidades de Referencia Procesal. El exceso es embargable hasta una tercera parte.</w:t>
      </w:r>
    </w:p>
    <w:p w14:paraId="0CB0C88A" w14:textId="77777777" w:rsidR="00FA0266" w:rsidRPr="000D3432" w:rsidRDefault="00FA0266" w:rsidP="00A95498">
      <w:pPr>
        <w:numPr>
          <w:ilvl w:val="12"/>
          <w:numId w:val="0"/>
        </w:numPr>
        <w:ind w:left="1800"/>
        <w:jc w:val="both"/>
        <w:rPr>
          <w:rFonts w:asciiTheme="minorHAnsi" w:hAnsiTheme="minorHAnsi" w:cs="Arial"/>
          <w:szCs w:val="24"/>
        </w:rPr>
      </w:pPr>
      <w:r w:rsidRPr="000D3432">
        <w:rPr>
          <w:rFonts w:asciiTheme="minorHAnsi" w:hAnsiTheme="minorHAnsi" w:cs="Arial"/>
          <w:szCs w:val="24"/>
        </w:rPr>
        <w:t>Cuando se trata de garantizar obligaciones alimentarías, el embargo procederá hasta el sesenta por ciento del total de los ingresos, con la sola deducción de los descuentos establecidos por ley.</w:t>
      </w:r>
    </w:p>
    <w:p w14:paraId="750A1FEF"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Las pensiones alimentarías;:</w:t>
      </w:r>
    </w:p>
    <w:p w14:paraId="207810CF"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Los bines muebles de los templos religiosos, y,</w:t>
      </w:r>
    </w:p>
    <w:p w14:paraId="392987C7" w14:textId="77777777" w:rsidR="00FA0266" w:rsidRPr="000D3432" w:rsidRDefault="00FA0266" w:rsidP="009E6E2E">
      <w:pPr>
        <w:widowControl/>
        <w:numPr>
          <w:ilvl w:val="0"/>
          <w:numId w:val="29"/>
        </w:numPr>
        <w:tabs>
          <w:tab w:val="left" w:pos="1800"/>
        </w:tabs>
        <w:jc w:val="both"/>
        <w:rPr>
          <w:rFonts w:asciiTheme="minorHAnsi" w:hAnsiTheme="minorHAnsi" w:cs="Arial"/>
          <w:szCs w:val="24"/>
        </w:rPr>
      </w:pPr>
      <w:r w:rsidRPr="000D3432">
        <w:rPr>
          <w:rFonts w:asciiTheme="minorHAnsi" w:hAnsiTheme="minorHAnsi" w:cs="Arial"/>
          <w:szCs w:val="24"/>
        </w:rPr>
        <w:t>Los sepulcros.</w:t>
      </w:r>
    </w:p>
    <w:p w14:paraId="094AA813" w14:textId="77777777" w:rsidR="00FA0266" w:rsidRPr="000D3432" w:rsidRDefault="00FA0266" w:rsidP="00A95498">
      <w:pPr>
        <w:jc w:val="both"/>
        <w:rPr>
          <w:rFonts w:asciiTheme="minorHAnsi" w:hAnsiTheme="minorHAnsi" w:cs="Arial"/>
          <w:szCs w:val="24"/>
        </w:rPr>
      </w:pPr>
    </w:p>
    <w:p w14:paraId="101E9F05"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Los frutos de los bienes inembargables, no obstante, si pueden ser embargados.</w:t>
      </w:r>
    </w:p>
    <w:p w14:paraId="01C74C8D" w14:textId="77777777" w:rsidR="00FA0266" w:rsidRPr="000D3432" w:rsidRDefault="00FA0266" w:rsidP="00A95498">
      <w:pPr>
        <w:jc w:val="both"/>
        <w:rPr>
          <w:rFonts w:asciiTheme="minorHAnsi" w:hAnsiTheme="minorHAnsi" w:cs="Arial"/>
          <w:szCs w:val="24"/>
        </w:rPr>
      </w:pPr>
    </w:p>
    <w:p w14:paraId="55D06682" w14:textId="77777777" w:rsidR="00FA0266" w:rsidRPr="000D3432" w:rsidRDefault="00FA0266" w:rsidP="00A95498">
      <w:pPr>
        <w:jc w:val="both"/>
        <w:rPr>
          <w:rFonts w:asciiTheme="minorHAnsi" w:hAnsiTheme="minorHAnsi" w:cs="Arial"/>
          <w:szCs w:val="24"/>
        </w:rPr>
      </w:pPr>
      <w:r w:rsidRPr="000D3432">
        <w:rPr>
          <w:rFonts w:asciiTheme="minorHAnsi" w:hAnsiTheme="minorHAnsi" w:cs="Arial"/>
          <w:szCs w:val="24"/>
        </w:rPr>
        <w:t>Por otro lado, el Articulo 647-A del Código Procesal Civil, de acuerdo con la incorporación dispuesta por la Ley N° 26925 (05.02.98), señala que la información contendida en los soportes magnéticos, ópticos o similares sobre los que se ha dictado secuestro conservativo o embargo, puede  ser retirada por el afectado; en buena cuenta, la información contenida en dichos bienes es inembargable.</w:t>
      </w:r>
    </w:p>
    <w:p w14:paraId="312264FF" w14:textId="20F5C1A3" w:rsidR="00FA79B0" w:rsidRPr="000D3432" w:rsidRDefault="003279D3" w:rsidP="0015167B">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0F894A2E" w14:textId="77777777" w:rsidR="00FA79B0" w:rsidRPr="000D3432" w:rsidRDefault="00FA79B0" w:rsidP="00A95498">
      <w:pPr>
        <w:rPr>
          <w:rFonts w:asciiTheme="minorHAnsi" w:hAnsiTheme="minorHAnsi"/>
          <w:szCs w:val="24"/>
        </w:rPr>
      </w:pPr>
    </w:p>
    <w:p w14:paraId="20EF7B63" w14:textId="0F124E41" w:rsidR="00FA79B0" w:rsidRPr="000D3432" w:rsidRDefault="00FA79B0" w:rsidP="00A95498">
      <w:pPr>
        <w:widowControl/>
        <w:overflowPunct/>
        <w:autoSpaceDE/>
        <w:autoSpaceDN/>
        <w:adjustRightInd/>
        <w:textAlignment w:val="auto"/>
        <w:rPr>
          <w:rFonts w:asciiTheme="minorHAnsi" w:hAnsiTheme="minorHAnsi"/>
          <w:szCs w:val="24"/>
        </w:rPr>
      </w:pPr>
    </w:p>
    <w:p w14:paraId="1E5D530B" w14:textId="77777777" w:rsidR="00FA79B0" w:rsidRPr="000D3432" w:rsidRDefault="00FA79B0" w:rsidP="00A95498">
      <w:pPr>
        <w:rPr>
          <w:rFonts w:asciiTheme="minorHAnsi" w:hAnsiTheme="minorHAnsi"/>
          <w:szCs w:val="24"/>
        </w:rPr>
      </w:pPr>
    </w:p>
    <w:p w14:paraId="7D478ACF" w14:textId="77777777" w:rsidR="00FA79B0" w:rsidRPr="000D3432" w:rsidRDefault="00FA79B0" w:rsidP="00A95498">
      <w:pPr>
        <w:rPr>
          <w:rFonts w:asciiTheme="minorHAnsi" w:hAnsiTheme="minorHAnsi"/>
          <w:szCs w:val="24"/>
        </w:rPr>
      </w:pPr>
    </w:p>
    <w:p w14:paraId="3CA521C8" w14:textId="77777777" w:rsidR="00FA79B0" w:rsidRPr="000D3432" w:rsidRDefault="00FA79B0" w:rsidP="00A95498">
      <w:pPr>
        <w:rPr>
          <w:rFonts w:asciiTheme="minorHAnsi" w:hAnsiTheme="minorHAnsi"/>
          <w:szCs w:val="24"/>
        </w:rPr>
      </w:pPr>
    </w:p>
    <w:p w14:paraId="260DD5CB" w14:textId="77777777" w:rsidR="00FA79B0" w:rsidRPr="000D3432" w:rsidRDefault="00FA79B0" w:rsidP="00A95498">
      <w:pPr>
        <w:rPr>
          <w:rFonts w:asciiTheme="minorHAnsi" w:hAnsiTheme="minorHAnsi"/>
          <w:szCs w:val="24"/>
        </w:rPr>
      </w:pPr>
    </w:p>
    <w:p w14:paraId="7BCF81F1" w14:textId="77777777" w:rsidR="00FA79B0" w:rsidRPr="000D3432" w:rsidRDefault="00FA79B0" w:rsidP="00A95498">
      <w:pPr>
        <w:rPr>
          <w:rFonts w:asciiTheme="minorHAnsi" w:hAnsiTheme="minorHAnsi"/>
          <w:szCs w:val="24"/>
        </w:rPr>
      </w:pPr>
    </w:p>
    <w:p w14:paraId="242F5FD1" w14:textId="77777777" w:rsidR="00FA79B0" w:rsidRPr="000D3432" w:rsidRDefault="00FA79B0" w:rsidP="00A95498">
      <w:pPr>
        <w:jc w:val="center"/>
        <w:outlineLvl w:val="1"/>
        <w:rPr>
          <w:rFonts w:asciiTheme="minorHAnsi" w:hAnsiTheme="minorHAnsi" w:cs="Arial"/>
          <w:b/>
          <w:bCs/>
          <w:color w:val="1F497D" w:themeColor="text2"/>
          <w:szCs w:val="24"/>
          <w:lang w:val="es-ES_tradnl"/>
        </w:rPr>
      </w:pPr>
    </w:p>
    <w:p w14:paraId="487B9331" w14:textId="77777777" w:rsidR="00FA79B0" w:rsidRPr="000D3432" w:rsidRDefault="00FA79B0" w:rsidP="00A95498">
      <w:pPr>
        <w:tabs>
          <w:tab w:val="left" w:pos="1130"/>
          <w:tab w:val="right" w:pos="8505"/>
        </w:tabs>
        <w:jc w:val="center"/>
        <w:outlineLvl w:val="1"/>
        <w:rPr>
          <w:rFonts w:asciiTheme="minorHAnsi" w:hAnsiTheme="minorHAnsi" w:cs="Arial"/>
          <w:b/>
          <w:bCs/>
          <w:szCs w:val="24"/>
          <w:lang w:val="es-ES_tradnl"/>
        </w:rPr>
      </w:pPr>
    </w:p>
    <w:p w14:paraId="47CA9677" w14:textId="77777777" w:rsidR="00FA79B0" w:rsidRPr="000D3432" w:rsidRDefault="00FA79B0" w:rsidP="00A95498">
      <w:pPr>
        <w:jc w:val="center"/>
        <w:rPr>
          <w:rFonts w:asciiTheme="minorHAnsi" w:hAnsiTheme="minorHAnsi"/>
          <w:b/>
          <w:color w:val="943634" w:themeColor="accent2" w:themeShade="BF"/>
          <w:szCs w:val="24"/>
          <w:lang w:val="es-ES_tradnl"/>
        </w:rPr>
      </w:pPr>
      <w:r w:rsidRPr="000D3432">
        <w:rPr>
          <w:rFonts w:asciiTheme="minorHAnsi" w:hAnsiTheme="minorHAnsi"/>
          <w:b/>
          <w:color w:val="943634" w:themeColor="accent2" w:themeShade="BF"/>
          <w:szCs w:val="24"/>
          <w:u w:val="single"/>
          <w:lang w:val="es-ES_tradnl"/>
        </w:rPr>
        <w:t xml:space="preserve">CONTRATOS DE </w:t>
      </w:r>
      <w:r w:rsidRPr="000D3432">
        <w:rPr>
          <w:rFonts w:asciiTheme="minorHAnsi" w:hAnsiTheme="minorHAnsi"/>
          <w:b/>
          <w:color w:val="943634" w:themeColor="accent2" w:themeShade="BF"/>
          <w:szCs w:val="24"/>
          <w:lang w:val="es-ES_tradnl"/>
        </w:rPr>
        <w:t>TRABAJO</w:t>
      </w:r>
    </w:p>
    <w:p w14:paraId="41FB4100" w14:textId="77777777" w:rsidR="00FA79B0" w:rsidRPr="000D3432" w:rsidRDefault="00FA79B0" w:rsidP="00A95498">
      <w:pPr>
        <w:jc w:val="center"/>
        <w:rPr>
          <w:rFonts w:asciiTheme="minorHAnsi" w:hAnsiTheme="minorHAnsi"/>
          <w:b/>
          <w:szCs w:val="24"/>
          <w:lang w:val="es-ES_tradnl"/>
        </w:rPr>
      </w:pPr>
      <w:r w:rsidRPr="000D3432">
        <w:rPr>
          <w:rFonts w:asciiTheme="minorHAnsi" w:hAnsiTheme="minorHAnsi"/>
          <w:b/>
          <w:szCs w:val="24"/>
          <w:lang w:val="es-ES_tradnl"/>
        </w:rPr>
        <w:t>(Nociones sobre el Derecho Laboral y</w:t>
      </w:r>
    </w:p>
    <w:p w14:paraId="5EF97ACF" w14:textId="77777777" w:rsidR="00FA79B0" w:rsidRPr="000D3432" w:rsidRDefault="00FA79B0" w:rsidP="00A95498">
      <w:pPr>
        <w:jc w:val="center"/>
        <w:rPr>
          <w:rFonts w:asciiTheme="minorHAnsi" w:hAnsiTheme="minorHAnsi" w:cs="Arial"/>
          <w:b/>
          <w:bCs/>
          <w:szCs w:val="24"/>
          <w:lang w:val="es-ES_tradnl"/>
        </w:rPr>
      </w:pPr>
      <w:r w:rsidRPr="000D3432">
        <w:rPr>
          <w:rFonts w:asciiTheme="minorHAnsi" w:hAnsiTheme="minorHAnsi"/>
          <w:b/>
          <w:szCs w:val="24"/>
          <w:lang w:val="es-ES_tradnl"/>
        </w:rPr>
        <w:t>el Contrato de Trabajo)</w:t>
      </w:r>
    </w:p>
    <w:p w14:paraId="23E940ED" w14:textId="77777777" w:rsidR="00FA79B0" w:rsidRPr="000D3432" w:rsidRDefault="00FA79B0" w:rsidP="00A95498">
      <w:pPr>
        <w:rPr>
          <w:rFonts w:asciiTheme="minorHAnsi" w:hAnsiTheme="minorHAnsi" w:cs="Arial"/>
          <w:szCs w:val="24"/>
          <w:lang w:val="es-ES_tradnl" w:eastAsia="es-PE"/>
        </w:rPr>
      </w:pPr>
    </w:p>
    <w:p w14:paraId="2B4A9B3E" w14:textId="77777777" w:rsidR="00FA79B0" w:rsidRPr="000D3432" w:rsidRDefault="00FA79B0" w:rsidP="00A95498">
      <w:pPr>
        <w:outlineLvl w:val="1"/>
        <w:rPr>
          <w:rFonts w:asciiTheme="minorHAnsi" w:hAnsiTheme="minorHAnsi" w:cs="Arial"/>
          <w:b/>
          <w:bCs/>
          <w:color w:val="17365D" w:themeColor="text2" w:themeShade="BF"/>
          <w:szCs w:val="24"/>
          <w:u w:val="single"/>
          <w:lang w:val="es-ES_tradnl"/>
        </w:rPr>
      </w:pPr>
    </w:p>
    <w:p w14:paraId="68325F21" w14:textId="77777777" w:rsidR="00FA79B0" w:rsidRPr="000D3432" w:rsidRDefault="00FA79B0" w:rsidP="00A95498">
      <w:pPr>
        <w:outlineLvl w:val="1"/>
        <w:rPr>
          <w:rFonts w:asciiTheme="minorHAnsi" w:hAnsiTheme="minorHAnsi" w:cs="Arial"/>
          <w:b/>
          <w:bCs/>
          <w:color w:val="17365D" w:themeColor="text2" w:themeShade="BF"/>
          <w:szCs w:val="24"/>
          <w:u w:val="single"/>
          <w:lang w:val="es-ES_tradnl"/>
        </w:rPr>
      </w:pPr>
    </w:p>
    <w:p w14:paraId="6F786B5F" w14:textId="77777777" w:rsidR="00FA79B0" w:rsidRPr="000D3432" w:rsidRDefault="00FA79B0" w:rsidP="00A95498">
      <w:pPr>
        <w:outlineLvl w:val="1"/>
        <w:rPr>
          <w:rFonts w:asciiTheme="minorHAnsi" w:hAnsiTheme="minorHAnsi" w:cs="Arial"/>
          <w:b/>
          <w:bCs/>
          <w:color w:val="17365D" w:themeColor="text2" w:themeShade="BF"/>
          <w:szCs w:val="24"/>
          <w:u w:val="single"/>
          <w:lang w:val="es-ES_tradnl"/>
        </w:rPr>
      </w:pPr>
    </w:p>
    <w:p w14:paraId="79BC1B69" w14:textId="77777777" w:rsidR="00FA79B0" w:rsidRPr="000D3432" w:rsidRDefault="00FA79B0" w:rsidP="00A95498">
      <w:pPr>
        <w:outlineLvl w:val="1"/>
        <w:rPr>
          <w:rFonts w:asciiTheme="minorHAnsi" w:hAnsiTheme="minorHAnsi" w:cs="Arial"/>
          <w:b/>
          <w:bCs/>
          <w:color w:val="17365D" w:themeColor="text2" w:themeShade="BF"/>
          <w:szCs w:val="24"/>
          <w:u w:val="single"/>
          <w:lang w:val="es-ES_tradnl"/>
        </w:rPr>
      </w:pPr>
    </w:p>
    <w:p w14:paraId="40748DBF" w14:textId="77777777" w:rsidR="00FA79B0" w:rsidRPr="000D3432" w:rsidRDefault="00FA79B0" w:rsidP="00A95498">
      <w:pPr>
        <w:outlineLvl w:val="1"/>
        <w:rPr>
          <w:rFonts w:asciiTheme="minorHAnsi" w:hAnsiTheme="minorHAnsi" w:cs="Arial"/>
          <w:b/>
          <w:bCs/>
          <w:color w:val="17365D" w:themeColor="text2" w:themeShade="BF"/>
          <w:szCs w:val="24"/>
          <w:u w:val="single"/>
          <w:lang w:val="es-ES_tradnl"/>
        </w:rPr>
      </w:pPr>
    </w:p>
    <w:p w14:paraId="526EA2F1" w14:textId="77777777" w:rsidR="00FA79B0" w:rsidRPr="000D3432" w:rsidRDefault="00FA79B0" w:rsidP="00A95498">
      <w:pPr>
        <w:outlineLvl w:val="1"/>
        <w:rPr>
          <w:rFonts w:asciiTheme="minorHAnsi" w:hAnsiTheme="minorHAnsi" w:cs="Arial"/>
          <w:b/>
          <w:bCs/>
          <w:color w:val="17365D" w:themeColor="text2" w:themeShade="BF"/>
          <w:szCs w:val="24"/>
          <w:u w:val="single"/>
          <w:lang w:val="es-ES_tradnl"/>
        </w:rPr>
      </w:pPr>
    </w:p>
    <w:p w14:paraId="2DFB7E83" w14:textId="77777777" w:rsidR="00FA79B0" w:rsidRPr="000D3432" w:rsidRDefault="00FA79B0" w:rsidP="00A95498">
      <w:pPr>
        <w:jc w:val="both"/>
        <w:rPr>
          <w:rFonts w:asciiTheme="minorHAnsi" w:hAnsiTheme="minorHAnsi" w:cs="Arial"/>
          <w:szCs w:val="24"/>
          <w:lang w:val="es-ES_tradnl"/>
        </w:rPr>
      </w:pPr>
    </w:p>
    <w:p w14:paraId="2431245C"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 </w:t>
      </w:r>
    </w:p>
    <w:p w14:paraId="0C4C9CD1" w14:textId="77777777" w:rsidR="00FA79B0" w:rsidRPr="000D3432" w:rsidRDefault="00FA79B0" w:rsidP="00A95498">
      <w:pPr>
        <w:jc w:val="both"/>
        <w:rPr>
          <w:rFonts w:asciiTheme="minorHAnsi" w:hAnsiTheme="minorHAnsi" w:cs="Arial"/>
          <w:szCs w:val="24"/>
          <w:lang w:val="es-ES_tradnl"/>
        </w:rPr>
      </w:pPr>
    </w:p>
    <w:p w14:paraId="7228A4A9" w14:textId="77777777" w:rsidR="00FA79B0" w:rsidRPr="000D3432" w:rsidRDefault="00FA79B0" w:rsidP="00A95498">
      <w:pPr>
        <w:ind w:left="142" w:firstLine="566"/>
        <w:jc w:val="both"/>
        <w:rPr>
          <w:rFonts w:asciiTheme="minorHAnsi" w:hAnsiTheme="minorHAnsi" w:cs="Arial"/>
          <w:szCs w:val="24"/>
          <w:lang w:val="es-ES_tradnl"/>
        </w:rPr>
      </w:pPr>
    </w:p>
    <w:p w14:paraId="1C41E414" w14:textId="77777777" w:rsidR="00FA79B0" w:rsidRPr="000D3432" w:rsidRDefault="00FA79B0" w:rsidP="00A95498">
      <w:pPr>
        <w:rPr>
          <w:rFonts w:asciiTheme="minorHAnsi" w:hAnsiTheme="minorHAnsi" w:cs="Arial"/>
          <w:b/>
          <w:bCs/>
          <w:color w:val="1F497D"/>
          <w:szCs w:val="24"/>
          <w:u w:val="single"/>
          <w:lang w:val="es-ES_tradnl"/>
        </w:rPr>
      </w:pPr>
      <w:r w:rsidRPr="000D3432">
        <w:rPr>
          <w:rFonts w:asciiTheme="minorHAnsi" w:hAnsiTheme="minorHAnsi" w:cs="Arial"/>
          <w:b/>
          <w:bCs/>
          <w:color w:val="1F497D"/>
          <w:szCs w:val="24"/>
          <w:u w:val="single"/>
          <w:lang w:val="es-ES_tradnl"/>
        </w:rPr>
        <w:t xml:space="preserve"> </w:t>
      </w:r>
    </w:p>
    <w:p w14:paraId="26D79056" w14:textId="77777777" w:rsidR="00FA79B0" w:rsidRPr="000D3432" w:rsidRDefault="00FA79B0" w:rsidP="00A95498">
      <w:pPr>
        <w:jc w:val="both"/>
        <w:rPr>
          <w:rFonts w:asciiTheme="minorHAnsi" w:hAnsiTheme="minorHAnsi" w:cs="Arial"/>
          <w:szCs w:val="24"/>
          <w:lang w:val="es-ES_tradnl"/>
        </w:rPr>
      </w:pPr>
    </w:p>
    <w:p w14:paraId="36C8E824" w14:textId="77777777" w:rsidR="00FA79B0" w:rsidRPr="000D3432" w:rsidRDefault="00FA79B0" w:rsidP="00A95498">
      <w:pPr>
        <w:jc w:val="both"/>
        <w:rPr>
          <w:rFonts w:asciiTheme="minorHAnsi" w:hAnsiTheme="minorHAnsi" w:cs="Arial"/>
          <w:szCs w:val="24"/>
          <w:lang w:val="es-ES_tradnl"/>
        </w:rPr>
      </w:pPr>
    </w:p>
    <w:p w14:paraId="547E900F" w14:textId="77777777" w:rsidR="00FA79B0" w:rsidRPr="000D3432" w:rsidRDefault="00FA79B0" w:rsidP="00A95498">
      <w:pPr>
        <w:jc w:val="both"/>
        <w:rPr>
          <w:rFonts w:asciiTheme="minorHAnsi" w:hAnsiTheme="minorHAnsi" w:cs="Arial"/>
          <w:szCs w:val="24"/>
          <w:lang w:val="es-ES_tradnl"/>
        </w:rPr>
      </w:pPr>
    </w:p>
    <w:p w14:paraId="16696745" w14:textId="77777777" w:rsidR="00FA79B0" w:rsidRPr="000D3432" w:rsidRDefault="00FA79B0" w:rsidP="00A95498">
      <w:pPr>
        <w:ind w:left="142"/>
        <w:jc w:val="both"/>
        <w:rPr>
          <w:rFonts w:asciiTheme="minorHAnsi" w:hAnsiTheme="minorHAnsi" w:cs="Arial"/>
          <w:szCs w:val="24"/>
          <w:lang w:val="es-ES_tradnl"/>
        </w:rPr>
      </w:pPr>
    </w:p>
    <w:p w14:paraId="64AB710B" w14:textId="77777777" w:rsidR="00FA79B0" w:rsidRPr="000D3432" w:rsidRDefault="00FA79B0" w:rsidP="00A95498">
      <w:pPr>
        <w:ind w:left="142"/>
        <w:jc w:val="both"/>
        <w:rPr>
          <w:rFonts w:asciiTheme="minorHAnsi" w:hAnsiTheme="minorHAnsi" w:cs="Arial"/>
          <w:szCs w:val="24"/>
          <w:lang w:val="es-ES_tradnl"/>
        </w:rPr>
      </w:pPr>
    </w:p>
    <w:p w14:paraId="201CAEEE" w14:textId="77777777" w:rsidR="00FA79B0" w:rsidRPr="000D3432" w:rsidRDefault="00FA79B0" w:rsidP="00A95498">
      <w:pPr>
        <w:ind w:left="142"/>
        <w:jc w:val="both"/>
        <w:rPr>
          <w:rFonts w:asciiTheme="minorHAnsi" w:hAnsiTheme="minorHAnsi" w:cs="Arial"/>
          <w:szCs w:val="24"/>
          <w:lang w:val="es-ES_tradnl"/>
        </w:rPr>
      </w:pPr>
    </w:p>
    <w:p w14:paraId="076FA493" w14:textId="77777777" w:rsidR="00FA79B0" w:rsidRPr="000D3432" w:rsidRDefault="00FA79B0" w:rsidP="00A95498">
      <w:pPr>
        <w:ind w:left="142"/>
        <w:jc w:val="both"/>
        <w:rPr>
          <w:rFonts w:asciiTheme="minorHAnsi" w:hAnsiTheme="minorHAnsi" w:cs="Arial"/>
          <w:szCs w:val="24"/>
          <w:lang w:val="es-ES_tradnl"/>
        </w:rPr>
      </w:pPr>
    </w:p>
    <w:p w14:paraId="61095326" w14:textId="77777777" w:rsidR="00FA79B0" w:rsidRPr="000D3432" w:rsidRDefault="00FA79B0" w:rsidP="00A95498">
      <w:pPr>
        <w:ind w:left="142"/>
        <w:jc w:val="both"/>
        <w:rPr>
          <w:rFonts w:asciiTheme="minorHAnsi" w:hAnsiTheme="minorHAnsi" w:cs="Arial"/>
          <w:szCs w:val="24"/>
          <w:lang w:val="es-ES_tradnl"/>
        </w:rPr>
      </w:pPr>
    </w:p>
    <w:p w14:paraId="3DC7B80A" w14:textId="77777777" w:rsidR="00FA79B0" w:rsidRPr="000D3432" w:rsidRDefault="00FA79B0" w:rsidP="00A95498">
      <w:pPr>
        <w:ind w:left="142"/>
        <w:jc w:val="both"/>
        <w:rPr>
          <w:rFonts w:asciiTheme="minorHAnsi" w:hAnsiTheme="minorHAnsi" w:cs="Arial"/>
          <w:szCs w:val="24"/>
          <w:lang w:val="es-ES_tradnl"/>
        </w:rPr>
      </w:pPr>
    </w:p>
    <w:p w14:paraId="31EC2C4E" w14:textId="77777777" w:rsidR="00FA79B0" w:rsidRPr="000D3432" w:rsidRDefault="00FA79B0" w:rsidP="00A95498">
      <w:pPr>
        <w:ind w:left="142"/>
        <w:jc w:val="both"/>
        <w:rPr>
          <w:rFonts w:asciiTheme="minorHAnsi" w:hAnsiTheme="minorHAnsi" w:cs="Arial"/>
          <w:szCs w:val="24"/>
          <w:lang w:val="es-ES_tradnl"/>
        </w:rPr>
      </w:pPr>
    </w:p>
    <w:p w14:paraId="4C6C698D" w14:textId="77777777" w:rsidR="00FA79B0" w:rsidRPr="000D3432" w:rsidRDefault="00FA79B0" w:rsidP="00A95498">
      <w:pPr>
        <w:ind w:left="142"/>
        <w:jc w:val="both"/>
        <w:rPr>
          <w:rFonts w:asciiTheme="minorHAnsi" w:hAnsiTheme="minorHAnsi" w:cs="Arial"/>
          <w:szCs w:val="24"/>
          <w:lang w:val="es-ES_tradnl"/>
        </w:rPr>
      </w:pPr>
    </w:p>
    <w:p w14:paraId="761A2F6B" w14:textId="77777777" w:rsidR="00FA79B0" w:rsidRPr="000D3432" w:rsidRDefault="00FA79B0" w:rsidP="00A95498">
      <w:pPr>
        <w:ind w:left="142"/>
        <w:jc w:val="both"/>
        <w:rPr>
          <w:rFonts w:asciiTheme="minorHAnsi" w:hAnsiTheme="minorHAnsi" w:cs="Arial"/>
          <w:szCs w:val="24"/>
          <w:lang w:val="es-ES_tradnl"/>
        </w:rPr>
      </w:pPr>
    </w:p>
    <w:p w14:paraId="659A1CF8" w14:textId="77777777" w:rsidR="00FA79B0" w:rsidRPr="000D3432" w:rsidRDefault="00FA79B0" w:rsidP="00A95498">
      <w:pPr>
        <w:ind w:left="142"/>
        <w:jc w:val="both"/>
        <w:rPr>
          <w:rFonts w:asciiTheme="minorHAnsi" w:hAnsiTheme="minorHAnsi" w:cs="Arial"/>
          <w:szCs w:val="24"/>
          <w:lang w:val="es-ES_tradnl"/>
        </w:rPr>
      </w:pPr>
    </w:p>
    <w:p w14:paraId="64565518" w14:textId="77777777" w:rsidR="00FA79B0" w:rsidRPr="000D3432" w:rsidRDefault="00FA79B0" w:rsidP="00A95498">
      <w:pPr>
        <w:jc w:val="both"/>
        <w:rPr>
          <w:rFonts w:asciiTheme="minorHAnsi" w:hAnsiTheme="minorHAnsi" w:cs="Arial"/>
          <w:szCs w:val="24"/>
          <w:lang w:val="es-ES_tradnl"/>
        </w:rPr>
      </w:pPr>
    </w:p>
    <w:p w14:paraId="5F0B7559" w14:textId="77777777" w:rsidR="00FA79B0" w:rsidRPr="000D3432" w:rsidRDefault="00FA79B0" w:rsidP="00A95498">
      <w:pPr>
        <w:jc w:val="both"/>
        <w:rPr>
          <w:rFonts w:asciiTheme="minorHAnsi" w:hAnsiTheme="minorHAnsi" w:cs="Arial"/>
          <w:szCs w:val="24"/>
          <w:lang w:val="es-ES_tradnl"/>
        </w:rPr>
      </w:pPr>
    </w:p>
    <w:p w14:paraId="55A1CC4B" w14:textId="77777777" w:rsidR="00FA79B0" w:rsidRPr="000D3432" w:rsidRDefault="00FA79B0" w:rsidP="00A95498">
      <w:pPr>
        <w:ind w:left="142"/>
        <w:jc w:val="both"/>
        <w:rPr>
          <w:rFonts w:asciiTheme="minorHAnsi" w:hAnsiTheme="minorHAnsi" w:cs="Arial"/>
          <w:szCs w:val="24"/>
          <w:lang w:val="es-ES_tradnl"/>
        </w:rPr>
      </w:pPr>
    </w:p>
    <w:p w14:paraId="3B2747D7" w14:textId="77777777" w:rsidR="00FA79B0" w:rsidRPr="000D3432" w:rsidRDefault="00FA79B0" w:rsidP="00A95498">
      <w:pPr>
        <w:ind w:left="142"/>
        <w:jc w:val="both"/>
        <w:rPr>
          <w:rFonts w:asciiTheme="minorHAnsi" w:hAnsiTheme="minorHAnsi" w:cs="Arial"/>
          <w:szCs w:val="24"/>
          <w:lang w:val="es-ES_tradnl"/>
        </w:rPr>
      </w:pPr>
    </w:p>
    <w:p w14:paraId="77828002" w14:textId="77777777" w:rsidR="00FA79B0" w:rsidRPr="000D3432" w:rsidRDefault="00FA79B0" w:rsidP="00A95498">
      <w:pPr>
        <w:rPr>
          <w:rFonts w:asciiTheme="minorHAnsi" w:hAnsiTheme="minorHAnsi" w:cs="Arial"/>
          <w:b/>
          <w:bCs/>
          <w:color w:val="1F497D"/>
          <w:szCs w:val="24"/>
          <w:u w:val="single"/>
          <w:lang w:val="es-ES_tradnl"/>
        </w:rPr>
      </w:pPr>
    </w:p>
    <w:p w14:paraId="6475CCC7" w14:textId="77777777" w:rsidR="00FA79B0" w:rsidRPr="000D3432" w:rsidRDefault="00FA79B0" w:rsidP="00A95498">
      <w:pPr>
        <w:ind w:left="708"/>
        <w:rPr>
          <w:rFonts w:asciiTheme="minorHAnsi" w:hAnsiTheme="minorHAnsi"/>
          <w:szCs w:val="24"/>
          <w:lang w:val="es-ES_tradnl"/>
        </w:rPr>
      </w:pPr>
    </w:p>
    <w:p w14:paraId="163DD878" w14:textId="77777777" w:rsidR="00FA79B0" w:rsidRPr="000D3432" w:rsidRDefault="00FA79B0" w:rsidP="00A95498">
      <w:pPr>
        <w:ind w:left="708"/>
        <w:rPr>
          <w:rFonts w:asciiTheme="minorHAnsi" w:hAnsiTheme="minorHAnsi"/>
          <w:szCs w:val="24"/>
          <w:lang w:val="es-ES_tradnl"/>
        </w:rPr>
      </w:pPr>
    </w:p>
    <w:p w14:paraId="5DA635D4" w14:textId="77777777" w:rsidR="00FA79B0" w:rsidRPr="000D3432" w:rsidRDefault="00FA79B0" w:rsidP="00A95498">
      <w:pPr>
        <w:jc w:val="center"/>
        <w:rPr>
          <w:rFonts w:asciiTheme="minorHAnsi" w:hAnsiTheme="minorHAnsi"/>
          <w:b/>
          <w:color w:val="0000FF"/>
          <w:szCs w:val="24"/>
          <w:u w:val="single"/>
          <w:lang w:val="es-ES_tradnl"/>
        </w:rPr>
      </w:pPr>
    </w:p>
    <w:p w14:paraId="4C6BF5BC" w14:textId="77777777" w:rsidR="00FA79B0" w:rsidRPr="000D3432" w:rsidRDefault="00FA79B0" w:rsidP="00A95498">
      <w:pPr>
        <w:jc w:val="center"/>
        <w:rPr>
          <w:rFonts w:asciiTheme="minorHAnsi" w:hAnsiTheme="minorHAnsi"/>
          <w:b/>
          <w:color w:val="0000FF"/>
          <w:szCs w:val="24"/>
          <w:u w:val="single"/>
          <w:lang w:val="es-ES_tradnl"/>
        </w:rPr>
      </w:pPr>
    </w:p>
    <w:p w14:paraId="64BF0077" w14:textId="77777777" w:rsidR="00FA79B0" w:rsidRPr="000D3432" w:rsidRDefault="00FA79B0" w:rsidP="00A95498">
      <w:pPr>
        <w:jc w:val="center"/>
        <w:rPr>
          <w:rFonts w:asciiTheme="minorHAnsi" w:hAnsiTheme="minorHAnsi"/>
          <w:b/>
          <w:szCs w:val="24"/>
          <w:lang w:val="es-ES_tradnl"/>
        </w:rPr>
      </w:pPr>
    </w:p>
    <w:p w14:paraId="0E81C6E6" w14:textId="77777777" w:rsidR="00FA79B0" w:rsidRPr="000D3432" w:rsidRDefault="00FA79B0" w:rsidP="00A95498">
      <w:pPr>
        <w:jc w:val="both"/>
        <w:rPr>
          <w:rFonts w:asciiTheme="minorHAnsi" w:hAnsiTheme="minorHAnsi"/>
          <w:b/>
          <w:szCs w:val="24"/>
          <w:lang w:val="es-ES_tradnl"/>
        </w:rPr>
      </w:pPr>
    </w:p>
    <w:p w14:paraId="23B82E16" w14:textId="77777777" w:rsidR="00FA79B0" w:rsidRPr="000D3432" w:rsidRDefault="00FA79B0" w:rsidP="00A95498">
      <w:pPr>
        <w:jc w:val="center"/>
        <w:rPr>
          <w:rFonts w:asciiTheme="minorHAnsi" w:hAnsiTheme="minorHAnsi"/>
          <w:b/>
          <w:color w:val="943634" w:themeColor="accent2" w:themeShade="BF"/>
          <w:szCs w:val="24"/>
          <w:lang w:val="es-ES_tradnl"/>
        </w:rPr>
      </w:pPr>
      <w:r w:rsidRPr="000D3432">
        <w:rPr>
          <w:rFonts w:asciiTheme="minorHAnsi" w:hAnsiTheme="minorHAnsi"/>
          <w:b/>
          <w:color w:val="943634" w:themeColor="accent2" w:themeShade="BF"/>
          <w:szCs w:val="24"/>
          <w:u w:val="single"/>
          <w:lang w:val="es-ES_tradnl"/>
        </w:rPr>
        <w:t xml:space="preserve">CONTRATO DE </w:t>
      </w:r>
      <w:r w:rsidRPr="000D3432">
        <w:rPr>
          <w:rFonts w:asciiTheme="minorHAnsi" w:hAnsiTheme="minorHAnsi"/>
          <w:b/>
          <w:color w:val="943634" w:themeColor="accent2" w:themeShade="BF"/>
          <w:szCs w:val="24"/>
          <w:lang w:val="es-ES_tradnl"/>
        </w:rPr>
        <w:t>TRABAJO</w:t>
      </w:r>
    </w:p>
    <w:p w14:paraId="6BCCD53C" w14:textId="77777777" w:rsidR="00FA79B0" w:rsidRPr="000D3432" w:rsidRDefault="00FA79B0" w:rsidP="00A95498">
      <w:pPr>
        <w:jc w:val="center"/>
        <w:rPr>
          <w:rFonts w:asciiTheme="minorHAnsi" w:hAnsiTheme="minorHAnsi"/>
          <w:b/>
          <w:szCs w:val="24"/>
          <w:lang w:val="es-ES_tradnl"/>
        </w:rPr>
      </w:pPr>
      <w:r w:rsidRPr="000D3432">
        <w:rPr>
          <w:rFonts w:asciiTheme="minorHAnsi" w:hAnsiTheme="minorHAnsi"/>
          <w:b/>
          <w:color w:val="943634" w:themeColor="accent2" w:themeShade="BF"/>
          <w:szCs w:val="24"/>
          <w:lang w:val="es-ES_tradnl"/>
        </w:rPr>
        <w:t xml:space="preserve"> </w:t>
      </w:r>
      <w:r w:rsidRPr="000D3432">
        <w:rPr>
          <w:rFonts w:asciiTheme="minorHAnsi" w:hAnsiTheme="minorHAnsi"/>
          <w:b/>
          <w:szCs w:val="24"/>
          <w:lang w:val="es-ES_tradnl"/>
        </w:rPr>
        <w:t xml:space="preserve">(Nociones sobre el Derecho Laboral y </w:t>
      </w:r>
    </w:p>
    <w:p w14:paraId="2C1D576F" w14:textId="77777777" w:rsidR="00FA79B0" w:rsidRPr="000D3432" w:rsidRDefault="00FA79B0" w:rsidP="00A95498">
      <w:pPr>
        <w:jc w:val="center"/>
        <w:rPr>
          <w:rFonts w:asciiTheme="minorHAnsi" w:hAnsiTheme="minorHAnsi"/>
          <w:b/>
          <w:szCs w:val="24"/>
          <w:lang w:val="es-ES_tradnl"/>
        </w:rPr>
      </w:pPr>
      <w:r w:rsidRPr="000D3432">
        <w:rPr>
          <w:rFonts w:asciiTheme="minorHAnsi" w:hAnsiTheme="minorHAnsi"/>
          <w:b/>
          <w:szCs w:val="24"/>
          <w:lang w:val="es-ES_tradnl"/>
        </w:rPr>
        <w:t>el Contrato de Trabajo)</w:t>
      </w:r>
    </w:p>
    <w:p w14:paraId="7CB001E1" w14:textId="77777777" w:rsidR="00FA79B0" w:rsidRPr="000D3432" w:rsidRDefault="00FA79B0" w:rsidP="00A95498">
      <w:pPr>
        <w:jc w:val="right"/>
        <w:rPr>
          <w:rFonts w:asciiTheme="minorHAnsi" w:hAnsiTheme="minorHAnsi"/>
          <w:b/>
          <w:szCs w:val="24"/>
          <w:lang w:val="es-ES_tradnl"/>
        </w:rPr>
      </w:pPr>
    </w:p>
    <w:p w14:paraId="0169460E" w14:textId="77777777" w:rsidR="00FA79B0" w:rsidRPr="000D3432" w:rsidRDefault="00FA79B0" w:rsidP="00A95498">
      <w:pPr>
        <w:rPr>
          <w:rFonts w:asciiTheme="minorHAnsi" w:hAnsiTheme="minorHAnsi"/>
          <w:b/>
          <w:szCs w:val="24"/>
          <w:lang w:val="es-ES_tradnl"/>
        </w:rPr>
      </w:pPr>
    </w:p>
    <w:p w14:paraId="3EB14594" w14:textId="77777777" w:rsidR="00FA79B0" w:rsidRPr="000D3432" w:rsidRDefault="00FA79B0" w:rsidP="00A95498">
      <w:pPr>
        <w:jc w:val="both"/>
        <w:rPr>
          <w:rFonts w:asciiTheme="minorHAnsi" w:hAnsiTheme="minorHAnsi" w:cs="Arial"/>
          <w:szCs w:val="24"/>
          <w:lang w:val="es-ES_tradnl"/>
        </w:rPr>
      </w:pPr>
    </w:p>
    <w:p w14:paraId="31C704FA" w14:textId="77777777" w:rsidR="00FA79B0" w:rsidRPr="000D3432" w:rsidRDefault="00FA79B0" w:rsidP="00A95498">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INTRODUCCIÓN</w:t>
      </w:r>
    </w:p>
    <w:p w14:paraId="3B16B154" w14:textId="77777777" w:rsidR="00FA79B0" w:rsidRPr="000D3432" w:rsidRDefault="00FA79B0" w:rsidP="00A95498">
      <w:pPr>
        <w:jc w:val="both"/>
        <w:rPr>
          <w:rFonts w:asciiTheme="minorHAnsi" w:hAnsiTheme="minorHAnsi" w:cs="Arial"/>
          <w:szCs w:val="24"/>
          <w:lang w:val="es-ES_tradnl"/>
        </w:rPr>
      </w:pPr>
    </w:p>
    <w:p w14:paraId="709DBA6E"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Cuando alguien inventó la frase “Cada niño viene con su pan bajo el brazo”, debió agregar que esto sólo sería posible si tenía un trabajo y si firmaba un buen contrato de trabajo. </w:t>
      </w:r>
    </w:p>
    <w:p w14:paraId="6E0602C6" w14:textId="77777777" w:rsidR="00FA79B0" w:rsidRPr="000D3432" w:rsidRDefault="00FA79B0" w:rsidP="00A95498">
      <w:pPr>
        <w:jc w:val="both"/>
        <w:rPr>
          <w:rFonts w:asciiTheme="minorHAnsi" w:hAnsiTheme="minorHAnsi" w:cs="Arial"/>
          <w:szCs w:val="24"/>
          <w:lang w:val="es-ES_tradnl"/>
        </w:rPr>
      </w:pPr>
    </w:p>
    <w:p w14:paraId="77A546A9"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Teorías sobre el trabajo hay muchas, desde aquellas que la elevan a la categoría máxima para el progreso y éxito económico, hasta aquellas que la destierran al pecado o a la infertilidad o abuso de un sistema social, como Paul Lafargué. Aquí veremos microsintéticamente las concepciones de Derecho Laboral y el Contrato de Trabajo. </w:t>
      </w:r>
    </w:p>
    <w:p w14:paraId="1A94AE6B" w14:textId="77777777" w:rsidR="00FA79B0" w:rsidRPr="000D3432" w:rsidRDefault="00FA79B0" w:rsidP="00A95498">
      <w:pPr>
        <w:jc w:val="both"/>
        <w:rPr>
          <w:rFonts w:asciiTheme="minorHAnsi" w:hAnsiTheme="minorHAnsi" w:cs="Arial"/>
          <w:szCs w:val="24"/>
          <w:lang w:val="es-ES_tradnl"/>
        </w:rPr>
      </w:pPr>
    </w:p>
    <w:p w14:paraId="54F3FD6F" w14:textId="77777777" w:rsidR="00FA79B0" w:rsidRPr="000D3432" w:rsidRDefault="00FA79B0" w:rsidP="00A95498">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PRIMERA SECCIÓN</w:t>
      </w:r>
    </w:p>
    <w:p w14:paraId="2F4E7EDD" w14:textId="77777777" w:rsidR="00FA79B0" w:rsidRPr="000D3432" w:rsidRDefault="00FA79B0" w:rsidP="00A95498">
      <w:pPr>
        <w:jc w:val="center"/>
        <w:rPr>
          <w:rFonts w:asciiTheme="minorHAnsi" w:hAnsiTheme="minorHAnsi" w:cs="Arial"/>
          <w:b/>
          <w:szCs w:val="24"/>
          <w:lang w:val="es-ES_tradnl"/>
        </w:rPr>
      </w:pPr>
      <w:r w:rsidRPr="000D3432">
        <w:rPr>
          <w:rFonts w:asciiTheme="minorHAnsi" w:hAnsiTheme="minorHAnsi" w:cs="Arial"/>
          <w:b/>
          <w:szCs w:val="24"/>
          <w:lang w:val="es-ES_tradnl"/>
        </w:rPr>
        <w:t>EL DERECHO LABORAL</w:t>
      </w:r>
    </w:p>
    <w:p w14:paraId="7165C191" w14:textId="77777777" w:rsidR="00FA79B0" w:rsidRPr="000D3432" w:rsidRDefault="00FA79B0" w:rsidP="00A95498">
      <w:pPr>
        <w:jc w:val="both"/>
        <w:rPr>
          <w:rFonts w:asciiTheme="minorHAnsi" w:hAnsiTheme="minorHAnsi" w:cs="Arial"/>
          <w:szCs w:val="24"/>
          <w:lang w:val="es-ES_tradnl"/>
        </w:rPr>
      </w:pPr>
    </w:p>
    <w:p w14:paraId="67BFDD59"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Nuestra existencia en la actualidad requiere de la consecución de los medios que satisfagan nuestras necesidades primarias de existencia, como la alimentación, salud, vestido, etc. Y estos medios no pueden ser obtenidos con la simple existencia, sino a través de cierta actividad productiva. A esta actividad productiva se le ha denominado trabajo. Así, tenemos que ganarnos el pan con el sudor de nuestra frente. Es decir, nuestros alimentos, salud, vestido, etc., no nos llegan ya de actos de recolección y caza –como en las épocas antiguas-, sino de una actividad productiva. A esta productividad se le ha llamado trabajo –como dijimos-, pero el trabajo no puede ser definido simplemente como actividad productiva, porque, por ejemplo, pueden ser trabajo también el pintar un cuadro, o el lavar la ropa, o el hacer gimnasia, etc., pero estas actividades no son necesariamente actividad productiva, pero si pueden ser trabajo, es decir, la aplicación de la energía para la consecución de un fin (un cuadro de pintura, ropa limpia, o un cuerpo atlético). Pero el sentido que nos puede interesar es el que se ha adoptado por generalidad. Con Herbert Marcuse podemos “entender por ‘trabajo’ solamente la actividad económica, la praxis en las dimensiones económicas.”</w:t>
      </w:r>
      <w:r w:rsidRPr="000D3432">
        <w:rPr>
          <w:rStyle w:val="Refdenotaalpie"/>
          <w:rFonts w:asciiTheme="minorHAnsi" w:hAnsiTheme="minorHAnsi"/>
          <w:sz w:val="24"/>
          <w:szCs w:val="24"/>
          <w:lang w:val="es-ES_tradnl"/>
        </w:rPr>
        <w:footnoteReference w:id="580"/>
      </w:r>
      <w:r w:rsidRPr="000D3432">
        <w:rPr>
          <w:rFonts w:asciiTheme="minorHAnsi" w:hAnsiTheme="minorHAnsi" w:cs="Arial"/>
          <w:szCs w:val="24"/>
          <w:lang w:val="es-ES_tradnl"/>
        </w:rPr>
        <w:t>.</w:t>
      </w:r>
    </w:p>
    <w:p w14:paraId="469B7AF8" w14:textId="77777777" w:rsidR="00FA79B0" w:rsidRPr="000D3432" w:rsidRDefault="00FA79B0" w:rsidP="00A95498">
      <w:pPr>
        <w:jc w:val="both"/>
        <w:rPr>
          <w:rFonts w:asciiTheme="minorHAnsi" w:hAnsiTheme="minorHAnsi" w:cs="Arial"/>
          <w:szCs w:val="24"/>
          <w:lang w:val="es-ES_tradnl"/>
        </w:rPr>
      </w:pPr>
    </w:p>
    <w:p w14:paraId="55C95B8D"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trabajo es una actividad económica, es decir de producción de riqueza. Riqueza que permita la subsistencia. Por lo tanto es una actividad existencial. Si </w:t>
      </w:r>
      <w:r w:rsidRPr="000D3432">
        <w:rPr>
          <w:rFonts w:asciiTheme="minorHAnsi" w:hAnsiTheme="minorHAnsi" w:cs="Arial"/>
          <w:szCs w:val="24"/>
          <w:lang w:val="es-ES_tradnl"/>
        </w:rPr>
        <w:lastRenderedPageBreak/>
        <w:t>es una actividad económica se trata de una actividad que se funda sobre la base de la administración, gestión y primeramente consecución o búsqueda de recursos o bienes necesarios para la satisfacción de nuestras necesidades particulares. Es una actividad en las dimensiones o práctica de las dimensiones económicas de nuestra existencia. Al decir económicas estamos diciendo –con Carnelutti- de la búsqueda de la satisfacción de nuestras necesidades. El concepto de trabajo como “actividad económica”, sin embargo, no hace la diferencia “entre trabajo directivo y trabajo dirigido; o entre libre y esclavo, o la clase de trabajo en las diversas ramas de producción,...</w:t>
      </w:r>
      <w:r w:rsidRPr="000D3432">
        <w:rPr>
          <w:rStyle w:val="Refdenotaalpie"/>
          <w:rFonts w:asciiTheme="minorHAnsi" w:hAnsiTheme="minorHAnsi"/>
          <w:sz w:val="24"/>
          <w:szCs w:val="24"/>
          <w:lang w:val="es-ES_tradnl"/>
        </w:rPr>
        <w:footnoteReference w:id="581"/>
      </w:r>
      <w:r w:rsidRPr="000D3432">
        <w:rPr>
          <w:rFonts w:asciiTheme="minorHAnsi" w:hAnsiTheme="minorHAnsi" w:cs="Arial"/>
          <w:szCs w:val="24"/>
          <w:lang w:val="es-ES_tradnl"/>
        </w:rPr>
        <w:t xml:space="preserve"> </w:t>
      </w:r>
    </w:p>
    <w:p w14:paraId="28CA19CC" w14:textId="77777777" w:rsidR="00FA79B0" w:rsidRPr="000D3432" w:rsidRDefault="00FA79B0" w:rsidP="00A95498">
      <w:pPr>
        <w:jc w:val="both"/>
        <w:rPr>
          <w:rFonts w:asciiTheme="minorHAnsi" w:hAnsiTheme="minorHAnsi" w:cs="Arial"/>
          <w:szCs w:val="24"/>
          <w:lang w:val="es-ES_tradnl"/>
        </w:rPr>
      </w:pPr>
    </w:p>
    <w:p w14:paraId="6C4C7E53"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Citando a Nowack, Marcuse escribe: “En tres grandes grupos de problemas interviene el concepto de trabajo en la economía nacional: la doctrina del valor  y del precio, la doctrina de los factores de producción y la doctrina de los costes”</w:t>
      </w:r>
      <w:r w:rsidRPr="000D3432">
        <w:rPr>
          <w:rStyle w:val="Refdenotaalpie"/>
          <w:rFonts w:asciiTheme="minorHAnsi" w:hAnsiTheme="minorHAnsi"/>
          <w:sz w:val="24"/>
          <w:szCs w:val="24"/>
          <w:lang w:val="es-ES_tradnl"/>
        </w:rPr>
        <w:footnoteReference w:id="582"/>
      </w:r>
      <w:r w:rsidRPr="000D3432">
        <w:rPr>
          <w:rFonts w:asciiTheme="minorHAnsi" w:hAnsiTheme="minorHAnsi" w:cs="Arial"/>
          <w:szCs w:val="24"/>
          <w:lang w:val="es-ES_tradnl"/>
        </w:rPr>
        <w:t xml:space="preserve">. “...se considera trabajo en sentido primario y original solamente a la actividad </w:t>
      </w:r>
      <w:r w:rsidRPr="000D3432">
        <w:rPr>
          <w:rFonts w:asciiTheme="minorHAnsi" w:hAnsiTheme="minorHAnsi" w:cs="Arial"/>
          <w:i/>
          <w:iCs/>
          <w:szCs w:val="24"/>
          <w:lang w:val="es-ES_tradnl"/>
        </w:rPr>
        <w:t>económica</w:t>
      </w:r>
      <w:r w:rsidRPr="000D3432">
        <w:rPr>
          <w:rFonts w:asciiTheme="minorHAnsi" w:hAnsiTheme="minorHAnsi" w:cs="Arial"/>
          <w:szCs w:val="24"/>
          <w:lang w:val="es-ES_tradnl"/>
        </w:rPr>
        <w:t>, mientras, por ejemplo, el hacer político, o artístico, científico, sacerdotal, solamente en sentido figurado y con una cierta inseguridad son considerados como trabajo; en todo caso, ha situado a estas actividades en un plano fundamentalmente opuesto a la actividad económica.”</w:t>
      </w:r>
      <w:r w:rsidRPr="000D3432">
        <w:rPr>
          <w:rStyle w:val="Refdenotaalpie"/>
          <w:rFonts w:asciiTheme="minorHAnsi" w:hAnsiTheme="minorHAnsi"/>
          <w:sz w:val="24"/>
          <w:szCs w:val="24"/>
          <w:lang w:val="es-ES_tradnl"/>
        </w:rPr>
        <w:footnoteReference w:id="583"/>
      </w:r>
    </w:p>
    <w:p w14:paraId="4D97207A" w14:textId="77777777" w:rsidR="00FA79B0" w:rsidRPr="000D3432" w:rsidRDefault="00FA79B0" w:rsidP="00A95498">
      <w:pPr>
        <w:tabs>
          <w:tab w:val="left" w:pos="2426"/>
        </w:tabs>
        <w:jc w:val="both"/>
        <w:rPr>
          <w:rFonts w:asciiTheme="minorHAnsi" w:hAnsiTheme="minorHAnsi" w:cs="Arial"/>
          <w:szCs w:val="24"/>
          <w:lang w:val="es-ES_tradnl"/>
        </w:rPr>
      </w:pPr>
      <w:r w:rsidRPr="000D3432">
        <w:rPr>
          <w:rFonts w:asciiTheme="minorHAnsi" w:hAnsiTheme="minorHAnsi" w:cs="Arial"/>
          <w:szCs w:val="24"/>
          <w:lang w:val="es-ES_tradnl"/>
        </w:rPr>
        <w:tab/>
      </w:r>
    </w:p>
    <w:p w14:paraId="39C5B892"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El concepto de trabajo como actividad económica “Podría ser que este se limitase, por parte de la teoría económica, al trabajo económico, ya este presuponiendo un concepto de trabajo muy determinado; que con ello se esté ya definiendo </w:t>
      </w:r>
      <w:r w:rsidRPr="000D3432">
        <w:rPr>
          <w:rFonts w:asciiTheme="minorHAnsi" w:hAnsiTheme="minorHAnsi" w:cs="Arial"/>
          <w:i/>
          <w:iCs/>
          <w:szCs w:val="24"/>
          <w:lang w:val="es-ES_tradnl"/>
        </w:rPr>
        <w:t xml:space="preserve">una </w:t>
      </w:r>
      <w:r w:rsidRPr="000D3432">
        <w:rPr>
          <w:rFonts w:asciiTheme="minorHAnsi" w:hAnsiTheme="minorHAnsi" w:cs="Arial"/>
          <w:szCs w:val="24"/>
          <w:lang w:val="es-ES_tradnl"/>
        </w:rPr>
        <w:t>determinada manera de hacer economía...”</w:t>
      </w:r>
      <w:r w:rsidRPr="000D3432">
        <w:rPr>
          <w:rStyle w:val="Refdenotaalpie"/>
          <w:rFonts w:asciiTheme="minorHAnsi" w:hAnsiTheme="minorHAnsi"/>
          <w:sz w:val="24"/>
          <w:szCs w:val="24"/>
          <w:lang w:val="es-ES_tradnl"/>
        </w:rPr>
        <w:footnoteReference w:id="584"/>
      </w:r>
    </w:p>
    <w:p w14:paraId="7146811E" w14:textId="77777777" w:rsidR="00FA79B0" w:rsidRPr="000D3432" w:rsidRDefault="00FA79B0" w:rsidP="00A95498">
      <w:pPr>
        <w:jc w:val="both"/>
        <w:rPr>
          <w:rFonts w:asciiTheme="minorHAnsi" w:hAnsiTheme="minorHAnsi" w:cs="Arial"/>
          <w:szCs w:val="24"/>
          <w:lang w:val="es-ES_tradnl"/>
        </w:rPr>
      </w:pPr>
    </w:p>
    <w:p w14:paraId="38D45210" w14:textId="77777777" w:rsidR="00FA79B0" w:rsidRPr="000D3432" w:rsidRDefault="00FA79B0" w:rsidP="00A95498">
      <w:pPr>
        <w:pStyle w:val="Ttulo1"/>
        <w:spacing w:line="240" w:lineRule="auto"/>
        <w:rPr>
          <w:rFonts w:asciiTheme="minorHAnsi" w:hAnsiTheme="minorHAnsi"/>
          <w:sz w:val="24"/>
          <w:szCs w:val="24"/>
          <w:lang w:val="es-ES_tradnl"/>
        </w:rPr>
      </w:pPr>
      <w:bookmarkStart w:id="103" w:name="_Toc318102908"/>
      <w:r w:rsidRPr="000D3432">
        <w:rPr>
          <w:rFonts w:asciiTheme="minorHAnsi" w:hAnsiTheme="minorHAnsi"/>
          <w:sz w:val="24"/>
          <w:szCs w:val="24"/>
          <w:lang w:val="es-ES_tradnl"/>
        </w:rPr>
        <w:t>1.- DERECHO DEL TRABAJO</w:t>
      </w:r>
      <w:bookmarkEnd w:id="103"/>
    </w:p>
    <w:p w14:paraId="445CF486" w14:textId="77777777" w:rsidR="00FA79B0" w:rsidRPr="000D3432" w:rsidRDefault="00FA79B0" w:rsidP="00A95498">
      <w:pPr>
        <w:jc w:val="both"/>
        <w:rPr>
          <w:rFonts w:asciiTheme="minorHAnsi" w:hAnsiTheme="minorHAnsi" w:cs="Arial"/>
          <w:szCs w:val="24"/>
          <w:lang w:val="es-ES_tradnl"/>
        </w:rPr>
      </w:pPr>
    </w:p>
    <w:p w14:paraId="3D1D81CF"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“El Derecho de Trabajo no regula toda forma de prestación de servicios, sino una manera muy particular de brindarla. El tipo de trabajo al cual el Derecho Laboral le otorga su protección, es –siguiendo lo expuesto por Neves Mujica- aquél desempeñado por el ser humano con una finalidad productiva, por cuenta ajena, libre y subordinado.”</w:t>
      </w:r>
      <w:r w:rsidRPr="000D3432">
        <w:rPr>
          <w:rStyle w:val="Refdenotaalpie"/>
          <w:rFonts w:asciiTheme="minorHAnsi" w:hAnsiTheme="minorHAnsi"/>
          <w:sz w:val="24"/>
          <w:szCs w:val="24"/>
          <w:lang w:val="es-ES_tradnl"/>
        </w:rPr>
        <w:footnoteReference w:id="585"/>
      </w:r>
      <w:r w:rsidRPr="000D3432">
        <w:rPr>
          <w:rFonts w:asciiTheme="minorHAnsi" w:hAnsiTheme="minorHAnsi" w:cs="Arial"/>
          <w:szCs w:val="24"/>
          <w:lang w:val="es-ES_tradnl"/>
        </w:rPr>
        <w:t>.</w:t>
      </w:r>
    </w:p>
    <w:p w14:paraId="3009C6D4" w14:textId="77777777" w:rsidR="00FA79B0" w:rsidRPr="000D3432" w:rsidRDefault="00FA79B0" w:rsidP="00A95498">
      <w:pPr>
        <w:jc w:val="both"/>
        <w:rPr>
          <w:rFonts w:asciiTheme="minorHAnsi" w:hAnsiTheme="minorHAnsi" w:cs="Arial"/>
          <w:szCs w:val="24"/>
          <w:lang w:val="es-ES_tradnl"/>
        </w:rPr>
      </w:pPr>
    </w:p>
    <w:p w14:paraId="021D8AB0"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 xml:space="preserve"> “El Derecho del Trabajo es un desprendimiento del Derecho Civil,...”</w:t>
      </w:r>
      <w:r w:rsidRPr="000D3432">
        <w:rPr>
          <w:rStyle w:val="Refdenotaalpie"/>
          <w:rFonts w:asciiTheme="minorHAnsi" w:hAnsiTheme="minorHAnsi"/>
          <w:sz w:val="24"/>
          <w:szCs w:val="24"/>
          <w:lang w:val="es-ES_tradnl"/>
        </w:rPr>
        <w:footnoteReference w:id="586"/>
      </w:r>
    </w:p>
    <w:p w14:paraId="425E22FB" w14:textId="77777777" w:rsidR="00FA79B0" w:rsidRPr="000D3432" w:rsidRDefault="00FA79B0" w:rsidP="00A95498">
      <w:pPr>
        <w:jc w:val="both"/>
        <w:rPr>
          <w:rFonts w:asciiTheme="minorHAnsi" w:hAnsiTheme="minorHAnsi"/>
          <w:szCs w:val="24"/>
          <w:lang w:val="es-ES_tradnl"/>
        </w:rPr>
      </w:pPr>
    </w:p>
    <w:p w14:paraId="3070D4FF" w14:textId="77777777" w:rsidR="00FA79B0" w:rsidRPr="000D3432" w:rsidRDefault="00FA79B0"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Gracias a la independencia el mercado regula las relaciones laborales. “Se proclama que todas las personas son iguales y libres ante el Derecho y, por tanto, pueden concurrir al mercado y acordar sin restricciones lo que convenga a sus intereses, en virtud de la autonomía privada individual. El Estado debe </w:t>
      </w:r>
      <w:r w:rsidRPr="000D3432">
        <w:rPr>
          <w:rFonts w:asciiTheme="minorHAnsi" w:hAnsiTheme="minorHAnsi"/>
          <w:sz w:val="24"/>
          <w:szCs w:val="24"/>
          <w:lang w:val="es-ES_tradnl"/>
        </w:rPr>
        <w:lastRenderedPageBreak/>
        <w:t>garantizar que los sujetos puedan celebrar el contrato y luego lo cumplan según lo pactado, pero no debe intervenir en la determinación de los derechos y obligaciones establecidos en aquél.”</w:t>
      </w:r>
      <w:r w:rsidRPr="000D3432">
        <w:rPr>
          <w:rStyle w:val="Refdenotaalpie"/>
          <w:rFonts w:asciiTheme="minorHAnsi" w:eastAsiaTheme="majorEastAsia" w:hAnsiTheme="minorHAnsi"/>
          <w:sz w:val="24"/>
          <w:szCs w:val="24"/>
          <w:lang w:val="es-ES_tradnl"/>
        </w:rPr>
        <w:footnoteReference w:id="587"/>
      </w:r>
    </w:p>
    <w:p w14:paraId="73A814FF" w14:textId="77777777" w:rsidR="00FA79B0" w:rsidRPr="000D3432" w:rsidRDefault="00FA79B0" w:rsidP="00A95498">
      <w:pPr>
        <w:pStyle w:val="Textodecuerpo"/>
        <w:spacing w:line="240" w:lineRule="auto"/>
        <w:rPr>
          <w:rFonts w:asciiTheme="minorHAnsi" w:hAnsiTheme="minorHAnsi"/>
          <w:sz w:val="24"/>
          <w:szCs w:val="24"/>
          <w:lang w:val="es-ES_tradnl"/>
        </w:rPr>
      </w:pPr>
    </w:p>
    <w:p w14:paraId="123A7D17" w14:textId="77777777" w:rsidR="00FA79B0" w:rsidRPr="000D3432" w:rsidRDefault="00FA79B0"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“La aplicación de este esquema en el campo de las relaciones laborales, más aún con la rigidez propia del liberalismo entonces en auge, mostró que los valores consagrados por el Derecho Civil no se verificaban en la realidad: el trabajador sólo dispone de su energía, que debe ofrecer a quien la emplee, que será un empresario, a cambio de una retribución; pero como la necesidad de obtener un puesto es mucho mayor que las probabilidades de encontrarlo, la voluntad única del empleador establece los derechos y obligaciones entre las partes. Esto condujo a un régimen de sobre-explotación de la mano de obra, ...”</w:t>
      </w:r>
      <w:r w:rsidRPr="000D3432">
        <w:rPr>
          <w:rStyle w:val="Refdenotaalpie"/>
          <w:rFonts w:asciiTheme="minorHAnsi" w:eastAsiaTheme="majorEastAsia" w:hAnsiTheme="minorHAnsi"/>
          <w:sz w:val="24"/>
          <w:szCs w:val="24"/>
          <w:lang w:val="es-ES_tradnl"/>
        </w:rPr>
        <w:footnoteReference w:id="588"/>
      </w:r>
    </w:p>
    <w:p w14:paraId="68DD97F8" w14:textId="77777777" w:rsidR="00FA79B0" w:rsidRPr="000D3432" w:rsidRDefault="00FA79B0" w:rsidP="00A95498">
      <w:pPr>
        <w:pStyle w:val="Textodecuerpo"/>
        <w:spacing w:line="240" w:lineRule="auto"/>
        <w:rPr>
          <w:rFonts w:asciiTheme="minorHAnsi" w:hAnsiTheme="minorHAnsi"/>
          <w:sz w:val="24"/>
          <w:szCs w:val="24"/>
          <w:lang w:val="es-ES_tradnl"/>
        </w:rPr>
      </w:pPr>
    </w:p>
    <w:p w14:paraId="181C0347" w14:textId="77777777" w:rsidR="00FA79B0" w:rsidRPr="000D3432" w:rsidRDefault="00FA79B0"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El Estado cambia sus funciones y atribuciones cuando cambia su contenido y conformación. No el soberano es el fin último del Estado, sino la sociedad, y por eso este nuevo Estado moderno interviene a favor de la sociedad mayoritaria.</w:t>
      </w:r>
    </w:p>
    <w:p w14:paraId="05B669C7" w14:textId="77777777" w:rsidR="00FA79B0" w:rsidRPr="000D3432" w:rsidRDefault="00FA79B0" w:rsidP="00A95498">
      <w:pPr>
        <w:jc w:val="both"/>
        <w:rPr>
          <w:rFonts w:asciiTheme="minorHAnsi" w:hAnsiTheme="minorHAnsi" w:cs="Arial"/>
          <w:szCs w:val="24"/>
          <w:lang w:val="es-ES_tradnl"/>
        </w:rPr>
      </w:pPr>
    </w:p>
    <w:p w14:paraId="4204A67F" w14:textId="77777777" w:rsidR="00FA79B0" w:rsidRPr="000D3432" w:rsidRDefault="00FA79B0" w:rsidP="00A95498">
      <w:pPr>
        <w:jc w:val="center"/>
        <w:rPr>
          <w:rFonts w:asciiTheme="minorHAnsi" w:hAnsiTheme="minorHAnsi" w:cs="Arial"/>
          <w:szCs w:val="24"/>
          <w:lang w:val="es-ES_tradnl"/>
        </w:rPr>
      </w:pPr>
      <w:r w:rsidRPr="000D3432">
        <w:rPr>
          <w:rFonts w:asciiTheme="minorHAnsi" w:hAnsiTheme="minorHAnsi" w:cs="Arial"/>
          <w:szCs w:val="24"/>
          <w:lang w:val="es-ES_tradnl"/>
        </w:rPr>
        <w:t>* * *</w:t>
      </w:r>
    </w:p>
    <w:p w14:paraId="4774409C"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“El Derecho de Trabajo no regula toda forma de prestación de servicios, sino una manera muy particular de brindarla. El tipo de trabajo al cual el Derecho Laboral le otorga su protección, es –siguiendo lo expuesto por Neves Mujica- aquél desempeñado por el ser humano con una finalidad productiva, por cuenta ajena, libre y subordinado.”</w:t>
      </w:r>
    </w:p>
    <w:p w14:paraId="51DF7EC8" w14:textId="77777777" w:rsidR="00FA79B0" w:rsidRPr="000D3432" w:rsidRDefault="00FA79B0" w:rsidP="00A95498">
      <w:pPr>
        <w:ind w:left="708"/>
        <w:jc w:val="both"/>
        <w:rPr>
          <w:rFonts w:asciiTheme="minorHAnsi" w:hAnsiTheme="minorHAnsi" w:cs="Arial"/>
          <w:color w:val="003300"/>
          <w:szCs w:val="24"/>
          <w:lang w:val="es-ES_tradnl"/>
        </w:rPr>
      </w:pPr>
    </w:p>
    <w:p w14:paraId="060F9DE5" w14:textId="77777777" w:rsidR="00FA79B0" w:rsidRPr="000D3432" w:rsidRDefault="00FA79B0" w:rsidP="00A95498">
      <w:pPr>
        <w:pStyle w:val="Sangradetdecuerpo"/>
        <w:ind w:left="0"/>
        <w:rPr>
          <w:rFonts w:asciiTheme="minorHAnsi" w:hAnsiTheme="minorHAnsi"/>
          <w:b w:val="0"/>
          <w:color w:val="003300"/>
          <w:sz w:val="24"/>
          <w:szCs w:val="24"/>
          <w:lang w:val="es-ES_tradnl"/>
        </w:rPr>
      </w:pPr>
      <w:r w:rsidRPr="000D3432">
        <w:rPr>
          <w:rFonts w:asciiTheme="minorHAnsi" w:hAnsiTheme="minorHAnsi"/>
          <w:b w:val="0"/>
          <w:color w:val="003300"/>
          <w:sz w:val="24"/>
          <w:szCs w:val="24"/>
          <w:lang w:val="es-ES_tradnl"/>
        </w:rPr>
        <w:t xml:space="preserve">“El derecho del trabajo constituye el conjunto de normas jurídicas, dirigidas a regular las relaciones del trabajo entre el empleador y el trabajador. En sí el derecho de trabajo regula la relación jurídica entre empresarios y trabajadores y otros con el Estado en lo referente al trabajo subordinado.” </w:t>
      </w:r>
    </w:p>
    <w:p w14:paraId="20290880" w14:textId="77777777" w:rsidR="00FA79B0" w:rsidRPr="000D3432" w:rsidRDefault="00FA79B0" w:rsidP="00A95498">
      <w:pPr>
        <w:jc w:val="both"/>
        <w:rPr>
          <w:rFonts w:asciiTheme="minorHAnsi" w:hAnsiTheme="minorHAnsi"/>
          <w:szCs w:val="24"/>
          <w:lang w:val="es-ES_tradnl"/>
        </w:rPr>
      </w:pPr>
    </w:p>
    <w:p w14:paraId="6137D3B7"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Tratar el tema del Derecho Laboral es tratar el tema de nuestra existencia, de aquello que le da la posibilidad de permanencia o perpetuidad a nuestra vida; eso que está en el centro del Derecho Laboral, que permite y posibilita nuestra existencia: el TRABAJO. Y este tiene, por ello, que ser necesaria e indispensablemente estudiado y regulado.</w:t>
      </w:r>
    </w:p>
    <w:p w14:paraId="35C1FCAE" w14:textId="77777777" w:rsidR="00FA79B0" w:rsidRPr="000D3432" w:rsidRDefault="00FA79B0" w:rsidP="00A95498">
      <w:pPr>
        <w:jc w:val="both"/>
        <w:rPr>
          <w:rFonts w:asciiTheme="minorHAnsi" w:hAnsiTheme="minorHAnsi" w:cs="Arial"/>
          <w:color w:val="003300"/>
          <w:szCs w:val="24"/>
          <w:lang w:val="es-ES_tradnl"/>
        </w:rPr>
      </w:pPr>
    </w:p>
    <w:p w14:paraId="6E0779F2"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Así, el trabajo no es para nada sólo un tema técnico, es más bien un fenómeno ontológico y existencial. Porque se trata de nuestra vida, de la forma cómo logramos perpetuar nuestra vida, con cierta dignidad.</w:t>
      </w:r>
    </w:p>
    <w:p w14:paraId="2FDE37D8"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p>
    <w:p w14:paraId="7B1127EA"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Por eso trabajar implica posibilitar nuestra existencia. La fórmula podría ser así: TRABAJO, LUEGO EXISTO. </w:t>
      </w:r>
    </w:p>
    <w:p w14:paraId="5C354307" w14:textId="77777777" w:rsidR="00FA79B0" w:rsidRPr="000D3432" w:rsidRDefault="00FA79B0" w:rsidP="00A95498">
      <w:pPr>
        <w:jc w:val="both"/>
        <w:rPr>
          <w:rFonts w:asciiTheme="minorHAnsi" w:hAnsiTheme="minorHAnsi" w:cs="Arial"/>
          <w:color w:val="003300"/>
          <w:szCs w:val="24"/>
          <w:lang w:val="es-ES_tradnl"/>
        </w:rPr>
      </w:pPr>
    </w:p>
    <w:p w14:paraId="025949AD"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Hoy el trabajo es un método para vivir, para seguir viviendo, al menos hasta cierto tiempo. Hasta donde el cuerpo aguante.</w:t>
      </w:r>
    </w:p>
    <w:p w14:paraId="366C1511" w14:textId="77777777" w:rsidR="00FA79B0" w:rsidRPr="000D3432" w:rsidRDefault="00FA79B0" w:rsidP="00A95498">
      <w:pPr>
        <w:jc w:val="both"/>
        <w:rPr>
          <w:rFonts w:asciiTheme="minorHAnsi" w:hAnsiTheme="minorHAnsi" w:cs="Arial"/>
          <w:color w:val="003300"/>
          <w:szCs w:val="24"/>
          <w:lang w:val="es-ES_tradnl"/>
        </w:rPr>
      </w:pPr>
    </w:p>
    <w:p w14:paraId="6B70EEE3"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Vivir supone contar con los medios que satisfagan nuestras necesidades primarias, como la alimentación, salud, vestido, etc. Y estos medios no pueden ser obtenidos con la simple existencia, sino a través de cierta actividad productiva. A esta actividad productiva se le ha denominado trabajo. Así, tenemos que ganarnos el pan con el sudor de nuestra frente. Es decir, nuestros alimentos, salud, vestido, etc., no nos llegan ya de actos de recolección y caza –como en las épocas antiguas-, sino de una actividad productiva. De transformación de la propia naturaleza. El trabajo es pues una actividad productiva, pero no puede reducirse a ella, porque, ¿no puede decirse, por ejemplo, que pintar un cuadro, lavar ropa, hacer gimnasia, etc., pueden ser trabajos. Estas actividades no pueden ser trabajo en un sentido económico –no necesariamente- pero si pueden ser trabajo en otro sentido, en un sentido general. Puesto que el trabajo es también “la aplicación de energía para la consecución de un fin (pintar un cuadro, lavar nuestras zapatillas, o hacer gimnasia para tener un cuerpo atlético). </w:t>
      </w:r>
    </w:p>
    <w:p w14:paraId="668976C5" w14:textId="77777777" w:rsidR="00FA79B0" w:rsidRPr="000D3432" w:rsidRDefault="00FA79B0" w:rsidP="00A95498">
      <w:pPr>
        <w:jc w:val="both"/>
        <w:rPr>
          <w:rFonts w:asciiTheme="minorHAnsi" w:hAnsiTheme="minorHAnsi" w:cs="Arial"/>
          <w:color w:val="003300"/>
          <w:szCs w:val="24"/>
          <w:lang w:val="es-ES_tradnl"/>
        </w:rPr>
      </w:pPr>
    </w:p>
    <w:p w14:paraId="429E4A98" w14:textId="77777777" w:rsidR="00FA79B0" w:rsidRPr="000D3432" w:rsidRDefault="00FA79B0" w:rsidP="00A95498">
      <w:pPr>
        <w:jc w:val="center"/>
        <w:rPr>
          <w:rFonts w:asciiTheme="minorHAnsi" w:hAnsiTheme="minorHAnsi" w:cs="Arial"/>
          <w:color w:val="003300"/>
          <w:szCs w:val="24"/>
          <w:lang w:val="es-ES_tradnl"/>
        </w:rPr>
      </w:pPr>
      <w:r w:rsidRPr="000D3432">
        <w:rPr>
          <w:rFonts w:asciiTheme="minorHAnsi" w:hAnsiTheme="minorHAnsi" w:cs="Arial"/>
          <w:color w:val="003300"/>
          <w:szCs w:val="24"/>
          <w:lang w:val="es-ES_tradnl"/>
        </w:rPr>
        <w:t>* * *</w:t>
      </w:r>
    </w:p>
    <w:p w14:paraId="4DA079B1" w14:textId="77777777" w:rsidR="00FA79B0" w:rsidRPr="000D3432" w:rsidRDefault="00FA79B0" w:rsidP="00A95498">
      <w:pPr>
        <w:pStyle w:val="Ttulo1"/>
        <w:spacing w:line="240" w:lineRule="auto"/>
        <w:rPr>
          <w:rFonts w:asciiTheme="minorHAnsi" w:hAnsiTheme="minorHAnsi"/>
          <w:b w:val="0"/>
          <w:color w:val="003300"/>
          <w:sz w:val="24"/>
          <w:szCs w:val="24"/>
          <w:lang w:val="es-ES_tradnl"/>
        </w:rPr>
      </w:pPr>
      <w:bookmarkStart w:id="104" w:name="_Toc318102909"/>
      <w:r w:rsidRPr="000D3432">
        <w:rPr>
          <w:rFonts w:asciiTheme="minorHAnsi" w:hAnsiTheme="minorHAnsi"/>
          <w:b w:val="0"/>
          <w:color w:val="003300"/>
          <w:sz w:val="24"/>
          <w:szCs w:val="24"/>
          <w:lang w:val="es-ES_tradnl"/>
        </w:rPr>
        <w:t>El concepto mismo de Derecho laboral implica dos definiciones:</w:t>
      </w:r>
      <w:bookmarkEnd w:id="104"/>
      <w:r w:rsidRPr="000D3432">
        <w:rPr>
          <w:rFonts w:asciiTheme="minorHAnsi" w:hAnsiTheme="minorHAnsi"/>
          <w:b w:val="0"/>
          <w:color w:val="003300"/>
          <w:sz w:val="24"/>
          <w:szCs w:val="24"/>
          <w:lang w:val="es-ES_tradnl"/>
        </w:rPr>
        <w:t xml:space="preserve"> </w:t>
      </w:r>
    </w:p>
    <w:p w14:paraId="2069584A" w14:textId="77777777" w:rsidR="00FA79B0" w:rsidRPr="000D3432" w:rsidRDefault="00FA79B0" w:rsidP="009E6E2E">
      <w:pPr>
        <w:pStyle w:val="Ttulo1"/>
        <w:widowControl/>
        <w:numPr>
          <w:ilvl w:val="0"/>
          <w:numId w:val="33"/>
        </w:numPr>
        <w:overflowPunct/>
        <w:autoSpaceDE/>
        <w:autoSpaceDN/>
        <w:adjustRightInd/>
        <w:spacing w:line="240" w:lineRule="auto"/>
        <w:textAlignment w:val="auto"/>
        <w:rPr>
          <w:rFonts w:asciiTheme="minorHAnsi" w:hAnsiTheme="minorHAnsi"/>
          <w:b w:val="0"/>
          <w:color w:val="003300"/>
          <w:sz w:val="24"/>
          <w:szCs w:val="24"/>
          <w:lang w:val="es-ES_tradnl"/>
        </w:rPr>
      </w:pPr>
      <w:bookmarkStart w:id="105" w:name="_Toc318102910"/>
      <w:r w:rsidRPr="000D3432">
        <w:rPr>
          <w:rFonts w:asciiTheme="minorHAnsi" w:hAnsiTheme="minorHAnsi"/>
          <w:b w:val="0"/>
          <w:color w:val="003300"/>
          <w:sz w:val="24"/>
          <w:szCs w:val="24"/>
          <w:lang w:val="es-ES_tradnl"/>
        </w:rPr>
        <w:t>El Derecho, y</w:t>
      </w:r>
      <w:bookmarkEnd w:id="105"/>
      <w:r w:rsidRPr="000D3432">
        <w:rPr>
          <w:rFonts w:asciiTheme="minorHAnsi" w:hAnsiTheme="minorHAnsi"/>
          <w:b w:val="0"/>
          <w:color w:val="003300"/>
          <w:sz w:val="24"/>
          <w:szCs w:val="24"/>
          <w:lang w:val="es-ES_tradnl"/>
        </w:rPr>
        <w:t xml:space="preserve"> </w:t>
      </w:r>
    </w:p>
    <w:p w14:paraId="046CD252" w14:textId="77777777" w:rsidR="00FA79B0" w:rsidRPr="000D3432" w:rsidRDefault="00FA79B0" w:rsidP="009E6E2E">
      <w:pPr>
        <w:pStyle w:val="Ttulo1"/>
        <w:widowControl/>
        <w:numPr>
          <w:ilvl w:val="0"/>
          <w:numId w:val="33"/>
        </w:numPr>
        <w:overflowPunct/>
        <w:autoSpaceDE/>
        <w:autoSpaceDN/>
        <w:adjustRightInd/>
        <w:spacing w:line="240" w:lineRule="auto"/>
        <w:textAlignment w:val="auto"/>
        <w:rPr>
          <w:rFonts w:asciiTheme="minorHAnsi" w:hAnsiTheme="minorHAnsi"/>
          <w:b w:val="0"/>
          <w:color w:val="003300"/>
          <w:sz w:val="24"/>
          <w:szCs w:val="24"/>
          <w:lang w:val="es-ES_tradnl"/>
        </w:rPr>
      </w:pPr>
      <w:bookmarkStart w:id="106" w:name="_Toc318102911"/>
      <w:r w:rsidRPr="000D3432">
        <w:rPr>
          <w:rFonts w:asciiTheme="minorHAnsi" w:hAnsiTheme="minorHAnsi"/>
          <w:b w:val="0"/>
          <w:color w:val="003300"/>
          <w:sz w:val="24"/>
          <w:szCs w:val="24"/>
          <w:lang w:val="es-ES_tradnl"/>
        </w:rPr>
        <w:t>El Deber.</w:t>
      </w:r>
      <w:bookmarkEnd w:id="106"/>
    </w:p>
    <w:p w14:paraId="5DCD598C" w14:textId="77777777" w:rsidR="00FA79B0" w:rsidRPr="000D3432" w:rsidRDefault="00FA79B0" w:rsidP="00A95498">
      <w:pPr>
        <w:jc w:val="both"/>
        <w:rPr>
          <w:rFonts w:asciiTheme="minorHAnsi" w:hAnsiTheme="minorHAnsi" w:cs="Arial"/>
          <w:color w:val="003300"/>
          <w:szCs w:val="24"/>
          <w:lang w:val="es-ES_tradnl"/>
        </w:rPr>
      </w:pPr>
    </w:p>
    <w:p w14:paraId="29F12DD2"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Que exista el Derecho Laboral significa, entonces que todos tienen la posibilidad de trabajar y nadie debe impedírselos; y que nadie debe dejar de trabajar.</w:t>
      </w:r>
    </w:p>
    <w:p w14:paraId="2477A297" w14:textId="77777777" w:rsidR="00FA79B0" w:rsidRPr="000D3432" w:rsidRDefault="00FA79B0" w:rsidP="00A95498">
      <w:pPr>
        <w:jc w:val="both"/>
        <w:rPr>
          <w:rFonts w:asciiTheme="minorHAnsi" w:hAnsiTheme="minorHAnsi" w:cs="Arial"/>
          <w:color w:val="003300"/>
          <w:szCs w:val="24"/>
          <w:lang w:val="es-ES_tradnl"/>
        </w:rPr>
      </w:pPr>
    </w:p>
    <w:p w14:paraId="1CA53168"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Las razones son siempre individuales, amalgamadas con lo colectivo. Se tiene el Derecho de trabajar porque quien no trabaja se convierte en una carga para la sociedad, en alguien a quien sustentar.</w:t>
      </w:r>
    </w:p>
    <w:p w14:paraId="08651F41" w14:textId="77777777" w:rsidR="00FA79B0" w:rsidRPr="000D3432" w:rsidRDefault="00FA79B0" w:rsidP="00A95498">
      <w:pPr>
        <w:jc w:val="both"/>
        <w:rPr>
          <w:rFonts w:asciiTheme="minorHAnsi" w:hAnsiTheme="minorHAnsi" w:cs="Arial"/>
          <w:color w:val="003300"/>
          <w:szCs w:val="24"/>
          <w:lang w:val="es-ES_tradnl"/>
        </w:rPr>
      </w:pPr>
    </w:p>
    <w:p w14:paraId="2A6CA422"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La sociedad tiene pues, la urgencia de que todos trabajen, pero esto no es tan simple, porque esta misma sociedad no ha logrado dotar a cada ser humano de un espacio adecuado para el trabajo. Una es la razón: La libertad. Por medio de esta el ser humano decide su destino, y por lo tanto decide en qué trabajar. Esta decisión constituye un tiempo de búsqueda, bajo la pregunta: ¿en qué soy mejor, para qué tipo de trabajo soy mejor?.</w:t>
      </w:r>
    </w:p>
    <w:p w14:paraId="24E16393" w14:textId="77777777" w:rsidR="00FA79B0" w:rsidRPr="000D3432" w:rsidRDefault="00FA79B0" w:rsidP="00A95498">
      <w:pPr>
        <w:jc w:val="both"/>
        <w:rPr>
          <w:rFonts w:asciiTheme="minorHAnsi" w:hAnsiTheme="minorHAnsi" w:cs="Arial"/>
          <w:color w:val="003300"/>
          <w:szCs w:val="24"/>
          <w:lang w:val="es-ES_tradnl"/>
        </w:rPr>
      </w:pPr>
    </w:p>
    <w:p w14:paraId="75B5D338"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Por su lado, cierta política o doctrina ha intentado encauzar  y enlazar el placer con el trabajo, así uno debe trabajar en lo que le gusta. Pero ¿qué pasa cuando uno no sabe aún qué es lo que le gusta? El tiempo pasa, y la vida no espera. Y con ella la sociedad tampoco espera.</w:t>
      </w:r>
    </w:p>
    <w:p w14:paraId="5B74FCDC"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p>
    <w:p w14:paraId="321564F5" w14:textId="77777777" w:rsidR="00FA79B0" w:rsidRPr="000D3432" w:rsidRDefault="00FA79B0" w:rsidP="00A95498">
      <w:pPr>
        <w:pStyle w:val="Textodecuerpo2"/>
        <w:spacing w:after="0" w:line="240" w:lineRule="auto"/>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El Derecho Laboral se da allí cuando ya la relación laboral existe, no es un proceso de búsqueda, sino una respuesta a un resultado o experiencia: trabajar. Y este trabajar no es cualquier actividad, sino una actividad productiva determinada. </w:t>
      </w:r>
    </w:p>
    <w:p w14:paraId="79CEC718" w14:textId="77777777" w:rsidR="00FA79B0" w:rsidRPr="000D3432" w:rsidRDefault="00FA79B0" w:rsidP="00A95498">
      <w:pPr>
        <w:jc w:val="both"/>
        <w:rPr>
          <w:rFonts w:asciiTheme="minorHAnsi" w:hAnsiTheme="minorHAnsi" w:cs="Arial"/>
          <w:b/>
          <w:color w:val="003300"/>
          <w:szCs w:val="24"/>
          <w:lang w:val="es-ES_tradnl"/>
        </w:rPr>
      </w:pPr>
    </w:p>
    <w:p w14:paraId="0CB8D77D"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Así el Derecho Laboral regula las relaciones nacidas del trabajo, o de las relaciones laborales empleado-empleador. Esta relación tiene que someterse a </w:t>
      </w:r>
      <w:r w:rsidRPr="000D3432">
        <w:rPr>
          <w:rFonts w:asciiTheme="minorHAnsi" w:hAnsiTheme="minorHAnsi" w:cs="Arial"/>
          <w:color w:val="003300"/>
          <w:szCs w:val="24"/>
          <w:lang w:val="es-ES_tradnl"/>
        </w:rPr>
        <w:lastRenderedPageBreak/>
        <w:t xml:space="preserve">mandatos imperativos, denominados derechos laborales. </w:t>
      </w:r>
    </w:p>
    <w:p w14:paraId="2A2F7BF3" w14:textId="77777777" w:rsidR="00FA79B0" w:rsidRPr="000D3432" w:rsidRDefault="00FA79B0" w:rsidP="00A95498">
      <w:pPr>
        <w:jc w:val="both"/>
        <w:rPr>
          <w:rFonts w:asciiTheme="minorHAnsi" w:hAnsiTheme="minorHAnsi" w:cs="Arial"/>
          <w:color w:val="003300"/>
          <w:szCs w:val="24"/>
          <w:lang w:val="es-ES_tradnl"/>
        </w:rPr>
      </w:pPr>
    </w:p>
    <w:p w14:paraId="7AB2F330"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Lo que regula el Derecho Laboral es pues ese “trabajo como actividad humana que entra en las esferas de la economía, que tiene dimensiones económicas, que responde a una experiencia económica.</w:t>
      </w:r>
    </w:p>
    <w:p w14:paraId="3E287771" w14:textId="77777777" w:rsidR="00FA79B0" w:rsidRPr="000D3432" w:rsidRDefault="00FA79B0" w:rsidP="00A95498">
      <w:pPr>
        <w:jc w:val="both"/>
        <w:rPr>
          <w:rFonts w:asciiTheme="minorHAnsi" w:hAnsiTheme="minorHAnsi" w:cs="Arial"/>
          <w:szCs w:val="24"/>
          <w:lang w:val="es-ES_tradnl"/>
        </w:rPr>
      </w:pPr>
    </w:p>
    <w:p w14:paraId="317AFF65" w14:textId="77777777" w:rsidR="00FA79B0" w:rsidRPr="000D3432" w:rsidRDefault="00FA79B0" w:rsidP="00A95498">
      <w:pPr>
        <w:pStyle w:val="Ttulo1"/>
        <w:spacing w:line="240" w:lineRule="auto"/>
        <w:rPr>
          <w:rFonts w:asciiTheme="minorHAnsi" w:hAnsiTheme="minorHAnsi"/>
          <w:color w:val="003300"/>
          <w:sz w:val="24"/>
          <w:szCs w:val="24"/>
          <w:lang w:val="es-ES_tradnl"/>
        </w:rPr>
      </w:pPr>
      <w:bookmarkStart w:id="107" w:name="_Toc318102912"/>
      <w:r w:rsidRPr="000D3432">
        <w:rPr>
          <w:rFonts w:asciiTheme="minorHAnsi" w:hAnsiTheme="minorHAnsi"/>
          <w:color w:val="003300"/>
          <w:sz w:val="24"/>
          <w:szCs w:val="24"/>
          <w:lang w:val="es-ES_tradnl"/>
        </w:rPr>
        <w:t>2.- El Estado y el Derecho Laboral</w:t>
      </w:r>
      <w:bookmarkEnd w:id="107"/>
    </w:p>
    <w:p w14:paraId="56A49B42" w14:textId="77777777" w:rsidR="00FA79B0" w:rsidRPr="000D3432" w:rsidRDefault="00FA79B0" w:rsidP="00A95498">
      <w:pPr>
        <w:jc w:val="both"/>
        <w:rPr>
          <w:rFonts w:asciiTheme="minorHAnsi" w:hAnsiTheme="minorHAnsi" w:cs="Arial"/>
          <w:color w:val="003300"/>
          <w:szCs w:val="24"/>
          <w:lang w:val="es-ES_tradnl"/>
        </w:rPr>
      </w:pPr>
    </w:p>
    <w:p w14:paraId="03E51D74" w14:textId="77777777" w:rsidR="00FA79B0" w:rsidRPr="000D3432" w:rsidRDefault="00FA79B0" w:rsidP="00A95498">
      <w:pPr>
        <w:pStyle w:val="Textodecuerpo"/>
        <w:spacing w:line="240" w:lineRule="auto"/>
        <w:ind w:left="708"/>
        <w:rPr>
          <w:rFonts w:asciiTheme="minorHAnsi" w:hAnsiTheme="minorHAnsi"/>
          <w:color w:val="003300"/>
          <w:sz w:val="24"/>
          <w:szCs w:val="24"/>
          <w:lang w:val="es-ES_tradnl"/>
        </w:rPr>
      </w:pPr>
      <w:r w:rsidRPr="000D3432">
        <w:rPr>
          <w:rFonts w:asciiTheme="minorHAnsi" w:hAnsiTheme="minorHAnsi"/>
          <w:color w:val="003300"/>
          <w:sz w:val="24"/>
          <w:szCs w:val="24"/>
          <w:lang w:val="es-ES_tradnl"/>
        </w:rPr>
        <w:t>Gracias a la independencia el mercado regula las relaciones laborales. “Se proclama que todas las personas son iguales y libres ante el derecho y, por tanto, pueden concurrir al mercado y acordar sin restricciones lo que convenga a sus intereses, en virtud de la autonomía privada individual. El Estado debe garantizar que los sujetos puedan celebrar el contrato y luego lo cumplan según lo pactado, pero no debe intervenir en la determinación de los derecho y obligaciones establecidos en aquél.” (Neves Mujica)</w:t>
      </w:r>
    </w:p>
    <w:p w14:paraId="07A7A2E4" w14:textId="77777777" w:rsidR="00FA79B0" w:rsidRPr="000D3432" w:rsidRDefault="00FA79B0" w:rsidP="00A95498">
      <w:pPr>
        <w:pStyle w:val="Textodecuerpo"/>
        <w:spacing w:line="240" w:lineRule="auto"/>
        <w:rPr>
          <w:rFonts w:asciiTheme="minorHAnsi" w:hAnsiTheme="minorHAnsi"/>
          <w:color w:val="003300"/>
          <w:sz w:val="24"/>
          <w:szCs w:val="24"/>
          <w:lang w:val="es-ES_tradnl"/>
        </w:rPr>
      </w:pPr>
    </w:p>
    <w:p w14:paraId="4520BDB3" w14:textId="77777777" w:rsidR="00FA79B0" w:rsidRPr="000D3432" w:rsidRDefault="00FA79B0" w:rsidP="00A95498">
      <w:pPr>
        <w:pStyle w:val="Textodecuerpo"/>
        <w:spacing w:line="240" w:lineRule="auto"/>
        <w:rPr>
          <w:rFonts w:asciiTheme="minorHAnsi" w:hAnsiTheme="minorHAnsi"/>
          <w:b/>
          <w:bCs/>
          <w:color w:val="003300"/>
          <w:sz w:val="24"/>
          <w:szCs w:val="24"/>
          <w:lang w:val="es-ES_tradnl"/>
        </w:rPr>
      </w:pPr>
      <w:r w:rsidRPr="000D3432">
        <w:rPr>
          <w:rFonts w:asciiTheme="minorHAnsi" w:hAnsiTheme="minorHAnsi"/>
          <w:b/>
          <w:bCs/>
          <w:color w:val="003300"/>
          <w:sz w:val="24"/>
          <w:szCs w:val="24"/>
          <w:lang w:val="es-ES_tradnl"/>
        </w:rPr>
        <w:t>3.- El desequilibrio entre el empleador y el trabajador</w:t>
      </w:r>
    </w:p>
    <w:p w14:paraId="141A50B3" w14:textId="77777777" w:rsidR="00FA79B0" w:rsidRPr="000D3432" w:rsidRDefault="00FA79B0" w:rsidP="00A95498">
      <w:pPr>
        <w:pStyle w:val="Textodecuerpo"/>
        <w:spacing w:line="240" w:lineRule="auto"/>
        <w:rPr>
          <w:rFonts w:asciiTheme="minorHAnsi" w:hAnsiTheme="minorHAnsi"/>
          <w:color w:val="003300"/>
          <w:sz w:val="24"/>
          <w:szCs w:val="24"/>
          <w:lang w:val="es-ES_tradnl"/>
        </w:rPr>
      </w:pPr>
    </w:p>
    <w:p w14:paraId="5096A03E" w14:textId="77777777" w:rsidR="00FA79B0" w:rsidRPr="000D3432" w:rsidRDefault="00FA79B0" w:rsidP="00A95498">
      <w:pPr>
        <w:pStyle w:val="Textodecuerpo"/>
        <w:spacing w:line="240" w:lineRule="auto"/>
        <w:ind w:left="708"/>
        <w:rPr>
          <w:rFonts w:asciiTheme="minorHAnsi" w:hAnsiTheme="minorHAnsi"/>
          <w:color w:val="003300"/>
          <w:sz w:val="24"/>
          <w:szCs w:val="24"/>
          <w:lang w:val="es-ES_tradnl"/>
        </w:rPr>
      </w:pPr>
      <w:r w:rsidRPr="000D3432">
        <w:rPr>
          <w:rFonts w:asciiTheme="minorHAnsi" w:hAnsiTheme="minorHAnsi"/>
          <w:color w:val="003300"/>
          <w:sz w:val="24"/>
          <w:szCs w:val="24"/>
          <w:lang w:val="es-ES_tradnl"/>
        </w:rPr>
        <w:t>“La aplicación de este esquema en el campo de las relaciones laborales, más aún con la rigidez propia del liberalismo entonces en auge, mostró que los valores consagrados por el Derecho Civil no se verificaban en la realidad: el trabajador sólo dispone de su energía, que debe ofrecer a quien la emplee, que será un empresario, a cambio de una retribución; pero como la necesidad de obtener un puesto es mucho mayor que las probabilidades de encontrarlo, la voluntad única del empleador establece los derechos y obligaciones entre las partes. Esto condujo a un régimen de sobre-explotación de la mano de obra, ...” (Neves Mujica)</w:t>
      </w:r>
    </w:p>
    <w:p w14:paraId="3D8E53B9" w14:textId="77777777" w:rsidR="00FA79B0" w:rsidRPr="000D3432" w:rsidRDefault="00FA79B0" w:rsidP="00A95498">
      <w:pPr>
        <w:pStyle w:val="Textodecuerpo"/>
        <w:spacing w:line="240" w:lineRule="auto"/>
        <w:rPr>
          <w:rFonts w:asciiTheme="minorHAnsi" w:hAnsiTheme="minorHAnsi"/>
          <w:color w:val="003300"/>
          <w:sz w:val="24"/>
          <w:szCs w:val="24"/>
          <w:lang w:val="es-ES_tradnl"/>
        </w:rPr>
      </w:pPr>
    </w:p>
    <w:p w14:paraId="182EBAF3" w14:textId="77777777" w:rsidR="00FA79B0" w:rsidRPr="000D3432" w:rsidRDefault="00FA79B0" w:rsidP="00A95498">
      <w:pPr>
        <w:pStyle w:val="Textodecuerpo"/>
        <w:spacing w:line="240" w:lineRule="auto"/>
        <w:rPr>
          <w:rFonts w:asciiTheme="minorHAnsi" w:hAnsiTheme="minorHAnsi"/>
          <w:color w:val="003300"/>
          <w:sz w:val="24"/>
          <w:szCs w:val="24"/>
          <w:lang w:val="es-ES_tradnl"/>
        </w:rPr>
      </w:pPr>
      <w:r w:rsidRPr="000D3432">
        <w:rPr>
          <w:rFonts w:asciiTheme="minorHAnsi" w:hAnsiTheme="minorHAnsi"/>
          <w:color w:val="003300"/>
          <w:sz w:val="24"/>
          <w:szCs w:val="24"/>
          <w:lang w:val="es-ES_tradnl"/>
        </w:rPr>
        <w:t>El Estado cambia sus funciones y atribuciones cuando cambia su contenido y conformación. No el soberano es el fin último del Estado, sino la sociedad, y por eso este nuevo Estado moderno interviene a favor de la sociedad mayoritaria.</w:t>
      </w:r>
    </w:p>
    <w:p w14:paraId="53C6AE7A" w14:textId="77777777" w:rsidR="00FA79B0" w:rsidRPr="000D3432" w:rsidRDefault="00FA79B0" w:rsidP="00A95498">
      <w:pPr>
        <w:jc w:val="both"/>
        <w:rPr>
          <w:rFonts w:asciiTheme="minorHAnsi" w:hAnsiTheme="minorHAnsi" w:cs="Arial"/>
          <w:szCs w:val="24"/>
          <w:lang w:val="es-ES_tradnl"/>
        </w:rPr>
      </w:pPr>
    </w:p>
    <w:p w14:paraId="082072FD"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4.- El concepto de Trabajo</w:t>
      </w:r>
    </w:p>
    <w:p w14:paraId="5FE80044" w14:textId="77777777" w:rsidR="00FA79B0" w:rsidRPr="000D3432" w:rsidRDefault="00FA79B0" w:rsidP="00A95498">
      <w:pPr>
        <w:jc w:val="both"/>
        <w:rPr>
          <w:rFonts w:asciiTheme="minorHAnsi" w:hAnsiTheme="minorHAnsi"/>
          <w:b/>
          <w:bCs/>
          <w:szCs w:val="24"/>
          <w:lang w:val="es-ES_tradnl"/>
        </w:rPr>
      </w:pPr>
    </w:p>
    <w:p w14:paraId="625F1EEC"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bCs/>
          <w:szCs w:val="24"/>
          <w:lang w:val="es-ES_tradnl"/>
        </w:rPr>
        <w:t xml:space="preserve">Podemos indicar que </w:t>
      </w:r>
      <w:r w:rsidRPr="000D3432">
        <w:rPr>
          <w:rFonts w:asciiTheme="minorHAnsi" w:hAnsiTheme="minorHAnsi"/>
          <w:szCs w:val="24"/>
          <w:lang w:val="es-ES_tradnl"/>
        </w:rPr>
        <w:t>“...el trabajo significa un gasto de energía, y, por así decirlo, no es otra cosa que energía en acción. Una forma de definir el trabajo es decir que implica el vencimiento de una resistencia a cierta distancia en particular. Se vence la resistencia ejerciendo una fuerza.”</w:t>
      </w:r>
      <w:r w:rsidRPr="000D3432">
        <w:rPr>
          <w:rStyle w:val="Refdenotaalpie"/>
          <w:rFonts w:asciiTheme="minorHAnsi" w:hAnsiTheme="minorHAnsi"/>
          <w:sz w:val="24"/>
          <w:szCs w:val="24"/>
          <w:lang w:val="es-ES_tradnl"/>
        </w:rPr>
        <w:footnoteReference w:id="589"/>
      </w:r>
    </w:p>
    <w:p w14:paraId="763224FD" w14:textId="77777777" w:rsidR="00FA79B0" w:rsidRPr="000D3432" w:rsidRDefault="00FA79B0" w:rsidP="00A95498">
      <w:pPr>
        <w:jc w:val="both"/>
        <w:rPr>
          <w:rFonts w:asciiTheme="minorHAnsi" w:hAnsiTheme="minorHAnsi"/>
          <w:szCs w:val="24"/>
          <w:lang w:val="es-ES_tradnl"/>
        </w:rPr>
      </w:pPr>
    </w:p>
    <w:p w14:paraId="7CC1F544" w14:textId="77777777" w:rsidR="00FA79B0" w:rsidRPr="000D3432" w:rsidRDefault="00FA79B0" w:rsidP="00A95498">
      <w:pPr>
        <w:jc w:val="both"/>
        <w:rPr>
          <w:rFonts w:asciiTheme="minorHAnsi" w:hAnsiTheme="minorHAnsi"/>
          <w:b/>
          <w:szCs w:val="24"/>
          <w:lang w:val="es-ES_tradnl"/>
        </w:rPr>
      </w:pPr>
      <w:r w:rsidRPr="000D3432">
        <w:rPr>
          <w:rFonts w:asciiTheme="minorHAnsi" w:hAnsiTheme="minorHAnsi"/>
          <w:b/>
          <w:szCs w:val="24"/>
          <w:lang w:val="es-ES_tradnl"/>
        </w:rPr>
        <w:t>5.- El trabajo como primera transgresión normativa</w:t>
      </w:r>
    </w:p>
    <w:p w14:paraId="37EB3F8B" w14:textId="77777777" w:rsidR="00FA79B0" w:rsidRPr="000D3432" w:rsidRDefault="00FA79B0" w:rsidP="00A95498">
      <w:pPr>
        <w:jc w:val="both"/>
        <w:rPr>
          <w:rFonts w:asciiTheme="minorHAnsi" w:hAnsiTheme="minorHAnsi"/>
          <w:szCs w:val="24"/>
          <w:lang w:val="es-ES_tradnl"/>
        </w:rPr>
      </w:pPr>
    </w:p>
    <w:p w14:paraId="56F18B7D"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 xml:space="preserve">EL TRABAJO es el eje desde donde se observa qué es el Derecho laboral. Este, se dice, regula las relaciones nacidas del trabajo, o de las relaciones laborales empleado-empleador. Los dos realizan un trabajo determinado, pero sus relaciones tienen que someterse a mandatos imperativos, denominados </w:t>
      </w:r>
      <w:r w:rsidRPr="000D3432">
        <w:rPr>
          <w:rFonts w:asciiTheme="minorHAnsi" w:hAnsiTheme="minorHAnsi"/>
          <w:szCs w:val="24"/>
          <w:lang w:val="es-ES_tradnl"/>
        </w:rPr>
        <w:lastRenderedPageBreak/>
        <w:t xml:space="preserve">derechos laborales. </w:t>
      </w:r>
    </w:p>
    <w:p w14:paraId="0B812C01" w14:textId="77777777" w:rsidR="00FA79B0" w:rsidRPr="000D3432" w:rsidRDefault="00FA79B0" w:rsidP="00A95498">
      <w:pPr>
        <w:jc w:val="both"/>
        <w:rPr>
          <w:rFonts w:asciiTheme="minorHAnsi" w:hAnsiTheme="minorHAnsi"/>
          <w:szCs w:val="24"/>
          <w:lang w:val="es-ES_tradnl"/>
        </w:rPr>
      </w:pPr>
    </w:p>
    <w:p w14:paraId="7581E3EC"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Herbert Marcuse nos habla, o nos descifra el zoom del trabajo, en un libro fascinante denominado “Ética de la Revolución”. En el inserta un ensayo “Acerca de los fundamentos filosóficos del concepto científico económico del trabajo”, en el que intenta describir qué es el trabajo, a qué fenómenos o factores responde; intenta lograr su comprensión, y hacer un deslinde de la conceptualización económica que se le ha dado, por eso empieza primero por allí, por el concepto económico.</w:t>
      </w:r>
    </w:p>
    <w:p w14:paraId="1311D278" w14:textId="77777777" w:rsidR="00FA79B0" w:rsidRPr="000D3432" w:rsidRDefault="00FA79B0" w:rsidP="00A95498">
      <w:pPr>
        <w:jc w:val="both"/>
        <w:rPr>
          <w:rFonts w:asciiTheme="minorHAnsi" w:hAnsiTheme="minorHAnsi"/>
          <w:szCs w:val="24"/>
          <w:lang w:val="es-ES_tradnl"/>
        </w:rPr>
      </w:pPr>
    </w:p>
    <w:p w14:paraId="2DC3F147"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La primera idea que nos da, sobre el concepto del trabajo, es que es una “actividad económica”, que esta en “praxis en las dimensiones económicas”. Por lo demás, nos persuade y advierte que una definición inequívoca de lo que es el trabajo no existe. Sin embargo tenemos ya un radio de especulación: “el trabajo es una actividad humana que entra en las esferas de la economía, que tiene dimensiones económicas, que responde a una praxis económica.</w:t>
      </w:r>
    </w:p>
    <w:p w14:paraId="510C06A9" w14:textId="77777777" w:rsidR="00FA79B0" w:rsidRPr="000D3432" w:rsidRDefault="00FA79B0" w:rsidP="00A95498">
      <w:pPr>
        <w:jc w:val="both"/>
        <w:rPr>
          <w:rFonts w:asciiTheme="minorHAnsi" w:hAnsiTheme="minorHAnsi"/>
          <w:szCs w:val="24"/>
          <w:lang w:val="es-ES_tradnl"/>
        </w:rPr>
      </w:pPr>
    </w:p>
    <w:p w14:paraId="55686160" w14:textId="77777777" w:rsidR="00FA79B0" w:rsidRPr="000D3432" w:rsidRDefault="00FA79B0" w:rsidP="00A95498">
      <w:pPr>
        <w:jc w:val="both"/>
        <w:rPr>
          <w:rFonts w:asciiTheme="minorHAnsi" w:hAnsiTheme="minorHAnsi"/>
          <w:b/>
          <w:szCs w:val="24"/>
          <w:lang w:val="es-ES_tradnl"/>
        </w:rPr>
      </w:pPr>
      <w:r w:rsidRPr="000D3432">
        <w:rPr>
          <w:rFonts w:asciiTheme="minorHAnsi" w:hAnsiTheme="minorHAnsi"/>
          <w:b/>
          <w:szCs w:val="24"/>
          <w:lang w:val="es-ES_tradnl"/>
        </w:rPr>
        <w:t>6.- El primer transgresor de la Ley. El primer estigma del trabajo: el sudor de la frente</w:t>
      </w:r>
    </w:p>
    <w:p w14:paraId="206C93DE" w14:textId="77777777" w:rsidR="00FA79B0" w:rsidRPr="000D3432" w:rsidRDefault="00FA79B0" w:rsidP="00A95498">
      <w:pPr>
        <w:jc w:val="both"/>
        <w:rPr>
          <w:rFonts w:asciiTheme="minorHAnsi" w:hAnsiTheme="minorHAnsi"/>
          <w:szCs w:val="24"/>
          <w:lang w:val="es-ES_tradnl"/>
        </w:rPr>
      </w:pPr>
    </w:p>
    <w:p w14:paraId="00716606"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 xml:space="preserve">Para una mente occidental cristiana el origen del trabajo se remonta necesariamente a la Biblia. Bastaría pensar un poquito para acordarnos de aquel buen hombre, el primero en el mundo, que desnudo y desgraciadamente aconsejado por su hermosa compañera, aconsejada a su vez por el ‘maldito’ diablo convertido en serpiente, comió del fruto del pecado, la manzanita del conocimiento. Esta fue, por decirlo de alguna manera, la primera experiencia científica que el hombre pudo experimentar. Una primera transgresión a la divinidad, además. </w:t>
      </w:r>
    </w:p>
    <w:p w14:paraId="19639467" w14:textId="77777777" w:rsidR="00FA79B0" w:rsidRPr="000D3432" w:rsidRDefault="00FA79B0" w:rsidP="00A95498">
      <w:pPr>
        <w:jc w:val="both"/>
        <w:rPr>
          <w:rFonts w:asciiTheme="minorHAnsi" w:hAnsiTheme="minorHAnsi"/>
          <w:szCs w:val="24"/>
          <w:lang w:val="es-ES_tradnl"/>
        </w:rPr>
      </w:pPr>
    </w:p>
    <w:p w14:paraId="1C40EAF2"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El hombre, Adán, “el angustiado”, el primer “transgresor” de la Ley, el primer Kantiano, el primer ilustrado, hubo de pagar por su deliciosa osadía con el destierro. ¡Fuera! Dijeron los mensajeros de Dios. Y Adán hubo de irse a lograr el pan de cada día “con el sudor de su frente”. ¿Esto daba origen al “trabajo”?. Ese sudor de la frente era una metáfora con la cual Dios le había dado al hombre la posibilidad de crear su propio destino, de “trabajar” en su propio destino. El hombre, pues, para conseguir “el pan</w:t>
      </w:r>
      <w:r w:rsidRPr="000D3432">
        <w:rPr>
          <w:rStyle w:val="Refdenotaalpie"/>
          <w:rFonts w:asciiTheme="minorHAnsi" w:hAnsiTheme="minorHAnsi"/>
          <w:sz w:val="24"/>
          <w:szCs w:val="24"/>
          <w:lang w:val="es-ES_tradnl"/>
        </w:rPr>
        <w:footnoteReference w:id="590"/>
      </w:r>
      <w:r w:rsidRPr="000D3432">
        <w:rPr>
          <w:rFonts w:asciiTheme="minorHAnsi" w:hAnsiTheme="minorHAnsi"/>
          <w:szCs w:val="24"/>
          <w:lang w:val="es-ES_tradnl"/>
        </w:rPr>
        <w:t xml:space="preserve"> de cada día con el sudor de su frente” habría de crear el “trabajo”. Primera experimentación racional, primer uso de la razón, del pensamiento autónomo, libre, y peligrosamente nacido en uno mismo. El primer paso para la “auto tutela”. </w:t>
      </w:r>
    </w:p>
    <w:p w14:paraId="0181F563" w14:textId="77777777" w:rsidR="00FA79B0" w:rsidRPr="000D3432" w:rsidRDefault="00FA79B0" w:rsidP="00A95498">
      <w:pPr>
        <w:jc w:val="both"/>
        <w:rPr>
          <w:rFonts w:asciiTheme="minorHAnsi" w:hAnsiTheme="minorHAnsi"/>
          <w:szCs w:val="24"/>
          <w:lang w:val="es-ES_tradnl"/>
        </w:rPr>
      </w:pPr>
    </w:p>
    <w:p w14:paraId="71AF79EB"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Esa es pues la simple reseña del origen del trabajo del mundo occidental cristiano. ¿Cómo es en las otras culturas religiosas? Pasaremos a investigar esto más adelante.</w:t>
      </w:r>
    </w:p>
    <w:p w14:paraId="73E50F3D" w14:textId="77777777" w:rsidR="00FA79B0" w:rsidRPr="000D3432" w:rsidRDefault="00FA79B0" w:rsidP="00A95498">
      <w:pPr>
        <w:jc w:val="both"/>
        <w:rPr>
          <w:rFonts w:asciiTheme="minorHAnsi" w:hAnsiTheme="minorHAnsi"/>
          <w:szCs w:val="24"/>
          <w:lang w:val="es-ES_tradnl"/>
        </w:rPr>
      </w:pPr>
    </w:p>
    <w:p w14:paraId="35868348"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 xml:space="preserve">Esa explicación “religiosa” del origen del trabajo basta para un creyente, pero para un científico no, y menos para un ateo. Es más, en el enfoque jurídico el </w:t>
      </w:r>
      <w:r w:rsidRPr="000D3432">
        <w:rPr>
          <w:rFonts w:asciiTheme="minorHAnsi" w:hAnsiTheme="minorHAnsi"/>
          <w:szCs w:val="24"/>
          <w:lang w:val="es-ES_tradnl"/>
        </w:rPr>
        <w:lastRenderedPageBreak/>
        <w:t>origen del trabajo es ya de otra magnitud. ¿Cuál sería, luego, esa otra explicación del origen del trabajo?</w:t>
      </w:r>
    </w:p>
    <w:p w14:paraId="04673F32" w14:textId="77777777" w:rsidR="00FA79B0" w:rsidRPr="000D3432" w:rsidRDefault="00FA79B0" w:rsidP="00A95498">
      <w:pPr>
        <w:jc w:val="both"/>
        <w:rPr>
          <w:rFonts w:asciiTheme="minorHAnsi" w:hAnsiTheme="minorHAnsi"/>
          <w:szCs w:val="24"/>
          <w:lang w:val="es-ES_tradnl"/>
        </w:rPr>
      </w:pPr>
    </w:p>
    <w:p w14:paraId="07F01312" w14:textId="77777777" w:rsidR="00FA79B0" w:rsidRPr="000D3432" w:rsidRDefault="00FA79B0" w:rsidP="00A95498">
      <w:pPr>
        <w:jc w:val="both"/>
        <w:rPr>
          <w:rFonts w:asciiTheme="minorHAnsi" w:hAnsiTheme="minorHAnsi"/>
          <w:szCs w:val="24"/>
          <w:lang w:val="es-ES_tradnl"/>
        </w:rPr>
      </w:pPr>
    </w:p>
    <w:p w14:paraId="20184BF8" w14:textId="77777777" w:rsidR="00FA79B0" w:rsidRPr="000D3432" w:rsidRDefault="00FA79B0" w:rsidP="00A95498">
      <w:pPr>
        <w:jc w:val="both"/>
        <w:rPr>
          <w:rFonts w:asciiTheme="minorHAnsi" w:hAnsiTheme="minorHAnsi"/>
          <w:szCs w:val="24"/>
          <w:lang w:val="es-ES_tradnl"/>
        </w:rPr>
      </w:pPr>
    </w:p>
    <w:p w14:paraId="5F2725EF" w14:textId="77777777" w:rsidR="00FA79B0" w:rsidRPr="000D3432" w:rsidRDefault="00FA79B0" w:rsidP="00A95498">
      <w:pPr>
        <w:jc w:val="both"/>
        <w:rPr>
          <w:rFonts w:asciiTheme="minorHAnsi" w:hAnsiTheme="minorHAnsi"/>
          <w:szCs w:val="24"/>
          <w:lang w:val="es-ES_tradnl"/>
        </w:rPr>
      </w:pPr>
    </w:p>
    <w:p w14:paraId="7BE72E8B" w14:textId="77777777" w:rsidR="00FA79B0" w:rsidRPr="000D3432" w:rsidRDefault="00FA79B0" w:rsidP="00A95498">
      <w:pPr>
        <w:jc w:val="both"/>
        <w:rPr>
          <w:rFonts w:asciiTheme="minorHAnsi" w:hAnsiTheme="minorHAnsi"/>
          <w:b/>
          <w:szCs w:val="24"/>
          <w:lang w:val="es-ES_tradnl"/>
        </w:rPr>
      </w:pPr>
      <w:r w:rsidRPr="000D3432">
        <w:rPr>
          <w:rFonts w:asciiTheme="minorHAnsi" w:hAnsiTheme="minorHAnsi"/>
          <w:b/>
          <w:szCs w:val="24"/>
          <w:lang w:val="es-ES_tradnl"/>
        </w:rPr>
        <w:t>7.- La premisa Política del Abogado</w:t>
      </w:r>
    </w:p>
    <w:p w14:paraId="6EF179D6" w14:textId="77777777" w:rsidR="00FA79B0" w:rsidRPr="000D3432" w:rsidRDefault="00FA79B0" w:rsidP="00A95498">
      <w:pPr>
        <w:jc w:val="both"/>
        <w:rPr>
          <w:rFonts w:asciiTheme="minorHAnsi" w:hAnsiTheme="minorHAnsi"/>
          <w:szCs w:val="24"/>
          <w:lang w:val="es-ES_tradnl"/>
        </w:rPr>
      </w:pPr>
    </w:p>
    <w:p w14:paraId="40DC03F3"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Parece que trabajar no es sólo un castigo de Dios, es más bien compasión divina. Basta reseñar cuanta gente reza a Dios para “conseguir trabajo” (Sarita Colonia). Pero el trabajo, no es un asunto que depende de la divinidad. Hay para ello muchos factores: influencias, sexo, política, capacidad, etc. Es esta visión la que pretendemos reseñar e investigar: la política necesaria para conseguir “chamba”, trabajo.</w:t>
      </w:r>
    </w:p>
    <w:p w14:paraId="539048D5" w14:textId="77777777" w:rsidR="00FA79B0" w:rsidRPr="000D3432" w:rsidRDefault="00FA79B0" w:rsidP="00A95498">
      <w:pPr>
        <w:jc w:val="both"/>
        <w:rPr>
          <w:rFonts w:asciiTheme="minorHAnsi" w:hAnsiTheme="minorHAnsi"/>
          <w:szCs w:val="24"/>
          <w:lang w:val="es-ES_tradnl"/>
        </w:rPr>
      </w:pPr>
    </w:p>
    <w:p w14:paraId="6146FF20"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La política supone necesariamente una condición pública. Existe sólo dentro del marco social, dentro de la sociedad. Se trata luego de relaciones de fuerza, de relaciones de poder. Pero política es también una forma de organización, un pathos para gobernar. Eso significa que no se puede entrar a trabajar si no hay previamente un planteamiento político: “es un amigo, hay que darle chamba”, “es el hijo de fulanito, no podemos fallarle”, “es una hembrasa, ¿cómo no contratarla?”. Eso no es una especulación,  para contratar a un individuo no se ve imparcialmente su capacidad, sino que la selección tiene un margen subjetivísimo tremendo. Y no puede ser de otra manera porque somos humanos y no máquinas. Una selección es por lo tanto siempre subjetiva.</w:t>
      </w:r>
    </w:p>
    <w:p w14:paraId="7BB6501A" w14:textId="77777777" w:rsidR="00FA79B0" w:rsidRPr="000D3432" w:rsidRDefault="00FA79B0" w:rsidP="00A95498">
      <w:pPr>
        <w:jc w:val="both"/>
        <w:rPr>
          <w:rFonts w:asciiTheme="minorHAnsi" w:hAnsiTheme="minorHAnsi" w:cs="Arial"/>
          <w:b/>
          <w:bCs/>
          <w:color w:val="003300"/>
          <w:szCs w:val="24"/>
          <w:lang w:val="es-ES_tradnl"/>
        </w:rPr>
      </w:pPr>
    </w:p>
    <w:p w14:paraId="1C2C01B7"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bCs/>
          <w:color w:val="003300"/>
          <w:szCs w:val="24"/>
          <w:lang w:val="es-ES_tradnl"/>
        </w:rPr>
        <w:t xml:space="preserve">El trabajo como vencimiento de una resistencia, </w:t>
      </w:r>
      <w:r w:rsidRPr="000D3432">
        <w:rPr>
          <w:rFonts w:asciiTheme="minorHAnsi" w:hAnsiTheme="minorHAnsi" w:cs="Arial"/>
          <w:color w:val="003300"/>
          <w:szCs w:val="24"/>
          <w:lang w:val="es-ES_tradnl"/>
        </w:rPr>
        <w:t>“...el trabajo significa un gasto de energía, y, por así decirlo, no es otra cosa que energía en acción. Una forma de definir el trabajo es decir que implica el vencimiento de una resistencia a cierta distancia en particular. Se vence la resistencia ejerciendo una fuerza.” ( Asimov ).</w:t>
      </w:r>
    </w:p>
    <w:p w14:paraId="5F4A7E27" w14:textId="77777777" w:rsidR="00FA79B0" w:rsidRPr="000D3432" w:rsidRDefault="00FA79B0" w:rsidP="00A95498">
      <w:pPr>
        <w:jc w:val="both"/>
        <w:rPr>
          <w:rFonts w:asciiTheme="minorHAnsi" w:hAnsiTheme="minorHAnsi" w:cs="Arial"/>
          <w:b/>
          <w:bCs/>
          <w:color w:val="003300"/>
          <w:szCs w:val="24"/>
          <w:lang w:val="es-ES_tradnl"/>
        </w:rPr>
      </w:pPr>
    </w:p>
    <w:p w14:paraId="47D6929B" w14:textId="77777777" w:rsidR="00FA79B0" w:rsidRPr="000D3432" w:rsidRDefault="00FA79B0" w:rsidP="00A95498">
      <w:pPr>
        <w:jc w:val="both"/>
        <w:rPr>
          <w:rFonts w:asciiTheme="minorHAnsi" w:hAnsiTheme="minorHAnsi" w:cs="Arial"/>
          <w:b/>
          <w:bCs/>
          <w:color w:val="003300"/>
          <w:szCs w:val="24"/>
          <w:lang w:val="es-ES_tradnl"/>
        </w:rPr>
      </w:pPr>
      <w:r w:rsidRPr="000D3432">
        <w:rPr>
          <w:rFonts w:asciiTheme="minorHAnsi" w:hAnsiTheme="minorHAnsi" w:cs="Arial"/>
          <w:b/>
          <w:bCs/>
          <w:color w:val="003300"/>
          <w:szCs w:val="24"/>
          <w:lang w:val="es-ES_tradnl"/>
        </w:rPr>
        <w:t>8.- El trabajo como actividad económica: Producción de riqueza</w:t>
      </w:r>
    </w:p>
    <w:p w14:paraId="0DC3287E" w14:textId="77777777" w:rsidR="00FA79B0" w:rsidRPr="000D3432" w:rsidRDefault="00FA79B0" w:rsidP="00A95498">
      <w:pPr>
        <w:jc w:val="both"/>
        <w:rPr>
          <w:rFonts w:asciiTheme="minorHAnsi" w:hAnsiTheme="minorHAnsi" w:cs="Arial"/>
          <w:color w:val="003300"/>
          <w:szCs w:val="24"/>
          <w:lang w:val="es-ES_tradnl"/>
        </w:rPr>
      </w:pPr>
    </w:p>
    <w:p w14:paraId="12F517A2" w14:textId="77777777" w:rsidR="00FA79B0" w:rsidRPr="000D3432" w:rsidRDefault="00FA79B0" w:rsidP="00A95498">
      <w:pPr>
        <w:pStyle w:val="Sangradetdecuerpo"/>
        <w:ind w:left="0"/>
        <w:rPr>
          <w:rFonts w:asciiTheme="minorHAnsi" w:hAnsiTheme="minorHAnsi"/>
          <w:color w:val="003300"/>
          <w:sz w:val="24"/>
          <w:szCs w:val="24"/>
          <w:lang w:val="es-ES_tradnl"/>
        </w:rPr>
      </w:pPr>
      <w:r w:rsidRPr="000D3432">
        <w:rPr>
          <w:rFonts w:asciiTheme="minorHAnsi" w:hAnsiTheme="minorHAnsi"/>
          <w:color w:val="003300"/>
          <w:sz w:val="24"/>
          <w:szCs w:val="24"/>
          <w:lang w:val="es-ES_tradnl"/>
        </w:rPr>
        <w:t xml:space="preserve">Puede ser: “Entender por ‘trabajo’ solamente la actividad económica, la praxis en las dimensiones económicas.”  (Marcuse). Así, el trabajo es una actividad económica, es decir de producción de riqueza. Riqueza que permita la subsistencia. Por lo tanto es un actividad existencial. </w:t>
      </w:r>
    </w:p>
    <w:p w14:paraId="5F985B9F" w14:textId="77777777" w:rsidR="00FA79B0" w:rsidRPr="000D3432" w:rsidRDefault="00FA79B0" w:rsidP="00A95498">
      <w:pPr>
        <w:jc w:val="both"/>
        <w:rPr>
          <w:rFonts w:asciiTheme="minorHAnsi" w:hAnsiTheme="minorHAnsi" w:cs="Arial"/>
          <w:color w:val="003300"/>
          <w:szCs w:val="24"/>
          <w:lang w:val="es-ES_tradnl"/>
        </w:rPr>
      </w:pPr>
    </w:p>
    <w:p w14:paraId="72FFBE52"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Si es una actividad económica se trata de una actividad que se funda sobre la base de la administración, gestión y primeramente consecución o búsqueda de recursos o bienes necesarios para la satisfacción de nuestras necesidades particulares. </w:t>
      </w:r>
    </w:p>
    <w:p w14:paraId="58354EA4" w14:textId="77777777" w:rsidR="00FA79B0" w:rsidRPr="000D3432" w:rsidRDefault="00FA79B0" w:rsidP="00A95498">
      <w:pPr>
        <w:jc w:val="both"/>
        <w:rPr>
          <w:rFonts w:asciiTheme="minorHAnsi" w:hAnsiTheme="minorHAnsi" w:cs="Arial"/>
          <w:color w:val="003300"/>
          <w:szCs w:val="24"/>
          <w:lang w:val="es-ES_tradnl"/>
        </w:rPr>
      </w:pPr>
    </w:p>
    <w:p w14:paraId="1016D75A"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Es una actividad en las dimensiones o práctica de las dimensiones económicas de nuestra existencia. Al decir económicas estamos diciendo –con Carnelutti- búsqueda de la satisfacción de nuestras necesidades. </w:t>
      </w:r>
    </w:p>
    <w:p w14:paraId="57504F24" w14:textId="77777777" w:rsidR="00FA79B0" w:rsidRPr="000D3432" w:rsidRDefault="00FA79B0" w:rsidP="00A95498">
      <w:pPr>
        <w:jc w:val="both"/>
        <w:rPr>
          <w:rFonts w:asciiTheme="minorHAnsi" w:hAnsiTheme="minorHAnsi" w:cs="Arial"/>
          <w:color w:val="003300"/>
          <w:szCs w:val="24"/>
          <w:lang w:val="es-ES_tradnl"/>
        </w:rPr>
      </w:pPr>
    </w:p>
    <w:p w14:paraId="3EF901CD"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lastRenderedPageBreak/>
        <w:t>Marc</w:t>
      </w:r>
      <w:r w:rsidR="00FE6D78" w:rsidRPr="000D3432">
        <w:rPr>
          <w:rFonts w:asciiTheme="minorHAnsi" w:hAnsiTheme="minorHAnsi" w:cs="Arial"/>
          <w:color w:val="003300"/>
          <w:szCs w:val="24"/>
          <w:lang w:val="es-ES_tradnl"/>
        </w:rPr>
        <w:t>u</w:t>
      </w:r>
      <w:r w:rsidRPr="000D3432">
        <w:rPr>
          <w:rFonts w:asciiTheme="minorHAnsi" w:hAnsiTheme="minorHAnsi" w:cs="Arial"/>
          <w:color w:val="003300"/>
          <w:szCs w:val="24"/>
          <w:lang w:val="es-ES_tradnl"/>
        </w:rPr>
        <w:t>se, parafraseando a Nowack, explica que el concepto de trabajo interviene:</w:t>
      </w:r>
    </w:p>
    <w:p w14:paraId="71C6FAA0" w14:textId="77777777" w:rsidR="00FA79B0" w:rsidRPr="000D3432" w:rsidRDefault="00FA79B0" w:rsidP="009E6E2E">
      <w:pPr>
        <w:widowControl/>
        <w:numPr>
          <w:ilvl w:val="0"/>
          <w:numId w:val="34"/>
        </w:numPr>
        <w:overflowPunct/>
        <w:autoSpaceDE/>
        <w:autoSpaceDN/>
        <w:adjustRightInd/>
        <w:jc w:val="both"/>
        <w:textAlignment w:val="auto"/>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El trabajo en la economía nacional </w:t>
      </w:r>
    </w:p>
    <w:p w14:paraId="7989AE34" w14:textId="77777777" w:rsidR="00FA79B0" w:rsidRPr="000D3432" w:rsidRDefault="00FA79B0" w:rsidP="009E6E2E">
      <w:pPr>
        <w:widowControl/>
        <w:numPr>
          <w:ilvl w:val="0"/>
          <w:numId w:val="34"/>
        </w:numPr>
        <w:overflowPunct/>
        <w:autoSpaceDE/>
        <w:autoSpaceDN/>
        <w:adjustRightInd/>
        <w:jc w:val="both"/>
        <w:textAlignment w:val="auto"/>
        <w:rPr>
          <w:rFonts w:asciiTheme="minorHAnsi" w:hAnsiTheme="minorHAnsi" w:cs="Arial"/>
          <w:color w:val="003300"/>
          <w:szCs w:val="24"/>
          <w:lang w:val="es-ES_tradnl"/>
        </w:rPr>
      </w:pPr>
      <w:r w:rsidRPr="000D3432">
        <w:rPr>
          <w:rFonts w:asciiTheme="minorHAnsi" w:hAnsiTheme="minorHAnsi" w:cs="Arial"/>
          <w:color w:val="003300"/>
          <w:szCs w:val="24"/>
          <w:lang w:val="es-ES_tradnl"/>
        </w:rPr>
        <w:t>En la doctrina del valor y del precio</w:t>
      </w:r>
    </w:p>
    <w:p w14:paraId="31ECF841" w14:textId="77777777" w:rsidR="00FA79B0" w:rsidRPr="000D3432" w:rsidRDefault="00FA79B0" w:rsidP="009E6E2E">
      <w:pPr>
        <w:widowControl/>
        <w:numPr>
          <w:ilvl w:val="0"/>
          <w:numId w:val="33"/>
        </w:numPr>
        <w:overflowPunct/>
        <w:autoSpaceDE/>
        <w:autoSpaceDN/>
        <w:adjustRightInd/>
        <w:jc w:val="both"/>
        <w:textAlignment w:val="auto"/>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En la doctrina de los factores de producción </w:t>
      </w:r>
    </w:p>
    <w:p w14:paraId="6AFC96B9" w14:textId="77777777" w:rsidR="00FA79B0" w:rsidRPr="000D3432" w:rsidRDefault="00FA79B0" w:rsidP="009E6E2E">
      <w:pPr>
        <w:widowControl/>
        <w:numPr>
          <w:ilvl w:val="0"/>
          <w:numId w:val="33"/>
        </w:numPr>
        <w:overflowPunct/>
        <w:autoSpaceDE/>
        <w:autoSpaceDN/>
        <w:adjustRightInd/>
        <w:jc w:val="both"/>
        <w:textAlignment w:val="auto"/>
        <w:rPr>
          <w:rFonts w:asciiTheme="minorHAnsi" w:hAnsiTheme="minorHAnsi" w:cs="Arial"/>
          <w:color w:val="003300"/>
          <w:szCs w:val="24"/>
          <w:lang w:val="es-ES_tradnl"/>
        </w:rPr>
      </w:pPr>
      <w:r w:rsidRPr="000D3432">
        <w:rPr>
          <w:rFonts w:asciiTheme="minorHAnsi" w:hAnsiTheme="minorHAnsi" w:cs="Arial"/>
          <w:color w:val="003300"/>
          <w:szCs w:val="24"/>
          <w:lang w:val="es-ES_tradnl"/>
        </w:rPr>
        <w:t>En la doctrina de los costes</w:t>
      </w:r>
    </w:p>
    <w:p w14:paraId="772F317D" w14:textId="77777777" w:rsidR="00FA79B0" w:rsidRPr="000D3432" w:rsidRDefault="00FA79B0" w:rsidP="00A95498">
      <w:pPr>
        <w:jc w:val="both"/>
        <w:rPr>
          <w:rFonts w:asciiTheme="minorHAnsi" w:hAnsiTheme="minorHAnsi" w:cs="Arial"/>
          <w:color w:val="003300"/>
          <w:szCs w:val="24"/>
          <w:lang w:val="es-ES_tradnl"/>
        </w:rPr>
      </w:pPr>
    </w:p>
    <w:p w14:paraId="688A7308" w14:textId="77777777" w:rsidR="00FA79B0" w:rsidRPr="000D3432" w:rsidRDefault="00FA79B0" w:rsidP="00A95498">
      <w:pPr>
        <w:pStyle w:val="Ttulo3"/>
        <w:rPr>
          <w:rFonts w:asciiTheme="minorHAnsi" w:hAnsiTheme="minorHAnsi"/>
          <w:b/>
          <w:color w:val="003300"/>
          <w:sz w:val="24"/>
          <w:szCs w:val="24"/>
        </w:rPr>
      </w:pPr>
      <w:bookmarkStart w:id="108" w:name="_Toc318102913"/>
      <w:r w:rsidRPr="000D3432">
        <w:rPr>
          <w:rFonts w:asciiTheme="minorHAnsi" w:hAnsiTheme="minorHAnsi"/>
          <w:color w:val="003300"/>
          <w:sz w:val="24"/>
          <w:szCs w:val="24"/>
        </w:rPr>
        <w:t>El concepto ontológico de Trabajo sería: “La moderna ‘</w:t>
      </w:r>
      <w:r w:rsidRPr="000D3432">
        <w:rPr>
          <w:rFonts w:asciiTheme="minorHAnsi" w:hAnsiTheme="minorHAnsi"/>
          <w:i/>
          <w:iCs/>
          <w:color w:val="003300"/>
          <w:sz w:val="24"/>
          <w:szCs w:val="24"/>
        </w:rPr>
        <w:t>ciencia laboral</w:t>
      </w:r>
      <w:r w:rsidRPr="000D3432">
        <w:rPr>
          <w:rFonts w:asciiTheme="minorHAnsi" w:hAnsiTheme="minorHAnsi"/>
          <w:color w:val="003300"/>
          <w:sz w:val="24"/>
          <w:szCs w:val="24"/>
        </w:rPr>
        <w:t>’ intenta valorar el problema del trabajo en toda su extensión. Pero lo intenta (en todas las ocasiones en las cuales avanza más allá de las dimensiones económico-técnicas), sobre bases biológico-naturales; el problema  del trabajo, más allá de las dimensiones económico-técnicas, sería esencialmente psicológico. Pero la psicología (y especialmente si está fundada en las ciencias biológico-naturales) no puede dar razón de este problema del trabajo, porque (como intentarán aclarar los razonamientos que siguen) el trabajo es un concepto ontológico, es decir, un concepto que aprehende el ser de la realidad humana misma.” Marcuse</w:t>
      </w:r>
      <w:bookmarkEnd w:id="108"/>
      <w:r w:rsidRPr="000D3432">
        <w:rPr>
          <w:rFonts w:asciiTheme="minorHAnsi" w:hAnsiTheme="minorHAnsi"/>
          <w:color w:val="003300"/>
          <w:sz w:val="24"/>
          <w:szCs w:val="24"/>
        </w:rPr>
        <w:t xml:space="preserve"> </w:t>
      </w:r>
    </w:p>
    <w:p w14:paraId="226BE608" w14:textId="77777777" w:rsidR="00FA79B0" w:rsidRPr="000D3432" w:rsidRDefault="00FA79B0" w:rsidP="00A95498">
      <w:pPr>
        <w:jc w:val="both"/>
        <w:rPr>
          <w:rFonts w:asciiTheme="minorHAnsi" w:hAnsiTheme="minorHAnsi" w:cs="Arial"/>
          <w:color w:val="003300"/>
          <w:szCs w:val="24"/>
          <w:lang w:val="es-ES_tradnl"/>
        </w:rPr>
      </w:pPr>
    </w:p>
    <w:p w14:paraId="20647881" w14:textId="77777777" w:rsidR="00FA79B0" w:rsidRPr="000D3432" w:rsidRDefault="00FA79B0" w:rsidP="00A95498">
      <w:pPr>
        <w:jc w:val="both"/>
        <w:rPr>
          <w:rFonts w:asciiTheme="minorHAnsi" w:hAnsiTheme="minorHAnsi" w:cs="Arial"/>
          <w:b/>
          <w:color w:val="003300"/>
          <w:szCs w:val="24"/>
          <w:lang w:val="es-ES_tradnl"/>
        </w:rPr>
      </w:pPr>
      <w:r w:rsidRPr="000D3432">
        <w:rPr>
          <w:rFonts w:asciiTheme="minorHAnsi" w:hAnsiTheme="minorHAnsi" w:cs="Arial"/>
          <w:b/>
          <w:color w:val="003300"/>
          <w:szCs w:val="24"/>
          <w:lang w:val="es-ES_tradnl"/>
        </w:rPr>
        <w:t>9.- El primer transgresor de la Ley. El primer estigma del trabajo: el sudor de la frente. El creador del propio destino</w:t>
      </w:r>
    </w:p>
    <w:p w14:paraId="496FBE29" w14:textId="77777777" w:rsidR="00FA79B0" w:rsidRPr="000D3432" w:rsidRDefault="00FA79B0" w:rsidP="00A95498">
      <w:pPr>
        <w:jc w:val="both"/>
        <w:rPr>
          <w:rFonts w:asciiTheme="minorHAnsi" w:hAnsiTheme="minorHAnsi" w:cs="Arial"/>
          <w:color w:val="003300"/>
          <w:szCs w:val="24"/>
          <w:lang w:val="es-ES_tradnl"/>
        </w:rPr>
      </w:pPr>
    </w:p>
    <w:p w14:paraId="5EDF07CE"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Para una mente occidental cristiana el origen del trabajo se remonta necesariamente a la Biblia. Bastaría pensar un poquito para acordarnos de aquel buen hombre, el primero en el mundo, que desnudo y desgraciadamente aconsejado por su hermosa compañera, aconsejada a su vez por el ‘maldito’ diablo convertido en serpiente, comió del fruto del pecado, la manzanita del conocimiento. Esta fue, por decirlo de alguna manera, la primera experiencia científica que el hombre pudo experimentar. Una primera transgresión a la divinidad, además. </w:t>
      </w:r>
    </w:p>
    <w:p w14:paraId="2D3B4CAB" w14:textId="77777777" w:rsidR="00FA79B0" w:rsidRPr="000D3432" w:rsidRDefault="00FA79B0" w:rsidP="00A95498">
      <w:pPr>
        <w:jc w:val="both"/>
        <w:rPr>
          <w:rFonts w:asciiTheme="minorHAnsi" w:hAnsiTheme="minorHAnsi" w:cs="Arial"/>
          <w:color w:val="003300"/>
          <w:szCs w:val="24"/>
          <w:lang w:val="es-ES_tradnl"/>
        </w:rPr>
      </w:pPr>
    </w:p>
    <w:p w14:paraId="56F90600"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El hombre, Adán, “el angustiado”, el primer “transgresor” de la Ley, el primer Kantiano, el primer ilustrado, hubo de pagar por su deliciosa osadía con el destierro. ¡Fuera! Dijeron los mensajeros de Dios. Y Adán hubo de irse a lograr el pan de cada día “con el sudor de su frente”. ¿Esto daba origen al “trabajo”. Ese sudor de la frente era una metáfora con la cual Dios le había dado al hombre la posibilidad de crear su propio destino, de “trabajar” en su propio destino. El hombre, pues, para conseguir “el pan</w:t>
      </w:r>
      <w:r w:rsidRPr="000D3432">
        <w:rPr>
          <w:rStyle w:val="Refdenotaalpie"/>
          <w:rFonts w:asciiTheme="minorHAnsi" w:hAnsiTheme="minorHAnsi"/>
          <w:color w:val="003300"/>
          <w:sz w:val="24"/>
          <w:szCs w:val="24"/>
          <w:lang w:val="es-ES_tradnl"/>
        </w:rPr>
        <w:footnoteReference w:id="591"/>
      </w:r>
      <w:r w:rsidRPr="000D3432">
        <w:rPr>
          <w:rFonts w:asciiTheme="minorHAnsi" w:hAnsiTheme="minorHAnsi" w:cs="Arial"/>
          <w:color w:val="003300"/>
          <w:szCs w:val="24"/>
          <w:lang w:val="es-ES_tradnl"/>
        </w:rPr>
        <w:t xml:space="preserve"> de cada día con el sudor de su frente” habría de crear el “trabajo”. Primera experimentación racional, primer uso de la razón, del pensamiento autónomo, libre, y peligrosamente nacido en uno mismo. El primer paso para la “auto tutela”. </w:t>
      </w:r>
    </w:p>
    <w:p w14:paraId="2A680B96" w14:textId="77777777" w:rsidR="00FA79B0" w:rsidRPr="000D3432" w:rsidRDefault="00FA79B0" w:rsidP="00A95498">
      <w:pPr>
        <w:jc w:val="both"/>
        <w:rPr>
          <w:rFonts w:asciiTheme="minorHAnsi" w:hAnsiTheme="minorHAnsi" w:cs="Arial"/>
          <w:color w:val="003300"/>
          <w:szCs w:val="24"/>
          <w:lang w:val="es-ES_tradnl"/>
        </w:rPr>
      </w:pPr>
    </w:p>
    <w:p w14:paraId="74914E4F"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Esa es pues la simple reseña del origen del trabajo del mundo occidental cristiano. </w:t>
      </w:r>
    </w:p>
    <w:p w14:paraId="05761E38" w14:textId="77777777" w:rsidR="00FA79B0" w:rsidRPr="000D3432" w:rsidRDefault="00FA79B0" w:rsidP="00A95498">
      <w:pPr>
        <w:jc w:val="both"/>
        <w:rPr>
          <w:rFonts w:asciiTheme="minorHAnsi" w:hAnsiTheme="minorHAnsi" w:cs="Arial"/>
          <w:color w:val="003300"/>
          <w:szCs w:val="24"/>
          <w:lang w:val="es-ES_tradnl"/>
        </w:rPr>
      </w:pPr>
    </w:p>
    <w:p w14:paraId="1F720504"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 xml:space="preserve">Esa explicación “religiosa” del origen del trabajo basta para un creyente, pero para un científico no, y menos para un ateo. Es más, en el enfoque jurídico el origen del trabajo es ya de otra magnitud. ¿Cuál sería, luego, esa otra explicación </w:t>
      </w:r>
      <w:r w:rsidRPr="000D3432">
        <w:rPr>
          <w:rFonts w:asciiTheme="minorHAnsi" w:hAnsiTheme="minorHAnsi" w:cs="Arial"/>
          <w:color w:val="003300"/>
          <w:szCs w:val="24"/>
          <w:lang w:val="es-ES_tradnl"/>
        </w:rPr>
        <w:lastRenderedPageBreak/>
        <w:t>del origen del trabajo?</w:t>
      </w:r>
    </w:p>
    <w:p w14:paraId="7437268B" w14:textId="77777777" w:rsidR="00FA79B0" w:rsidRPr="000D3432" w:rsidRDefault="00FA79B0" w:rsidP="00A95498">
      <w:pPr>
        <w:jc w:val="both"/>
        <w:rPr>
          <w:rFonts w:asciiTheme="minorHAnsi" w:hAnsiTheme="minorHAnsi" w:cs="Arial"/>
          <w:color w:val="003300"/>
          <w:szCs w:val="24"/>
          <w:lang w:val="es-ES_tradnl"/>
        </w:rPr>
      </w:pPr>
    </w:p>
    <w:p w14:paraId="02CE9644" w14:textId="77777777" w:rsidR="00FA79B0" w:rsidRPr="000D3432" w:rsidRDefault="00FA79B0" w:rsidP="00A95498">
      <w:pPr>
        <w:jc w:val="both"/>
        <w:rPr>
          <w:rFonts w:asciiTheme="minorHAnsi" w:hAnsiTheme="minorHAnsi" w:cs="Arial"/>
          <w:b/>
          <w:color w:val="003300"/>
          <w:szCs w:val="24"/>
          <w:lang w:val="es-ES_tradnl"/>
        </w:rPr>
      </w:pPr>
      <w:r w:rsidRPr="000D3432">
        <w:rPr>
          <w:rFonts w:asciiTheme="minorHAnsi" w:hAnsiTheme="minorHAnsi" w:cs="Arial"/>
          <w:b/>
          <w:color w:val="003300"/>
          <w:szCs w:val="24"/>
          <w:lang w:val="es-ES_tradnl"/>
        </w:rPr>
        <w:t xml:space="preserve">10.- El trabajo, y la premisa Política </w:t>
      </w:r>
    </w:p>
    <w:p w14:paraId="4A67543E" w14:textId="77777777" w:rsidR="00FA79B0" w:rsidRPr="000D3432" w:rsidRDefault="00FA79B0" w:rsidP="00A95498">
      <w:pPr>
        <w:jc w:val="both"/>
        <w:rPr>
          <w:rFonts w:asciiTheme="minorHAnsi" w:hAnsiTheme="minorHAnsi" w:cs="Arial"/>
          <w:color w:val="003300"/>
          <w:szCs w:val="24"/>
          <w:lang w:val="es-ES_tradnl"/>
        </w:rPr>
      </w:pPr>
    </w:p>
    <w:p w14:paraId="7917A870"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Parece que trabajar no es sólo un castigo de Dios, es más bien compasión divina. Basta reseñar cuanta gente reza a Dios para “conseguir trabajo” (Sarita Colonia). Pero el trabajo, no es un asunto que depende de la divinidad. Hay para ello muchos factores: influencias, sexo, política, capacidad, etc. Es esta visión la que pretendemos reseñar e investigar: la política necesaria para conseguir “chamba”, trabajo.</w:t>
      </w:r>
    </w:p>
    <w:p w14:paraId="1BA5C055" w14:textId="77777777" w:rsidR="00FA79B0" w:rsidRPr="000D3432" w:rsidRDefault="00FA79B0" w:rsidP="00A95498">
      <w:pPr>
        <w:jc w:val="both"/>
        <w:rPr>
          <w:rFonts w:asciiTheme="minorHAnsi" w:hAnsiTheme="minorHAnsi" w:cs="Arial"/>
          <w:color w:val="003300"/>
          <w:szCs w:val="24"/>
          <w:lang w:val="es-ES_tradnl"/>
        </w:rPr>
      </w:pPr>
    </w:p>
    <w:p w14:paraId="40D0493B" w14:textId="77777777" w:rsidR="00FA79B0" w:rsidRPr="000D3432" w:rsidRDefault="00FA79B0" w:rsidP="00A95498">
      <w:pPr>
        <w:jc w:val="both"/>
        <w:rPr>
          <w:rFonts w:asciiTheme="minorHAnsi" w:hAnsiTheme="minorHAnsi" w:cs="Arial"/>
          <w:color w:val="003300"/>
          <w:szCs w:val="24"/>
          <w:lang w:val="es-ES_tradnl"/>
        </w:rPr>
      </w:pPr>
      <w:r w:rsidRPr="000D3432">
        <w:rPr>
          <w:rFonts w:asciiTheme="minorHAnsi" w:hAnsiTheme="minorHAnsi" w:cs="Arial"/>
          <w:color w:val="003300"/>
          <w:szCs w:val="24"/>
          <w:lang w:val="es-ES_tradnl"/>
        </w:rPr>
        <w:t>La política supone necesariamente una condición pública. Existe sólo dentro del marco social, dentro de la sociedad. Se trata luego de relaciones de fuerza, de relaciones de poder. Pero política es también una forma de organización, un pathos para gobernar. Eso significa que no se puede entrar a trabajar si no hay previamente un planteamiento político: “es un amigo, hay que darle chamba”, “es el hijo de fulanito, no podemos fallarle”, “es una chica linda, ¿cómo no contratarla?”. Eso no es una especulación,  para contratar a un individuo no se ve imparcialmente su capacidad, sino que la selección tiene un margen subjetivísimo tremendo. Y no puede ser de otra manera porque somos humanos y no máquinas. Una selección es por lo tanto siempre subjetiva.</w:t>
      </w:r>
    </w:p>
    <w:p w14:paraId="119639CC" w14:textId="77777777" w:rsidR="00FA79B0" w:rsidRPr="000D3432" w:rsidRDefault="00FA79B0" w:rsidP="00A95498">
      <w:pPr>
        <w:jc w:val="both"/>
        <w:rPr>
          <w:rFonts w:asciiTheme="minorHAnsi" w:hAnsiTheme="minorHAnsi" w:cs="Arial"/>
          <w:color w:val="003300"/>
          <w:szCs w:val="24"/>
          <w:lang w:val="es-ES_tradnl"/>
        </w:rPr>
      </w:pPr>
    </w:p>
    <w:p w14:paraId="4B340706" w14:textId="77777777" w:rsidR="00FA79B0" w:rsidRPr="000D3432" w:rsidRDefault="00FA79B0" w:rsidP="00A95498">
      <w:pPr>
        <w:jc w:val="both"/>
        <w:rPr>
          <w:rFonts w:asciiTheme="minorHAnsi" w:hAnsiTheme="minorHAnsi" w:cs="Arial"/>
          <w:color w:val="003300"/>
          <w:szCs w:val="24"/>
          <w:lang w:val="es-ES_tradnl"/>
        </w:rPr>
      </w:pPr>
    </w:p>
    <w:p w14:paraId="25FE48B3" w14:textId="77777777" w:rsidR="00FA79B0" w:rsidRPr="000D3432" w:rsidRDefault="00FA79B0" w:rsidP="00A95498">
      <w:pPr>
        <w:jc w:val="both"/>
        <w:rPr>
          <w:rFonts w:asciiTheme="minorHAnsi" w:hAnsiTheme="minorHAnsi" w:cs="Arial"/>
          <w:color w:val="003300"/>
          <w:szCs w:val="24"/>
          <w:lang w:val="es-ES_tradnl"/>
        </w:rPr>
      </w:pPr>
    </w:p>
    <w:p w14:paraId="2737B480" w14:textId="77777777" w:rsidR="00FA79B0" w:rsidRPr="000D3432" w:rsidRDefault="00FA79B0" w:rsidP="00A95498">
      <w:pPr>
        <w:jc w:val="both"/>
        <w:rPr>
          <w:rFonts w:asciiTheme="minorHAnsi" w:hAnsiTheme="minorHAnsi" w:cs="Arial"/>
          <w:color w:val="003300"/>
          <w:szCs w:val="24"/>
          <w:lang w:val="es-ES_tradnl"/>
        </w:rPr>
      </w:pPr>
    </w:p>
    <w:p w14:paraId="1F145231" w14:textId="77777777" w:rsidR="00FA79B0" w:rsidRPr="000D3432" w:rsidRDefault="00FA79B0" w:rsidP="00A95498">
      <w:pPr>
        <w:pStyle w:val="Ttulo1"/>
        <w:spacing w:line="240" w:lineRule="auto"/>
        <w:rPr>
          <w:rFonts w:asciiTheme="minorHAnsi" w:hAnsiTheme="minorHAnsi"/>
          <w:sz w:val="24"/>
          <w:szCs w:val="24"/>
          <w:lang w:val="es-ES_tradnl"/>
        </w:rPr>
      </w:pPr>
      <w:bookmarkStart w:id="109" w:name="_Toc318102914"/>
      <w:r w:rsidRPr="000D3432">
        <w:rPr>
          <w:rFonts w:asciiTheme="minorHAnsi" w:hAnsiTheme="minorHAnsi"/>
          <w:b w:val="0"/>
          <w:sz w:val="24"/>
          <w:szCs w:val="24"/>
          <w:lang w:val="es-ES_tradnl"/>
        </w:rPr>
        <w:t xml:space="preserve">11.- </w:t>
      </w:r>
      <w:r w:rsidRPr="000D3432">
        <w:rPr>
          <w:rFonts w:asciiTheme="minorHAnsi" w:hAnsiTheme="minorHAnsi"/>
          <w:sz w:val="24"/>
          <w:szCs w:val="24"/>
          <w:lang w:val="es-ES_tradnl"/>
        </w:rPr>
        <w:t>Elementos de la relación laboral</w:t>
      </w:r>
      <w:bookmarkEnd w:id="109"/>
    </w:p>
    <w:p w14:paraId="69A1E469" w14:textId="77777777" w:rsidR="00FA79B0" w:rsidRPr="000D3432" w:rsidRDefault="00FA79B0" w:rsidP="00A95498">
      <w:pPr>
        <w:jc w:val="both"/>
        <w:rPr>
          <w:rFonts w:asciiTheme="minorHAnsi" w:hAnsiTheme="minorHAnsi"/>
          <w:szCs w:val="24"/>
          <w:lang w:val="es-ES_tradnl"/>
        </w:rPr>
      </w:pPr>
    </w:p>
    <w:p w14:paraId="02C47C58"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Un trabajo se constituye cuando existe relaciones laborales, las mismas que tienen sus elementos fundamentales como: 1.- Prestación personal; 2.- Subordinación; 3.- Remuneración</w:t>
      </w:r>
    </w:p>
    <w:p w14:paraId="46E2FA89" w14:textId="77777777" w:rsidR="00FA79B0" w:rsidRPr="000D3432" w:rsidRDefault="00FA79B0" w:rsidP="00A95498">
      <w:pPr>
        <w:jc w:val="both"/>
        <w:rPr>
          <w:rFonts w:asciiTheme="minorHAnsi" w:hAnsiTheme="minorHAnsi"/>
          <w:szCs w:val="24"/>
          <w:lang w:val="es-ES_tradnl"/>
        </w:rPr>
      </w:pPr>
    </w:p>
    <w:p w14:paraId="0CB226F4" w14:textId="77777777" w:rsidR="00FA79B0" w:rsidRPr="000D3432" w:rsidRDefault="00FA79B0" w:rsidP="00A95498">
      <w:pPr>
        <w:jc w:val="both"/>
        <w:rPr>
          <w:rFonts w:asciiTheme="minorHAnsi" w:hAnsiTheme="minorHAnsi"/>
          <w:b/>
          <w:szCs w:val="24"/>
          <w:lang w:val="es-ES_tradnl"/>
        </w:rPr>
      </w:pPr>
      <w:r w:rsidRPr="000D3432">
        <w:rPr>
          <w:rFonts w:asciiTheme="minorHAnsi" w:hAnsiTheme="minorHAnsi"/>
          <w:b/>
          <w:szCs w:val="24"/>
          <w:lang w:val="es-ES_tradnl"/>
        </w:rPr>
        <w:t>12.- Fuentes del derecho laboral</w:t>
      </w:r>
    </w:p>
    <w:p w14:paraId="298D0634" w14:textId="77777777" w:rsidR="00FA79B0" w:rsidRPr="000D3432" w:rsidRDefault="00FA79B0" w:rsidP="00A95498">
      <w:pPr>
        <w:jc w:val="both"/>
        <w:rPr>
          <w:rFonts w:asciiTheme="minorHAnsi" w:hAnsiTheme="minorHAnsi"/>
          <w:b/>
          <w:szCs w:val="24"/>
          <w:lang w:val="es-ES_tradnl"/>
        </w:rPr>
      </w:pPr>
    </w:p>
    <w:p w14:paraId="2233CF23"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Las fuentes del Derecho Laboral son: 1.- Constitución; 2.- Tratados; 3.- Ley y otras normas estatales: a) Ley y reglamento; b) Decreto legislativo y decreto de urgencia. 4.- Convenio colectivo; 5.- Reglamento interno de trabajo; 6.- Costumbre; 7.-  Sentencia; 8.- Contrato de trabajo</w:t>
      </w:r>
    </w:p>
    <w:p w14:paraId="389E27D0" w14:textId="77777777" w:rsidR="00FA79B0" w:rsidRPr="000D3432" w:rsidRDefault="00FA79B0" w:rsidP="00A95498">
      <w:pPr>
        <w:jc w:val="both"/>
        <w:rPr>
          <w:rFonts w:asciiTheme="minorHAnsi" w:hAnsiTheme="minorHAnsi"/>
          <w:szCs w:val="24"/>
          <w:lang w:val="es-ES_tradnl"/>
        </w:rPr>
      </w:pPr>
    </w:p>
    <w:p w14:paraId="266A35F3" w14:textId="77777777" w:rsidR="00FA79B0" w:rsidRPr="000D3432" w:rsidRDefault="00FA79B0" w:rsidP="00A95498">
      <w:pPr>
        <w:jc w:val="both"/>
        <w:rPr>
          <w:rFonts w:asciiTheme="minorHAnsi" w:hAnsiTheme="minorHAnsi"/>
          <w:b/>
          <w:szCs w:val="24"/>
          <w:lang w:val="es-ES_tradnl"/>
        </w:rPr>
      </w:pPr>
      <w:r w:rsidRPr="000D3432">
        <w:rPr>
          <w:rFonts w:asciiTheme="minorHAnsi" w:hAnsiTheme="minorHAnsi"/>
          <w:b/>
          <w:szCs w:val="24"/>
          <w:lang w:val="es-ES_tradnl"/>
        </w:rPr>
        <w:t>13.- Principios del Derecho de Trabajo</w:t>
      </w:r>
    </w:p>
    <w:p w14:paraId="53A46785" w14:textId="77777777" w:rsidR="00FA79B0" w:rsidRPr="000D3432" w:rsidRDefault="00FA79B0" w:rsidP="00A95498">
      <w:pPr>
        <w:jc w:val="both"/>
        <w:rPr>
          <w:rFonts w:asciiTheme="minorHAnsi" w:hAnsiTheme="minorHAnsi"/>
          <w:szCs w:val="24"/>
          <w:lang w:val="es-ES_tradnl"/>
        </w:rPr>
      </w:pPr>
      <w:r w:rsidRPr="000D3432">
        <w:rPr>
          <w:rFonts w:asciiTheme="minorHAnsi" w:hAnsiTheme="minorHAnsi"/>
          <w:szCs w:val="24"/>
          <w:lang w:val="es-ES_tradnl"/>
        </w:rPr>
        <w:t>Los principios del Derecho Laboral o de Trabajo son: 1.- Irrenunciabilidad de derechos; 2.- Igualdad ante la ley, de trato y de oportunidades; 3.- Otros</w:t>
      </w:r>
    </w:p>
    <w:p w14:paraId="652434A7" w14:textId="77777777" w:rsidR="00FA79B0" w:rsidRPr="000D3432" w:rsidRDefault="00FA79B0" w:rsidP="00A95498">
      <w:pPr>
        <w:jc w:val="both"/>
        <w:rPr>
          <w:rFonts w:asciiTheme="minorHAnsi" w:hAnsiTheme="minorHAnsi" w:cs="Arial"/>
          <w:szCs w:val="24"/>
          <w:lang w:val="es-ES_tradnl"/>
        </w:rPr>
      </w:pPr>
    </w:p>
    <w:p w14:paraId="3904D49E" w14:textId="77777777" w:rsidR="00FA79B0" w:rsidRPr="000D3432" w:rsidRDefault="00FA79B0" w:rsidP="00A95498">
      <w:pPr>
        <w:jc w:val="both"/>
        <w:rPr>
          <w:rFonts w:asciiTheme="minorHAnsi" w:hAnsiTheme="minorHAnsi" w:cs="Arial"/>
          <w:szCs w:val="24"/>
          <w:lang w:val="es-ES_tradnl"/>
        </w:rPr>
      </w:pPr>
    </w:p>
    <w:p w14:paraId="095D8519" w14:textId="77777777" w:rsidR="00FA79B0" w:rsidRPr="000D3432" w:rsidRDefault="00FA79B0" w:rsidP="00A95498">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SEGUNDA SECCIÓN</w:t>
      </w:r>
    </w:p>
    <w:p w14:paraId="63C7BF6F" w14:textId="77777777" w:rsidR="00FA79B0" w:rsidRPr="000D3432" w:rsidRDefault="00FA79B0" w:rsidP="00A95498">
      <w:pPr>
        <w:jc w:val="center"/>
        <w:rPr>
          <w:rFonts w:asciiTheme="minorHAnsi" w:hAnsiTheme="minorHAnsi" w:cs="Arial"/>
          <w:b/>
          <w:szCs w:val="24"/>
          <w:lang w:val="es-ES_tradnl"/>
        </w:rPr>
      </w:pPr>
      <w:r w:rsidRPr="000D3432">
        <w:rPr>
          <w:rFonts w:asciiTheme="minorHAnsi" w:hAnsiTheme="minorHAnsi" w:cs="Arial"/>
          <w:b/>
          <w:szCs w:val="24"/>
          <w:lang w:val="es-ES_tradnl"/>
        </w:rPr>
        <w:t>EL CONTRATO DE TRABAJO</w:t>
      </w:r>
    </w:p>
    <w:p w14:paraId="0107FDBD" w14:textId="77777777" w:rsidR="00FA79B0" w:rsidRPr="000D3432" w:rsidRDefault="00FA79B0" w:rsidP="00A95498">
      <w:pPr>
        <w:pStyle w:val="Textodecuerpo2"/>
        <w:spacing w:after="0" w:line="240" w:lineRule="auto"/>
        <w:rPr>
          <w:rFonts w:asciiTheme="minorHAnsi" w:hAnsiTheme="minorHAnsi" w:cs="Arial"/>
          <w:b/>
          <w:bCs/>
          <w:szCs w:val="24"/>
          <w:lang w:val="es-ES_tradnl"/>
        </w:rPr>
      </w:pPr>
    </w:p>
    <w:p w14:paraId="2A9DEB2B" w14:textId="77777777" w:rsidR="00FA79B0" w:rsidRPr="000D3432" w:rsidRDefault="00FA79B0" w:rsidP="00A95498">
      <w:pPr>
        <w:pStyle w:val="Textodecuerpo2"/>
        <w:spacing w:after="0" w:line="240" w:lineRule="auto"/>
        <w:rPr>
          <w:rFonts w:asciiTheme="minorHAnsi" w:hAnsiTheme="minorHAnsi" w:cs="Arial"/>
          <w:b/>
          <w:bCs/>
          <w:szCs w:val="24"/>
          <w:lang w:val="es-ES_tradnl"/>
        </w:rPr>
      </w:pPr>
      <w:r w:rsidRPr="000D3432">
        <w:rPr>
          <w:rFonts w:asciiTheme="minorHAnsi" w:hAnsiTheme="minorHAnsi" w:cs="Arial"/>
          <w:b/>
          <w:bCs/>
          <w:szCs w:val="24"/>
          <w:lang w:val="es-ES_tradnl"/>
        </w:rPr>
        <w:t>1.- CONCEPTOS DE CONTRATO DE TRABAJO</w:t>
      </w:r>
    </w:p>
    <w:p w14:paraId="07538A3F" w14:textId="77777777" w:rsidR="00FA79B0" w:rsidRPr="000D3432" w:rsidRDefault="00FA79B0" w:rsidP="00A95498">
      <w:pPr>
        <w:pStyle w:val="Textodecuerpo2"/>
        <w:spacing w:after="0" w:line="240" w:lineRule="auto"/>
        <w:rPr>
          <w:rFonts w:asciiTheme="minorHAnsi" w:hAnsiTheme="minorHAnsi" w:cs="Arial"/>
          <w:bCs/>
          <w:szCs w:val="24"/>
          <w:lang w:val="es-ES_tradnl"/>
        </w:rPr>
      </w:pPr>
    </w:p>
    <w:p w14:paraId="2AEB45A7" w14:textId="77777777" w:rsidR="00FA79B0" w:rsidRPr="000D3432" w:rsidRDefault="00FA79B0" w:rsidP="00A95498">
      <w:pPr>
        <w:pStyle w:val="Textodecuerpo2"/>
        <w:spacing w:after="0" w:line="240" w:lineRule="auto"/>
        <w:rPr>
          <w:rFonts w:asciiTheme="minorHAnsi" w:hAnsiTheme="minorHAnsi" w:cs="Arial"/>
          <w:bCs/>
          <w:szCs w:val="24"/>
          <w:lang w:val="es-ES_tradnl"/>
        </w:rPr>
      </w:pPr>
      <w:r w:rsidRPr="000D3432">
        <w:rPr>
          <w:rFonts w:asciiTheme="minorHAnsi" w:hAnsiTheme="minorHAnsi" w:cs="Arial"/>
          <w:bCs/>
          <w:szCs w:val="24"/>
          <w:lang w:val="es-ES_tradnl"/>
        </w:rPr>
        <w:lastRenderedPageBreak/>
        <w:t>Tenemos los siguientes conceptos sobre el Contrato de Trabajo:</w:t>
      </w:r>
    </w:p>
    <w:p w14:paraId="1EDBE0B0" w14:textId="77777777" w:rsidR="00FA79B0" w:rsidRPr="000D3432" w:rsidRDefault="00FA79B0" w:rsidP="00A95498">
      <w:pPr>
        <w:pStyle w:val="Textodecuerpo2"/>
        <w:spacing w:after="0" w:line="240" w:lineRule="auto"/>
        <w:rPr>
          <w:rFonts w:asciiTheme="minorHAnsi" w:hAnsiTheme="minorHAnsi" w:cs="Arial"/>
          <w:bCs/>
          <w:szCs w:val="24"/>
          <w:lang w:val="es-ES_tradnl"/>
        </w:rPr>
      </w:pPr>
    </w:p>
    <w:p w14:paraId="744786EE"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Jorge CASTILLO GUZMÁN</w:t>
      </w:r>
    </w:p>
    <w:p w14:paraId="7710497D"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“Es el acuerdo voluntario entre trabajador (necesariamente una persona natural) y empleador (que puede ser una persona natural o jurídica, en virtud  del cual el primero se obliga a poner a disposición del segundo su propio trabajo, a cambio de una remuneración.</w:t>
      </w:r>
    </w:p>
    <w:p w14:paraId="46E02DBB" w14:textId="77777777" w:rsidR="00FA79B0" w:rsidRPr="000D3432" w:rsidRDefault="00FA79B0" w:rsidP="00A95498">
      <w:pPr>
        <w:ind w:left="708"/>
        <w:jc w:val="both"/>
        <w:rPr>
          <w:rFonts w:asciiTheme="minorHAnsi" w:hAnsiTheme="minorHAnsi" w:cs="Arial"/>
          <w:szCs w:val="24"/>
          <w:lang w:val="es-ES_tradnl"/>
        </w:rPr>
      </w:pPr>
    </w:p>
    <w:p w14:paraId="21473960"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El contrato de trabajo da origen a un vínculo laboral, el cual genera y regula un conjunto de derechos y obligaciones para las partes, así como las condiciones dentro de las cuales se desarrollará dicha relación laboral.” (Jorge CASTILLO GUZMÁN y otros. Manual Práctico de Derecho Individual del Trabajo. Ediciones Caballero Bustamante. Pág. A-4).</w:t>
      </w:r>
    </w:p>
    <w:p w14:paraId="4470D491" w14:textId="77777777" w:rsidR="00FA79B0" w:rsidRPr="000D3432" w:rsidRDefault="00FA79B0" w:rsidP="00A95498">
      <w:pPr>
        <w:jc w:val="both"/>
        <w:rPr>
          <w:rFonts w:asciiTheme="minorHAnsi" w:hAnsiTheme="minorHAnsi" w:cs="Arial"/>
          <w:szCs w:val="24"/>
          <w:lang w:val="es-ES_tradnl"/>
        </w:rPr>
      </w:pPr>
    </w:p>
    <w:p w14:paraId="37979D76" w14:textId="77777777" w:rsidR="00FA79B0" w:rsidRPr="000D3432" w:rsidRDefault="00FA79B0" w:rsidP="00A95498">
      <w:pPr>
        <w:jc w:val="both"/>
        <w:rPr>
          <w:rFonts w:asciiTheme="minorHAnsi" w:hAnsiTheme="minorHAnsi" w:cs="Arial"/>
          <w:szCs w:val="24"/>
          <w:lang w:val="es-ES_tradnl"/>
        </w:rPr>
      </w:pPr>
    </w:p>
    <w:p w14:paraId="4E808917" w14:textId="77777777" w:rsidR="00FA79B0" w:rsidRPr="000D3432" w:rsidRDefault="00FA79B0" w:rsidP="00A95498">
      <w:pPr>
        <w:jc w:val="both"/>
        <w:rPr>
          <w:rFonts w:asciiTheme="minorHAnsi" w:hAnsiTheme="minorHAnsi" w:cs="Arial"/>
          <w:szCs w:val="24"/>
          <w:lang w:val="es-ES_tradnl"/>
        </w:rPr>
      </w:pPr>
    </w:p>
    <w:p w14:paraId="34180D4D"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Francisco GOMEZ VALDEZ</w:t>
      </w:r>
    </w:p>
    <w:p w14:paraId="19C30390"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 xml:space="preserve">“Es definido ´como la Convención por la cual una persona se compromete a disponer su actividad a favor de otra pesona y se coloca bajo la subordinación de ésta a cambio de una retribución’. Jorge Angulo, tratando de dar una definición general, expresa que ´contrato de trabajo es aquél en virtud del cual uno o más trabajadores se comprometen a prestar servicios o a ejecutar obras a una persona o a una empresa bajo su dirección y dependencia; a cambio de una remuneración convenida, cualquiera sea su forma, y de las demás contraprestaciones que resulten de la ley, las convenciones y la propia naturaleza de trabajo”. </w:t>
      </w:r>
    </w:p>
    <w:p w14:paraId="696C74D1" w14:textId="77777777" w:rsidR="00FA79B0" w:rsidRPr="000D3432" w:rsidRDefault="00FA79B0" w:rsidP="00A95498">
      <w:pPr>
        <w:jc w:val="both"/>
        <w:rPr>
          <w:rFonts w:asciiTheme="minorHAnsi" w:hAnsiTheme="minorHAnsi" w:cs="Arial"/>
          <w:szCs w:val="24"/>
          <w:lang w:val="es-ES_tradnl"/>
        </w:rPr>
      </w:pPr>
    </w:p>
    <w:p w14:paraId="00CA5709"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Cabanellas se limita en su obra a enumerar las definiciones dadas por numerosos tratadistas resumiendo el contenido de éstas en los siguientes elementos: a) relación de dependencia entre las partes; b) uso y disfrute de la actividad ajena; c) la exigencia de una remuneración; d) necesidad que los servicios prestados sean de naturaleza económica; e) profesionalidad  o hábito en la prestación del servicio; f) continuidad en la prestación; g) posibilidad de que el contrato de trabajo sea individual o colectivo.” (Francisco GOMEZ VALDEZ. Relaciones Individuales de Trabajo. Editorial San Marcos. Pp. 80,81).</w:t>
      </w:r>
    </w:p>
    <w:p w14:paraId="6D79B754" w14:textId="77777777" w:rsidR="00FA79B0" w:rsidRPr="000D3432" w:rsidRDefault="00FA79B0" w:rsidP="00A95498">
      <w:pPr>
        <w:jc w:val="both"/>
        <w:rPr>
          <w:rFonts w:asciiTheme="minorHAnsi" w:hAnsiTheme="minorHAnsi" w:cs="Arial"/>
          <w:szCs w:val="24"/>
          <w:lang w:val="es-ES_tradnl"/>
        </w:rPr>
      </w:pPr>
    </w:p>
    <w:p w14:paraId="717B0128"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Víctor CASTILLO ARREDONDO</w:t>
      </w:r>
    </w:p>
    <w:p w14:paraId="16E859A3"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“Entendemos por contrato de trabajo a la relación jurídica que existe entre trabajador y empleador, de la cual derivan las obligaciones y los derechos de cada uno de ellos.</w:t>
      </w:r>
    </w:p>
    <w:p w14:paraId="6AC390AA" w14:textId="77777777" w:rsidR="00FA79B0" w:rsidRPr="000D3432" w:rsidRDefault="00FA79B0" w:rsidP="00A95498">
      <w:pPr>
        <w:ind w:left="708"/>
        <w:jc w:val="both"/>
        <w:rPr>
          <w:rFonts w:asciiTheme="minorHAnsi" w:hAnsiTheme="minorHAnsi" w:cs="Arial"/>
          <w:szCs w:val="24"/>
          <w:lang w:val="es-ES_tradnl"/>
        </w:rPr>
      </w:pPr>
    </w:p>
    <w:p w14:paraId="6B91AA6A"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El contrato de trabajo es el acuerdo prestado en forma libre y voluntaria, entre trabajador y empleador, en virtud del cual el primero se obliga a poner a disposición del segundo su propia fuerza de trabajo, a cambio de una remuneración.” (Víctor CASTILLO ARREDONDO. El ABC del Derecho Laboral. Editorial Egacal. Editorial San Marcos. Pp. 15).</w:t>
      </w:r>
    </w:p>
    <w:p w14:paraId="4E438A7C" w14:textId="77777777" w:rsidR="00FA79B0" w:rsidRPr="000D3432" w:rsidRDefault="00FA79B0" w:rsidP="00A95498">
      <w:pPr>
        <w:ind w:left="708"/>
        <w:jc w:val="both"/>
        <w:rPr>
          <w:rFonts w:asciiTheme="minorHAnsi" w:hAnsiTheme="minorHAnsi" w:cs="Arial"/>
          <w:szCs w:val="24"/>
          <w:lang w:val="es-ES_tradnl"/>
        </w:rPr>
      </w:pPr>
    </w:p>
    <w:p w14:paraId="10249922"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lastRenderedPageBreak/>
        <w:t>Jorge TOYAMA MIYAGUSUKU</w:t>
      </w:r>
    </w:p>
    <w:p w14:paraId="671357E9"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“Es el acuerdo de voluntades entre dos partes, una llamada empleador y la otra trabajador, por la cual una de ellas se compromete a prestar sus servicios en forma personal y remunerada (el trabajador) y la otra (empleador), que se obliga al pago de la remuneración correspondiente y que, en virtud de un vínculo de subordinación (dependencia), goza de las facultades de dirigir, fiscalizar y sancionar los servicios prestados.</w:t>
      </w:r>
    </w:p>
    <w:p w14:paraId="6C206613" w14:textId="77777777" w:rsidR="00FA79B0" w:rsidRPr="000D3432" w:rsidRDefault="00FA79B0" w:rsidP="00A95498">
      <w:pPr>
        <w:ind w:left="708"/>
        <w:jc w:val="both"/>
        <w:rPr>
          <w:rFonts w:asciiTheme="minorHAnsi" w:hAnsiTheme="minorHAnsi" w:cs="Arial"/>
          <w:szCs w:val="24"/>
          <w:lang w:val="es-ES_tradnl"/>
        </w:rPr>
      </w:pPr>
    </w:p>
    <w:p w14:paraId="31F8DE57"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Entonces, estamos ante un contrato por cuenta ajena remunerado (servicios dependientes prestados para el contratante) y, por ello, los frutos o resultados de los servicios pertenecen al empleador (persona jurídica o natural) y este asume los riesgos propios del negocio.” (Jorge TOYAMA MIYAGUSUKU. Luis VINATE RECOBA. Guía laboral – Guía legal de problemas y soluciones laborales. Editorial Gaceta Jurídica. Pp. 13).</w:t>
      </w:r>
    </w:p>
    <w:p w14:paraId="337677C3" w14:textId="77777777" w:rsidR="00FA79B0" w:rsidRPr="000D3432" w:rsidRDefault="00FA79B0" w:rsidP="00A95498">
      <w:pPr>
        <w:ind w:left="708"/>
        <w:jc w:val="both"/>
        <w:rPr>
          <w:rFonts w:asciiTheme="minorHAnsi" w:hAnsiTheme="minorHAnsi" w:cs="Arial"/>
          <w:szCs w:val="24"/>
          <w:lang w:val="es-ES_tradnl"/>
        </w:rPr>
      </w:pPr>
    </w:p>
    <w:p w14:paraId="62DD4A9B"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2.- CONTRATO DE TRABAJO SUJETO A MODALIDAD</w:t>
      </w:r>
    </w:p>
    <w:p w14:paraId="5E84032F"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Tenemos los siguientes conceptos de Contrato de Trabajo sujeto a modalidad: </w:t>
      </w:r>
    </w:p>
    <w:p w14:paraId="097B0AFA" w14:textId="77777777" w:rsidR="00FA79B0" w:rsidRPr="000D3432" w:rsidRDefault="00FA79B0" w:rsidP="00A95498">
      <w:pPr>
        <w:jc w:val="both"/>
        <w:rPr>
          <w:rFonts w:asciiTheme="minorHAnsi" w:hAnsiTheme="minorHAnsi" w:cs="Arial"/>
          <w:szCs w:val="24"/>
          <w:lang w:val="es-ES_tradnl"/>
        </w:rPr>
      </w:pPr>
    </w:p>
    <w:p w14:paraId="5060D7AF"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szCs w:val="24"/>
          <w:lang w:val="es-ES_tradnl"/>
        </w:rPr>
      </w:pPr>
      <w:r w:rsidRPr="000D3432">
        <w:rPr>
          <w:rFonts w:asciiTheme="minorHAnsi" w:hAnsiTheme="minorHAnsi" w:cs="Arial"/>
          <w:b/>
          <w:szCs w:val="24"/>
          <w:lang w:val="es-ES_tradnl"/>
        </w:rPr>
        <w:t>Jorge TOYAMA MIYAGUSUKU</w:t>
      </w:r>
    </w:p>
    <w:p w14:paraId="2E3F3DA0"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“Son contratos a plazo fijo, sustentados en una modalidad de contrato cuando así lo requieran las necesidades del mercado o una mayor producción de la empresa, a sí como cuando lo exija la naturaleza temporal o accidental del servicio que se prestará o de la obra que se ha de ejecutar; excepto los contratos de trabajo intermitentes o de temporada que por su naturaleza pueden ser permanentes.</w:t>
      </w:r>
    </w:p>
    <w:p w14:paraId="4B2BEFED" w14:textId="77777777" w:rsidR="00FA79B0" w:rsidRPr="000D3432" w:rsidRDefault="00FA79B0" w:rsidP="00A95498">
      <w:pPr>
        <w:ind w:left="708"/>
        <w:jc w:val="both"/>
        <w:rPr>
          <w:rFonts w:asciiTheme="minorHAnsi" w:hAnsiTheme="minorHAnsi" w:cs="Arial"/>
          <w:szCs w:val="24"/>
          <w:lang w:val="es-ES_tradnl"/>
        </w:rPr>
      </w:pPr>
    </w:p>
    <w:p w14:paraId="6FA037E7"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Asimismo, los contratos necesariamente deben celebrarse por escrito, debiendo consignarse en forma expresa su duración, y las causas objetivas determinantes de la contratación (por ello, se les denomina contratos “causales”, en tanto que la causa de contratación temporal debiera aparecer expresamente en los respectivos contratos), así como las demás condiciones de la relación laboral, los cuales deberán ser presentados para efectos de su conocimiento y registro ante la Autoridad _Administrativa de Trabajo.” (Jorge TOYAMA MIYAGUSUKU. Luis VINATE RECOBA. Guía laboral – Guía legal de problemas y soluciones laborales. Editorial Gaceta Jurídica. Pp. 16).</w:t>
      </w:r>
    </w:p>
    <w:p w14:paraId="708D8CD4" w14:textId="77777777" w:rsidR="00FA79B0" w:rsidRPr="000D3432" w:rsidRDefault="00FA79B0" w:rsidP="00A95498">
      <w:pPr>
        <w:jc w:val="both"/>
        <w:rPr>
          <w:rFonts w:asciiTheme="minorHAnsi" w:hAnsiTheme="minorHAnsi" w:cs="Arial"/>
          <w:szCs w:val="24"/>
          <w:lang w:val="es-ES_tradnl"/>
        </w:rPr>
      </w:pPr>
    </w:p>
    <w:p w14:paraId="0160A139"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Jorge CASTILLO GUZMÁN</w:t>
      </w:r>
    </w:p>
    <w:p w14:paraId="7315B316"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Nuestra legislación laboral mantiene como regla general la celebración de los contratos de trabajo por tiempo indeterminado. Sin embargo, se permite pactar contratos a plazo fijo a los que se denominan ‘sujetos a modalidad”. (Jorge CASTILLO GUZMÁN y otros. Manual Práctico de Derecho Individual del Trabajo. Ediciones Caballero Bustamante. Pág. A-10).</w:t>
      </w:r>
    </w:p>
    <w:p w14:paraId="228459B7" w14:textId="77777777" w:rsidR="00FA79B0" w:rsidRPr="000D3432" w:rsidRDefault="00FA79B0" w:rsidP="00A95498">
      <w:pPr>
        <w:rPr>
          <w:rFonts w:asciiTheme="minorHAnsi" w:hAnsiTheme="minorHAnsi" w:cs="Arial"/>
          <w:szCs w:val="24"/>
          <w:lang w:val="es-ES_tradnl"/>
        </w:rPr>
      </w:pPr>
    </w:p>
    <w:p w14:paraId="4A729720"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3.- CLASIFICACIÓN DE LOS CONTRATOS DE TRABAJO SUJETOS A MODALIDAD</w:t>
      </w:r>
    </w:p>
    <w:p w14:paraId="291C71B4" w14:textId="77777777" w:rsidR="00FA79B0" w:rsidRPr="000D3432" w:rsidRDefault="00FA79B0" w:rsidP="00A95498">
      <w:pPr>
        <w:jc w:val="both"/>
        <w:rPr>
          <w:rFonts w:asciiTheme="minorHAnsi" w:hAnsiTheme="minorHAnsi" w:cs="Arial"/>
          <w:szCs w:val="24"/>
          <w:lang w:val="es-ES_tradnl"/>
        </w:rPr>
      </w:pPr>
    </w:p>
    <w:p w14:paraId="4342E061"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lastRenderedPageBreak/>
        <w:t>De acuerdo al Texto Único Ordenado del Decreto Legislativo N° 728, Ley de Productividad y Competitividad Laboral, el Contrato de trabajo es la prestación personal de servicios remunerados y subordinados.</w:t>
      </w:r>
    </w:p>
    <w:p w14:paraId="77A6C8D8" w14:textId="77777777" w:rsidR="00FA79B0" w:rsidRPr="000D3432" w:rsidRDefault="00FA79B0" w:rsidP="00A95498">
      <w:pPr>
        <w:jc w:val="both"/>
        <w:rPr>
          <w:rFonts w:asciiTheme="minorHAnsi" w:hAnsiTheme="minorHAnsi" w:cs="Arial"/>
          <w:szCs w:val="24"/>
          <w:lang w:val="es-ES_tradnl"/>
        </w:rPr>
      </w:pPr>
    </w:p>
    <w:p w14:paraId="5473FDFA"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La clasificación de los Contratos Individuales de Trabajo es: </w:t>
      </w:r>
    </w:p>
    <w:p w14:paraId="00E3553D" w14:textId="77777777" w:rsidR="00FA79B0" w:rsidRPr="000D3432" w:rsidRDefault="00FA79B0" w:rsidP="00A95498">
      <w:pPr>
        <w:ind w:left="284"/>
        <w:jc w:val="both"/>
        <w:rPr>
          <w:rFonts w:asciiTheme="minorHAnsi" w:hAnsiTheme="minorHAnsi" w:cs="Arial"/>
          <w:szCs w:val="24"/>
          <w:lang w:val="es-ES_tradnl"/>
        </w:rPr>
      </w:pPr>
      <w:r w:rsidRPr="000D3432">
        <w:rPr>
          <w:rFonts w:asciiTheme="minorHAnsi" w:hAnsiTheme="minorHAnsi" w:cs="Arial"/>
          <w:szCs w:val="24"/>
          <w:lang w:val="es-ES_tradnl"/>
        </w:rPr>
        <w:t>1. Contrato individual de trabajo por Tiempo Indeterminado</w:t>
      </w:r>
    </w:p>
    <w:p w14:paraId="2C49AA7A" w14:textId="77777777" w:rsidR="00FA79B0" w:rsidRPr="000D3432" w:rsidRDefault="00FA79B0" w:rsidP="00A95498">
      <w:pPr>
        <w:ind w:left="284"/>
        <w:jc w:val="both"/>
        <w:rPr>
          <w:rFonts w:asciiTheme="minorHAnsi" w:hAnsiTheme="minorHAnsi" w:cs="Arial"/>
          <w:szCs w:val="24"/>
          <w:lang w:val="es-ES_tradnl"/>
        </w:rPr>
      </w:pPr>
      <w:r w:rsidRPr="000D3432">
        <w:rPr>
          <w:rFonts w:asciiTheme="minorHAnsi" w:hAnsiTheme="minorHAnsi" w:cs="Arial"/>
          <w:szCs w:val="24"/>
          <w:lang w:val="es-ES_tradnl"/>
        </w:rPr>
        <w:t>2. Contrato individual de trabajo SUJETO A MODALIDAD: Pueden celebrarse por:</w:t>
      </w:r>
    </w:p>
    <w:p w14:paraId="211DCF55"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 Necesidades del mercado</w:t>
      </w:r>
    </w:p>
    <w:p w14:paraId="0FA7BA06"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 Mayor producción de la empresa</w:t>
      </w:r>
    </w:p>
    <w:p w14:paraId="3098349C"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 Cuando lo exija la naturaleza temporal o accidental del trabajo</w:t>
      </w:r>
    </w:p>
    <w:p w14:paraId="5A271E3F" w14:textId="77777777" w:rsidR="00FA79B0" w:rsidRPr="000D3432" w:rsidRDefault="00FA79B0" w:rsidP="00A95498">
      <w:pPr>
        <w:ind w:left="1068"/>
        <w:jc w:val="both"/>
        <w:rPr>
          <w:rFonts w:asciiTheme="minorHAnsi" w:hAnsiTheme="minorHAnsi" w:cs="Arial"/>
          <w:szCs w:val="24"/>
          <w:lang w:val="es-ES_tradnl"/>
        </w:rPr>
      </w:pPr>
    </w:p>
    <w:p w14:paraId="29C049B7" w14:textId="77777777" w:rsidR="00FA79B0" w:rsidRPr="000D3432" w:rsidRDefault="00FA79B0" w:rsidP="009E6E2E">
      <w:pPr>
        <w:widowControl/>
        <w:numPr>
          <w:ilvl w:val="0"/>
          <w:numId w:val="31"/>
        </w:numPr>
        <w:tabs>
          <w:tab w:val="clear" w:pos="1428"/>
        </w:tabs>
        <w:overflowPunct/>
        <w:autoSpaceDE/>
        <w:autoSpaceDN/>
        <w:adjustRightInd/>
        <w:ind w:left="567"/>
        <w:jc w:val="both"/>
        <w:textAlignment w:val="auto"/>
        <w:rPr>
          <w:rFonts w:asciiTheme="minorHAnsi" w:hAnsiTheme="minorHAnsi" w:cs="Arial"/>
          <w:szCs w:val="24"/>
          <w:lang w:val="es-ES_tradnl"/>
        </w:rPr>
      </w:pPr>
      <w:r w:rsidRPr="000D3432">
        <w:rPr>
          <w:rFonts w:asciiTheme="minorHAnsi" w:hAnsiTheme="minorHAnsi" w:cs="Arial"/>
          <w:szCs w:val="24"/>
          <w:lang w:val="es-ES_tradnl"/>
        </w:rPr>
        <w:t>Son contratos de naturaleza temporal: (Art. 54)</w:t>
      </w:r>
    </w:p>
    <w:p w14:paraId="50D8C626"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a) El contrato por inicio o lanzamiento de una nueva actividad;</w:t>
      </w:r>
    </w:p>
    <w:p w14:paraId="27368363"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b) El contrato por necesidades del mercado;</w:t>
      </w:r>
    </w:p>
    <w:p w14:paraId="715B2FCC"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c) El contrato por reconversión empresarial.</w:t>
      </w:r>
    </w:p>
    <w:p w14:paraId="5245A636" w14:textId="77777777" w:rsidR="00FA79B0" w:rsidRPr="000D3432" w:rsidRDefault="00FA79B0" w:rsidP="00A95498">
      <w:pPr>
        <w:ind w:left="567"/>
        <w:jc w:val="both"/>
        <w:rPr>
          <w:rFonts w:asciiTheme="minorHAnsi" w:hAnsiTheme="minorHAnsi" w:cs="Arial"/>
          <w:szCs w:val="24"/>
          <w:lang w:val="es-ES_tradnl"/>
        </w:rPr>
      </w:pPr>
    </w:p>
    <w:p w14:paraId="55063E42" w14:textId="77777777" w:rsidR="00FA79B0" w:rsidRPr="000D3432" w:rsidRDefault="00FA79B0" w:rsidP="009E6E2E">
      <w:pPr>
        <w:widowControl/>
        <w:numPr>
          <w:ilvl w:val="0"/>
          <w:numId w:val="31"/>
        </w:numPr>
        <w:tabs>
          <w:tab w:val="clear" w:pos="1428"/>
        </w:tabs>
        <w:overflowPunct/>
        <w:autoSpaceDE/>
        <w:autoSpaceDN/>
        <w:adjustRightInd/>
        <w:ind w:left="567"/>
        <w:jc w:val="both"/>
        <w:textAlignment w:val="auto"/>
        <w:rPr>
          <w:rFonts w:asciiTheme="minorHAnsi" w:hAnsiTheme="minorHAnsi" w:cs="Arial"/>
          <w:szCs w:val="24"/>
          <w:lang w:val="es-ES_tradnl"/>
        </w:rPr>
      </w:pPr>
      <w:r w:rsidRPr="000D3432">
        <w:rPr>
          <w:rFonts w:asciiTheme="minorHAnsi" w:hAnsiTheme="minorHAnsi" w:cs="Arial"/>
          <w:szCs w:val="24"/>
          <w:lang w:val="es-ES_tradnl"/>
        </w:rPr>
        <w:t>Son contratos de naturaleza accidental: (Art. 55)</w:t>
      </w:r>
    </w:p>
    <w:p w14:paraId="6B8F3F3E"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a) El contrato ocasional;</w:t>
      </w:r>
    </w:p>
    <w:p w14:paraId="717A227C"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b) El contrato de suplencia;</w:t>
      </w:r>
    </w:p>
    <w:p w14:paraId="7589DDB7"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c) El contrato de emergencia.</w:t>
      </w:r>
    </w:p>
    <w:p w14:paraId="450B9A42" w14:textId="77777777" w:rsidR="00FA79B0" w:rsidRPr="000D3432" w:rsidRDefault="00FA79B0" w:rsidP="00A95498">
      <w:pPr>
        <w:ind w:left="567"/>
        <w:jc w:val="both"/>
        <w:rPr>
          <w:rFonts w:asciiTheme="minorHAnsi" w:hAnsiTheme="minorHAnsi" w:cs="Arial"/>
          <w:szCs w:val="24"/>
          <w:lang w:val="es-ES_tradnl"/>
        </w:rPr>
      </w:pPr>
    </w:p>
    <w:p w14:paraId="6929BBA7" w14:textId="77777777" w:rsidR="00FA79B0" w:rsidRPr="000D3432" w:rsidRDefault="00FA79B0" w:rsidP="009E6E2E">
      <w:pPr>
        <w:widowControl/>
        <w:numPr>
          <w:ilvl w:val="0"/>
          <w:numId w:val="31"/>
        </w:numPr>
        <w:tabs>
          <w:tab w:val="clear" w:pos="1428"/>
        </w:tabs>
        <w:overflowPunct/>
        <w:autoSpaceDE/>
        <w:autoSpaceDN/>
        <w:adjustRightInd/>
        <w:ind w:left="567"/>
        <w:jc w:val="both"/>
        <w:textAlignment w:val="auto"/>
        <w:rPr>
          <w:rFonts w:asciiTheme="minorHAnsi" w:hAnsiTheme="minorHAnsi" w:cs="Arial"/>
          <w:szCs w:val="24"/>
          <w:lang w:val="es-ES_tradnl"/>
        </w:rPr>
      </w:pPr>
      <w:r w:rsidRPr="000D3432">
        <w:rPr>
          <w:rFonts w:asciiTheme="minorHAnsi" w:hAnsiTheme="minorHAnsi" w:cs="Arial"/>
          <w:szCs w:val="24"/>
          <w:lang w:val="es-ES_tradnl"/>
        </w:rPr>
        <w:t>Son contratos de obra o servicio: (Art. 56)</w:t>
      </w:r>
    </w:p>
    <w:p w14:paraId="0110E22B"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b/>
          <w:szCs w:val="24"/>
          <w:lang w:val="es-ES_tradnl"/>
        </w:rPr>
        <w:tab/>
      </w:r>
      <w:r w:rsidRPr="000D3432">
        <w:rPr>
          <w:rFonts w:asciiTheme="minorHAnsi" w:hAnsiTheme="minorHAnsi" w:cs="Arial"/>
          <w:szCs w:val="24"/>
          <w:lang w:val="es-ES_tradnl"/>
        </w:rPr>
        <w:t>a) El contrato específico;</w:t>
      </w:r>
    </w:p>
    <w:p w14:paraId="7FC13FB1"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b) El contrato intermitente;</w:t>
      </w:r>
    </w:p>
    <w:p w14:paraId="33B572B9" w14:textId="77777777" w:rsidR="00FA79B0" w:rsidRPr="000D3432" w:rsidRDefault="00FA79B0" w:rsidP="00A95498">
      <w:pPr>
        <w:ind w:left="567"/>
        <w:jc w:val="both"/>
        <w:rPr>
          <w:rFonts w:asciiTheme="minorHAnsi" w:hAnsiTheme="minorHAnsi" w:cs="Arial"/>
          <w:szCs w:val="24"/>
          <w:lang w:val="es-ES_tradnl"/>
        </w:rPr>
      </w:pPr>
      <w:r w:rsidRPr="000D3432">
        <w:rPr>
          <w:rFonts w:asciiTheme="minorHAnsi" w:hAnsiTheme="minorHAnsi" w:cs="Arial"/>
          <w:szCs w:val="24"/>
          <w:lang w:val="es-ES_tradnl"/>
        </w:rPr>
        <w:tab/>
        <w:t>c) El contrato de temporada.</w:t>
      </w:r>
    </w:p>
    <w:p w14:paraId="52FEE72B" w14:textId="77777777" w:rsidR="00FA79B0" w:rsidRPr="000D3432" w:rsidRDefault="00FA79B0" w:rsidP="00A95498">
      <w:pPr>
        <w:jc w:val="both"/>
        <w:rPr>
          <w:rFonts w:asciiTheme="minorHAnsi" w:hAnsiTheme="minorHAnsi" w:cs="Arial"/>
          <w:szCs w:val="24"/>
          <w:lang w:val="es-ES_tradnl"/>
        </w:rPr>
      </w:pPr>
    </w:p>
    <w:p w14:paraId="17F72CCC"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4.- CONTRATO DE TRABAJO DE NATURALEZA ACCIDENTAL</w:t>
      </w:r>
    </w:p>
    <w:p w14:paraId="007E4F3A"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Tenemos, a su vez, los siguientes conceptos: </w:t>
      </w:r>
    </w:p>
    <w:p w14:paraId="08B211A1" w14:textId="77777777" w:rsidR="00FA79B0" w:rsidRPr="000D3432" w:rsidRDefault="00FA79B0" w:rsidP="00A95498">
      <w:pPr>
        <w:jc w:val="both"/>
        <w:rPr>
          <w:rFonts w:asciiTheme="minorHAnsi" w:hAnsiTheme="minorHAnsi" w:cs="Arial"/>
          <w:szCs w:val="24"/>
          <w:lang w:val="es-ES_tradnl"/>
        </w:rPr>
      </w:pPr>
    </w:p>
    <w:p w14:paraId="325B11C0"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Francisco GOMEZ VALDEZ</w:t>
      </w:r>
    </w:p>
    <w:p w14:paraId="6AC4C3EF"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 xml:space="preserve">“… los contratos de naturaleza accidental son contratos de breve duración como los contratos de temporada, pero se diferencian de éstos porque son necesarios para reemplazar una mano de obra que, sin ser deficitaria, está ausente por alguna razón específica (descanso pre y post natal, suspensión de los contratos de trabajo en ejecución, caso fortuito o razones de fuerza mayor, etc). Son, entonces, contratos que sostienen el desarrollo normal de las actividades productivas ante la ausencia justificada o injustificada de quien debía ordinariamente ejecutarlas, por haber sobrevenido un caso fortuito o razones de fuerza mayor.”. (Francisco GOMEZ VALDEZ. Relaciones Individuales de Trabajo. Editorial San Marcos. Pp. 114). </w:t>
      </w:r>
    </w:p>
    <w:p w14:paraId="199D8D78" w14:textId="77777777" w:rsidR="00FA79B0" w:rsidRPr="000D3432" w:rsidRDefault="00FA79B0" w:rsidP="00A95498">
      <w:pPr>
        <w:jc w:val="both"/>
        <w:rPr>
          <w:rFonts w:asciiTheme="minorHAnsi" w:hAnsiTheme="minorHAnsi" w:cs="Arial"/>
          <w:szCs w:val="24"/>
          <w:lang w:val="es-ES_tradnl"/>
        </w:rPr>
      </w:pPr>
    </w:p>
    <w:p w14:paraId="4C48E42C"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Jorge TOYAMA MIYAGUSUKU</w:t>
      </w:r>
    </w:p>
    <w:p w14:paraId="236652F0"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 xml:space="preserve">“Los contratos de naturaleza accidental son el segundo tipo de contratos sujetos a modalidad y se dividen en: contrato ocasional, contrato de suplencia y contrato de emergencia.” (Jorge TOYAMA MIYAGUSUKU. Luis </w:t>
      </w:r>
      <w:r w:rsidRPr="000D3432">
        <w:rPr>
          <w:rFonts w:asciiTheme="minorHAnsi" w:hAnsiTheme="minorHAnsi" w:cs="Arial"/>
          <w:szCs w:val="24"/>
          <w:lang w:val="es-ES_tradnl"/>
        </w:rPr>
        <w:lastRenderedPageBreak/>
        <w:t>VINATEA RECOBA. Guía laboral – Guía legal de problemas y soluciones laborales. Editorial Gaceta Jurídica. Pp. 19).</w:t>
      </w:r>
    </w:p>
    <w:p w14:paraId="27888AB2" w14:textId="77777777" w:rsidR="00FA79B0" w:rsidRPr="000D3432" w:rsidRDefault="00FA79B0" w:rsidP="00A95498">
      <w:pPr>
        <w:ind w:left="708"/>
        <w:jc w:val="both"/>
        <w:rPr>
          <w:rFonts w:asciiTheme="minorHAnsi" w:hAnsiTheme="minorHAnsi" w:cs="Arial"/>
          <w:szCs w:val="24"/>
          <w:lang w:val="es-ES_tradnl"/>
        </w:rPr>
      </w:pPr>
    </w:p>
    <w:p w14:paraId="3C3D8969"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 xml:space="preserve">5.- CONTRATO DE SUPLENCIA </w:t>
      </w:r>
    </w:p>
    <w:p w14:paraId="1FCD4435"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 xml:space="preserve">Sobre el concepto de Contratos de Suplencia tenemos los siguientes: </w:t>
      </w:r>
    </w:p>
    <w:p w14:paraId="20BE6E89" w14:textId="77777777" w:rsidR="00FA79B0" w:rsidRPr="000D3432" w:rsidRDefault="00FA79B0" w:rsidP="00A95498">
      <w:pPr>
        <w:jc w:val="both"/>
        <w:rPr>
          <w:rFonts w:asciiTheme="minorHAnsi" w:hAnsiTheme="minorHAnsi" w:cs="Arial"/>
          <w:szCs w:val="24"/>
          <w:lang w:val="es-ES_tradnl"/>
        </w:rPr>
      </w:pPr>
    </w:p>
    <w:p w14:paraId="44A349F9" w14:textId="77777777" w:rsidR="00FA79B0" w:rsidRPr="000D3432" w:rsidRDefault="00FA79B0" w:rsidP="009E6E2E">
      <w:pPr>
        <w:widowControl/>
        <w:numPr>
          <w:ilvl w:val="0"/>
          <w:numId w:val="30"/>
        </w:numPr>
        <w:overflowPunct/>
        <w:autoSpaceDE/>
        <w:autoSpaceDN/>
        <w:adjustRightInd/>
        <w:jc w:val="both"/>
        <w:textAlignment w:val="auto"/>
        <w:rPr>
          <w:rFonts w:asciiTheme="minorHAnsi" w:hAnsiTheme="minorHAnsi" w:cs="Arial"/>
          <w:b/>
          <w:szCs w:val="24"/>
          <w:lang w:val="es-ES_tradnl"/>
        </w:rPr>
      </w:pPr>
      <w:r w:rsidRPr="000D3432">
        <w:rPr>
          <w:rFonts w:asciiTheme="minorHAnsi" w:hAnsiTheme="minorHAnsi" w:cs="Arial"/>
          <w:b/>
          <w:szCs w:val="24"/>
          <w:lang w:val="es-ES_tradnl"/>
        </w:rPr>
        <w:t>Jorge TOYAMA MIYAGUSUKU</w:t>
      </w:r>
    </w:p>
    <w:p w14:paraId="4759A4E2"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“El contrato de suplencia se celebra para sustituir a un trabajador estable de la empresa, cuyo vínculo laboral se encuentra suspendido por alguna causa justificada prevista en la legislación vigente, o por efecto de disposiciones convencionales aplicables en el centro de trabajo. Su duración será la que resulte necesaria según las circunstancias. En cualquier caso, el empleador deberá reservar el puesto a su titular, quien conserva su derecho de readmisión en la empresa, operando con su reincorporación oportuna la extinción del contrato de suplencia. En esta modalidad de contrato se encuentran comprendidas las coberturas de puestos de trabajo estable, cuyo titular, por razones de orden administrativo, debe desarrollar temporalmente otras labores en el centro de trabajo.”  (Jorge TOYAMA MIYAGUSUKU. Luis VINATEA RECOBA. Guía laboral – Guía legal de problemas y soluciones laborales. Editorial Gaceta Jurídica. Pp. 20).</w:t>
      </w:r>
    </w:p>
    <w:p w14:paraId="55173A42" w14:textId="77777777" w:rsidR="00FA79B0" w:rsidRPr="000D3432" w:rsidRDefault="00FA79B0" w:rsidP="00A95498">
      <w:pPr>
        <w:jc w:val="both"/>
        <w:rPr>
          <w:rFonts w:asciiTheme="minorHAnsi" w:hAnsiTheme="minorHAnsi" w:cs="Arial"/>
          <w:szCs w:val="24"/>
          <w:lang w:val="es-ES_tradnl"/>
        </w:rPr>
      </w:pPr>
    </w:p>
    <w:p w14:paraId="7722CCBE" w14:textId="77777777" w:rsidR="00FA79B0" w:rsidRPr="000D3432" w:rsidRDefault="00FA79B0" w:rsidP="00A95498">
      <w:pPr>
        <w:ind w:left="709" w:hanging="1"/>
        <w:jc w:val="both"/>
        <w:rPr>
          <w:rFonts w:asciiTheme="minorHAnsi" w:hAnsiTheme="minorHAnsi" w:cs="Arial"/>
          <w:szCs w:val="24"/>
          <w:lang w:val="es-ES_tradnl"/>
        </w:rPr>
      </w:pPr>
      <w:r w:rsidRPr="000D3432">
        <w:rPr>
          <w:rFonts w:asciiTheme="minorHAnsi" w:hAnsiTheme="minorHAnsi" w:cs="Arial"/>
          <w:szCs w:val="24"/>
          <w:lang w:val="es-ES_tradnl"/>
        </w:rPr>
        <w:t xml:space="preserve">“Son contratos </w:t>
      </w:r>
      <w:r w:rsidRPr="000D3432">
        <w:rPr>
          <w:rFonts w:asciiTheme="minorHAnsi" w:hAnsiTheme="minorHAnsi" w:cs="Arial"/>
          <w:i/>
          <w:szCs w:val="24"/>
          <w:lang w:val="es-ES_tradnl"/>
        </w:rPr>
        <w:t>Dies Certus</w:t>
      </w:r>
      <w:r w:rsidRPr="000D3432">
        <w:rPr>
          <w:rFonts w:asciiTheme="minorHAnsi" w:hAnsiTheme="minorHAnsi" w:cs="Arial"/>
          <w:szCs w:val="24"/>
          <w:lang w:val="es-ES_tradnl"/>
        </w:rPr>
        <w:t xml:space="preserve"> por excelencia, pues vencen automáticamente cuando el titular</w:t>
      </w:r>
    </w:p>
    <w:p w14:paraId="0D157BE7" w14:textId="77777777" w:rsidR="00FA79B0" w:rsidRPr="000D3432" w:rsidRDefault="00FA79B0" w:rsidP="00A95498">
      <w:pPr>
        <w:pStyle w:val="Textonotapie"/>
        <w:jc w:val="both"/>
        <w:rPr>
          <w:rFonts w:asciiTheme="minorHAnsi" w:hAnsiTheme="minorHAnsi" w:cs="Arial"/>
          <w:sz w:val="24"/>
          <w:szCs w:val="24"/>
          <w:lang w:val="es-ES_tradnl"/>
        </w:rPr>
      </w:pPr>
    </w:p>
    <w:p w14:paraId="0C3F0F88" w14:textId="77777777" w:rsidR="00FA79B0" w:rsidRPr="000D3432" w:rsidRDefault="00FA79B0" w:rsidP="009E6E2E">
      <w:pPr>
        <w:pStyle w:val="Textonotapie"/>
        <w:widowControl/>
        <w:numPr>
          <w:ilvl w:val="0"/>
          <w:numId w:val="32"/>
        </w:numPr>
        <w:overflowPunct/>
        <w:autoSpaceDE/>
        <w:autoSpaceDN/>
        <w:adjustRightInd/>
        <w:jc w:val="both"/>
        <w:textAlignment w:val="auto"/>
        <w:rPr>
          <w:rFonts w:asciiTheme="minorHAnsi" w:hAnsiTheme="minorHAnsi" w:cs="Arial"/>
          <w:b/>
          <w:bCs/>
          <w:sz w:val="24"/>
          <w:szCs w:val="24"/>
          <w:lang w:val="es-ES_tradnl"/>
        </w:rPr>
      </w:pPr>
      <w:r w:rsidRPr="000D3432">
        <w:rPr>
          <w:rFonts w:asciiTheme="minorHAnsi" w:hAnsiTheme="minorHAnsi" w:cs="Arial"/>
          <w:b/>
          <w:bCs/>
          <w:sz w:val="24"/>
          <w:szCs w:val="24"/>
          <w:lang w:val="es-ES_tradnl"/>
        </w:rPr>
        <w:t>Contrato de Suplencia:</w:t>
      </w:r>
    </w:p>
    <w:p w14:paraId="6A439A3D"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 xml:space="preserve">El contrato accidental de suplencia, de acuerdo al TUO del Dec. Leg. N° 728, Artículo 61°, es “aquel celebrado entre un empleador y un trabajador con el objeto que este sustituya a un trabajador estable de la empresa, cuyo vínculo laboral se encuentre suspendido por alguna causa justificada prevista en la legislación vigente, o por efecto de disposiciones convencionales aplicables en el centro de trabajo. Su duración será la que resulte necesaria según las circunstancias.  En tal caso el empleador deberá reservar el puesto a su titular, quien conserva su derecho de readmisión en la empresa, operando con su reincorporación oportuna la extinción del contrato de suplencia.”. </w:t>
      </w:r>
    </w:p>
    <w:p w14:paraId="3E80FB17" w14:textId="77777777" w:rsidR="00FA79B0" w:rsidRPr="000D3432" w:rsidRDefault="00FA79B0" w:rsidP="00A95498">
      <w:pPr>
        <w:jc w:val="both"/>
        <w:rPr>
          <w:rFonts w:asciiTheme="minorHAnsi" w:hAnsiTheme="minorHAnsi" w:cs="Arial"/>
          <w:szCs w:val="24"/>
          <w:lang w:val="es-ES_tradnl"/>
        </w:rPr>
      </w:pPr>
    </w:p>
    <w:p w14:paraId="752D6E87"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6.- CONTRATOS DE OBRA O SERVICIO</w:t>
      </w:r>
    </w:p>
    <w:p w14:paraId="6AF634B1"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 xml:space="preserve">Según el TUO del Dec. Leg. N° 728, en su artículo 63, los Contratos para Servicio Específico, son aquellos celebrados entre un empleador y un trabajador </w:t>
      </w:r>
      <w:r w:rsidRPr="000D3432">
        <w:rPr>
          <w:rFonts w:asciiTheme="minorHAnsi" w:hAnsiTheme="minorHAnsi" w:cs="Arial"/>
          <w:b/>
          <w:szCs w:val="24"/>
          <w:lang w:val="es-ES_tradnl"/>
        </w:rPr>
        <w:t>con objeto previamente establecido y de duración determinada.</w:t>
      </w:r>
      <w:r w:rsidRPr="000D3432">
        <w:rPr>
          <w:rFonts w:asciiTheme="minorHAnsi" w:hAnsiTheme="minorHAnsi" w:cs="Arial"/>
          <w:szCs w:val="24"/>
          <w:lang w:val="es-ES_tradnl"/>
        </w:rPr>
        <w:t xml:space="preserve"> </w:t>
      </w:r>
    </w:p>
    <w:p w14:paraId="025049B0"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t>De lo que se desprende sus dos términos específicos:</w:t>
      </w:r>
    </w:p>
    <w:p w14:paraId="5D27A141" w14:textId="77777777" w:rsidR="00FA79B0" w:rsidRPr="000D3432" w:rsidRDefault="00FA79B0" w:rsidP="00A95498">
      <w:pPr>
        <w:ind w:left="1416"/>
        <w:jc w:val="both"/>
        <w:rPr>
          <w:rFonts w:asciiTheme="minorHAnsi" w:hAnsiTheme="minorHAnsi" w:cs="Arial"/>
          <w:szCs w:val="24"/>
          <w:lang w:val="es-ES_tradnl"/>
        </w:rPr>
      </w:pPr>
      <w:r w:rsidRPr="000D3432">
        <w:rPr>
          <w:rFonts w:asciiTheme="minorHAnsi" w:hAnsiTheme="minorHAnsi" w:cs="Arial"/>
          <w:szCs w:val="24"/>
          <w:lang w:val="es-ES_tradnl"/>
        </w:rPr>
        <w:t>1.- Objeto previamente determinado, es decir la razón de la contratación,</w:t>
      </w:r>
    </w:p>
    <w:p w14:paraId="54621CEC" w14:textId="77777777" w:rsidR="00FA79B0" w:rsidRPr="000D3432" w:rsidRDefault="00FA79B0" w:rsidP="00A95498">
      <w:pPr>
        <w:ind w:left="1416"/>
        <w:jc w:val="both"/>
        <w:rPr>
          <w:rFonts w:asciiTheme="minorHAnsi" w:hAnsiTheme="minorHAnsi" w:cs="Arial"/>
          <w:szCs w:val="24"/>
          <w:lang w:val="es-ES_tradnl"/>
        </w:rPr>
      </w:pPr>
      <w:r w:rsidRPr="000D3432">
        <w:rPr>
          <w:rFonts w:asciiTheme="minorHAnsi" w:hAnsiTheme="minorHAnsi" w:cs="Arial"/>
          <w:szCs w:val="24"/>
          <w:lang w:val="es-ES_tradnl"/>
        </w:rPr>
        <w:t>2.- Duración determinada.</w:t>
      </w:r>
    </w:p>
    <w:p w14:paraId="52FC6033" w14:textId="77777777" w:rsidR="00FA79B0" w:rsidRPr="000D3432" w:rsidRDefault="00FA79B0" w:rsidP="00A95498">
      <w:pPr>
        <w:jc w:val="both"/>
        <w:rPr>
          <w:rFonts w:asciiTheme="minorHAnsi" w:hAnsiTheme="minorHAnsi" w:cs="Arial"/>
          <w:szCs w:val="24"/>
          <w:lang w:val="es-ES_tradnl"/>
        </w:rPr>
      </w:pPr>
    </w:p>
    <w:p w14:paraId="370375E5"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7.- CONTRATO ESPECÍFICO</w:t>
      </w:r>
    </w:p>
    <w:p w14:paraId="1ACEA537" w14:textId="77777777" w:rsidR="00FA79B0" w:rsidRPr="000D3432" w:rsidRDefault="00FA79B0" w:rsidP="00A95498">
      <w:pPr>
        <w:ind w:left="708"/>
        <w:jc w:val="both"/>
        <w:rPr>
          <w:rFonts w:asciiTheme="minorHAnsi" w:hAnsiTheme="minorHAnsi" w:cs="Arial"/>
          <w:szCs w:val="24"/>
          <w:lang w:val="es-ES_tradnl"/>
        </w:rPr>
      </w:pPr>
      <w:r w:rsidRPr="000D3432">
        <w:rPr>
          <w:rFonts w:asciiTheme="minorHAnsi" w:hAnsiTheme="minorHAnsi" w:cs="Arial"/>
          <w:szCs w:val="24"/>
          <w:lang w:val="es-ES_tradnl"/>
        </w:rPr>
        <w:lastRenderedPageBreak/>
        <w:t>“Es aquel celebrado entre un empleador y un trabajador con un objeto previamente establecido y una duración determinada. La característica de estos contratos es que al trabajador se le requiere para que ejecute una obra, material o intelectual, o un servicio específico, y no para que simplemente preste su servicio durante un periodo de tiempo. Es decir, se exige un resultado. En el contrato deberá señalarse expresamente su objeto, sin perjuicio que las partes convengan la duración del mismo, que sólo podrá mantenerse en dicha calidad hasta el cumplimiento del objeto del contrato.” (Jorge CASTILLO GUZMÁN y otros. Manual Práctico de Derecho Individual del Trabajo. Ediciones Caballero Bustamante. Pág. A-11, A-12).</w:t>
      </w:r>
    </w:p>
    <w:p w14:paraId="04A4EC5A" w14:textId="77777777" w:rsidR="00FA79B0" w:rsidRPr="000D3432" w:rsidRDefault="00FA79B0" w:rsidP="00A95498">
      <w:pPr>
        <w:ind w:left="708" w:hanging="708"/>
        <w:jc w:val="both"/>
        <w:rPr>
          <w:rFonts w:asciiTheme="minorHAnsi" w:hAnsiTheme="minorHAnsi" w:cs="Arial"/>
          <w:szCs w:val="24"/>
          <w:lang w:val="es-ES_tradnl"/>
        </w:rPr>
      </w:pPr>
    </w:p>
    <w:p w14:paraId="460BE31B" w14:textId="77777777" w:rsidR="00FA79B0" w:rsidRPr="000D3432" w:rsidRDefault="00FA79B0" w:rsidP="00A95498">
      <w:pPr>
        <w:ind w:left="708" w:hanging="708"/>
        <w:jc w:val="both"/>
        <w:rPr>
          <w:rFonts w:asciiTheme="minorHAnsi" w:hAnsiTheme="minorHAnsi" w:cs="Arial"/>
          <w:szCs w:val="24"/>
          <w:lang w:val="es-ES_tradnl"/>
        </w:rPr>
      </w:pPr>
    </w:p>
    <w:p w14:paraId="5114554E" w14:textId="77777777" w:rsidR="00FA79B0" w:rsidRPr="000D3432" w:rsidRDefault="00FA79B0" w:rsidP="00A95498">
      <w:pPr>
        <w:ind w:left="708" w:hanging="708"/>
        <w:jc w:val="both"/>
        <w:rPr>
          <w:rFonts w:asciiTheme="minorHAnsi" w:hAnsiTheme="minorHAnsi" w:cs="Arial"/>
          <w:szCs w:val="24"/>
          <w:lang w:val="es-ES_tradnl"/>
        </w:rPr>
      </w:pPr>
    </w:p>
    <w:p w14:paraId="14196AA7"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8.- VALIDEZ DE LOS CONTRATOS</w:t>
      </w:r>
    </w:p>
    <w:p w14:paraId="2E1D4FED"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Los requisitos formales para la validez de los contratos están establecidos en el artículo 72 y siguientes del TUO del Dec. Leg. N° 728, y son:</w:t>
      </w:r>
    </w:p>
    <w:p w14:paraId="359006F9" w14:textId="77777777" w:rsidR="00FA79B0" w:rsidRPr="000D3432" w:rsidRDefault="00FA79B0" w:rsidP="00A95498">
      <w:pPr>
        <w:jc w:val="both"/>
        <w:rPr>
          <w:rFonts w:asciiTheme="minorHAnsi" w:hAnsiTheme="minorHAnsi" w:cs="Arial"/>
          <w:szCs w:val="24"/>
          <w:lang w:val="es-ES_tradnl"/>
        </w:rPr>
      </w:pPr>
    </w:p>
    <w:p w14:paraId="71684A0F" w14:textId="77777777" w:rsidR="00FA79B0" w:rsidRPr="000D3432" w:rsidRDefault="00FA79B0" w:rsidP="00A95498">
      <w:pPr>
        <w:ind w:left="993" w:hanging="285"/>
        <w:jc w:val="both"/>
        <w:rPr>
          <w:rFonts w:asciiTheme="minorHAnsi" w:hAnsiTheme="minorHAnsi" w:cs="Arial"/>
          <w:szCs w:val="24"/>
          <w:lang w:val="es-ES_tradnl"/>
        </w:rPr>
      </w:pPr>
      <w:r w:rsidRPr="000D3432">
        <w:rPr>
          <w:rFonts w:asciiTheme="minorHAnsi" w:hAnsiTheme="minorHAnsi" w:cs="Arial"/>
          <w:szCs w:val="24"/>
          <w:lang w:val="es-ES_tradnl"/>
        </w:rPr>
        <w:t>1.- Los contratos deberán constar por escrito y por triplicado, consignación expresa de la duración, y causas objetivas determinantes de la contratación, y demás condiciones de la relación laboral (Art. 72).</w:t>
      </w:r>
    </w:p>
    <w:p w14:paraId="48EE05DA" w14:textId="77777777" w:rsidR="00FA79B0" w:rsidRPr="000D3432" w:rsidRDefault="00FA79B0" w:rsidP="00A95498">
      <w:pPr>
        <w:ind w:left="993" w:hanging="285"/>
        <w:jc w:val="both"/>
        <w:rPr>
          <w:rFonts w:asciiTheme="minorHAnsi" w:hAnsiTheme="minorHAnsi" w:cs="Arial"/>
          <w:szCs w:val="24"/>
          <w:lang w:val="es-ES_tradnl"/>
        </w:rPr>
      </w:pPr>
      <w:r w:rsidRPr="000D3432">
        <w:rPr>
          <w:rFonts w:asciiTheme="minorHAnsi" w:hAnsiTheme="minorHAnsi" w:cs="Arial"/>
          <w:szCs w:val="24"/>
          <w:lang w:val="es-ES_tradnl"/>
        </w:rPr>
        <w:t>2.- Una copia de los contratos presentada a la Autoridad Administrativa de Trabajo, dentro de los 15 días naturales de su celebración, para conocimiento y registro. (Art. 73).</w:t>
      </w:r>
    </w:p>
    <w:p w14:paraId="6E636551" w14:textId="77777777" w:rsidR="00FA79B0" w:rsidRPr="000D3432" w:rsidRDefault="00FA79B0" w:rsidP="00A95498">
      <w:pPr>
        <w:jc w:val="both"/>
        <w:rPr>
          <w:rFonts w:asciiTheme="minorHAnsi" w:hAnsiTheme="minorHAnsi" w:cs="Arial"/>
          <w:szCs w:val="24"/>
          <w:lang w:val="es-ES_tradnl"/>
        </w:rPr>
      </w:pPr>
    </w:p>
    <w:p w14:paraId="7632CE8E" w14:textId="77777777" w:rsidR="00FA79B0" w:rsidRPr="000D3432" w:rsidRDefault="00FA79B0" w:rsidP="00A95498">
      <w:pPr>
        <w:jc w:val="both"/>
        <w:rPr>
          <w:rFonts w:asciiTheme="minorHAnsi" w:hAnsiTheme="minorHAnsi" w:cs="Arial"/>
          <w:b/>
          <w:szCs w:val="24"/>
          <w:lang w:val="es-ES_tradnl"/>
        </w:rPr>
      </w:pPr>
      <w:r w:rsidRPr="000D3432">
        <w:rPr>
          <w:rFonts w:asciiTheme="minorHAnsi" w:hAnsiTheme="minorHAnsi" w:cs="Arial"/>
          <w:b/>
          <w:szCs w:val="24"/>
          <w:lang w:val="es-ES_tradnl"/>
        </w:rPr>
        <w:t>9.- NORMAS COMUNES PARA LOS CONTRATOS DE TRABAJO</w:t>
      </w:r>
    </w:p>
    <w:p w14:paraId="162B20CA" w14:textId="77777777" w:rsidR="00FA79B0" w:rsidRPr="000D3432" w:rsidRDefault="00FA79B0" w:rsidP="00A95498">
      <w:pPr>
        <w:jc w:val="both"/>
        <w:rPr>
          <w:rFonts w:asciiTheme="minorHAnsi" w:hAnsiTheme="minorHAnsi" w:cs="Arial"/>
          <w:szCs w:val="24"/>
          <w:lang w:val="es-ES_tradnl"/>
        </w:rPr>
      </w:pPr>
      <w:r w:rsidRPr="000D3432">
        <w:rPr>
          <w:rFonts w:asciiTheme="minorHAnsi" w:hAnsiTheme="minorHAnsi" w:cs="Arial"/>
          <w:szCs w:val="24"/>
          <w:lang w:val="es-ES_tradnl"/>
        </w:rPr>
        <w:t>De acuerdo al artículo 74 y siguientes del TUO del Dec. Leg. N° 728, son normas comunes a los contratos:</w:t>
      </w:r>
    </w:p>
    <w:p w14:paraId="0F959AF6" w14:textId="77777777" w:rsidR="00FA79B0" w:rsidRPr="000D3432" w:rsidRDefault="00FA79B0" w:rsidP="00A95498">
      <w:pPr>
        <w:ind w:left="993" w:hanging="285"/>
        <w:jc w:val="both"/>
        <w:rPr>
          <w:rFonts w:asciiTheme="minorHAnsi" w:hAnsiTheme="minorHAnsi" w:cs="Arial"/>
          <w:szCs w:val="24"/>
          <w:lang w:val="es-ES_tradnl"/>
        </w:rPr>
      </w:pPr>
      <w:r w:rsidRPr="000D3432">
        <w:rPr>
          <w:rFonts w:asciiTheme="minorHAnsi" w:hAnsiTheme="minorHAnsi" w:cs="Arial"/>
          <w:szCs w:val="24"/>
          <w:lang w:val="es-ES_tradnl"/>
        </w:rPr>
        <w:t>1.- Los contratos se celebrarán sólo por un periodo que no supere los límites de los plazos máximos del tipo de contrato (Art. 74).</w:t>
      </w:r>
    </w:p>
    <w:p w14:paraId="79667DF8" w14:textId="77777777" w:rsidR="00FA79B0" w:rsidRPr="000D3432" w:rsidRDefault="00FA79B0" w:rsidP="00A95498">
      <w:pPr>
        <w:ind w:left="993" w:hanging="285"/>
        <w:jc w:val="both"/>
        <w:rPr>
          <w:rFonts w:asciiTheme="minorHAnsi" w:hAnsiTheme="minorHAnsi" w:cs="Arial"/>
          <w:szCs w:val="24"/>
          <w:lang w:val="es-ES_tradnl"/>
        </w:rPr>
      </w:pPr>
      <w:r w:rsidRPr="000D3432">
        <w:rPr>
          <w:rFonts w:asciiTheme="minorHAnsi" w:hAnsiTheme="minorHAnsi" w:cs="Arial"/>
          <w:szCs w:val="24"/>
          <w:lang w:val="es-ES_tradnl"/>
        </w:rPr>
        <w:t>2.-  Que cuando se celebren en forma sucesiva diversos contratos de distintas modalidades, no deben superar los cinco años, sumados todos estos ( Art. 74, segundo párrafo).</w:t>
      </w:r>
    </w:p>
    <w:p w14:paraId="6BFB928B" w14:textId="77777777" w:rsidR="00FA79B0" w:rsidRPr="000D3432" w:rsidRDefault="00FA79B0" w:rsidP="00A95498">
      <w:pPr>
        <w:ind w:left="993" w:hanging="285"/>
        <w:jc w:val="both"/>
        <w:rPr>
          <w:rFonts w:asciiTheme="minorHAnsi" w:hAnsiTheme="minorHAnsi" w:cs="Arial"/>
          <w:szCs w:val="24"/>
          <w:lang w:val="es-ES_tradnl"/>
        </w:rPr>
      </w:pPr>
      <w:r w:rsidRPr="000D3432">
        <w:rPr>
          <w:rFonts w:asciiTheme="minorHAnsi" w:hAnsiTheme="minorHAnsi" w:cs="Arial"/>
          <w:szCs w:val="24"/>
          <w:lang w:val="es-ES_tradnl"/>
        </w:rPr>
        <w:t>3.- Los contratos sujetos a modalidad rige el periodo de prueba legal o convencional. ( Art. 75).</w:t>
      </w:r>
    </w:p>
    <w:p w14:paraId="2D31DDA7" w14:textId="77777777" w:rsidR="00FA79B0" w:rsidRPr="000D3432" w:rsidRDefault="00FA79B0" w:rsidP="00A95498">
      <w:pPr>
        <w:ind w:left="993" w:hanging="285"/>
        <w:jc w:val="both"/>
        <w:rPr>
          <w:rFonts w:asciiTheme="minorHAnsi" w:hAnsiTheme="minorHAnsi" w:cs="Arial"/>
          <w:szCs w:val="24"/>
          <w:lang w:val="es-ES_tradnl"/>
        </w:rPr>
      </w:pPr>
      <w:r w:rsidRPr="000D3432">
        <w:rPr>
          <w:rFonts w:asciiTheme="minorHAnsi" w:hAnsiTheme="minorHAnsi" w:cs="Arial"/>
          <w:szCs w:val="24"/>
          <w:lang w:val="es-ES_tradnl"/>
        </w:rPr>
        <w:t>3.- En caso de superar el periodo de prueba, y se resolviera arbitrariamente el contrato, se abonará la indemnización equivalente a una remuneración y media ordinaria mensual, por cada mes trabajado, hasta el vencimiento del contrato. Límite de 12 remuneraciones. (Art. 76).</w:t>
      </w:r>
    </w:p>
    <w:p w14:paraId="6D110C95" w14:textId="77777777" w:rsidR="00FA79B0" w:rsidRPr="000D3432" w:rsidRDefault="00FA79B0" w:rsidP="00A95498">
      <w:pPr>
        <w:jc w:val="both"/>
        <w:rPr>
          <w:rFonts w:asciiTheme="minorHAnsi" w:hAnsiTheme="minorHAnsi" w:cs="Arial"/>
          <w:szCs w:val="24"/>
          <w:lang w:val="es-ES_tradnl"/>
        </w:rPr>
      </w:pPr>
    </w:p>
    <w:p w14:paraId="421CA3D2" w14:textId="77777777" w:rsidR="00FA79B0" w:rsidRPr="000D3432" w:rsidRDefault="00FA79B0" w:rsidP="00A95498">
      <w:pPr>
        <w:rPr>
          <w:rFonts w:asciiTheme="minorHAnsi" w:hAnsiTheme="minorHAnsi" w:cs="Arial"/>
          <w:szCs w:val="24"/>
          <w:lang w:val="es-ES_tradnl"/>
        </w:rPr>
      </w:pPr>
    </w:p>
    <w:p w14:paraId="5FC57426" w14:textId="77777777" w:rsidR="00FA79B0" w:rsidRPr="000D3432" w:rsidRDefault="00FA79B0" w:rsidP="00A95498">
      <w:pPr>
        <w:rPr>
          <w:rFonts w:asciiTheme="minorHAnsi" w:hAnsiTheme="minorHAnsi" w:cs="Arial"/>
          <w:szCs w:val="24"/>
          <w:lang w:val="es-ES_tradnl"/>
        </w:rPr>
      </w:pPr>
    </w:p>
    <w:p w14:paraId="70FDF117" w14:textId="77777777" w:rsidR="00FA79B0" w:rsidRPr="000D3432" w:rsidRDefault="00FA79B0" w:rsidP="00A95498">
      <w:pPr>
        <w:rPr>
          <w:rFonts w:asciiTheme="minorHAnsi" w:hAnsiTheme="minorHAnsi"/>
          <w:szCs w:val="24"/>
        </w:rPr>
      </w:pPr>
    </w:p>
    <w:p w14:paraId="5916E3AF" w14:textId="77777777" w:rsidR="00FA79B0" w:rsidRPr="000D3432" w:rsidRDefault="00FA79B0" w:rsidP="00A95498">
      <w:pPr>
        <w:rPr>
          <w:rFonts w:asciiTheme="minorHAnsi" w:hAnsiTheme="minorHAnsi"/>
          <w:szCs w:val="24"/>
        </w:rPr>
      </w:pPr>
    </w:p>
    <w:p w14:paraId="5E2992CE" w14:textId="77777777" w:rsidR="00FA79B0" w:rsidRPr="000D3432" w:rsidRDefault="00FA79B0" w:rsidP="00A95498">
      <w:pPr>
        <w:rPr>
          <w:rFonts w:asciiTheme="minorHAnsi" w:hAnsiTheme="minorHAnsi"/>
          <w:szCs w:val="24"/>
        </w:rPr>
      </w:pPr>
    </w:p>
    <w:p w14:paraId="7BF1C7B1" w14:textId="77777777" w:rsidR="00FA79B0" w:rsidRPr="000D3432" w:rsidRDefault="00FA79B0" w:rsidP="00A95498">
      <w:pPr>
        <w:rPr>
          <w:rFonts w:asciiTheme="minorHAnsi" w:hAnsiTheme="minorHAnsi"/>
          <w:szCs w:val="24"/>
        </w:rPr>
      </w:pPr>
    </w:p>
    <w:p w14:paraId="0586CFDC" w14:textId="77777777" w:rsidR="00FA79B0" w:rsidRPr="000D3432" w:rsidRDefault="00FA79B0" w:rsidP="00A95498">
      <w:pPr>
        <w:rPr>
          <w:rFonts w:asciiTheme="minorHAnsi" w:hAnsiTheme="minorHAnsi"/>
          <w:szCs w:val="24"/>
        </w:rPr>
      </w:pPr>
    </w:p>
    <w:p w14:paraId="1FE0D675" w14:textId="77777777" w:rsidR="00FA79B0" w:rsidRPr="000D3432" w:rsidRDefault="00FA79B0" w:rsidP="00A95498">
      <w:pPr>
        <w:rPr>
          <w:rFonts w:asciiTheme="minorHAnsi" w:hAnsiTheme="minorHAnsi"/>
          <w:szCs w:val="24"/>
        </w:rPr>
      </w:pPr>
    </w:p>
    <w:p w14:paraId="0F900E70" w14:textId="77777777" w:rsidR="00FA79B0" w:rsidRPr="000D3432" w:rsidRDefault="00FA79B0" w:rsidP="00A95498">
      <w:pPr>
        <w:rPr>
          <w:rFonts w:asciiTheme="minorHAnsi" w:hAnsiTheme="minorHAnsi"/>
          <w:szCs w:val="24"/>
        </w:rPr>
      </w:pPr>
    </w:p>
    <w:p w14:paraId="2486A08D" w14:textId="77777777" w:rsidR="004A636D" w:rsidRPr="000D3432" w:rsidRDefault="004A636D"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5BCA0E19" w14:textId="77777777" w:rsidR="00FA79B0" w:rsidRPr="000D3432" w:rsidRDefault="00FA79B0" w:rsidP="00A95498">
      <w:pPr>
        <w:rPr>
          <w:rFonts w:asciiTheme="minorHAnsi" w:hAnsiTheme="minorHAnsi"/>
          <w:szCs w:val="24"/>
        </w:rPr>
      </w:pPr>
    </w:p>
    <w:p w14:paraId="718BBCDB" w14:textId="77777777" w:rsidR="004A636D" w:rsidRPr="000D3432" w:rsidRDefault="004A636D" w:rsidP="00A95498">
      <w:pPr>
        <w:rPr>
          <w:rFonts w:asciiTheme="minorHAnsi" w:hAnsiTheme="minorHAnsi"/>
          <w:szCs w:val="24"/>
        </w:rPr>
      </w:pPr>
    </w:p>
    <w:p w14:paraId="18D90D5B" w14:textId="77777777" w:rsidR="001B03E0" w:rsidRPr="000D3432" w:rsidRDefault="001B03E0" w:rsidP="00A95498">
      <w:pPr>
        <w:rPr>
          <w:rFonts w:asciiTheme="minorHAnsi" w:hAnsiTheme="minorHAnsi"/>
          <w:szCs w:val="24"/>
        </w:rPr>
      </w:pPr>
    </w:p>
    <w:p w14:paraId="7522B292" w14:textId="77777777" w:rsidR="001B03E0" w:rsidRPr="000D3432" w:rsidRDefault="001B03E0" w:rsidP="00A95498">
      <w:pPr>
        <w:jc w:val="right"/>
        <w:outlineLvl w:val="1"/>
        <w:rPr>
          <w:rFonts w:asciiTheme="minorHAnsi" w:hAnsiTheme="minorHAnsi" w:cs="Arial"/>
          <w:b/>
          <w:bCs/>
          <w:color w:val="1F497D" w:themeColor="text2"/>
          <w:szCs w:val="24"/>
          <w:lang w:val="es-ES_tradnl"/>
        </w:rPr>
      </w:pPr>
    </w:p>
    <w:p w14:paraId="4F2992CF" w14:textId="77777777" w:rsidR="001B03E0" w:rsidRPr="000D3432" w:rsidRDefault="001B03E0" w:rsidP="00A95498">
      <w:pPr>
        <w:tabs>
          <w:tab w:val="left" w:pos="2520"/>
        </w:tabs>
        <w:outlineLvl w:val="1"/>
        <w:rPr>
          <w:rFonts w:asciiTheme="minorHAnsi" w:hAnsiTheme="minorHAnsi" w:cs="Arial"/>
          <w:b/>
          <w:bCs/>
          <w:color w:val="1F497D" w:themeColor="text2"/>
          <w:szCs w:val="24"/>
          <w:lang w:val="es-ES_tradnl"/>
        </w:rPr>
      </w:pPr>
      <w:r w:rsidRPr="000D3432">
        <w:rPr>
          <w:rFonts w:asciiTheme="minorHAnsi" w:hAnsiTheme="minorHAnsi" w:cs="Arial"/>
          <w:b/>
          <w:bCs/>
          <w:color w:val="1F497D" w:themeColor="text2"/>
          <w:szCs w:val="24"/>
          <w:lang w:val="es-ES_tradnl"/>
        </w:rPr>
        <w:tab/>
      </w:r>
    </w:p>
    <w:p w14:paraId="08F1EE23" w14:textId="77777777" w:rsidR="001B03E0" w:rsidRPr="000D3432" w:rsidRDefault="001B03E0" w:rsidP="00A95498">
      <w:pPr>
        <w:jc w:val="center"/>
        <w:outlineLvl w:val="1"/>
        <w:rPr>
          <w:rFonts w:asciiTheme="minorHAnsi" w:hAnsiTheme="minorHAnsi" w:cs="Arial"/>
          <w:b/>
          <w:bCs/>
          <w:color w:val="1F497D" w:themeColor="text2"/>
          <w:szCs w:val="24"/>
          <w:lang w:val="es-ES_tradnl"/>
        </w:rPr>
      </w:pPr>
    </w:p>
    <w:p w14:paraId="44496D83" w14:textId="77777777" w:rsidR="001B03E0" w:rsidRPr="000D3432" w:rsidRDefault="001B03E0" w:rsidP="00A95498">
      <w:pPr>
        <w:tabs>
          <w:tab w:val="left" w:pos="1130"/>
          <w:tab w:val="right" w:pos="8505"/>
        </w:tabs>
        <w:jc w:val="center"/>
        <w:outlineLvl w:val="1"/>
        <w:rPr>
          <w:rFonts w:asciiTheme="minorHAnsi" w:hAnsiTheme="minorHAnsi" w:cs="Arial"/>
          <w:b/>
          <w:bCs/>
          <w:szCs w:val="24"/>
          <w:lang w:val="es-ES_tradnl"/>
        </w:rPr>
      </w:pPr>
    </w:p>
    <w:p w14:paraId="4FFB084A" w14:textId="77777777" w:rsidR="001B03E0" w:rsidRPr="000D3432" w:rsidRDefault="001B03E0" w:rsidP="00A95498">
      <w:pPr>
        <w:tabs>
          <w:tab w:val="left" w:pos="1130"/>
          <w:tab w:val="right" w:pos="8505"/>
        </w:tabs>
        <w:jc w:val="center"/>
        <w:outlineLvl w:val="1"/>
        <w:rPr>
          <w:rFonts w:asciiTheme="minorHAnsi" w:hAnsiTheme="minorHAnsi" w:cs="Arial"/>
          <w:b/>
          <w:bCs/>
          <w:color w:val="943634" w:themeColor="accent2" w:themeShade="BF"/>
          <w:szCs w:val="24"/>
          <w:u w:val="single"/>
          <w:lang w:val="es-ES_tradnl"/>
        </w:rPr>
      </w:pPr>
      <w:r w:rsidRPr="000D3432">
        <w:rPr>
          <w:rFonts w:asciiTheme="minorHAnsi" w:hAnsiTheme="minorHAnsi" w:cs="Arial"/>
          <w:b/>
          <w:bCs/>
          <w:color w:val="943634" w:themeColor="accent2" w:themeShade="BF"/>
          <w:szCs w:val="24"/>
          <w:u w:val="single"/>
          <w:lang w:val="es-ES_tradnl"/>
        </w:rPr>
        <w:t xml:space="preserve">EL PENSAMIENTO DE LA  </w:t>
      </w:r>
    </w:p>
    <w:p w14:paraId="6C79E695" w14:textId="77777777" w:rsidR="001B03E0" w:rsidRPr="000D3432" w:rsidRDefault="001B03E0" w:rsidP="00A95498">
      <w:pPr>
        <w:tabs>
          <w:tab w:val="left" w:pos="1130"/>
          <w:tab w:val="right" w:pos="8505"/>
        </w:tabs>
        <w:jc w:val="center"/>
        <w:outlineLvl w:val="1"/>
        <w:rPr>
          <w:rFonts w:asciiTheme="minorHAnsi" w:eastAsia="Batang" w:hAnsiTheme="minorHAnsi" w:cs="Arial"/>
          <w:b/>
          <w:smallCaps/>
          <w:szCs w:val="24"/>
          <w:lang w:val="es-ES_tradnl"/>
        </w:rPr>
      </w:pPr>
      <w:r w:rsidRPr="000D3432">
        <w:rPr>
          <w:rFonts w:asciiTheme="minorHAnsi" w:hAnsiTheme="minorHAnsi" w:cs="Arial"/>
          <w:b/>
          <w:bCs/>
          <w:szCs w:val="24"/>
          <w:lang w:val="es-ES_tradnl"/>
        </w:rPr>
        <w:t>SOSPECHA</w:t>
      </w:r>
    </w:p>
    <w:p w14:paraId="1B8FCAF5" w14:textId="77777777" w:rsidR="001B03E0" w:rsidRPr="000D3432" w:rsidRDefault="001B03E0" w:rsidP="00A95498">
      <w:pPr>
        <w:rPr>
          <w:rFonts w:asciiTheme="minorHAnsi" w:hAnsiTheme="minorHAnsi" w:cs="Arial"/>
          <w:b/>
          <w:bCs/>
          <w:szCs w:val="24"/>
          <w:lang w:val="es-ES_tradnl"/>
        </w:rPr>
      </w:pPr>
    </w:p>
    <w:p w14:paraId="7669D0F9" w14:textId="77777777" w:rsidR="001B03E0" w:rsidRPr="000D3432" w:rsidRDefault="001B03E0" w:rsidP="00A95498">
      <w:pPr>
        <w:rPr>
          <w:rFonts w:asciiTheme="minorHAnsi" w:hAnsiTheme="minorHAnsi" w:cs="Arial"/>
          <w:szCs w:val="24"/>
          <w:lang w:val="es-ES_tradnl" w:eastAsia="es-PE"/>
        </w:rPr>
      </w:pPr>
    </w:p>
    <w:p w14:paraId="11EB9241" w14:textId="77777777" w:rsidR="001B03E0" w:rsidRPr="000D3432" w:rsidRDefault="001B03E0" w:rsidP="00A95498">
      <w:pPr>
        <w:jc w:val="center"/>
        <w:outlineLvl w:val="1"/>
        <w:rPr>
          <w:rFonts w:asciiTheme="minorHAnsi" w:hAnsiTheme="minorHAnsi" w:cs="Arial"/>
          <w:b/>
          <w:bCs/>
          <w:color w:val="17365D" w:themeColor="text2" w:themeShade="BF"/>
          <w:szCs w:val="24"/>
          <w:u w:val="single"/>
          <w:lang w:val="es-ES_tradnl"/>
        </w:rPr>
      </w:pPr>
    </w:p>
    <w:p w14:paraId="21F4C9B7" w14:textId="1E3A16A8" w:rsidR="00C50326" w:rsidRPr="000D3432" w:rsidRDefault="00C50326">
      <w:pPr>
        <w:widowControl/>
        <w:overflowPunct/>
        <w:autoSpaceDE/>
        <w:autoSpaceDN/>
        <w:adjustRightInd/>
        <w:textAlignment w:val="auto"/>
        <w:rPr>
          <w:rFonts w:asciiTheme="minorHAnsi" w:hAnsiTheme="minorHAnsi" w:cs="Arial"/>
          <w:b/>
          <w:bCs/>
          <w:color w:val="1F497D" w:themeColor="text2"/>
          <w:szCs w:val="24"/>
          <w:u w:val="single"/>
          <w:lang w:val="es-ES_tradnl"/>
        </w:rPr>
      </w:pPr>
      <w:r w:rsidRPr="000D3432">
        <w:rPr>
          <w:rFonts w:asciiTheme="minorHAnsi" w:hAnsiTheme="minorHAnsi" w:cs="Arial"/>
          <w:b/>
          <w:bCs/>
          <w:color w:val="1F497D" w:themeColor="text2"/>
          <w:szCs w:val="24"/>
          <w:u w:val="single"/>
          <w:lang w:val="es-ES_tradnl"/>
        </w:rPr>
        <w:br w:type="page"/>
      </w:r>
    </w:p>
    <w:p w14:paraId="3583FF67" w14:textId="77777777" w:rsidR="001B03E0" w:rsidRPr="000D3432" w:rsidRDefault="001B03E0" w:rsidP="00A95498">
      <w:pPr>
        <w:rPr>
          <w:rFonts w:asciiTheme="minorHAnsi" w:hAnsiTheme="minorHAnsi" w:cs="Arial"/>
          <w:b/>
          <w:bCs/>
          <w:color w:val="1F497D"/>
          <w:szCs w:val="24"/>
          <w:u w:val="single"/>
          <w:lang w:val="es-ES_tradnl"/>
        </w:rPr>
      </w:pPr>
    </w:p>
    <w:p w14:paraId="46EB3105" w14:textId="77777777" w:rsidR="001B03E0" w:rsidRPr="000D3432" w:rsidRDefault="001B03E0" w:rsidP="00A95498">
      <w:pPr>
        <w:ind w:left="708"/>
        <w:rPr>
          <w:rFonts w:asciiTheme="minorHAnsi" w:hAnsiTheme="minorHAnsi"/>
          <w:szCs w:val="24"/>
          <w:lang w:val="es-ES_tradnl"/>
        </w:rPr>
      </w:pPr>
    </w:p>
    <w:p w14:paraId="47C467DB" w14:textId="77777777" w:rsidR="001B03E0" w:rsidRPr="000D3432" w:rsidRDefault="001B03E0" w:rsidP="00A95498">
      <w:pPr>
        <w:ind w:left="708"/>
        <w:rPr>
          <w:rFonts w:asciiTheme="minorHAnsi" w:hAnsiTheme="minorHAnsi"/>
          <w:szCs w:val="24"/>
          <w:lang w:val="es-ES_tradnl"/>
        </w:rPr>
      </w:pPr>
    </w:p>
    <w:p w14:paraId="54D10AA2" w14:textId="77777777" w:rsidR="001B03E0" w:rsidRPr="000D3432" w:rsidRDefault="001B03E0" w:rsidP="00A95498">
      <w:pPr>
        <w:jc w:val="center"/>
        <w:rPr>
          <w:rFonts w:asciiTheme="minorHAnsi" w:hAnsiTheme="minorHAnsi"/>
          <w:b/>
          <w:color w:val="0000FF"/>
          <w:szCs w:val="24"/>
          <w:u w:val="single"/>
          <w:lang w:val="es-ES_tradnl"/>
        </w:rPr>
      </w:pPr>
    </w:p>
    <w:p w14:paraId="7291CD07" w14:textId="77777777" w:rsidR="001B03E0" w:rsidRPr="000D3432" w:rsidRDefault="001B03E0" w:rsidP="00A95498">
      <w:pPr>
        <w:jc w:val="center"/>
        <w:rPr>
          <w:rFonts w:asciiTheme="minorHAnsi" w:hAnsiTheme="minorHAnsi"/>
          <w:b/>
          <w:color w:val="0000FF"/>
          <w:szCs w:val="24"/>
          <w:u w:val="single"/>
          <w:lang w:val="es-ES_tradnl"/>
        </w:rPr>
      </w:pPr>
    </w:p>
    <w:p w14:paraId="5E738020" w14:textId="77777777" w:rsidR="001B03E0" w:rsidRPr="000D3432" w:rsidRDefault="001B03E0" w:rsidP="00A95498">
      <w:pPr>
        <w:jc w:val="center"/>
        <w:rPr>
          <w:rFonts w:asciiTheme="minorHAnsi" w:hAnsiTheme="minorHAnsi"/>
          <w:b/>
          <w:szCs w:val="24"/>
          <w:lang w:val="es-ES_tradnl"/>
        </w:rPr>
      </w:pPr>
    </w:p>
    <w:p w14:paraId="10072BC3" w14:textId="77777777" w:rsidR="001B03E0" w:rsidRPr="000D3432" w:rsidRDefault="001B03E0" w:rsidP="00A95498">
      <w:pPr>
        <w:jc w:val="both"/>
        <w:rPr>
          <w:rFonts w:asciiTheme="minorHAnsi" w:hAnsiTheme="minorHAnsi"/>
          <w:b/>
          <w:szCs w:val="24"/>
          <w:lang w:val="es-ES_tradnl"/>
        </w:rPr>
      </w:pPr>
    </w:p>
    <w:p w14:paraId="7E268D09" w14:textId="77777777" w:rsidR="001B03E0" w:rsidRPr="000D3432" w:rsidRDefault="001B03E0" w:rsidP="00A95498">
      <w:pPr>
        <w:jc w:val="center"/>
        <w:rPr>
          <w:rFonts w:asciiTheme="minorHAnsi" w:hAnsiTheme="minorHAnsi"/>
          <w:b/>
          <w:color w:val="943634" w:themeColor="accent2" w:themeShade="BF"/>
          <w:szCs w:val="24"/>
          <w:lang w:val="es-ES_tradnl"/>
        </w:rPr>
      </w:pPr>
      <w:r w:rsidRPr="000D3432">
        <w:rPr>
          <w:rFonts w:asciiTheme="minorHAnsi" w:hAnsiTheme="minorHAnsi"/>
          <w:b/>
          <w:color w:val="943634" w:themeColor="accent2" w:themeShade="BF"/>
          <w:szCs w:val="24"/>
          <w:lang w:val="es-ES_tradnl"/>
        </w:rPr>
        <w:t>EL PENSAMIENTO DE LA SOSPECHA</w:t>
      </w:r>
    </w:p>
    <w:p w14:paraId="27FD9120"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szCs w:val="24"/>
          <w:lang w:val="es-ES_tradnl"/>
        </w:rPr>
        <w:t>(Escritos de circunstancias sobre el Derecho)</w:t>
      </w:r>
    </w:p>
    <w:p w14:paraId="45B54008" w14:textId="77777777" w:rsidR="001B03E0" w:rsidRPr="000D3432" w:rsidRDefault="001B03E0" w:rsidP="00A95498">
      <w:pPr>
        <w:jc w:val="center"/>
        <w:rPr>
          <w:rFonts w:asciiTheme="minorHAnsi" w:hAnsiTheme="minorHAnsi"/>
          <w:szCs w:val="24"/>
          <w:lang w:val="es-ES_tradnl"/>
        </w:rPr>
      </w:pPr>
    </w:p>
    <w:p w14:paraId="51336634" w14:textId="77777777" w:rsidR="001B03E0" w:rsidRPr="000D3432" w:rsidRDefault="001B03E0" w:rsidP="00A95498">
      <w:pPr>
        <w:rPr>
          <w:rFonts w:asciiTheme="minorHAnsi" w:hAnsiTheme="minorHAnsi"/>
          <w:b/>
          <w:szCs w:val="24"/>
          <w:lang w:val="es-ES_tradnl"/>
        </w:rPr>
      </w:pPr>
    </w:p>
    <w:p w14:paraId="3BE4BE0B" w14:textId="77777777" w:rsidR="001B03E0" w:rsidRPr="000D3432" w:rsidRDefault="001B03E0" w:rsidP="00A95498">
      <w:pPr>
        <w:jc w:val="center"/>
        <w:rPr>
          <w:rFonts w:asciiTheme="minorHAnsi" w:hAnsiTheme="minorHAnsi"/>
          <w:b/>
          <w:szCs w:val="24"/>
          <w:lang w:val="es-ES_tradnl"/>
        </w:rPr>
      </w:pPr>
    </w:p>
    <w:p w14:paraId="367B7F81" w14:textId="77777777" w:rsidR="001B03E0" w:rsidRPr="000D3432" w:rsidRDefault="001B03E0" w:rsidP="00A95498">
      <w:pPr>
        <w:jc w:val="both"/>
        <w:rPr>
          <w:rFonts w:asciiTheme="minorHAnsi" w:hAnsiTheme="minorHAnsi"/>
          <w:b/>
          <w:szCs w:val="24"/>
          <w:lang w:val="es-ES_tradnl"/>
        </w:rPr>
      </w:pPr>
    </w:p>
    <w:p w14:paraId="3AD73DEC" w14:textId="77777777" w:rsidR="001B03E0" w:rsidRPr="000D3432" w:rsidRDefault="001B03E0" w:rsidP="00A95498">
      <w:pPr>
        <w:jc w:val="both"/>
        <w:rPr>
          <w:rFonts w:asciiTheme="minorHAnsi" w:hAnsiTheme="minorHAnsi"/>
          <w:szCs w:val="24"/>
          <w:lang w:val="es-ES_tradnl"/>
        </w:rPr>
      </w:pPr>
    </w:p>
    <w:p w14:paraId="6E6F5A34"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color w:val="943634" w:themeColor="accent2" w:themeShade="BF"/>
          <w:szCs w:val="24"/>
          <w:u w:val="single"/>
          <w:lang w:val="es-ES_tradnl"/>
        </w:rPr>
        <w:t>¿</w:t>
      </w:r>
      <w:r w:rsidRPr="000D3432">
        <w:rPr>
          <w:rFonts w:asciiTheme="minorHAnsi" w:hAnsiTheme="minorHAnsi"/>
          <w:b/>
          <w:color w:val="943634" w:themeColor="accent2" w:themeShade="BF"/>
          <w:szCs w:val="24"/>
          <w:u w:val="single"/>
          <w:lang w:val="es-ES_tradnl"/>
        </w:rPr>
        <w:t xml:space="preserve">PARA QUÉ SIRVEN </w:t>
      </w:r>
    </w:p>
    <w:p w14:paraId="40E46411"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b/>
          <w:szCs w:val="24"/>
          <w:lang w:val="es-ES_tradnl"/>
        </w:rPr>
        <w:t>LAS INSTITUCIONES</w:t>
      </w:r>
      <w:r w:rsidRPr="000D3432">
        <w:rPr>
          <w:rFonts w:asciiTheme="minorHAnsi" w:hAnsiTheme="minorHAnsi"/>
          <w:szCs w:val="24"/>
          <w:lang w:val="es-ES_tradnl"/>
        </w:rPr>
        <w:t>?</w:t>
      </w:r>
    </w:p>
    <w:p w14:paraId="14DFBEAA" w14:textId="77777777" w:rsidR="001B03E0" w:rsidRPr="000D3432" w:rsidRDefault="001B03E0" w:rsidP="00A95498">
      <w:pPr>
        <w:jc w:val="both"/>
        <w:rPr>
          <w:rFonts w:asciiTheme="minorHAnsi" w:hAnsiTheme="minorHAnsi"/>
          <w:szCs w:val="24"/>
          <w:lang w:val="es-ES_tradnl"/>
        </w:rPr>
      </w:pPr>
    </w:p>
    <w:p w14:paraId="66A2351B"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lastRenderedPageBreak/>
        <w:t xml:space="preserve"> “Foucault señala que toda institución tiene necesariamente dos polos o dos elementos: “aparatos” y “reglas”. En efecto, organiza grandes visibilidades, campos de visibilidad, y grandes enunciabilidades, regímenes de enunciados. La institución es biforme, bifaz”</w:t>
      </w:r>
      <w:r w:rsidRPr="000D3432">
        <w:rPr>
          <w:rStyle w:val="Refdenotaalpie"/>
          <w:rFonts w:asciiTheme="minorHAnsi" w:hAnsiTheme="minorHAnsi"/>
          <w:sz w:val="24"/>
          <w:szCs w:val="24"/>
          <w:lang w:val="es-ES_tradnl"/>
        </w:rPr>
        <w:footnoteReference w:id="592"/>
      </w:r>
      <w:r w:rsidRPr="000D3432">
        <w:rPr>
          <w:rFonts w:asciiTheme="minorHAnsi" w:hAnsiTheme="minorHAnsi"/>
          <w:szCs w:val="24"/>
          <w:lang w:val="es-ES_tradnl"/>
        </w:rPr>
        <w:t xml:space="preserve"> </w:t>
      </w:r>
    </w:p>
    <w:p w14:paraId="77DC333C" w14:textId="77777777" w:rsidR="001B03E0" w:rsidRPr="000D3432" w:rsidRDefault="001B03E0" w:rsidP="00A95498">
      <w:pPr>
        <w:jc w:val="both"/>
        <w:rPr>
          <w:rFonts w:asciiTheme="minorHAnsi" w:hAnsiTheme="minorHAnsi"/>
          <w:szCs w:val="24"/>
          <w:lang w:val="es-ES_tradnl"/>
        </w:rPr>
      </w:pPr>
    </w:p>
    <w:p w14:paraId="55A66A40"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“En cada formación histórica habrá, pues, que preguntar qué es lo que corresponde a cada una de las instituciones que existen en ese estrato, es decir, qué relaciones de poder integra, qué relaciones mantiene con otras instituciones y cómo cambiar esas distribuciones de un estrato a otro.”</w:t>
      </w:r>
      <w:r w:rsidRPr="000D3432">
        <w:rPr>
          <w:rStyle w:val="Refdenotaalpie"/>
          <w:rFonts w:asciiTheme="minorHAnsi" w:hAnsiTheme="minorHAnsi"/>
          <w:sz w:val="24"/>
          <w:szCs w:val="24"/>
          <w:lang w:val="es-ES_tradnl"/>
        </w:rPr>
        <w:footnoteReference w:id="593"/>
      </w:r>
    </w:p>
    <w:p w14:paraId="6C46F0FD" w14:textId="77777777" w:rsidR="001B03E0" w:rsidRPr="000D3432" w:rsidRDefault="001B03E0" w:rsidP="00A95498">
      <w:pPr>
        <w:ind w:left="720" w:firstLine="567"/>
        <w:jc w:val="both"/>
        <w:rPr>
          <w:rFonts w:asciiTheme="minorHAnsi" w:hAnsiTheme="minorHAnsi"/>
          <w:szCs w:val="24"/>
          <w:lang w:val="es-ES_tradnl"/>
        </w:rPr>
      </w:pPr>
    </w:p>
    <w:p w14:paraId="78980EA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 “La característica más general de cualquier institución, Estado u otra, (...) consiste en organizar las supuestas delaciones de poder-gobierno, que son relaciones moleculares o “microfísicas”, en torno a una instancia molar: “el” Soberano, o “la” Ley; en el caso del Estado, el Padre en el caso de la familia, el Dinero, el Oro o el Dólar en el caso del mercado, el Dios en el caso de la religión, “el” Sexo en el caso de la institución sexual.”</w:t>
      </w:r>
      <w:r w:rsidRPr="000D3432">
        <w:rPr>
          <w:rStyle w:val="Refdenotaalpie"/>
          <w:rFonts w:asciiTheme="minorHAnsi" w:hAnsiTheme="minorHAnsi"/>
          <w:sz w:val="24"/>
          <w:szCs w:val="24"/>
          <w:lang w:val="es-ES_tradnl"/>
        </w:rPr>
        <w:footnoteReference w:id="594"/>
      </w:r>
    </w:p>
    <w:p w14:paraId="7C76D024" w14:textId="77777777" w:rsidR="001B03E0" w:rsidRPr="000D3432" w:rsidRDefault="001B03E0" w:rsidP="00A95498">
      <w:pPr>
        <w:jc w:val="both"/>
        <w:rPr>
          <w:rFonts w:asciiTheme="minorHAnsi" w:hAnsiTheme="minorHAnsi"/>
          <w:szCs w:val="24"/>
          <w:lang w:val="es-ES_tradnl"/>
        </w:rPr>
      </w:pPr>
    </w:p>
    <w:p w14:paraId="751BED2F" w14:textId="77777777" w:rsidR="001B03E0" w:rsidRPr="000D3432" w:rsidRDefault="001B03E0" w:rsidP="00A95498">
      <w:pPr>
        <w:jc w:val="both"/>
        <w:rPr>
          <w:rFonts w:asciiTheme="minorHAnsi" w:hAnsiTheme="minorHAnsi"/>
          <w:szCs w:val="24"/>
          <w:lang w:val="es-ES_tradnl"/>
        </w:rPr>
      </w:pPr>
    </w:p>
    <w:p w14:paraId="4B672ADF"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EL DERECHO COMO REALIDAD ACCIDENTAL,</w:t>
      </w:r>
    </w:p>
    <w:p w14:paraId="4FE47E29"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COMO REACCIÓN</w:t>
      </w:r>
    </w:p>
    <w:p w14:paraId="0BC8B9DF" w14:textId="77777777" w:rsidR="001B03E0" w:rsidRPr="000D3432" w:rsidRDefault="001B03E0" w:rsidP="00A95498">
      <w:pPr>
        <w:jc w:val="both"/>
        <w:rPr>
          <w:rFonts w:asciiTheme="minorHAnsi" w:hAnsiTheme="minorHAnsi"/>
          <w:b/>
          <w:szCs w:val="24"/>
          <w:lang w:val="es-ES_tradnl"/>
        </w:rPr>
      </w:pPr>
    </w:p>
    <w:p w14:paraId="2E8F64B9"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primer punto está en anotar que el término Derecho no se puede tratar en forma unívoca,  para designar entidades sustancialmente idénticas y con un mismo sentido</w:t>
      </w:r>
      <w:r w:rsidRPr="000D3432">
        <w:rPr>
          <w:rStyle w:val="Refdenotaalpie"/>
          <w:rFonts w:asciiTheme="minorHAnsi" w:hAnsiTheme="minorHAnsi"/>
          <w:sz w:val="24"/>
          <w:szCs w:val="24"/>
          <w:lang w:val="es-ES_tradnl"/>
        </w:rPr>
        <w:footnoteReference w:id="595"/>
      </w:r>
      <w:r w:rsidRPr="000D3432">
        <w:rPr>
          <w:rFonts w:asciiTheme="minorHAnsi" w:hAnsiTheme="minorHAnsi"/>
          <w:szCs w:val="24"/>
          <w:lang w:val="es-ES_tradnl"/>
        </w:rPr>
        <w:t>. El Derecho es más bien un conglomerado y variado ramo de realidades distintas y desiguales como son las leyes, aquello que nos es debido, la facultad de reclamarlo, las sentencias de los jueces, el saber que conoce estas realidades, etc., que son, en algún sentido, Derecho</w:t>
      </w:r>
      <w:r w:rsidRPr="000D3432">
        <w:rPr>
          <w:rStyle w:val="Refdenotaalpie"/>
          <w:rFonts w:asciiTheme="minorHAnsi" w:hAnsiTheme="minorHAnsi"/>
          <w:sz w:val="24"/>
          <w:szCs w:val="24"/>
          <w:lang w:val="es-ES_tradnl"/>
        </w:rPr>
        <w:footnoteReference w:id="596"/>
      </w:r>
      <w:r w:rsidRPr="000D3432">
        <w:rPr>
          <w:rFonts w:asciiTheme="minorHAnsi" w:hAnsiTheme="minorHAnsi"/>
          <w:szCs w:val="24"/>
          <w:lang w:val="es-ES_tradnl"/>
        </w:rPr>
        <w:t>, pero esta variedad no descarta la existencia de cierta vinculación entre ellas, cierta analogía. La variedad de los fenómenos y situaciones sociales a los que se alude con el término Derecho no lo excluye de cierta vinculación, que es la que hace al Derecho ser tal. Esta vinculación que relaciona o conecta todos las diversidades del uso del Derecho lo expresa como un término analogado, que se aplica a todos los objetos de una manera que no es del todo idéntica ni del todo diferente</w:t>
      </w:r>
      <w:r w:rsidRPr="000D3432">
        <w:rPr>
          <w:rStyle w:val="Refdenotaalpie"/>
          <w:rFonts w:asciiTheme="minorHAnsi" w:hAnsiTheme="minorHAnsi"/>
          <w:sz w:val="24"/>
          <w:szCs w:val="24"/>
          <w:lang w:val="es-ES_tradnl"/>
        </w:rPr>
        <w:footnoteReference w:id="597"/>
      </w:r>
      <w:r w:rsidRPr="000D3432">
        <w:rPr>
          <w:rFonts w:asciiTheme="minorHAnsi" w:hAnsiTheme="minorHAnsi"/>
          <w:szCs w:val="24"/>
          <w:lang w:val="es-ES_tradnl"/>
        </w:rPr>
        <w:t>.</w:t>
      </w:r>
    </w:p>
    <w:p w14:paraId="4E17D656" w14:textId="77777777" w:rsidR="001B03E0" w:rsidRPr="000D3432" w:rsidRDefault="001B03E0" w:rsidP="00A95498">
      <w:pPr>
        <w:jc w:val="both"/>
        <w:rPr>
          <w:rFonts w:asciiTheme="minorHAnsi" w:hAnsiTheme="minorHAnsi"/>
          <w:szCs w:val="24"/>
          <w:lang w:val="es-ES_tradnl"/>
        </w:rPr>
      </w:pPr>
    </w:p>
    <w:p w14:paraId="038685E0"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Derecho podría ser, enfocada así, una realidad accidental, de orden, una vinculación, un producto de la relación de ciertos elementos, fenómenos, prácticas, teorías, saberes, facultades, actos, decisiones, que distanciadas por la realidad particular en que se producen, se vinculan o conectan por la peculiaridad del sentido que persiguen. Y es que el Derecho no tiene una realidad sustancial, propia en sí, no es algo dado definitiva y absolutamente, sino un producto, una creación, una relación, una vinculación, un orden accidental, una práctica, una teoría.</w:t>
      </w:r>
    </w:p>
    <w:p w14:paraId="5ACA93AD" w14:textId="77777777" w:rsidR="001B03E0" w:rsidRPr="000D3432" w:rsidRDefault="001B03E0" w:rsidP="00A95498">
      <w:pPr>
        <w:ind w:left="720" w:firstLine="426"/>
        <w:jc w:val="both"/>
        <w:rPr>
          <w:rFonts w:asciiTheme="minorHAnsi" w:hAnsiTheme="minorHAnsi"/>
          <w:szCs w:val="24"/>
          <w:lang w:val="es-ES_tradnl"/>
        </w:rPr>
      </w:pPr>
      <w:r w:rsidRPr="000D3432">
        <w:rPr>
          <w:rFonts w:asciiTheme="minorHAnsi" w:hAnsiTheme="minorHAnsi"/>
          <w:szCs w:val="24"/>
          <w:lang w:val="es-ES_tradnl"/>
        </w:rPr>
        <w:lastRenderedPageBreak/>
        <w:t>“El derecho no tiene una realidad sustancial, con ser en sí mismo, tal como es una realidad el hombre, sino una realidad accidental, de orden, formada por la particular relación que vincula a sus diferentes elementos o partes componentes”</w:t>
      </w:r>
      <w:r w:rsidRPr="000D3432">
        <w:rPr>
          <w:rStyle w:val="Refdenotaalpie"/>
          <w:rFonts w:asciiTheme="minorHAnsi" w:hAnsiTheme="minorHAnsi"/>
          <w:sz w:val="24"/>
          <w:szCs w:val="24"/>
          <w:lang w:val="es-ES_tradnl"/>
        </w:rPr>
        <w:footnoteReference w:id="598"/>
      </w:r>
      <w:r w:rsidRPr="000D3432">
        <w:rPr>
          <w:rFonts w:asciiTheme="minorHAnsi" w:hAnsiTheme="minorHAnsi"/>
          <w:szCs w:val="24"/>
          <w:lang w:val="es-ES_tradnl"/>
        </w:rPr>
        <w:t xml:space="preserve"> </w:t>
      </w:r>
    </w:p>
    <w:p w14:paraId="2890419F" w14:textId="77777777" w:rsidR="001B03E0" w:rsidRPr="000D3432" w:rsidRDefault="001B03E0" w:rsidP="00A95498">
      <w:pPr>
        <w:jc w:val="both"/>
        <w:rPr>
          <w:rFonts w:asciiTheme="minorHAnsi" w:hAnsiTheme="minorHAnsi"/>
          <w:szCs w:val="24"/>
          <w:lang w:val="es-ES_tradnl"/>
        </w:rPr>
      </w:pPr>
    </w:p>
    <w:p w14:paraId="4132283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Por otro lado, podemos partir también del factor fundamental de la vida en el incanato, del recurso determinante del crecimiento y expansión inca: la Gente. “A la hora de examinar la expansión del Inca y los recursos financieros necesarios para hacer posible semejante expansión, se comprueba que el recurso más importante al alcance del Inca era la población. Más propiamente, la riqueza productiva de esa fuerza de trabajo por su medio concertada. (...) La capacidad imaginativa para concertar la fuerza productiva de la población (...) Representaba entonces el impulso inicial a partir del cual se podía articular lo que los economistas de hoy llamarían “milagro Inka”. El recurso financiero más importante más importante a la hora de solventar los costos de esa expansión Inka estaba representado por los seres humanos.” escribe Efraín Trelles.</w:t>
      </w:r>
    </w:p>
    <w:p w14:paraId="3C3D62FA" w14:textId="77777777" w:rsidR="001B03E0" w:rsidRPr="000D3432" w:rsidRDefault="001B03E0" w:rsidP="00A95498">
      <w:pPr>
        <w:jc w:val="both"/>
        <w:rPr>
          <w:rFonts w:asciiTheme="minorHAnsi" w:hAnsiTheme="minorHAnsi"/>
          <w:szCs w:val="24"/>
          <w:lang w:val="es-ES_tradnl"/>
        </w:rPr>
      </w:pPr>
    </w:p>
    <w:p w14:paraId="1A0AF5FA"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DERECHO,  ORGANIZACIÓN </w:t>
      </w:r>
    </w:p>
    <w:p w14:paraId="318B338A"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b/>
          <w:szCs w:val="24"/>
          <w:lang w:val="es-ES_tradnl"/>
        </w:rPr>
        <w:t>Y FORMA JURÍDICA</w:t>
      </w:r>
    </w:p>
    <w:p w14:paraId="4445060E" w14:textId="77777777" w:rsidR="001B03E0" w:rsidRPr="000D3432" w:rsidRDefault="001B03E0" w:rsidP="00A95498">
      <w:pPr>
        <w:jc w:val="both"/>
        <w:rPr>
          <w:rFonts w:asciiTheme="minorHAnsi" w:hAnsiTheme="minorHAnsi"/>
          <w:szCs w:val="24"/>
          <w:lang w:val="es-ES_tradnl"/>
        </w:rPr>
      </w:pPr>
    </w:p>
    <w:p w14:paraId="2706278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norma pretende organizar al mundo, o a la sociedad; es lo que se debe o no hacer o suceder, no necesariamente lo que se hace o sucede. El orden político establecido en una sociedad es amparada, respaldada, consentida y preservada por la norma</w:t>
      </w:r>
      <w:r w:rsidRPr="000D3432">
        <w:rPr>
          <w:rStyle w:val="Refdenotaalpie"/>
          <w:rFonts w:asciiTheme="minorHAnsi" w:hAnsiTheme="minorHAnsi"/>
          <w:sz w:val="24"/>
          <w:szCs w:val="24"/>
          <w:lang w:val="es-ES_tradnl"/>
        </w:rPr>
        <w:footnoteReference w:id="599"/>
      </w:r>
      <w:r w:rsidRPr="000D3432">
        <w:rPr>
          <w:rFonts w:asciiTheme="minorHAnsi" w:hAnsiTheme="minorHAnsi"/>
          <w:szCs w:val="24"/>
          <w:lang w:val="es-ES_tradnl"/>
        </w:rPr>
        <w:t>. Con lo que la norma se convertiría en un instrumento del poder político. Las prácticas sociales se verifican en las normas algunas veces y otras no, pero todas las veces los lineamientos sociales son conducidos a formalizarse mediante la norma para ser aceptados por la sociedad. Las praxis sociales adecuan sus conductas a la forma ,</w:t>
      </w:r>
      <w:r w:rsidRPr="000D3432">
        <w:rPr>
          <w:rFonts w:asciiTheme="minorHAnsi" w:hAnsiTheme="minorHAnsi"/>
          <w:szCs w:val="24"/>
          <w:lang w:val="es-ES_tradnl"/>
        </w:rPr>
        <w:noBreakHyphen/>
        <w:t>que significa la parte material de la norma</w:t>
      </w:r>
      <w:r w:rsidRPr="000D3432">
        <w:rPr>
          <w:rFonts w:asciiTheme="minorHAnsi" w:hAnsiTheme="minorHAnsi"/>
          <w:szCs w:val="24"/>
          <w:lang w:val="es-ES_tradnl"/>
        </w:rPr>
        <w:noBreakHyphen/>
        <w:t xml:space="preserve">. La forma jurídica es más un justificante que un hecho, más una manera de confirmarse en la legalidad que un querer ser. Las formalidades son acondicionamientos de la conducta humana a lo establecido por la ley. Esto es lo general, aunque se supone que es a lo inverso. Generalmente son primero los hechos y luego el justificante mediante la norma. Lo que intento decir es que la norma pretende ser aquel marco por donde deben circular las conductas humanas; pretende establecer el orden, contraponiéndose al caos, pretende decirnos lo que podemos hacer o no, pretende dar líneas de tránsito en donde todo funcione según un orden, regulado, controlado, y adecuado para el mejor vivir de los ciudadanos que forman parte de esa sociedad. </w:t>
      </w:r>
    </w:p>
    <w:p w14:paraId="3226EA64" w14:textId="77777777" w:rsidR="001B03E0" w:rsidRPr="000D3432" w:rsidRDefault="001B03E0" w:rsidP="00A95498">
      <w:pPr>
        <w:jc w:val="both"/>
        <w:rPr>
          <w:rFonts w:asciiTheme="minorHAnsi" w:hAnsiTheme="minorHAnsi"/>
          <w:szCs w:val="24"/>
          <w:lang w:val="es-ES_tradnl"/>
        </w:rPr>
      </w:pPr>
    </w:p>
    <w:p w14:paraId="19FAC656"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norma es la contradicción al caos, es una aseveración de que el mundo puede y debe ordenarse; sólo que el control es sólo una ficción social, económica, jurídica, como la ficción puede ser también la historia o la política.</w:t>
      </w:r>
    </w:p>
    <w:p w14:paraId="44979A13" w14:textId="77777777" w:rsidR="001B03E0" w:rsidRPr="000D3432" w:rsidRDefault="001B03E0" w:rsidP="00A95498">
      <w:pPr>
        <w:ind w:left="720" w:firstLine="426"/>
        <w:jc w:val="both"/>
        <w:rPr>
          <w:rFonts w:asciiTheme="minorHAnsi" w:hAnsiTheme="minorHAnsi"/>
          <w:szCs w:val="24"/>
          <w:lang w:val="es-ES_tradnl"/>
        </w:rPr>
      </w:pPr>
      <w:r w:rsidRPr="000D3432">
        <w:rPr>
          <w:rFonts w:asciiTheme="minorHAnsi" w:hAnsiTheme="minorHAnsi"/>
          <w:szCs w:val="24"/>
          <w:lang w:val="es-ES_tradnl"/>
        </w:rPr>
        <w:t xml:space="preserve">"Me parece que existe la posibilidad de hacer funcionar la ficción en la verdad; de inducir efectos de verdad con un discurso de ficción, y hacer de tal suerte que el discurso de verdad suscite, "fabrique" algo que </w:t>
      </w:r>
      <w:r w:rsidRPr="000D3432">
        <w:rPr>
          <w:rFonts w:asciiTheme="minorHAnsi" w:hAnsiTheme="minorHAnsi"/>
          <w:szCs w:val="24"/>
          <w:lang w:val="es-ES_tradnl"/>
        </w:rPr>
        <w:lastRenderedPageBreak/>
        <w:t>no existe todavía, es decir, "ficcione". Se "ficciona" historia a partir de una realidad política que la hace verdadera, se "ficciona"  una política que no existe todavía a partir de una realidad histórica"</w:t>
      </w:r>
      <w:r w:rsidRPr="000D3432">
        <w:rPr>
          <w:rStyle w:val="Refdenotaalpie"/>
          <w:rFonts w:asciiTheme="minorHAnsi" w:hAnsiTheme="minorHAnsi"/>
          <w:sz w:val="24"/>
          <w:szCs w:val="24"/>
          <w:lang w:val="es-ES_tradnl"/>
        </w:rPr>
        <w:footnoteReference w:id="600"/>
      </w:r>
      <w:r w:rsidRPr="000D3432">
        <w:rPr>
          <w:rFonts w:asciiTheme="minorHAnsi" w:hAnsiTheme="minorHAnsi"/>
          <w:szCs w:val="24"/>
          <w:lang w:val="es-ES_tradnl"/>
        </w:rPr>
        <w:t>.</w:t>
      </w:r>
    </w:p>
    <w:p w14:paraId="06FE93A9" w14:textId="77777777" w:rsidR="001B03E0" w:rsidRPr="000D3432" w:rsidRDefault="001B03E0" w:rsidP="00A95498">
      <w:pPr>
        <w:jc w:val="both"/>
        <w:rPr>
          <w:rFonts w:asciiTheme="minorHAnsi" w:hAnsiTheme="minorHAnsi"/>
          <w:szCs w:val="24"/>
          <w:lang w:val="es-ES_tradnl"/>
        </w:rPr>
      </w:pPr>
    </w:p>
    <w:p w14:paraId="6F737C2E"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orden es sólo una estrategia mediante la cual se intenta interconectar a los individuos sin que estos se destruyan y por el contrario puedan convivir. El orden es ficcionar el control para preservarnos, garantizarnos un futuro cierto, seguro. Por el contrario el caos producto del azar refuta la teoría matemática del orden. Todo lo ordenado, todo lo planeado puede no funcionar por cuestiones del azar, de lo humano, etc.</w:t>
      </w:r>
    </w:p>
    <w:p w14:paraId="3C6FDCFC" w14:textId="77777777" w:rsidR="001B03E0" w:rsidRPr="000D3432" w:rsidRDefault="001B03E0" w:rsidP="00A95498">
      <w:pPr>
        <w:jc w:val="both"/>
        <w:rPr>
          <w:rFonts w:asciiTheme="minorHAnsi" w:hAnsiTheme="minorHAnsi"/>
          <w:szCs w:val="24"/>
          <w:lang w:val="es-ES_tradnl"/>
        </w:rPr>
      </w:pPr>
    </w:p>
    <w:p w14:paraId="2A7D7528"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UN PUNTO </w:t>
      </w:r>
    </w:p>
    <w:p w14:paraId="2A044F8E"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b/>
          <w:szCs w:val="24"/>
          <w:lang w:val="es-ES_tradnl"/>
        </w:rPr>
        <w:t>EN DESACUERDO</w:t>
      </w:r>
    </w:p>
    <w:p w14:paraId="026CD421" w14:textId="77777777" w:rsidR="001B03E0" w:rsidRPr="000D3432" w:rsidRDefault="001B03E0" w:rsidP="00A95498">
      <w:pPr>
        <w:jc w:val="both"/>
        <w:rPr>
          <w:rFonts w:asciiTheme="minorHAnsi" w:hAnsiTheme="minorHAnsi"/>
          <w:szCs w:val="24"/>
          <w:lang w:val="es-ES_tradnl"/>
        </w:rPr>
      </w:pPr>
    </w:p>
    <w:p w14:paraId="2412ABCA"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situación colonial era muy singular por ejemplo "La hacienda se había convertido en un refugio para el indígena: en el Imperio a las poblaciones rebeldes las castigaban convirtiéndolas en yanacunas, en la colonia esta condición se convierte en un estatus mas apreciado y buscado"</w:t>
      </w:r>
      <w:r w:rsidRPr="000D3432">
        <w:rPr>
          <w:rStyle w:val="Refdenotaalpie"/>
          <w:rFonts w:asciiTheme="minorHAnsi" w:hAnsiTheme="minorHAnsi"/>
          <w:sz w:val="24"/>
          <w:szCs w:val="24"/>
          <w:lang w:val="es-ES_tradnl"/>
        </w:rPr>
        <w:footnoteReference w:id="601"/>
      </w:r>
    </w:p>
    <w:p w14:paraId="7B5527E4"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szCs w:val="24"/>
          <w:lang w:val="es-ES_tradnl"/>
        </w:rPr>
        <w:t>***</w:t>
      </w:r>
    </w:p>
    <w:p w14:paraId="0CE85FED" w14:textId="77777777" w:rsidR="001B03E0" w:rsidRPr="000D3432" w:rsidRDefault="001B03E0" w:rsidP="00A95498">
      <w:pPr>
        <w:jc w:val="both"/>
        <w:rPr>
          <w:rFonts w:asciiTheme="minorHAnsi" w:hAnsiTheme="minorHAnsi"/>
          <w:szCs w:val="24"/>
          <w:lang w:val="es-ES_tradnl"/>
        </w:rPr>
      </w:pPr>
    </w:p>
    <w:p w14:paraId="49B4B195"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Bolívar practica una política anticlerical.</w:t>
      </w:r>
    </w:p>
    <w:p w14:paraId="340D7A98" w14:textId="77777777" w:rsidR="001B03E0" w:rsidRPr="000D3432" w:rsidRDefault="001B03E0" w:rsidP="00A95498">
      <w:pPr>
        <w:ind w:left="720" w:firstLine="426"/>
        <w:jc w:val="both"/>
        <w:rPr>
          <w:rFonts w:asciiTheme="minorHAnsi" w:hAnsiTheme="minorHAnsi"/>
          <w:szCs w:val="24"/>
          <w:lang w:val="es-ES_tradnl"/>
        </w:rPr>
      </w:pPr>
      <w:r w:rsidRPr="000D3432">
        <w:rPr>
          <w:rFonts w:asciiTheme="minorHAnsi" w:hAnsiTheme="minorHAnsi"/>
          <w:szCs w:val="24"/>
          <w:lang w:val="es-ES_tradnl"/>
        </w:rPr>
        <w:t>"Bolívar desarrolla una política anticlerical y por Decreto de 28 de setiembre de 1826 ordena la supresión de los conventos con menos de 8 religiosos"</w:t>
      </w:r>
      <w:r w:rsidRPr="000D3432">
        <w:rPr>
          <w:rStyle w:val="Refdenotaalpie"/>
          <w:rFonts w:asciiTheme="minorHAnsi" w:hAnsiTheme="minorHAnsi"/>
          <w:sz w:val="24"/>
          <w:szCs w:val="24"/>
          <w:lang w:val="es-ES_tradnl"/>
        </w:rPr>
        <w:footnoteReference w:id="602"/>
      </w:r>
    </w:p>
    <w:p w14:paraId="0424EE6B" w14:textId="77777777" w:rsidR="001B03E0" w:rsidRPr="000D3432" w:rsidRDefault="001B03E0" w:rsidP="00A95498">
      <w:pPr>
        <w:ind w:firstLine="426"/>
        <w:jc w:val="both"/>
        <w:rPr>
          <w:rFonts w:asciiTheme="minorHAnsi" w:hAnsiTheme="minorHAnsi"/>
          <w:szCs w:val="24"/>
          <w:lang w:val="es-ES_tradnl"/>
        </w:rPr>
      </w:pPr>
    </w:p>
    <w:p w14:paraId="17DB2024"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Tres aspectos contradictorios de las ideales liberales en los que estaba inspirado la Constitución</w:t>
      </w:r>
    </w:p>
    <w:p w14:paraId="4C6CD16E"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1)La división de las tierras de comunidades de indígenas</w:t>
      </w:r>
    </w:p>
    <w:p w14:paraId="05AB4653"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2) Venta de las tierras del Estado,</w:t>
      </w:r>
    </w:p>
    <w:p w14:paraId="16B59E12"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3)Leyes de Abolición de la esclavitud.</w:t>
      </w:r>
    </w:p>
    <w:p w14:paraId="507DC9B1" w14:textId="77777777" w:rsidR="001B03E0" w:rsidRPr="000D3432" w:rsidRDefault="001B03E0" w:rsidP="00A95498">
      <w:pPr>
        <w:ind w:firstLine="426"/>
        <w:jc w:val="both"/>
        <w:rPr>
          <w:rFonts w:asciiTheme="minorHAnsi" w:hAnsiTheme="minorHAnsi"/>
          <w:szCs w:val="24"/>
          <w:lang w:val="es-ES_tradnl"/>
        </w:rPr>
      </w:pPr>
    </w:p>
    <w:p w14:paraId="04AF6B23"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Veamos algunos contradicciones que hay en la independencia y su relatividad.</w:t>
      </w:r>
    </w:p>
    <w:p w14:paraId="58ADDD67" w14:textId="77777777" w:rsidR="001B03E0" w:rsidRPr="000D3432" w:rsidRDefault="001B03E0" w:rsidP="00A95498">
      <w:pPr>
        <w:ind w:firstLine="426"/>
        <w:jc w:val="both"/>
        <w:rPr>
          <w:rFonts w:asciiTheme="minorHAnsi" w:hAnsiTheme="minorHAnsi"/>
          <w:szCs w:val="24"/>
          <w:lang w:val="es-ES_tradnl"/>
        </w:rPr>
      </w:pPr>
    </w:p>
    <w:p w14:paraId="2113A165"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"El Decreto  de San Martín declara que los hijos de esclavos nacidos en el Perú a partir del 28 de julio de 1821 "serán libres y gozarán de los mismos derechos que el resto de los ciudadanos peruanos".</w:t>
      </w:r>
    </w:p>
    <w:p w14:paraId="09236587" w14:textId="77777777" w:rsidR="001B03E0" w:rsidRPr="000D3432" w:rsidRDefault="001B03E0" w:rsidP="00A95498">
      <w:pPr>
        <w:ind w:firstLine="426"/>
        <w:jc w:val="both"/>
        <w:rPr>
          <w:rFonts w:asciiTheme="minorHAnsi" w:hAnsiTheme="minorHAnsi"/>
          <w:szCs w:val="24"/>
          <w:lang w:val="es-ES_tradnl"/>
        </w:rPr>
      </w:pPr>
    </w:p>
    <w:p w14:paraId="2DFAAA9C"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San Martín cree en el más santo de todos los deberes y el ajustamiento a la naturaleza, que todos los hombres sean iguales, pero entiende que no debe provocar  un rompimiento brusco, es así que prepara el terreno para el ideal.</w:t>
      </w:r>
    </w:p>
    <w:p w14:paraId="046FEFDA" w14:textId="77777777" w:rsidR="001B03E0" w:rsidRPr="000D3432" w:rsidRDefault="001B03E0" w:rsidP="00A95498">
      <w:pPr>
        <w:tabs>
          <w:tab w:val="left" w:pos="-1440"/>
        </w:tabs>
        <w:jc w:val="both"/>
        <w:rPr>
          <w:rFonts w:asciiTheme="minorHAnsi" w:hAnsiTheme="minorHAnsi"/>
          <w:szCs w:val="24"/>
          <w:lang w:val="es-ES_tradnl"/>
        </w:rPr>
      </w:pPr>
    </w:p>
    <w:p w14:paraId="5551351E" w14:textId="77777777" w:rsidR="001B03E0" w:rsidRPr="000D3432" w:rsidRDefault="001B03E0" w:rsidP="00A95498">
      <w:pPr>
        <w:tabs>
          <w:tab w:val="left" w:pos="-1440"/>
        </w:tabs>
        <w:jc w:val="both"/>
        <w:rPr>
          <w:rFonts w:asciiTheme="minorHAnsi" w:hAnsiTheme="minorHAnsi"/>
          <w:szCs w:val="24"/>
          <w:lang w:val="es-ES_tradnl"/>
        </w:rPr>
      </w:pPr>
    </w:p>
    <w:p w14:paraId="276F9F36" w14:textId="77777777" w:rsidR="001B03E0" w:rsidRPr="000D3432" w:rsidRDefault="001B03E0" w:rsidP="00A95498">
      <w:pPr>
        <w:tabs>
          <w:tab w:val="left" w:pos="-1440"/>
        </w:tabs>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UN FILÓSOFO Y TEÓLOGO DANES:</w:t>
      </w:r>
    </w:p>
    <w:p w14:paraId="003B8FE5" w14:textId="77777777" w:rsidR="001B03E0" w:rsidRPr="000D3432" w:rsidRDefault="001B03E0" w:rsidP="00A95498">
      <w:pPr>
        <w:tabs>
          <w:tab w:val="left" w:pos="-1440"/>
        </w:tabs>
        <w:jc w:val="center"/>
        <w:rPr>
          <w:rFonts w:asciiTheme="minorHAnsi" w:hAnsiTheme="minorHAnsi"/>
          <w:b/>
          <w:szCs w:val="24"/>
          <w:lang w:val="es-ES_tradnl"/>
        </w:rPr>
      </w:pPr>
      <w:r w:rsidRPr="000D3432">
        <w:rPr>
          <w:rFonts w:asciiTheme="minorHAnsi" w:hAnsiTheme="minorHAnsi"/>
          <w:b/>
          <w:szCs w:val="24"/>
          <w:lang w:val="es-ES_tradnl"/>
        </w:rPr>
        <w:t>SOREL KIERKEGAARD</w:t>
      </w:r>
    </w:p>
    <w:p w14:paraId="080BFD4A" w14:textId="77777777" w:rsidR="001B03E0" w:rsidRPr="000D3432" w:rsidRDefault="001B03E0" w:rsidP="00A95498">
      <w:pPr>
        <w:tabs>
          <w:tab w:val="left" w:pos="-1440"/>
        </w:tabs>
        <w:jc w:val="both"/>
        <w:rPr>
          <w:rFonts w:asciiTheme="minorHAnsi" w:hAnsiTheme="minorHAnsi"/>
          <w:szCs w:val="24"/>
          <w:lang w:val="es-ES_tradnl"/>
        </w:rPr>
      </w:pPr>
    </w:p>
    <w:p w14:paraId="4F00C318" w14:textId="77777777" w:rsidR="001B03E0" w:rsidRPr="000D3432" w:rsidRDefault="001B03E0" w:rsidP="00A95498">
      <w:pPr>
        <w:tabs>
          <w:tab w:val="left" w:pos="-1440"/>
        </w:tabs>
        <w:ind w:firstLine="426"/>
        <w:jc w:val="both"/>
        <w:rPr>
          <w:rFonts w:asciiTheme="minorHAnsi" w:hAnsiTheme="minorHAnsi"/>
          <w:szCs w:val="24"/>
          <w:lang w:val="es-ES_tradnl"/>
        </w:rPr>
      </w:pPr>
      <w:r w:rsidRPr="000D3432">
        <w:rPr>
          <w:rFonts w:asciiTheme="minorHAnsi" w:hAnsiTheme="minorHAnsi"/>
          <w:szCs w:val="24"/>
          <w:lang w:val="es-ES_tradnl"/>
        </w:rPr>
        <w:t>Este filósofo y teólogo danés opinaba que Hegel se había ocupado en exceso de la totalidad y despreocupado en exceso del individuo. Para él lo importante era encontrar la verdad individual, la verdad para mí, lo singular. El punto de partida era la existencia del hombre. El tiempo también era importante, así que Kierkegaard pensaba que era mejor aprovecharlo y no olvidar nuestra responsabilidad para con nosotros mismos. Está preocupado por la verdad para uno, para mí, y no por la verdad general, globalizante, piensa: "La verdad es subjetiva. Hay cosas que no podemos saber por la razón, pero no es esencial  saberlas por la razón, ante tales preguntas solo nos resta guiarnos por la fe</w:t>
      </w:r>
      <w:r w:rsidRPr="000D3432">
        <w:rPr>
          <w:rStyle w:val="Refdenotaalpie"/>
          <w:rFonts w:asciiTheme="minorHAnsi" w:hAnsiTheme="minorHAnsi"/>
          <w:sz w:val="24"/>
          <w:szCs w:val="24"/>
          <w:lang w:val="es-ES_tradnl"/>
        </w:rPr>
        <w:footnoteReference w:id="603"/>
      </w:r>
      <w:r w:rsidRPr="000D3432">
        <w:rPr>
          <w:rFonts w:asciiTheme="minorHAnsi" w:hAnsiTheme="minorHAnsi"/>
          <w:szCs w:val="24"/>
          <w:lang w:val="es-ES_tradnl"/>
        </w:rPr>
        <w:t>. Para qué insistir en algo racional si ese algo no tiene fundamento racional?</w:t>
      </w:r>
    </w:p>
    <w:p w14:paraId="6B49554F" w14:textId="77777777" w:rsidR="001B03E0" w:rsidRPr="000D3432" w:rsidRDefault="001B03E0" w:rsidP="00A95498">
      <w:pPr>
        <w:tabs>
          <w:tab w:val="left" w:pos="-1440"/>
        </w:tabs>
        <w:ind w:firstLine="426"/>
        <w:jc w:val="both"/>
        <w:rPr>
          <w:rFonts w:asciiTheme="minorHAnsi" w:hAnsiTheme="minorHAnsi"/>
          <w:szCs w:val="24"/>
          <w:lang w:val="es-ES_tradnl"/>
        </w:rPr>
      </w:pPr>
    </w:p>
    <w:p w14:paraId="775AB44D" w14:textId="77777777" w:rsidR="001B03E0" w:rsidRPr="000D3432" w:rsidRDefault="001B03E0" w:rsidP="00A95498">
      <w:pPr>
        <w:tabs>
          <w:tab w:val="left" w:pos="-1440"/>
        </w:tabs>
        <w:ind w:firstLine="426"/>
        <w:jc w:val="both"/>
        <w:rPr>
          <w:rFonts w:asciiTheme="minorHAnsi" w:hAnsiTheme="minorHAnsi"/>
          <w:szCs w:val="24"/>
          <w:lang w:val="es-ES_tradnl"/>
        </w:rPr>
      </w:pPr>
      <w:r w:rsidRPr="000D3432">
        <w:rPr>
          <w:rFonts w:asciiTheme="minorHAnsi" w:hAnsiTheme="minorHAnsi"/>
          <w:szCs w:val="24"/>
          <w:lang w:val="es-ES_tradnl"/>
        </w:rPr>
        <w:t>Pensaba que "la verdad siempre está en la minoría", y que en la vida del ser humano hay varias fases: la estética, la ética y la religiosa.</w:t>
      </w:r>
    </w:p>
    <w:p w14:paraId="6DC3F0DF" w14:textId="77777777" w:rsidR="001B03E0" w:rsidRPr="000D3432" w:rsidRDefault="001B03E0" w:rsidP="00A95498">
      <w:pPr>
        <w:tabs>
          <w:tab w:val="left" w:pos="-1440"/>
        </w:tabs>
        <w:ind w:firstLine="426"/>
        <w:jc w:val="both"/>
        <w:rPr>
          <w:rFonts w:asciiTheme="minorHAnsi" w:hAnsiTheme="minorHAnsi"/>
          <w:szCs w:val="24"/>
          <w:lang w:val="es-ES_tradnl"/>
        </w:rPr>
      </w:pPr>
    </w:p>
    <w:p w14:paraId="10FC8171" w14:textId="77777777" w:rsidR="001B03E0" w:rsidRPr="000D3432" w:rsidRDefault="001B03E0" w:rsidP="00A95498">
      <w:pPr>
        <w:tabs>
          <w:tab w:val="left" w:pos="-1440"/>
        </w:tabs>
        <w:ind w:firstLine="426"/>
        <w:jc w:val="both"/>
        <w:rPr>
          <w:rFonts w:asciiTheme="minorHAnsi" w:hAnsiTheme="minorHAnsi"/>
          <w:szCs w:val="24"/>
          <w:lang w:val="es-ES_tradnl"/>
        </w:rPr>
      </w:pPr>
      <w:r w:rsidRPr="000D3432">
        <w:rPr>
          <w:rFonts w:asciiTheme="minorHAnsi" w:hAnsiTheme="minorHAnsi"/>
          <w:szCs w:val="24"/>
          <w:lang w:val="es-ES_tradnl"/>
        </w:rPr>
        <w:t>La estética pertenece a los sentidos. El placer es bueno, lo bello, lo hermoso. Lo aburrido, pesado es lo malo.</w:t>
      </w:r>
    </w:p>
    <w:p w14:paraId="41FE8B37" w14:textId="77777777" w:rsidR="001B03E0" w:rsidRPr="000D3432" w:rsidRDefault="001B03E0" w:rsidP="00A95498">
      <w:pPr>
        <w:tabs>
          <w:tab w:val="left" w:pos="-1440"/>
        </w:tabs>
        <w:ind w:firstLine="426"/>
        <w:jc w:val="both"/>
        <w:rPr>
          <w:rFonts w:asciiTheme="minorHAnsi" w:hAnsiTheme="minorHAnsi"/>
          <w:szCs w:val="24"/>
          <w:lang w:val="es-ES_tradnl"/>
        </w:rPr>
      </w:pPr>
    </w:p>
    <w:p w14:paraId="5D2F9B8A" w14:textId="77777777" w:rsidR="001B03E0" w:rsidRPr="000D3432" w:rsidRDefault="001B03E0" w:rsidP="00A95498">
      <w:pPr>
        <w:tabs>
          <w:tab w:val="left" w:pos="-1440"/>
        </w:tabs>
        <w:ind w:firstLine="426"/>
        <w:jc w:val="both"/>
        <w:rPr>
          <w:rFonts w:asciiTheme="minorHAnsi" w:hAnsiTheme="minorHAnsi"/>
          <w:szCs w:val="24"/>
          <w:lang w:val="es-ES_tradnl"/>
        </w:rPr>
      </w:pPr>
      <w:r w:rsidRPr="000D3432">
        <w:rPr>
          <w:rFonts w:asciiTheme="minorHAnsi" w:hAnsiTheme="minorHAnsi"/>
          <w:szCs w:val="24"/>
          <w:lang w:val="es-ES_tradnl"/>
        </w:rPr>
        <w:t>De estas fases se puede saltar, pero es así se salte o no, se decida o no, no hay intermedios.</w:t>
      </w:r>
    </w:p>
    <w:p w14:paraId="066EDFD1" w14:textId="77777777" w:rsidR="001B03E0" w:rsidRPr="000D3432" w:rsidRDefault="001B03E0" w:rsidP="00A95498">
      <w:pPr>
        <w:tabs>
          <w:tab w:val="left" w:pos="-1440"/>
        </w:tabs>
        <w:ind w:firstLine="426"/>
        <w:jc w:val="both"/>
        <w:rPr>
          <w:rFonts w:asciiTheme="minorHAnsi" w:hAnsiTheme="minorHAnsi"/>
          <w:szCs w:val="24"/>
          <w:lang w:val="es-ES_tradnl"/>
        </w:rPr>
      </w:pPr>
    </w:p>
    <w:p w14:paraId="668D10DE" w14:textId="77777777" w:rsidR="001B03E0" w:rsidRPr="000D3432" w:rsidRDefault="001B03E0" w:rsidP="00A95498">
      <w:pPr>
        <w:tabs>
          <w:tab w:val="left" w:pos="-1440"/>
        </w:tabs>
        <w:ind w:firstLine="426"/>
        <w:jc w:val="both"/>
        <w:rPr>
          <w:rFonts w:asciiTheme="minorHAnsi" w:hAnsiTheme="minorHAnsi"/>
          <w:szCs w:val="24"/>
          <w:lang w:val="es-ES_tradnl"/>
        </w:rPr>
      </w:pPr>
      <w:r w:rsidRPr="000D3432">
        <w:rPr>
          <w:rFonts w:asciiTheme="minorHAnsi" w:hAnsiTheme="minorHAnsi"/>
          <w:szCs w:val="24"/>
          <w:lang w:val="es-ES_tradnl"/>
        </w:rPr>
        <w:t>En la "fase ética" predomina las cuestiones morales, cuestiones serias y elecciones de acuerdo a ciertos criterios o principios.</w:t>
      </w:r>
    </w:p>
    <w:p w14:paraId="4CCCFA7A" w14:textId="77777777" w:rsidR="001B03E0" w:rsidRPr="000D3432" w:rsidRDefault="001B03E0" w:rsidP="00A95498">
      <w:pPr>
        <w:tabs>
          <w:tab w:val="left" w:pos="-1440"/>
        </w:tabs>
        <w:ind w:left="720" w:firstLine="426"/>
        <w:jc w:val="both"/>
        <w:rPr>
          <w:rFonts w:asciiTheme="minorHAnsi" w:hAnsiTheme="minorHAnsi"/>
          <w:szCs w:val="24"/>
          <w:lang w:val="es-ES_tradnl"/>
        </w:rPr>
      </w:pPr>
    </w:p>
    <w:p w14:paraId="6EB1EE63" w14:textId="77777777" w:rsidR="001B03E0" w:rsidRPr="000D3432" w:rsidRDefault="001B03E0" w:rsidP="00A95498">
      <w:pPr>
        <w:tabs>
          <w:tab w:val="left" w:pos="-1440"/>
        </w:tabs>
        <w:ind w:left="720" w:firstLine="426"/>
        <w:jc w:val="both"/>
        <w:rPr>
          <w:rFonts w:asciiTheme="minorHAnsi" w:hAnsiTheme="minorHAnsi"/>
          <w:szCs w:val="24"/>
          <w:lang w:val="es-ES_tradnl"/>
        </w:rPr>
      </w:pPr>
      <w:r w:rsidRPr="000D3432">
        <w:rPr>
          <w:rFonts w:asciiTheme="minorHAnsi" w:hAnsiTheme="minorHAnsi"/>
          <w:szCs w:val="24"/>
          <w:lang w:val="es-ES_tradnl"/>
        </w:rPr>
        <w:t>"Lo esencial no es exactamente lo que uno opina que es lo correcto y lo que uno opina que es malo. Lo esencial es que uno elija tener una actitud ante lo que es "correcto o equivocado"</w:t>
      </w:r>
      <w:r w:rsidRPr="000D3432">
        <w:rPr>
          <w:rStyle w:val="Refdenotaalpie"/>
          <w:rFonts w:asciiTheme="minorHAnsi" w:hAnsiTheme="minorHAnsi"/>
          <w:sz w:val="24"/>
          <w:szCs w:val="24"/>
          <w:lang w:val="es-ES_tradnl"/>
        </w:rPr>
        <w:footnoteReference w:id="604"/>
      </w:r>
      <w:r w:rsidRPr="000D3432">
        <w:rPr>
          <w:rFonts w:asciiTheme="minorHAnsi" w:hAnsiTheme="minorHAnsi"/>
          <w:szCs w:val="24"/>
          <w:lang w:val="es-ES_tradnl"/>
        </w:rPr>
        <w:t>.</w:t>
      </w:r>
    </w:p>
    <w:p w14:paraId="3B134486"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La fase religiosa, consiste en la fe antes que en el placer estético o la razón ética.</w:t>
      </w:r>
    </w:p>
    <w:p w14:paraId="6D38AC8F" w14:textId="77777777" w:rsidR="001B03E0" w:rsidRPr="000D3432" w:rsidRDefault="001B03E0" w:rsidP="00A95498">
      <w:pPr>
        <w:tabs>
          <w:tab w:val="left" w:pos="-1440"/>
        </w:tabs>
        <w:jc w:val="both"/>
        <w:rPr>
          <w:rFonts w:asciiTheme="minorHAnsi" w:hAnsiTheme="minorHAnsi"/>
          <w:szCs w:val="24"/>
          <w:lang w:val="es-ES_tradnl"/>
        </w:rPr>
      </w:pPr>
    </w:p>
    <w:p w14:paraId="3240C8A9"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Kierkegaard piensa que se está en una de estas tres fases, no en todas. Se puede pasar de una a otra. Ver una sola cosa es lo mejor, lo otro es alienante. No se puede querer muchas cosas, pues acarrearía una minimización del ser, "Mas cosas queremos, menos somos"</w:t>
      </w:r>
    </w:p>
    <w:p w14:paraId="7A5EC5A5" w14:textId="77777777" w:rsidR="001B03E0" w:rsidRPr="000D3432" w:rsidRDefault="001B03E0" w:rsidP="00A95498">
      <w:pPr>
        <w:tabs>
          <w:tab w:val="left" w:pos="-1440"/>
        </w:tabs>
        <w:jc w:val="both"/>
        <w:rPr>
          <w:rFonts w:asciiTheme="minorHAnsi" w:hAnsiTheme="minorHAnsi"/>
          <w:szCs w:val="24"/>
          <w:lang w:val="es-ES_tradnl"/>
        </w:rPr>
      </w:pPr>
    </w:p>
    <w:p w14:paraId="20D14B5F"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Pero es su concepción respecto a nuestra capacidad cognoscitiva, lo que produce una nueva percepción del mundo y las relaciones sociales,</w:t>
      </w:r>
    </w:p>
    <w:p w14:paraId="18453BE1" w14:textId="77777777" w:rsidR="001B03E0" w:rsidRPr="000D3432" w:rsidRDefault="001B03E0" w:rsidP="00A95498">
      <w:pPr>
        <w:tabs>
          <w:tab w:val="left" w:pos="-1440"/>
        </w:tabs>
        <w:ind w:left="720" w:firstLine="426"/>
        <w:jc w:val="both"/>
        <w:rPr>
          <w:rFonts w:asciiTheme="minorHAnsi" w:hAnsiTheme="minorHAnsi"/>
          <w:szCs w:val="24"/>
          <w:lang w:val="es-ES_tradnl"/>
        </w:rPr>
      </w:pPr>
      <w:r w:rsidRPr="000D3432">
        <w:rPr>
          <w:rFonts w:asciiTheme="minorHAnsi" w:hAnsiTheme="minorHAnsi"/>
          <w:szCs w:val="24"/>
          <w:lang w:val="es-ES_tradnl"/>
        </w:rPr>
        <w:t>"Solamente con el sentimiento un hombre no llega nunca a comprender a otro (...) Sus sufrimientos no lo capacitan para comprender los sufrimientos ajenos, como tampoco su felicidad constituye un medio para explicarse la felicidad de los otros. Todo lo explica egoístamente, en relación con su propia persona y, por  lo tanto está en discordia con todos los otros.</w:t>
      </w:r>
    </w:p>
    <w:p w14:paraId="3316DB57" w14:textId="77777777" w:rsidR="001B03E0" w:rsidRPr="000D3432" w:rsidRDefault="001B03E0" w:rsidP="00A95498">
      <w:pPr>
        <w:tabs>
          <w:tab w:val="left" w:pos="-1440"/>
        </w:tabs>
        <w:ind w:left="720" w:firstLine="426"/>
        <w:jc w:val="both"/>
        <w:rPr>
          <w:rFonts w:asciiTheme="minorHAnsi" w:hAnsiTheme="minorHAnsi"/>
          <w:szCs w:val="24"/>
          <w:lang w:val="es-ES_tradnl"/>
        </w:rPr>
      </w:pPr>
      <w:r w:rsidRPr="000D3432">
        <w:rPr>
          <w:rFonts w:asciiTheme="minorHAnsi" w:hAnsiTheme="minorHAnsi"/>
          <w:szCs w:val="24"/>
          <w:lang w:val="es-ES_tradnl"/>
        </w:rPr>
        <w:lastRenderedPageBreak/>
        <w:t>...nadie puede ir más allá de su propia piel, y cuando dice que "entiende" al otro o "siente" lo que el otro experimenta, no hace más que hablar de su propia piel; jamás del otro"</w:t>
      </w:r>
      <w:r w:rsidRPr="000D3432">
        <w:rPr>
          <w:rStyle w:val="Refdenotaalpie"/>
          <w:rFonts w:asciiTheme="minorHAnsi" w:hAnsiTheme="minorHAnsi"/>
          <w:sz w:val="24"/>
          <w:szCs w:val="24"/>
          <w:lang w:val="es-ES_tradnl"/>
        </w:rPr>
        <w:footnoteReference w:id="605"/>
      </w:r>
      <w:r w:rsidRPr="000D3432">
        <w:rPr>
          <w:rFonts w:asciiTheme="minorHAnsi" w:hAnsiTheme="minorHAnsi"/>
          <w:szCs w:val="24"/>
          <w:lang w:val="es-ES_tradnl"/>
        </w:rPr>
        <w:t>.</w:t>
      </w:r>
    </w:p>
    <w:p w14:paraId="0EE95FB7" w14:textId="77777777" w:rsidR="001B03E0" w:rsidRPr="000D3432" w:rsidRDefault="001B03E0" w:rsidP="00A95498">
      <w:pPr>
        <w:tabs>
          <w:tab w:val="left" w:pos="-1440"/>
        </w:tabs>
        <w:ind w:left="720" w:firstLine="426"/>
        <w:jc w:val="both"/>
        <w:rPr>
          <w:rFonts w:asciiTheme="minorHAnsi" w:hAnsiTheme="minorHAnsi"/>
          <w:szCs w:val="24"/>
          <w:lang w:val="es-ES_tradnl"/>
        </w:rPr>
      </w:pPr>
    </w:p>
    <w:p w14:paraId="2A09B16B" w14:textId="77777777" w:rsidR="001B03E0" w:rsidRPr="000D3432" w:rsidRDefault="001B03E0" w:rsidP="00A95498">
      <w:pPr>
        <w:tabs>
          <w:tab w:val="left" w:pos="-1440"/>
        </w:tabs>
        <w:jc w:val="center"/>
        <w:rPr>
          <w:rFonts w:asciiTheme="minorHAnsi" w:hAnsiTheme="minorHAnsi"/>
          <w:b/>
          <w:szCs w:val="24"/>
          <w:lang w:val="es-ES_tradnl"/>
        </w:rPr>
      </w:pPr>
    </w:p>
    <w:p w14:paraId="50E829B7" w14:textId="77777777" w:rsidR="001B03E0" w:rsidRPr="000D3432" w:rsidRDefault="001B03E0" w:rsidP="00A95498">
      <w:pPr>
        <w:tabs>
          <w:tab w:val="left" w:pos="-1440"/>
        </w:tabs>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UN PLAGIO </w:t>
      </w:r>
    </w:p>
    <w:p w14:paraId="75953522" w14:textId="77777777" w:rsidR="001B03E0" w:rsidRPr="000D3432" w:rsidRDefault="001B03E0" w:rsidP="00A95498">
      <w:pPr>
        <w:tabs>
          <w:tab w:val="left" w:pos="-1440"/>
        </w:tabs>
        <w:jc w:val="center"/>
        <w:rPr>
          <w:rFonts w:asciiTheme="minorHAnsi" w:hAnsiTheme="minorHAnsi"/>
          <w:b/>
          <w:szCs w:val="24"/>
          <w:lang w:val="es-ES_tradnl"/>
        </w:rPr>
      </w:pPr>
      <w:r w:rsidRPr="000D3432">
        <w:rPr>
          <w:rFonts w:asciiTheme="minorHAnsi" w:hAnsiTheme="minorHAnsi"/>
          <w:b/>
          <w:szCs w:val="24"/>
          <w:lang w:val="es-ES_tradnl"/>
        </w:rPr>
        <w:t>A FRIEDRICH NIETZSCHE</w:t>
      </w:r>
    </w:p>
    <w:p w14:paraId="78244984" w14:textId="77777777" w:rsidR="001B03E0" w:rsidRPr="000D3432" w:rsidRDefault="001B03E0" w:rsidP="00A95498">
      <w:pPr>
        <w:jc w:val="both"/>
        <w:rPr>
          <w:rFonts w:asciiTheme="minorHAnsi" w:hAnsiTheme="minorHAnsi"/>
          <w:b/>
          <w:szCs w:val="24"/>
          <w:lang w:val="es-ES_tradnl"/>
        </w:rPr>
      </w:pPr>
    </w:p>
    <w:p w14:paraId="23254A03" w14:textId="77777777" w:rsidR="001B03E0" w:rsidRPr="000D3432" w:rsidRDefault="001B03E0" w:rsidP="00A95498">
      <w:pPr>
        <w:jc w:val="both"/>
        <w:rPr>
          <w:rFonts w:asciiTheme="minorHAnsi" w:hAnsiTheme="minorHAnsi"/>
          <w:b/>
          <w:szCs w:val="24"/>
          <w:lang w:val="es-ES_tradnl"/>
        </w:rPr>
      </w:pPr>
      <w:r w:rsidRPr="000D3432">
        <w:rPr>
          <w:rFonts w:asciiTheme="minorHAnsi" w:hAnsiTheme="minorHAnsi"/>
          <w:b/>
          <w:szCs w:val="24"/>
          <w:lang w:val="es-ES_tradnl"/>
        </w:rPr>
        <w:t>“Crítica a la tradición socrático-platónica.</w:t>
      </w:r>
    </w:p>
    <w:p w14:paraId="68950EB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Nietzsche plantea una crítica a toda la tradición occidental, sobre todo a Platón, ya que considera a este como el origen de dicha civilización y de la filosofía cristiana. Le culpa de haber traicionado el espíritu filosófico (el perspectivismo o la perspectiva de la vida), introduciendo un planteamiento antinatural y antivital y negando a la vida los instintos vitales que son sustituidos por unos valores fuera de este mundo. A esta posición la denomina Nietzsche </w:t>
      </w:r>
      <w:r w:rsidRPr="000D3432">
        <w:rPr>
          <w:rFonts w:asciiTheme="minorHAnsi" w:hAnsiTheme="minorHAnsi"/>
          <w:b/>
          <w:szCs w:val="24"/>
          <w:lang w:val="es-ES_tradnl"/>
        </w:rPr>
        <w:t>Nihilismo</w:t>
      </w:r>
      <w:r w:rsidRPr="000D3432">
        <w:rPr>
          <w:rFonts w:asciiTheme="minorHAnsi" w:hAnsiTheme="minorHAnsi"/>
          <w:szCs w:val="24"/>
          <w:lang w:val="es-ES_tradnl"/>
        </w:rPr>
        <w:t>.</w:t>
      </w:r>
    </w:p>
    <w:p w14:paraId="396229BE" w14:textId="77777777" w:rsidR="001B03E0" w:rsidRPr="000D3432" w:rsidRDefault="001B03E0" w:rsidP="00A95498">
      <w:pPr>
        <w:jc w:val="both"/>
        <w:rPr>
          <w:rFonts w:asciiTheme="minorHAnsi" w:hAnsiTheme="minorHAnsi"/>
          <w:szCs w:val="24"/>
          <w:lang w:val="es-ES_tradnl"/>
        </w:rPr>
      </w:pPr>
    </w:p>
    <w:p w14:paraId="05E83EC2"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Su crítica a la tradición socrático-platónica la realiza desde 3 vertientes:</w:t>
      </w:r>
    </w:p>
    <w:p w14:paraId="39BC5F0F" w14:textId="77777777" w:rsidR="001B03E0" w:rsidRPr="000D3432" w:rsidRDefault="001B03E0" w:rsidP="00A95498">
      <w:pPr>
        <w:tabs>
          <w:tab w:val="num" w:pos="720"/>
        </w:tabs>
        <w:ind w:left="360"/>
        <w:jc w:val="both"/>
        <w:rPr>
          <w:rFonts w:asciiTheme="minorHAnsi" w:hAnsiTheme="minorHAnsi"/>
          <w:szCs w:val="24"/>
          <w:lang w:val="es-ES_tradnl"/>
        </w:rPr>
      </w:pPr>
    </w:p>
    <w:p w14:paraId="0A97A057" w14:textId="77777777" w:rsidR="001B03E0" w:rsidRPr="000D3432" w:rsidRDefault="001B03E0" w:rsidP="00A95498">
      <w:pPr>
        <w:tabs>
          <w:tab w:val="num" w:pos="720"/>
        </w:tabs>
        <w:ind w:left="360"/>
        <w:jc w:val="both"/>
        <w:rPr>
          <w:rFonts w:asciiTheme="minorHAnsi" w:hAnsiTheme="minorHAnsi"/>
          <w:b/>
          <w:szCs w:val="24"/>
          <w:lang w:val="es-ES_tradnl"/>
        </w:rPr>
      </w:pPr>
      <w:r w:rsidRPr="000D3432">
        <w:rPr>
          <w:rFonts w:asciiTheme="minorHAnsi" w:hAnsiTheme="minorHAnsi"/>
          <w:b/>
          <w:szCs w:val="24"/>
          <w:lang w:val="es-ES_tradnl"/>
        </w:rPr>
        <w:t>Ámbito moral</w:t>
      </w:r>
      <w:r w:rsidRPr="000D3432">
        <w:rPr>
          <w:rFonts w:asciiTheme="minorHAnsi" w:hAnsiTheme="minorHAnsi"/>
          <w:szCs w:val="24"/>
          <w:lang w:val="es-ES_tradnl"/>
        </w:rPr>
        <w:t>. Nietzsche se centra sobre todo en las valoraciones que se hacen acerca de la realidad. Para éste, la filosofía platónica contiene una valoración antivital, puesto que los valores platónicos y cristianos se fundamentan en otro mundo, imponiendo un orden moral exterior y expropiando al hombre el derecho que tiene por naturaleza a generar y crear sus propios valores. Para justificar esta expropiación, los filósofos dogmáticos tienen que justificar de alguna forma que el hombre es libre y responsable ; pero en lugar de partir de que el hombre es libre por naturaleza (lo cual sería contrario a sus posturas ya que el hombre podría reclamar un orden moral basado en la vida y en los instintos vitales),</w:t>
      </w:r>
      <w:r w:rsidRPr="000D3432">
        <w:rPr>
          <w:rFonts w:asciiTheme="minorHAnsi" w:hAnsiTheme="minorHAnsi"/>
          <w:b/>
          <w:szCs w:val="24"/>
          <w:lang w:val="es-ES_tradnl"/>
        </w:rPr>
        <w:t xml:space="preserve"> justifican esta libertad a partir de la culpabilidad</w:t>
      </w:r>
      <w:r w:rsidRPr="000D3432">
        <w:rPr>
          <w:rFonts w:asciiTheme="minorHAnsi" w:hAnsiTheme="minorHAnsi"/>
          <w:szCs w:val="24"/>
          <w:lang w:val="es-ES_tradnl"/>
        </w:rPr>
        <w:t xml:space="preserve">. Utilizan pues la culpabilidad como un arma para mantener sometidos a los hombres y conservar el orden nihilista. Además, estos valores tienen un carácter sobrenatural y se les impone al hombre de una forma absoluta sin posibilidad de cambiarlos. </w:t>
      </w:r>
    </w:p>
    <w:p w14:paraId="75EECD91" w14:textId="77777777" w:rsidR="001B03E0" w:rsidRPr="000D3432" w:rsidRDefault="001B03E0" w:rsidP="00A95498">
      <w:pPr>
        <w:tabs>
          <w:tab w:val="num" w:pos="720"/>
        </w:tabs>
        <w:ind w:left="360"/>
        <w:jc w:val="both"/>
        <w:rPr>
          <w:rFonts w:asciiTheme="minorHAnsi" w:hAnsiTheme="minorHAnsi"/>
          <w:szCs w:val="24"/>
          <w:lang w:val="es-ES_tradnl"/>
        </w:rPr>
      </w:pPr>
    </w:p>
    <w:p w14:paraId="65513B12" w14:textId="77777777" w:rsidR="001B03E0" w:rsidRPr="000D3432" w:rsidRDefault="001B03E0" w:rsidP="00A95498">
      <w:pPr>
        <w:tabs>
          <w:tab w:val="num" w:pos="720"/>
        </w:tabs>
        <w:ind w:left="360"/>
        <w:jc w:val="both"/>
        <w:rPr>
          <w:rFonts w:asciiTheme="minorHAnsi" w:hAnsiTheme="minorHAnsi"/>
          <w:b/>
          <w:szCs w:val="24"/>
          <w:lang w:val="es-ES_tradnl"/>
        </w:rPr>
      </w:pPr>
      <w:r w:rsidRPr="000D3432">
        <w:rPr>
          <w:rFonts w:asciiTheme="minorHAnsi" w:hAnsiTheme="minorHAnsi"/>
          <w:b/>
          <w:szCs w:val="24"/>
          <w:lang w:val="es-ES_tradnl"/>
        </w:rPr>
        <w:t>Ámbito metafísico u ontológico.</w:t>
      </w:r>
      <w:r w:rsidRPr="000D3432">
        <w:rPr>
          <w:rFonts w:asciiTheme="minorHAnsi" w:hAnsiTheme="minorHAnsi"/>
          <w:szCs w:val="24"/>
          <w:lang w:val="es-ES_tradnl"/>
        </w:rPr>
        <w:t xml:space="preserve"> Para Nietzsche los conceptos están muy unidos al lenguaje, de ahí la repetición de los mismos esquemas básicos por diversidad de filósofos (Dios, Sustancia, Esencia, Existencia, ...) ; en otras palabras, el parecido que hay entre los conceptos está motivado por su parecido lingüístico, que predispone hacia una cierta filosofía. Así, la estructura sintáctica del lenguaje guía inconscientemente los sistemas filosóficos, de tal manera que aquellos idiomas que tienen gramáticas análogas o estructura similar generan filosofías parecidas. Un ejemplo sería para Nietzsche el parecido entre la filosofía alemana y la griega, debido a su parecido lingüístico, frente a la filosofía oriental que posee otros esquemas sintácticos distintos. Así pues la íntima unión entre los conceptos y el lenguaje se convierte en un arma engañosa del pensamiento. </w:t>
      </w:r>
    </w:p>
    <w:p w14:paraId="78540411" w14:textId="77777777" w:rsidR="001B03E0" w:rsidRPr="000D3432" w:rsidRDefault="001B03E0" w:rsidP="00A95498">
      <w:pPr>
        <w:tabs>
          <w:tab w:val="num" w:pos="720"/>
        </w:tabs>
        <w:ind w:left="360"/>
        <w:jc w:val="both"/>
        <w:rPr>
          <w:rFonts w:asciiTheme="minorHAnsi" w:hAnsiTheme="minorHAnsi"/>
          <w:szCs w:val="24"/>
          <w:lang w:val="es-ES_tradnl"/>
        </w:rPr>
      </w:pPr>
    </w:p>
    <w:p w14:paraId="4A2CFAE8" w14:textId="77777777" w:rsidR="001B03E0" w:rsidRPr="000D3432" w:rsidRDefault="001B03E0" w:rsidP="00A95498">
      <w:pPr>
        <w:tabs>
          <w:tab w:val="num" w:pos="720"/>
        </w:tabs>
        <w:ind w:left="360"/>
        <w:jc w:val="both"/>
        <w:rPr>
          <w:rFonts w:asciiTheme="minorHAnsi" w:hAnsiTheme="minorHAnsi"/>
          <w:szCs w:val="24"/>
          <w:lang w:val="es-ES_tradnl"/>
        </w:rPr>
      </w:pPr>
      <w:r w:rsidRPr="000D3432">
        <w:rPr>
          <w:rFonts w:asciiTheme="minorHAnsi" w:hAnsiTheme="minorHAnsi"/>
          <w:b/>
          <w:szCs w:val="24"/>
          <w:lang w:val="es-ES_tradnl"/>
        </w:rPr>
        <w:t xml:space="preserve">Ámbito científico. </w:t>
      </w:r>
      <w:r w:rsidRPr="000D3432">
        <w:rPr>
          <w:rFonts w:asciiTheme="minorHAnsi" w:hAnsiTheme="minorHAnsi"/>
          <w:szCs w:val="24"/>
          <w:lang w:val="es-ES_tradnl"/>
        </w:rPr>
        <w:t xml:space="preserve">Nietzsche </w:t>
      </w:r>
      <w:r w:rsidRPr="000D3432">
        <w:rPr>
          <w:rFonts w:asciiTheme="minorHAnsi" w:hAnsiTheme="minorHAnsi"/>
          <w:b/>
          <w:szCs w:val="24"/>
          <w:lang w:val="es-ES_tradnl"/>
        </w:rPr>
        <w:t>realiza también una crítica a las ciencias positivas, a la matematización de la realidad</w:t>
      </w:r>
      <w:r w:rsidRPr="000D3432">
        <w:rPr>
          <w:rFonts w:asciiTheme="minorHAnsi" w:hAnsiTheme="minorHAnsi"/>
          <w:szCs w:val="24"/>
          <w:lang w:val="es-ES_tradnl"/>
        </w:rPr>
        <w:t>. Se opone a esta matematización de la realidad por 2 razones :</w:t>
      </w:r>
    </w:p>
    <w:p w14:paraId="3AA28480" w14:textId="77777777" w:rsidR="001B03E0" w:rsidRPr="000D3432" w:rsidRDefault="001B03E0" w:rsidP="00A95498">
      <w:pPr>
        <w:jc w:val="both"/>
        <w:rPr>
          <w:rFonts w:asciiTheme="minorHAnsi" w:hAnsiTheme="minorHAnsi"/>
          <w:szCs w:val="24"/>
          <w:lang w:val="es-ES_tradnl"/>
        </w:rPr>
      </w:pPr>
    </w:p>
    <w:p w14:paraId="07C203C3"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Cuando medimos y cuantificamos no conocemos la verdad de las cosas, ya que la verdad nunca es cantidad sino cualidad. El conocimiento científico no nos permite captar cualitativamente lo real.</w:t>
      </w:r>
    </w:p>
    <w:p w14:paraId="3916FA7A"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Cuando cuantificamos lo que logramos descubrir de la realidad es simplemente lo que nosotros mismos aantes hemos considerado, es decir, cantidades y números.</w:t>
      </w:r>
    </w:p>
    <w:p w14:paraId="4193DB5C" w14:textId="77777777" w:rsidR="001B03E0" w:rsidRPr="000D3432" w:rsidRDefault="001B03E0" w:rsidP="00A95498">
      <w:pPr>
        <w:jc w:val="both"/>
        <w:rPr>
          <w:rFonts w:asciiTheme="minorHAnsi" w:hAnsiTheme="minorHAnsi"/>
          <w:szCs w:val="24"/>
          <w:lang w:val="es-ES_tradnl"/>
        </w:rPr>
      </w:pPr>
    </w:p>
    <w:p w14:paraId="6053255F"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Así pues, las ciencias positivas no nos sirven para llegar a la verdad ; además lo más importante para Nietzsche en el conocimiento, y en el hombre, es aquello que nos permite fundamentar una valoración de la vida, para lo que no nos es útil la ciencia positiva. La ciencia simplemente ha sustituido a la religión en la época moderna y es un arma que utiliza el poder para someter al individuo.</w:t>
      </w:r>
    </w:p>
    <w:p w14:paraId="70CD9C41" w14:textId="77777777" w:rsidR="001B03E0" w:rsidRPr="000D3432" w:rsidRDefault="001B03E0" w:rsidP="00A95498">
      <w:pPr>
        <w:jc w:val="both"/>
        <w:rPr>
          <w:rFonts w:asciiTheme="minorHAnsi" w:hAnsiTheme="minorHAnsi"/>
          <w:szCs w:val="24"/>
          <w:lang w:val="es-ES_tradnl"/>
        </w:rPr>
      </w:pPr>
    </w:p>
    <w:p w14:paraId="1AF0554A" w14:textId="77777777" w:rsidR="001B03E0" w:rsidRPr="000D3432" w:rsidRDefault="001B03E0" w:rsidP="00A95498">
      <w:pPr>
        <w:tabs>
          <w:tab w:val="left" w:pos="-1440"/>
        </w:tabs>
        <w:jc w:val="both"/>
        <w:rPr>
          <w:rFonts w:asciiTheme="minorHAnsi" w:hAnsiTheme="minorHAnsi"/>
          <w:szCs w:val="24"/>
          <w:lang w:val="es-ES_tradnl"/>
        </w:rPr>
      </w:pPr>
    </w:p>
    <w:p w14:paraId="1104AC1C" w14:textId="77777777" w:rsidR="001B03E0" w:rsidRPr="000D3432" w:rsidRDefault="001B03E0" w:rsidP="00A95498">
      <w:pPr>
        <w:tabs>
          <w:tab w:val="left" w:pos="-1440"/>
        </w:tabs>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LA LIBERTAD ES ANTE TODO RESPONSABILIDAD</w:t>
      </w:r>
    </w:p>
    <w:p w14:paraId="7B4B78CC" w14:textId="77777777" w:rsidR="001B03E0" w:rsidRPr="000D3432" w:rsidRDefault="001B03E0" w:rsidP="00A95498">
      <w:pPr>
        <w:tabs>
          <w:tab w:val="left" w:pos="-1440"/>
        </w:tabs>
        <w:ind w:firstLine="426"/>
        <w:jc w:val="center"/>
        <w:rPr>
          <w:rFonts w:asciiTheme="minorHAnsi" w:hAnsiTheme="minorHAnsi"/>
          <w:b/>
          <w:szCs w:val="24"/>
          <w:lang w:val="es-ES_tradnl"/>
        </w:rPr>
      </w:pPr>
      <w:r w:rsidRPr="000D3432">
        <w:rPr>
          <w:rFonts w:asciiTheme="minorHAnsi" w:hAnsiTheme="minorHAnsi"/>
          <w:b/>
          <w:szCs w:val="24"/>
          <w:lang w:val="es-ES_tradnl"/>
        </w:rPr>
        <w:t>JEAN PAUL SARTRE</w:t>
      </w:r>
    </w:p>
    <w:p w14:paraId="19662704" w14:textId="77777777" w:rsidR="001B03E0" w:rsidRPr="000D3432" w:rsidRDefault="001B03E0" w:rsidP="00A95498">
      <w:pPr>
        <w:tabs>
          <w:tab w:val="left" w:pos="-1440"/>
        </w:tabs>
        <w:jc w:val="both"/>
        <w:rPr>
          <w:rFonts w:asciiTheme="minorHAnsi" w:hAnsiTheme="minorHAnsi"/>
          <w:szCs w:val="24"/>
          <w:lang w:val="es-ES_tradnl"/>
        </w:rPr>
      </w:pPr>
    </w:p>
    <w:p w14:paraId="7EF3967F"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"La existencia precede a la esencia" dice Sartre, este hombre, de muy mal aspecto dio fuerza al existencialismo latino, y a diferencia de Heidegger y otros fue un existencialista Ateo unido con la filósofa Simone de Beauvoir, con la cual tenía grandes diferencias pero también muchas afinidades.</w:t>
      </w:r>
    </w:p>
    <w:p w14:paraId="61E1825E" w14:textId="77777777" w:rsidR="001B03E0" w:rsidRPr="000D3432" w:rsidRDefault="001B03E0" w:rsidP="00A95498">
      <w:pPr>
        <w:tabs>
          <w:tab w:val="left" w:pos="-1440"/>
        </w:tabs>
        <w:jc w:val="both"/>
        <w:rPr>
          <w:rFonts w:asciiTheme="minorHAnsi" w:hAnsiTheme="minorHAnsi"/>
          <w:szCs w:val="24"/>
          <w:lang w:val="es-ES_tradnl"/>
        </w:rPr>
      </w:pPr>
    </w:p>
    <w:p w14:paraId="23533049"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 xml:space="preserve">Sartre propuso que el existencialismo es el humanismo, es decir que el ser humano es el único ser que tiene consciencia de su existencia. Fue el Paladín de Francia y se negó a recibir el premio nobel. Su influencia fue muy fuerte, tanto que al leer lo que había escrito Jean Genet, desde la cárcel, condenado a pena de por vida, "cadena perpetua", logró (mediante todo un gran argumento apologético a la obra de este hombre) liberarlo de la prisión. Tal era su fuerza. El paladín consideraba que el hombre no venía con conocimientos, que no tenía naturaleza, que no había naturaleza humana innata por eso decía: "la existencia precede a la esencia", la esencia es la naturaleza humana. Primero uno existe, luego se forma constantemente, a cada instante, es decir, somos el yo deseante, somos libres y por ello mismo responsables de nuestros actos. </w:t>
      </w:r>
    </w:p>
    <w:p w14:paraId="497015B8" w14:textId="77777777" w:rsidR="001B03E0" w:rsidRPr="000D3432" w:rsidRDefault="001B03E0" w:rsidP="00A95498">
      <w:pPr>
        <w:tabs>
          <w:tab w:val="left" w:pos="-1440"/>
        </w:tabs>
        <w:jc w:val="both"/>
        <w:rPr>
          <w:rFonts w:asciiTheme="minorHAnsi" w:hAnsiTheme="minorHAnsi"/>
          <w:szCs w:val="24"/>
          <w:lang w:val="es-ES_tradnl"/>
        </w:rPr>
      </w:pPr>
    </w:p>
    <w:p w14:paraId="6BFE0C55"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El hombre al no tener naturaleza innata, esencia, tiene que inventarse, crearse su propia naturaleza.</w:t>
      </w:r>
    </w:p>
    <w:p w14:paraId="0C2C0694" w14:textId="77777777" w:rsidR="001B03E0" w:rsidRPr="000D3432" w:rsidRDefault="001B03E0" w:rsidP="00A95498">
      <w:pPr>
        <w:tabs>
          <w:tab w:val="left" w:pos="-1440"/>
        </w:tabs>
        <w:jc w:val="both"/>
        <w:rPr>
          <w:rFonts w:asciiTheme="minorHAnsi" w:hAnsiTheme="minorHAnsi"/>
          <w:szCs w:val="24"/>
          <w:lang w:val="es-ES_tradnl"/>
        </w:rPr>
      </w:pPr>
    </w:p>
    <w:p w14:paraId="10050C3F"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"Estamos condenados a improvisar" dice hablando del pensamiento de Sartre, Gaarder.</w:t>
      </w:r>
    </w:p>
    <w:p w14:paraId="2CB3945F" w14:textId="77777777" w:rsidR="001B03E0" w:rsidRPr="000D3432" w:rsidRDefault="001B03E0" w:rsidP="00A95498">
      <w:pPr>
        <w:tabs>
          <w:tab w:val="left" w:pos="-1440"/>
        </w:tabs>
        <w:jc w:val="both"/>
        <w:rPr>
          <w:rFonts w:asciiTheme="minorHAnsi" w:hAnsiTheme="minorHAnsi"/>
          <w:szCs w:val="24"/>
          <w:lang w:val="es-ES_tradnl"/>
        </w:rPr>
      </w:pPr>
    </w:p>
    <w:p w14:paraId="004FBEEE"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 xml:space="preserve">Sartre cree que "el hombre está condenado a ser libre" porque tiene que improvisar y ser responsable de sus actos, no sólo responsable ante los demás, sino que sus actos son lo que él va a ser, lo que puede o no ocurrirle, esa es la </w:t>
      </w:r>
      <w:r w:rsidRPr="000D3432">
        <w:rPr>
          <w:rFonts w:asciiTheme="minorHAnsi" w:hAnsiTheme="minorHAnsi"/>
          <w:szCs w:val="24"/>
          <w:lang w:val="es-ES_tradnl"/>
        </w:rPr>
        <w:lastRenderedPageBreak/>
        <w:t>responsabilidad .</w:t>
      </w:r>
    </w:p>
    <w:p w14:paraId="0E5C6FB4" w14:textId="77777777" w:rsidR="001B03E0" w:rsidRPr="000D3432" w:rsidRDefault="001B03E0" w:rsidP="00A95498">
      <w:pPr>
        <w:tabs>
          <w:tab w:val="left" w:pos="-1440"/>
        </w:tabs>
        <w:jc w:val="both"/>
        <w:rPr>
          <w:rFonts w:asciiTheme="minorHAnsi" w:hAnsiTheme="minorHAnsi"/>
          <w:szCs w:val="24"/>
          <w:lang w:val="es-ES_tradnl"/>
        </w:rPr>
      </w:pPr>
    </w:p>
    <w:p w14:paraId="0B360B8F"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Su capacidad de elegir es también la forma de cómo va a vivir, esa es su responsabilidad, esa es la libertad de poder ser "debido a nuestra libertad estamos condenados a elegir claramente toda la vida. No existen valores o normas eternas por las que nos podamos regir" interpretando a Sartre escribe Gaarder</w:t>
      </w:r>
      <w:r w:rsidRPr="000D3432">
        <w:rPr>
          <w:rStyle w:val="Refdenotaalpie"/>
          <w:rFonts w:asciiTheme="minorHAnsi" w:hAnsiTheme="minorHAnsi"/>
          <w:sz w:val="24"/>
          <w:szCs w:val="24"/>
          <w:lang w:val="es-ES_tradnl"/>
        </w:rPr>
        <w:footnoteReference w:id="606"/>
      </w:r>
      <w:r w:rsidRPr="000D3432">
        <w:rPr>
          <w:rFonts w:asciiTheme="minorHAnsi" w:hAnsiTheme="minorHAnsi"/>
          <w:szCs w:val="24"/>
          <w:lang w:val="es-ES_tradnl"/>
        </w:rPr>
        <w:t>.</w:t>
      </w:r>
    </w:p>
    <w:p w14:paraId="33663384" w14:textId="77777777" w:rsidR="001B03E0" w:rsidRPr="000D3432" w:rsidRDefault="001B03E0" w:rsidP="00A95498">
      <w:pPr>
        <w:tabs>
          <w:tab w:val="left" w:pos="-1440"/>
        </w:tabs>
        <w:jc w:val="both"/>
        <w:rPr>
          <w:rFonts w:asciiTheme="minorHAnsi" w:hAnsiTheme="minorHAnsi"/>
          <w:szCs w:val="24"/>
          <w:lang w:val="es-ES_tradnl"/>
        </w:rPr>
      </w:pPr>
    </w:p>
    <w:p w14:paraId="72D30E52"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Sartre intenta decirnos que lo que captamos del mundo está relacionado directamente con nuestros intereses, creando nuestra prioridades.</w:t>
      </w:r>
    </w:p>
    <w:p w14:paraId="25D95B1F" w14:textId="77777777" w:rsidR="001B03E0" w:rsidRPr="000D3432" w:rsidRDefault="001B03E0" w:rsidP="00A95498">
      <w:pPr>
        <w:tabs>
          <w:tab w:val="left" w:pos="-1440"/>
        </w:tabs>
        <w:jc w:val="both"/>
        <w:rPr>
          <w:rFonts w:asciiTheme="minorHAnsi" w:hAnsiTheme="minorHAnsi"/>
          <w:szCs w:val="24"/>
          <w:lang w:val="es-ES_tradnl"/>
        </w:rPr>
      </w:pPr>
    </w:p>
    <w:p w14:paraId="1E898D81"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En el tiempo de Sartre surgió también el teatro del absurdo, dato que nos interesa porque intentaba mostrar la falta de sentido de la vida.</w:t>
      </w:r>
    </w:p>
    <w:p w14:paraId="1E064E27" w14:textId="77777777" w:rsidR="001B03E0" w:rsidRPr="000D3432" w:rsidRDefault="001B03E0" w:rsidP="00A95498">
      <w:pPr>
        <w:tabs>
          <w:tab w:val="left" w:pos="-1440"/>
        </w:tabs>
        <w:jc w:val="both"/>
        <w:rPr>
          <w:rFonts w:asciiTheme="minorHAnsi" w:hAnsiTheme="minorHAnsi"/>
          <w:szCs w:val="24"/>
          <w:lang w:val="es-ES_tradnl"/>
        </w:rPr>
      </w:pPr>
    </w:p>
    <w:p w14:paraId="72F10229"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La Ecofilosofía intentó demostrar no sólo lo mal que íbamos con la naturaleza, sino que "toda la civilización de Occidente va por muy mal camino,  por no decir que está a punto de llegar al tope de lo que puede tolerar el Planeta. Han intentado llegar hasta el fondo, no quedándose sólo en los resultados concretos, de contaminación y destrucción  ambiental. Dicen que hay algo profundamente erróneo en toda la manera de pensar occidental,</w:t>
      </w:r>
    </w:p>
    <w:p w14:paraId="22ECD07D" w14:textId="77777777" w:rsidR="001B03E0" w:rsidRPr="000D3432" w:rsidRDefault="001B03E0" w:rsidP="00A95498">
      <w:pPr>
        <w:tabs>
          <w:tab w:val="left" w:pos="-1440"/>
        </w:tabs>
        <w:jc w:val="both"/>
        <w:rPr>
          <w:rFonts w:asciiTheme="minorHAnsi" w:hAnsiTheme="minorHAnsi"/>
          <w:szCs w:val="24"/>
          <w:lang w:val="es-ES_tradnl"/>
        </w:rPr>
      </w:pPr>
    </w:p>
    <w:p w14:paraId="72070CF8" w14:textId="77777777" w:rsidR="001B03E0" w:rsidRPr="000D3432" w:rsidRDefault="001B03E0" w:rsidP="00A95498">
      <w:pPr>
        <w:tabs>
          <w:tab w:val="left" w:pos="-1440"/>
        </w:tabs>
        <w:jc w:val="both"/>
        <w:rPr>
          <w:rFonts w:asciiTheme="minorHAnsi" w:hAnsiTheme="minorHAnsi"/>
          <w:szCs w:val="24"/>
          <w:lang w:val="es-ES_tradnl"/>
        </w:rPr>
      </w:pPr>
    </w:p>
    <w:p w14:paraId="138983D4" w14:textId="77777777" w:rsidR="001B03E0" w:rsidRPr="000D3432" w:rsidRDefault="001B03E0" w:rsidP="00A95498">
      <w:pPr>
        <w:tabs>
          <w:tab w:val="left" w:pos="-1440"/>
        </w:tabs>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EL PERVERTOR DEL ORDEN</w:t>
      </w:r>
    </w:p>
    <w:p w14:paraId="1D9307B4" w14:textId="77777777" w:rsidR="001B03E0" w:rsidRPr="000D3432" w:rsidRDefault="001B03E0" w:rsidP="00A95498">
      <w:pPr>
        <w:tabs>
          <w:tab w:val="left" w:pos="-1440"/>
        </w:tabs>
        <w:jc w:val="center"/>
        <w:rPr>
          <w:rFonts w:asciiTheme="minorHAnsi" w:hAnsiTheme="minorHAnsi"/>
          <w:b/>
          <w:szCs w:val="24"/>
          <w:lang w:val="es-ES_tradnl"/>
        </w:rPr>
      </w:pPr>
      <w:r w:rsidRPr="000D3432">
        <w:rPr>
          <w:rFonts w:asciiTheme="minorHAnsi" w:hAnsiTheme="minorHAnsi"/>
          <w:b/>
          <w:szCs w:val="24"/>
          <w:lang w:val="es-ES_tradnl"/>
        </w:rPr>
        <w:t>GALILEO GALILEI</w:t>
      </w:r>
    </w:p>
    <w:p w14:paraId="2C9B33E6" w14:textId="77777777" w:rsidR="001B03E0" w:rsidRPr="000D3432" w:rsidRDefault="001B03E0" w:rsidP="00A95498">
      <w:pPr>
        <w:tabs>
          <w:tab w:val="left" w:pos="-1440"/>
        </w:tabs>
        <w:jc w:val="both"/>
        <w:rPr>
          <w:rFonts w:asciiTheme="minorHAnsi" w:hAnsiTheme="minorHAnsi"/>
          <w:b/>
          <w:szCs w:val="24"/>
          <w:lang w:val="es-ES_tradnl"/>
        </w:rPr>
      </w:pPr>
    </w:p>
    <w:p w14:paraId="5922B82C" w14:textId="77777777" w:rsidR="001B03E0" w:rsidRPr="000D3432" w:rsidRDefault="001B03E0" w:rsidP="00A95498">
      <w:pPr>
        <w:tabs>
          <w:tab w:val="left" w:pos="-1440"/>
        </w:tabs>
        <w:jc w:val="both"/>
        <w:rPr>
          <w:rFonts w:asciiTheme="minorHAnsi" w:hAnsiTheme="minorHAnsi"/>
          <w:szCs w:val="24"/>
          <w:lang w:val="es-ES_tradnl"/>
        </w:rPr>
      </w:pPr>
      <w:r w:rsidRPr="000D3432">
        <w:rPr>
          <w:rFonts w:asciiTheme="minorHAnsi" w:hAnsiTheme="minorHAnsi"/>
          <w:b/>
          <w:szCs w:val="24"/>
          <w:lang w:val="es-ES_tradnl"/>
        </w:rPr>
        <w:t>Galileo Galilei;</w:t>
      </w:r>
      <w:r w:rsidRPr="000D3432">
        <w:rPr>
          <w:rFonts w:asciiTheme="minorHAnsi" w:hAnsiTheme="minorHAnsi"/>
          <w:szCs w:val="24"/>
          <w:lang w:val="es-ES_tradnl"/>
        </w:rPr>
        <w:t xml:space="preserve"> pervierte el orden establecido, pervierte la validez de la superioridad de la autoridades. Nos dice Barylko:</w:t>
      </w:r>
    </w:p>
    <w:p w14:paraId="240063FA" w14:textId="77777777" w:rsidR="001B03E0" w:rsidRPr="000D3432" w:rsidRDefault="001B03E0" w:rsidP="00A95498">
      <w:pPr>
        <w:tabs>
          <w:tab w:val="left" w:pos="-1440"/>
        </w:tabs>
        <w:ind w:left="720"/>
        <w:jc w:val="both"/>
        <w:rPr>
          <w:rFonts w:asciiTheme="minorHAnsi" w:hAnsiTheme="minorHAnsi"/>
          <w:szCs w:val="24"/>
          <w:lang w:val="es-ES_tradnl"/>
        </w:rPr>
      </w:pPr>
      <w:r w:rsidRPr="000D3432">
        <w:rPr>
          <w:rFonts w:asciiTheme="minorHAnsi" w:hAnsiTheme="minorHAnsi"/>
          <w:szCs w:val="24"/>
          <w:lang w:val="es-ES_tradnl"/>
        </w:rPr>
        <w:t xml:space="preserve">"el orden reclama jerarquías, superiores e inferiores. Cuando alguien subvierte ese orden es perseguido por alguna Inquisición, porque pone en peligro el sueño y la siesta de los hombres que reposan amparados en su poder; solo y tan solo cuando hay un orden establecido, un orden concebido para siempre. La subversión de Galileo consistió en suponer que las autoridades ya no eran necesarias, que era posible una subversión  y una movilidad del poder a medida que la verdad y el progreso se movilizaban. Ya no existía el "para siempre". El descubrimiento de Galileo simboliza la esencia de la </w:t>
      </w:r>
      <w:r w:rsidRPr="000D3432">
        <w:rPr>
          <w:rFonts w:asciiTheme="minorHAnsi" w:hAnsiTheme="minorHAnsi"/>
          <w:b/>
          <w:szCs w:val="24"/>
          <w:lang w:val="es-ES_tradnl"/>
        </w:rPr>
        <w:t xml:space="preserve">Modernidad </w:t>
      </w:r>
      <w:r w:rsidRPr="000D3432">
        <w:rPr>
          <w:rFonts w:asciiTheme="minorHAnsi" w:hAnsiTheme="minorHAnsi"/>
          <w:szCs w:val="24"/>
          <w:lang w:val="es-ES_tradnl"/>
        </w:rPr>
        <w:t xml:space="preserve">(...) Quienes sustentan el poder quieren que los ejes y las rotaciones en torno de los ejes -ejes de poder- sean para siempre..." </w:t>
      </w:r>
      <w:r w:rsidRPr="000D3432">
        <w:rPr>
          <w:rStyle w:val="Refdenotaalpie"/>
          <w:rFonts w:asciiTheme="minorHAnsi" w:hAnsiTheme="minorHAnsi"/>
          <w:sz w:val="24"/>
          <w:szCs w:val="24"/>
          <w:lang w:val="es-ES_tradnl"/>
        </w:rPr>
        <w:footnoteReference w:id="607"/>
      </w:r>
      <w:r w:rsidRPr="000D3432">
        <w:rPr>
          <w:rFonts w:asciiTheme="minorHAnsi" w:hAnsiTheme="minorHAnsi"/>
          <w:szCs w:val="24"/>
          <w:lang w:val="es-ES_tradnl"/>
        </w:rPr>
        <w:t>.</w:t>
      </w:r>
    </w:p>
    <w:p w14:paraId="3E082831" w14:textId="77777777" w:rsidR="001B03E0" w:rsidRPr="000D3432" w:rsidRDefault="001B03E0" w:rsidP="00A95498">
      <w:pPr>
        <w:tabs>
          <w:tab w:val="left" w:pos="-1440"/>
        </w:tabs>
        <w:ind w:firstLine="426"/>
        <w:jc w:val="both"/>
        <w:rPr>
          <w:rFonts w:asciiTheme="minorHAnsi" w:hAnsiTheme="minorHAnsi"/>
          <w:szCs w:val="24"/>
          <w:lang w:val="es-ES_tradnl"/>
        </w:rPr>
      </w:pPr>
    </w:p>
    <w:p w14:paraId="59FAA662" w14:textId="77777777" w:rsidR="001B03E0" w:rsidRPr="000D3432" w:rsidRDefault="001B03E0" w:rsidP="00A95498">
      <w:pPr>
        <w:tabs>
          <w:tab w:val="left" w:pos="-1440"/>
        </w:tabs>
        <w:ind w:left="720" w:firstLine="426"/>
        <w:jc w:val="both"/>
        <w:rPr>
          <w:rFonts w:asciiTheme="minorHAnsi" w:hAnsiTheme="minorHAnsi"/>
          <w:szCs w:val="24"/>
          <w:lang w:val="es-ES_tradnl"/>
        </w:rPr>
      </w:pPr>
      <w:r w:rsidRPr="000D3432">
        <w:rPr>
          <w:rFonts w:asciiTheme="minorHAnsi" w:hAnsiTheme="minorHAnsi"/>
          <w:szCs w:val="24"/>
          <w:lang w:val="es-ES_tradnl"/>
        </w:rPr>
        <w:t>"Galileo descubrió (...) el poder del individuo, del sujeto humano (...) el sujeto humano era el creador del saber del mundo. No debía consultar libros, ni autores consagrados. Bastaba con consultar la experiencia y su propio entendimiento. El hombre del Renacimiento confiaba en sus sentidos, en su propia mente y entendimiento. No veía límites ni barreras, era un verdadero audaz."</w:t>
      </w:r>
      <w:r w:rsidRPr="000D3432">
        <w:rPr>
          <w:rStyle w:val="Refdenotaalpie"/>
          <w:rFonts w:asciiTheme="minorHAnsi" w:hAnsiTheme="minorHAnsi"/>
          <w:sz w:val="24"/>
          <w:szCs w:val="24"/>
          <w:lang w:val="es-ES_tradnl"/>
        </w:rPr>
        <w:footnoteReference w:id="608"/>
      </w:r>
      <w:r w:rsidRPr="000D3432">
        <w:rPr>
          <w:rFonts w:asciiTheme="minorHAnsi" w:hAnsiTheme="minorHAnsi"/>
          <w:szCs w:val="24"/>
          <w:lang w:val="es-ES_tradnl"/>
        </w:rPr>
        <w:t>.</w:t>
      </w:r>
    </w:p>
    <w:p w14:paraId="7FCDDB7C" w14:textId="77777777" w:rsidR="001B03E0" w:rsidRPr="000D3432" w:rsidRDefault="001B03E0" w:rsidP="00A95498">
      <w:pPr>
        <w:tabs>
          <w:tab w:val="left" w:pos="-1440"/>
        </w:tabs>
        <w:jc w:val="both"/>
        <w:rPr>
          <w:rFonts w:asciiTheme="minorHAnsi" w:hAnsiTheme="minorHAnsi"/>
          <w:szCs w:val="24"/>
          <w:lang w:val="es-ES_tradnl"/>
        </w:rPr>
      </w:pPr>
    </w:p>
    <w:p w14:paraId="176A14BE" w14:textId="77777777" w:rsidR="001B03E0" w:rsidRPr="000D3432" w:rsidRDefault="001B03E0" w:rsidP="00A95498">
      <w:pPr>
        <w:tabs>
          <w:tab w:val="left" w:pos="-1440"/>
        </w:tabs>
        <w:jc w:val="both"/>
        <w:rPr>
          <w:rFonts w:asciiTheme="minorHAnsi" w:hAnsiTheme="minorHAnsi"/>
          <w:szCs w:val="24"/>
          <w:lang w:val="es-ES_tradnl"/>
        </w:rPr>
      </w:pPr>
    </w:p>
    <w:p w14:paraId="5BAA77B1" w14:textId="77777777" w:rsidR="001B03E0" w:rsidRPr="000D3432" w:rsidRDefault="001B03E0" w:rsidP="00A95498">
      <w:pPr>
        <w:tabs>
          <w:tab w:val="left" w:pos="-1440"/>
        </w:tabs>
        <w:jc w:val="center"/>
        <w:rPr>
          <w:rFonts w:asciiTheme="minorHAnsi" w:hAnsiTheme="minorHAnsi"/>
          <w:b/>
          <w:color w:val="943634" w:themeColor="accent2" w:themeShade="BF"/>
          <w:szCs w:val="24"/>
          <w:lang w:val="es-ES_tradnl"/>
        </w:rPr>
      </w:pPr>
      <w:r w:rsidRPr="000D3432">
        <w:rPr>
          <w:rFonts w:asciiTheme="minorHAnsi" w:hAnsiTheme="minorHAnsi"/>
          <w:b/>
          <w:color w:val="943634" w:themeColor="accent2" w:themeShade="BF"/>
          <w:szCs w:val="24"/>
          <w:lang w:val="es-ES_tradnl"/>
        </w:rPr>
        <w:t xml:space="preserve">LA IMPOSIBILIDAD DE LA </w:t>
      </w:r>
    </w:p>
    <w:p w14:paraId="35BEA3C2" w14:textId="77777777" w:rsidR="001B03E0" w:rsidRPr="000D3432" w:rsidRDefault="001B03E0" w:rsidP="00A95498">
      <w:pPr>
        <w:tabs>
          <w:tab w:val="left" w:pos="-1440"/>
        </w:tabs>
        <w:jc w:val="center"/>
        <w:rPr>
          <w:rFonts w:asciiTheme="minorHAnsi" w:hAnsiTheme="minorHAnsi"/>
          <w:b/>
          <w:szCs w:val="24"/>
          <w:lang w:val="es-ES_tradnl"/>
        </w:rPr>
      </w:pPr>
      <w:r w:rsidRPr="000D3432">
        <w:rPr>
          <w:rFonts w:asciiTheme="minorHAnsi" w:hAnsiTheme="minorHAnsi"/>
          <w:b/>
          <w:szCs w:val="24"/>
          <w:lang w:val="es-ES_tradnl"/>
        </w:rPr>
        <w:t xml:space="preserve">REVOLUCIÓN </w:t>
      </w:r>
    </w:p>
    <w:p w14:paraId="6D9D16E0" w14:textId="77777777" w:rsidR="001B03E0" w:rsidRPr="000D3432" w:rsidRDefault="001B03E0" w:rsidP="00A95498">
      <w:pPr>
        <w:tabs>
          <w:tab w:val="left" w:pos="-1440"/>
        </w:tabs>
        <w:jc w:val="both"/>
        <w:rPr>
          <w:rFonts w:asciiTheme="minorHAnsi" w:hAnsiTheme="minorHAnsi"/>
          <w:szCs w:val="24"/>
          <w:lang w:val="es-ES_tradnl"/>
        </w:rPr>
      </w:pPr>
    </w:p>
    <w:p w14:paraId="3E838191"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Explica José Gonzales Faus:</w:t>
      </w:r>
    </w:p>
    <w:p w14:paraId="560E6A9F" w14:textId="77777777" w:rsidR="001B03E0" w:rsidRPr="000D3432" w:rsidRDefault="001B03E0" w:rsidP="00A95498">
      <w:pPr>
        <w:ind w:left="708" w:firstLine="425"/>
        <w:jc w:val="both"/>
        <w:rPr>
          <w:rFonts w:asciiTheme="minorHAnsi" w:hAnsiTheme="minorHAnsi"/>
          <w:szCs w:val="24"/>
          <w:lang w:val="es-ES_tradnl"/>
        </w:rPr>
      </w:pPr>
      <w:r w:rsidRPr="000D3432">
        <w:rPr>
          <w:rFonts w:asciiTheme="minorHAnsi" w:hAnsiTheme="minorHAnsi"/>
          <w:szCs w:val="24"/>
          <w:lang w:val="es-ES_tradnl"/>
        </w:rPr>
        <w:t>“a) La revolución es imposible porque el hombre no es de fiar, y el hombre es precisamente el sujeto de la revolución pendiente.(...) todo presunto revolucionario sincero no pasa de ser un “cuervo ingenuo”.”</w:t>
      </w:r>
    </w:p>
    <w:p w14:paraId="021D3287" w14:textId="77777777" w:rsidR="001B03E0" w:rsidRPr="000D3432" w:rsidRDefault="001B03E0" w:rsidP="00A95498">
      <w:pPr>
        <w:ind w:left="708" w:firstLine="425"/>
        <w:jc w:val="both"/>
        <w:rPr>
          <w:rFonts w:asciiTheme="minorHAnsi" w:hAnsiTheme="minorHAnsi"/>
          <w:szCs w:val="24"/>
          <w:lang w:val="es-ES_tradnl"/>
        </w:rPr>
      </w:pPr>
      <w:r w:rsidRPr="000D3432">
        <w:rPr>
          <w:rFonts w:asciiTheme="minorHAnsi" w:hAnsiTheme="minorHAnsi"/>
          <w:szCs w:val="24"/>
          <w:lang w:val="es-ES_tradnl"/>
        </w:rPr>
        <w:t>“La Postmodernidad es la crítica más atroz a las posibilidades de hacer esa revolución soñada, dentro de los cánones y las coordenadas de la Ilustración occidental”</w:t>
      </w:r>
    </w:p>
    <w:p w14:paraId="35281393" w14:textId="77777777" w:rsidR="001B03E0" w:rsidRPr="000D3432" w:rsidRDefault="001B03E0" w:rsidP="00A95498">
      <w:pPr>
        <w:ind w:left="708" w:firstLine="425"/>
        <w:jc w:val="both"/>
        <w:rPr>
          <w:rFonts w:asciiTheme="minorHAnsi" w:hAnsiTheme="minorHAnsi"/>
          <w:szCs w:val="24"/>
          <w:lang w:val="es-ES_tradnl"/>
        </w:rPr>
      </w:pPr>
      <w:r w:rsidRPr="000D3432">
        <w:rPr>
          <w:rFonts w:asciiTheme="minorHAnsi" w:hAnsiTheme="minorHAnsi"/>
          <w:szCs w:val="24"/>
          <w:lang w:val="es-ES_tradnl"/>
        </w:rPr>
        <w:t>b) (...)la revolución es imposible además porque crea represión, y la represión actúa sobre el mundo nuevo como “la soda con el “güisqui” (GSS), es decir: lo agua y lo falsifica. (...) En el fondo fondo, la revolución se quería hacer en realidad para “liberar el deseo”, aunque luego (para hacerla creíble) se la presentaba como imperativo de la historia. (...) El postmoderno decide no apuntarse ni al engaño de una revolución que no libera al deseo ni, menos aún, al esfuerzo de una revolución que exige reprimir el deseo. El postmoderno opina con Sade que al deseo los frenos le sientan fatal”.</w:t>
      </w:r>
      <w:r w:rsidRPr="000D3432">
        <w:rPr>
          <w:rStyle w:val="Refdenotaalpie"/>
          <w:rFonts w:asciiTheme="minorHAnsi" w:hAnsiTheme="minorHAnsi"/>
          <w:sz w:val="24"/>
          <w:szCs w:val="24"/>
          <w:lang w:val="es-ES_tradnl"/>
        </w:rPr>
        <w:footnoteReference w:id="609"/>
      </w:r>
    </w:p>
    <w:p w14:paraId="5D83C086" w14:textId="77777777" w:rsidR="001B03E0" w:rsidRPr="000D3432" w:rsidRDefault="001B03E0" w:rsidP="00A95498">
      <w:pPr>
        <w:ind w:firstLine="425"/>
        <w:jc w:val="both"/>
        <w:rPr>
          <w:rFonts w:asciiTheme="minorHAnsi" w:hAnsiTheme="minorHAnsi"/>
          <w:szCs w:val="24"/>
          <w:lang w:val="es-ES_tradnl"/>
        </w:rPr>
      </w:pPr>
    </w:p>
    <w:p w14:paraId="227DC885" w14:textId="77777777" w:rsidR="001B03E0" w:rsidRPr="000D3432" w:rsidRDefault="001B03E0" w:rsidP="00A95498">
      <w:pPr>
        <w:ind w:firstLine="425"/>
        <w:jc w:val="both"/>
        <w:rPr>
          <w:rFonts w:asciiTheme="minorHAnsi" w:hAnsiTheme="minorHAnsi"/>
          <w:szCs w:val="24"/>
          <w:lang w:val="es-ES_tradnl"/>
        </w:rPr>
      </w:pPr>
    </w:p>
    <w:p w14:paraId="4E82691D" w14:textId="77777777" w:rsidR="001B03E0" w:rsidRPr="000D3432" w:rsidRDefault="001B03E0" w:rsidP="00A95498">
      <w:pPr>
        <w:tabs>
          <w:tab w:val="left" w:pos="-1440"/>
        </w:tabs>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LA MUERTE DE ESA IDEOLOGÍA </w:t>
      </w:r>
    </w:p>
    <w:p w14:paraId="7C074C5B" w14:textId="77777777" w:rsidR="001B03E0" w:rsidRPr="000D3432" w:rsidRDefault="001B03E0" w:rsidP="00A95498">
      <w:pPr>
        <w:tabs>
          <w:tab w:val="left" w:pos="-1440"/>
        </w:tabs>
        <w:jc w:val="center"/>
        <w:rPr>
          <w:rFonts w:asciiTheme="minorHAnsi" w:hAnsiTheme="minorHAnsi"/>
          <w:szCs w:val="24"/>
          <w:lang w:val="es-ES_tradnl"/>
        </w:rPr>
      </w:pPr>
      <w:r w:rsidRPr="000D3432">
        <w:rPr>
          <w:rFonts w:asciiTheme="minorHAnsi" w:hAnsiTheme="minorHAnsi"/>
          <w:b/>
          <w:szCs w:val="24"/>
          <w:lang w:val="es-ES_tradnl"/>
        </w:rPr>
        <w:t>LLAMADA DERECHO</w:t>
      </w:r>
    </w:p>
    <w:p w14:paraId="3F09428F" w14:textId="77777777" w:rsidR="001B03E0" w:rsidRPr="000D3432" w:rsidRDefault="001B03E0" w:rsidP="00A95498">
      <w:pPr>
        <w:jc w:val="both"/>
        <w:rPr>
          <w:rFonts w:asciiTheme="minorHAnsi" w:hAnsiTheme="minorHAnsi"/>
          <w:szCs w:val="24"/>
          <w:lang w:val="es-ES_tradnl"/>
        </w:rPr>
      </w:pPr>
    </w:p>
    <w:p w14:paraId="614B396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En un claro ejemplo, la crítica que hace la postmodernidad a todas las ideologías, tomando a la iglesia dentro de ellas, crítica que cambia de sentido. La iglesia no será atacada desde el rublo infidelidad a la utopía evangélica, sino que mostrará, o intentará mostrar la falta de utuopia de la misma, lo que hace la postmodernidad es mas bien “poner en evidencia” que la iglesia ya no cree en su prédica, en su utopía, sino en sus intereses, “...la crítica del mundo a la Iglesia cambia de sentido. El mundo ya no atacará a la Iglesia por ser “infiel” a su utopía evangélica, sino que tratará de “ponerla en evidencia”, para mostrar que tampoco la Iglesia tiene utopía, que tampoco ella cree –al menos prácticamente- en esas Divinas Palabras que predica, y que vive centrada sobre sí misma y sobre sus propios intereses.”</w:t>
      </w:r>
      <w:r w:rsidRPr="000D3432">
        <w:rPr>
          <w:rStyle w:val="Refdenotaalpie"/>
          <w:rFonts w:asciiTheme="minorHAnsi" w:hAnsiTheme="minorHAnsi"/>
          <w:sz w:val="24"/>
          <w:szCs w:val="24"/>
          <w:lang w:val="es-ES_tradnl"/>
        </w:rPr>
        <w:footnoteReference w:id="610"/>
      </w:r>
    </w:p>
    <w:p w14:paraId="1DE5C28B" w14:textId="77777777" w:rsidR="001B03E0" w:rsidRPr="000D3432" w:rsidRDefault="001B03E0" w:rsidP="00A95498">
      <w:pPr>
        <w:pStyle w:val="Textodecuerpo25"/>
        <w:rPr>
          <w:rFonts w:asciiTheme="minorHAnsi" w:hAnsiTheme="minorHAnsi" w:cs="Times New Roman"/>
        </w:rPr>
      </w:pPr>
    </w:p>
    <w:p w14:paraId="126502B9" w14:textId="77777777" w:rsidR="001B03E0" w:rsidRPr="000D3432" w:rsidRDefault="001B03E0" w:rsidP="00A95498">
      <w:pPr>
        <w:pStyle w:val="Textodecuerpo25"/>
        <w:rPr>
          <w:rFonts w:asciiTheme="minorHAnsi" w:hAnsiTheme="minorHAnsi" w:cs="Times New Roman"/>
        </w:rPr>
      </w:pPr>
    </w:p>
    <w:p w14:paraId="48263DD6" w14:textId="77777777" w:rsidR="001B03E0" w:rsidRPr="000D3432" w:rsidRDefault="001B03E0" w:rsidP="00A95498">
      <w:pPr>
        <w:pStyle w:val="Textodecuerpo25"/>
        <w:jc w:val="center"/>
        <w:rPr>
          <w:rFonts w:asciiTheme="minorHAnsi" w:hAnsiTheme="minorHAnsi" w:cs="Times New Roman"/>
          <w:b/>
          <w:color w:val="943634" w:themeColor="accent2" w:themeShade="BF"/>
          <w:u w:val="single"/>
        </w:rPr>
      </w:pPr>
      <w:r w:rsidRPr="000D3432">
        <w:rPr>
          <w:rFonts w:asciiTheme="minorHAnsi" w:hAnsiTheme="minorHAnsi" w:cs="Times New Roman"/>
          <w:b/>
          <w:color w:val="943634" w:themeColor="accent2" w:themeShade="BF"/>
          <w:u w:val="single"/>
        </w:rPr>
        <w:t xml:space="preserve">¿RELATIVISMO </w:t>
      </w:r>
    </w:p>
    <w:p w14:paraId="7E1F1148" w14:textId="77777777" w:rsidR="001B03E0" w:rsidRPr="000D3432" w:rsidRDefault="001B03E0" w:rsidP="00A95498">
      <w:pPr>
        <w:pStyle w:val="Textodecuerpo25"/>
        <w:jc w:val="center"/>
        <w:rPr>
          <w:rFonts w:asciiTheme="minorHAnsi" w:hAnsiTheme="minorHAnsi" w:cs="Times New Roman"/>
          <w:b/>
        </w:rPr>
      </w:pPr>
      <w:r w:rsidRPr="000D3432">
        <w:rPr>
          <w:rFonts w:asciiTheme="minorHAnsi" w:hAnsiTheme="minorHAnsi" w:cs="Times New Roman"/>
          <w:b/>
        </w:rPr>
        <w:t>Y RACIONALISMO?</w:t>
      </w:r>
    </w:p>
    <w:p w14:paraId="08E6EF7F" w14:textId="77777777" w:rsidR="001B03E0" w:rsidRPr="000D3432" w:rsidRDefault="001B03E0" w:rsidP="00A95498">
      <w:pPr>
        <w:jc w:val="both"/>
        <w:rPr>
          <w:rFonts w:asciiTheme="minorHAnsi" w:hAnsiTheme="minorHAnsi"/>
          <w:szCs w:val="24"/>
          <w:lang w:val="es-ES_tradnl"/>
        </w:rPr>
      </w:pPr>
    </w:p>
    <w:p w14:paraId="1E7E83D3"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Este carácter, relativismo y racionalismo, que parece marcar el mundo desde la postmodernidad, que hace que el orden jurídico no se vea como una máxima absoluta, aparece atacado por Ortega y Gasset, quién propone una superación </w:t>
      </w:r>
      <w:r w:rsidRPr="000D3432">
        <w:rPr>
          <w:rFonts w:asciiTheme="minorHAnsi" w:hAnsiTheme="minorHAnsi"/>
          <w:szCs w:val="24"/>
          <w:lang w:val="es-ES_tradnl"/>
        </w:rPr>
        <w:lastRenderedPageBreak/>
        <w:t>de estos dos conceptos, que podría ser las dos aspiraciones fundamentales de la postmodernidad. Bien como dijimos, este pensamiento, es clarificado por Jacinto Sánchez que parafraseando a Ortega y Gasset escribe: «Es inconsecuente guillotinar al príncipe y sustituirle por el principio. Bajo éste, no menos que con aquél, queda la vida supeditada a un régimen absoluto. Y esto es precisamente lo que no puede ser: ni el absolutismo racionalista -que salva la razón y nulifica la vida-, ni el relativismo, que salva la vida evaporando la razón. La sensibilidad de la época que ahora comienza se caracteriza por su insumisión a ese dilema. No podemos satisfactoriamente instalarnos en ninguno de sus términos.»{4)”</w:t>
      </w:r>
      <w:r w:rsidRPr="000D3432">
        <w:rPr>
          <w:rStyle w:val="Refdenotaalpie"/>
          <w:rFonts w:asciiTheme="minorHAnsi" w:hAnsiTheme="minorHAnsi"/>
          <w:sz w:val="24"/>
          <w:szCs w:val="24"/>
          <w:lang w:val="es-ES_tradnl"/>
        </w:rPr>
        <w:footnoteReference w:id="611"/>
      </w:r>
      <w:r w:rsidRPr="000D3432">
        <w:rPr>
          <w:rFonts w:asciiTheme="minorHAnsi" w:hAnsiTheme="minorHAnsi"/>
          <w:szCs w:val="24"/>
          <w:lang w:val="es-ES_tradnl"/>
        </w:rPr>
        <w:t xml:space="preserve"> </w:t>
      </w:r>
    </w:p>
    <w:p w14:paraId="76940154" w14:textId="77777777" w:rsidR="001B03E0" w:rsidRPr="000D3432" w:rsidRDefault="001B03E0" w:rsidP="00A95498">
      <w:pPr>
        <w:jc w:val="both"/>
        <w:rPr>
          <w:rFonts w:asciiTheme="minorHAnsi" w:hAnsiTheme="minorHAnsi"/>
          <w:szCs w:val="24"/>
          <w:lang w:val="es-ES_tradnl"/>
        </w:rPr>
      </w:pPr>
    </w:p>
    <w:p w14:paraId="2703DEE4"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Desde otro rubro se ha tomado a la postmodernidad como un fenómeno relativo, es decir como un “capricho que debe su atracción a su aparente novedad y genuina oscuridad, y pasará bastante pronto, como sucede con estas modas”</w:t>
      </w:r>
      <w:r w:rsidRPr="000D3432">
        <w:rPr>
          <w:rStyle w:val="Refdenotaalpie"/>
          <w:rFonts w:asciiTheme="minorHAnsi" w:hAnsiTheme="minorHAnsi"/>
          <w:sz w:val="24"/>
          <w:szCs w:val="24"/>
          <w:lang w:val="es-ES_tradnl"/>
        </w:rPr>
        <w:footnoteReference w:id="612"/>
      </w:r>
      <w:r w:rsidRPr="000D3432">
        <w:rPr>
          <w:rFonts w:asciiTheme="minorHAnsi" w:hAnsiTheme="minorHAnsi"/>
          <w:szCs w:val="24"/>
          <w:lang w:val="es-ES_tradnl"/>
        </w:rPr>
        <w:t>; Esto indicaría que no importa mucho como fenómeno social, pero sí como ave de paso, que en el fondo es sólo un artificio teórico y nada más, pero ¿es eso cierto? Y podrá salvar este entendido la postmodernidad?</w:t>
      </w:r>
    </w:p>
    <w:p w14:paraId="09B80FB8" w14:textId="77777777" w:rsidR="001B03E0" w:rsidRPr="000D3432" w:rsidRDefault="001B03E0" w:rsidP="00A95498">
      <w:pPr>
        <w:jc w:val="both"/>
        <w:rPr>
          <w:rFonts w:asciiTheme="minorHAnsi" w:hAnsiTheme="minorHAnsi"/>
          <w:szCs w:val="24"/>
          <w:lang w:val="es-ES_tradnl"/>
        </w:rPr>
      </w:pPr>
    </w:p>
    <w:p w14:paraId="753FBF89" w14:textId="77777777" w:rsidR="001B03E0" w:rsidRPr="000D3432" w:rsidRDefault="001B03E0" w:rsidP="00A95498">
      <w:pPr>
        <w:jc w:val="both"/>
        <w:rPr>
          <w:rFonts w:asciiTheme="minorHAnsi" w:hAnsiTheme="minorHAnsi"/>
          <w:szCs w:val="24"/>
          <w:lang w:val="es-ES_tradnl"/>
        </w:rPr>
      </w:pPr>
    </w:p>
    <w:p w14:paraId="29A3E5BB"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PARA </w:t>
      </w:r>
    </w:p>
    <w:p w14:paraId="0FB0ED43"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 xml:space="preserve">OLVIDAR TODA NOCIÓN </w:t>
      </w:r>
    </w:p>
    <w:p w14:paraId="118ACAE8"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b/>
          <w:szCs w:val="24"/>
          <w:lang w:val="es-ES_tradnl"/>
        </w:rPr>
        <w:t>(Crítica de las nociones()</w:t>
      </w:r>
    </w:p>
    <w:p w14:paraId="1496D62A" w14:textId="77777777" w:rsidR="001B03E0" w:rsidRPr="000D3432" w:rsidRDefault="001B03E0" w:rsidP="00A95498">
      <w:pPr>
        <w:pStyle w:val="Textodecuerpo33"/>
        <w:widowControl/>
        <w:rPr>
          <w:rFonts w:asciiTheme="minorHAnsi" w:hAnsiTheme="minorHAnsi" w:cs="Times New Roman"/>
          <w:b w:val="0"/>
          <w:color w:val="FF0000"/>
          <w:lang w:val="es-ES_tradnl"/>
        </w:rPr>
      </w:pPr>
    </w:p>
    <w:p w14:paraId="79A2BF5A" w14:textId="77777777" w:rsidR="001B03E0" w:rsidRPr="000D3432" w:rsidRDefault="001B03E0" w:rsidP="00A95498">
      <w:pPr>
        <w:pStyle w:val="Textodecuerpo33"/>
        <w:widowControl/>
        <w:rPr>
          <w:rFonts w:asciiTheme="minorHAnsi" w:hAnsiTheme="minorHAnsi" w:cs="Times New Roman"/>
          <w:b w:val="0"/>
          <w:color w:val="auto"/>
          <w:lang w:val="es-ES_tradnl"/>
        </w:rPr>
      </w:pPr>
      <w:r w:rsidRPr="000D3432">
        <w:rPr>
          <w:rFonts w:asciiTheme="minorHAnsi" w:hAnsiTheme="minorHAnsi" w:cs="Times New Roman"/>
          <w:b w:val="0"/>
          <w:color w:val="auto"/>
          <w:lang w:val="es-ES_tradnl"/>
        </w:rPr>
        <w:t>La postmodernidad instaurada como crítica, tomada de la concepción moderna, de todo, y autocrítica permanente, de todas las nociones que alguna vez se pensaron eternas y absolutas como la razón, la historia, el progreso, etc. Pero la crítica de las nociones no empieza recién. Hubo ya anteriormente una crítica de dimensiones singulares sostuvo el fin de la razón, a través de la Teoría Crítica en los trabajos de Horkheimer y Adorno, en el Libro “Dialéctica del Iluminismo”. Se trata aquí de demostración del intento de separación de del mito de la razón, pero al fin la razón llegaría a necesitar de transformar su discurso en mito para poder pensarse a sí misma, donde el iluminismo sería el mito. Por otro lado, hay también una crítica de  la modernidad por Nietzsche, en su libro El ocaso de los ídolos, donde escribe: “Crítica de la modernidad. Nuestras instituciones ya no valen nada: todos estamos de acuerdo con esto. Pero la causa no radica en ellas, sino en nosotros. Tras haber perdido todos los instintitos de los que emanan las instituciones estamos perdiendo ahora éstas, porque nosotros ya no servimos para nada.”</w:t>
      </w:r>
      <w:r w:rsidRPr="000D3432">
        <w:rPr>
          <w:rStyle w:val="Refdenotaalpie"/>
          <w:rFonts w:asciiTheme="minorHAnsi" w:eastAsiaTheme="majorEastAsia" w:hAnsiTheme="minorHAnsi" w:cs="Times New Roman"/>
          <w:b w:val="0"/>
          <w:color w:val="auto"/>
          <w:sz w:val="24"/>
          <w:lang w:val="es-ES_tradnl"/>
        </w:rPr>
        <w:footnoteReference w:id="613"/>
      </w:r>
      <w:r w:rsidRPr="000D3432">
        <w:rPr>
          <w:rFonts w:asciiTheme="minorHAnsi" w:hAnsiTheme="minorHAnsi" w:cs="Times New Roman"/>
          <w:b w:val="0"/>
          <w:color w:val="auto"/>
          <w:lang w:val="es-ES_tradnl"/>
        </w:rPr>
        <w:t xml:space="preserve"> </w:t>
      </w:r>
    </w:p>
    <w:p w14:paraId="7393E571" w14:textId="77777777" w:rsidR="001B03E0" w:rsidRPr="000D3432" w:rsidRDefault="001B03E0" w:rsidP="00A95498">
      <w:pPr>
        <w:jc w:val="both"/>
        <w:rPr>
          <w:rFonts w:asciiTheme="minorHAnsi" w:hAnsiTheme="minorHAnsi"/>
          <w:szCs w:val="24"/>
          <w:lang w:val="es-ES_tradnl"/>
        </w:rPr>
      </w:pPr>
    </w:p>
    <w:p w14:paraId="0BD602BC"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Hay entonces crisis en el pensamiento contemporáneo, por eso la postmodernidad podría designarse como una crisis radical que se visualiza en el contexto histórico reflexivo de la modernidad.</w:t>
      </w:r>
    </w:p>
    <w:p w14:paraId="2C33A251" w14:textId="77777777" w:rsidR="001B03E0" w:rsidRPr="000D3432" w:rsidRDefault="001B03E0" w:rsidP="00A95498">
      <w:pPr>
        <w:ind w:firstLine="425"/>
        <w:jc w:val="both"/>
        <w:rPr>
          <w:rFonts w:asciiTheme="minorHAnsi" w:hAnsiTheme="minorHAnsi"/>
          <w:szCs w:val="24"/>
          <w:lang w:val="es-ES_tradnl"/>
        </w:rPr>
      </w:pPr>
    </w:p>
    <w:p w14:paraId="53E6C3DC" w14:textId="77777777" w:rsidR="001B03E0" w:rsidRPr="000D3432" w:rsidRDefault="001B03E0" w:rsidP="00A95498">
      <w:pPr>
        <w:ind w:firstLine="425"/>
        <w:jc w:val="both"/>
        <w:rPr>
          <w:rFonts w:asciiTheme="minorHAnsi" w:hAnsiTheme="minorHAnsi"/>
          <w:szCs w:val="24"/>
          <w:lang w:val="es-ES_tradnl"/>
        </w:rPr>
      </w:pPr>
    </w:p>
    <w:p w14:paraId="56F49EDF"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EL PENSAMIENTO DE </w:t>
      </w:r>
    </w:p>
    <w:p w14:paraId="017FA396"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LA SOSPECHA</w:t>
      </w:r>
    </w:p>
    <w:p w14:paraId="18B36B6A" w14:textId="77777777" w:rsidR="001B03E0" w:rsidRPr="000D3432" w:rsidRDefault="001B03E0" w:rsidP="00A95498">
      <w:pPr>
        <w:jc w:val="both"/>
        <w:rPr>
          <w:rFonts w:asciiTheme="minorHAnsi" w:hAnsiTheme="minorHAnsi"/>
          <w:szCs w:val="24"/>
          <w:lang w:val="es-ES_tradnl"/>
        </w:rPr>
      </w:pPr>
    </w:p>
    <w:p w14:paraId="362C84A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modernidad pregonó la fe en la razón, en la verdad, en el progreso y libertad, el desarrollo de la ciencia y por consecuencia de todo ello en una vida mejor para todos. Todo esto es refutado muy airadamente por el pensamiento de la postmodernidad, por lo que podría decirse que la postmodernidad habría de constituirse como el pensamiento de la sospecha –al parecer legado de Nietzsche- y reacciona contra los postulados de la modernidad. El nuevo planteamiento es que no hay naturaleza humano eterna e inmutable. El pensamiento postmoderno duda de que a través del racionalismo y de la mente pueda captarse alguna verdad –que para la modernidad estaba allí afuera, duda de la existencia de esencias y de universalidades, duda de que los grandes proyectos, los grandes metarrelatos, ideologías, puedan llegar a concretarse como emancipadoras de la humanidad. Por eso la postmodernidad se muestra como una reacción, como un desencanto de la realidad y especialmente de la modernidad, duda para no dudar.</w:t>
      </w:r>
    </w:p>
    <w:p w14:paraId="64E989B0" w14:textId="77777777" w:rsidR="001B03E0" w:rsidRPr="000D3432" w:rsidRDefault="001B03E0" w:rsidP="00A95498">
      <w:pPr>
        <w:jc w:val="both"/>
        <w:rPr>
          <w:rFonts w:asciiTheme="minorHAnsi" w:hAnsiTheme="minorHAnsi"/>
          <w:szCs w:val="24"/>
          <w:lang w:val="es-ES_tradnl"/>
        </w:rPr>
      </w:pPr>
    </w:p>
    <w:p w14:paraId="6E542211" w14:textId="77777777" w:rsidR="001B03E0" w:rsidRPr="000D3432" w:rsidRDefault="001B03E0" w:rsidP="00A95498">
      <w:pPr>
        <w:ind w:left="2124" w:firstLine="425"/>
        <w:jc w:val="both"/>
        <w:rPr>
          <w:rFonts w:asciiTheme="minorHAnsi" w:hAnsiTheme="minorHAnsi"/>
          <w:b/>
          <w:szCs w:val="24"/>
          <w:lang w:val="es-ES_tradnl"/>
        </w:rPr>
      </w:pPr>
      <w:r w:rsidRPr="000D3432">
        <w:rPr>
          <w:rFonts w:asciiTheme="minorHAnsi" w:hAnsiTheme="minorHAnsi"/>
          <w:b/>
          <w:szCs w:val="24"/>
          <w:lang w:val="es-ES_tradnl"/>
        </w:rPr>
        <w:t>“...el pensamiento no existe de por sí, sino que es un proceso neurofisiológico.”</w:t>
      </w:r>
    </w:p>
    <w:p w14:paraId="2CABCD0E" w14:textId="77777777" w:rsidR="001B03E0" w:rsidRPr="000D3432" w:rsidRDefault="001B03E0" w:rsidP="00A95498">
      <w:pPr>
        <w:ind w:left="2124" w:firstLine="425"/>
        <w:jc w:val="both"/>
        <w:rPr>
          <w:rFonts w:asciiTheme="minorHAnsi" w:hAnsiTheme="minorHAnsi"/>
          <w:b/>
          <w:szCs w:val="24"/>
          <w:lang w:val="es-ES_tradnl"/>
        </w:rPr>
      </w:pPr>
      <w:r w:rsidRPr="000D3432">
        <w:rPr>
          <w:rFonts w:asciiTheme="minorHAnsi" w:hAnsiTheme="minorHAnsi"/>
          <w:b/>
          <w:szCs w:val="24"/>
          <w:lang w:val="es-ES_tradnl"/>
        </w:rPr>
        <w:tab/>
      </w:r>
      <w:r w:rsidRPr="000D3432">
        <w:rPr>
          <w:rFonts w:asciiTheme="minorHAnsi" w:hAnsiTheme="minorHAnsi"/>
          <w:b/>
          <w:szCs w:val="24"/>
          <w:lang w:val="es-ES_tradnl"/>
        </w:rPr>
        <w:tab/>
      </w:r>
      <w:r w:rsidRPr="000D3432">
        <w:rPr>
          <w:rFonts w:asciiTheme="minorHAnsi" w:hAnsiTheme="minorHAnsi"/>
          <w:b/>
          <w:szCs w:val="24"/>
          <w:lang w:val="es-ES_tradnl"/>
        </w:rPr>
        <w:tab/>
      </w:r>
      <w:r w:rsidRPr="000D3432">
        <w:rPr>
          <w:rFonts w:asciiTheme="minorHAnsi" w:hAnsiTheme="minorHAnsi"/>
          <w:b/>
          <w:szCs w:val="24"/>
          <w:lang w:val="es-ES_tradnl"/>
        </w:rPr>
        <w:tab/>
      </w:r>
      <w:r w:rsidRPr="000D3432">
        <w:rPr>
          <w:rFonts w:asciiTheme="minorHAnsi" w:hAnsiTheme="minorHAnsi"/>
          <w:b/>
          <w:szCs w:val="24"/>
          <w:lang w:val="es-ES_tradnl"/>
        </w:rPr>
        <w:tab/>
        <w:t>Mario Bunge</w:t>
      </w:r>
    </w:p>
    <w:p w14:paraId="55E654B2" w14:textId="77777777" w:rsidR="001B03E0" w:rsidRPr="000D3432" w:rsidRDefault="001B03E0" w:rsidP="00A95498">
      <w:pPr>
        <w:jc w:val="both"/>
        <w:rPr>
          <w:rFonts w:asciiTheme="minorHAnsi" w:hAnsiTheme="minorHAnsi"/>
          <w:szCs w:val="24"/>
          <w:lang w:val="es-ES_tradnl"/>
        </w:rPr>
      </w:pPr>
    </w:p>
    <w:p w14:paraId="004C1CDD"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racionalidad que Weber postulaba para definir el discurso científico posee el grave inconveniente de no poder ser aplicada al discurso ético o las ciencias morales y sociales. Según él, el especio social, por ejemplo, no es susceptible de ser sometido a un razonamiento de carácter objetivo por el hecho de no soportar el rigor o las lógicas exigidas por el desarrollo de un discurso científico.”</w:t>
      </w:r>
      <w:r w:rsidRPr="000D3432">
        <w:rPr>
          <w:rStyle w:val="Refdenotaalpie"/>
          <w:rFonts w:asciiTheme="minorHAnsi" w:hAnsiTheme="minorHAnsi"/>
          <w:sz w:val="24"/>
          <w:szCs w:val="24"/>
          <w:lang w:val="es-ES_tradnl"/>
        </w:rPr>
        <w:footnoteReference w:id="614"/>
      </w:r>
    </w:p>
    <w:p w14:paraId="02FC08DB" w14:textId="77777777" w:rsidR="001B03E0" w:rsidRPr="000D3432" w:rsidRDefault="001B03E0" w:rsidP="00A95498">
      <w:pPr>
        <w:jc w:val="both"/>
        <w:rPr>
          <w:rFonts w:asciiTheme="minorHAnsi" w:hAnsiTheme="minorHAnsi"/>
          <w:szCs w:val="24"/>
          <w:lang w:val="es-ES_tradnl"/>
        </w:rPr>
      </w:pPr>
    </w:p>
    <w:p w14:paraId="19EC6060"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Derecho tiene que distanciarse del poder y de la religión, porque de otra manera no podría alcanzar su objetivo de formular y mantener reglas generales sin ambigüedades. Weber constantemente insistió que "el poder tiene sus razones que la razón no puede entender", es decir, que los gobernantes siempre estarán tentados a sacrificar los principios universales en aras de sus objetivos particulares basados en la conveniencia inmediata. En el lenguaje de la teoría constitucional norteamericana, los detentadores del poder serán siempre personas con miras inmediatistas (result</w:t>
      </w:r>
      <w:r w:rsidRPr="000D3432">
        <w:rPr>
          <w:rFonts w:asciiTheme="minorHAnsi" w:hAnsiTheme="minorHAnsi"/>
          <w:szCs w:val="24"/>
          <w:lang w:val="es-ES_tradnl"/>
        </w:rPr>
        <w:noBreakHyphen/>
        <w:t>oriented). De la misma manera, donde el Derecho se encuentra mezclado con la religión, surgirán presiones para sacrificar la generalidad  por fines éticos concretos."117</w:t>
      </w:r>
    </w:p>
    <w:p w14:paraId="1C3A082D" w14:textId="77777777" w:rsidR="001B03E0" w:rsidRPr="000D3432" w:rsidRDefault="001B03E0" w:rsidP="00A95498">
      <w:pPr>
        <w:jc w:val="both"/>
        <w:rPr>
          <w:rFonts w:asciiTheme="minorHAnsi" w:hAnsiTheme="minorHAnsi"/>
          <w:szCs w:val="24"/>
          <w:lang w:val="es-ES_tradnl"/>
        </w:rPr>
      </w:pPr>
    </w:p>
    <w:p w14:paraId="79585A9B"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Alexis Carrel al decirnos "en verdad  el hombre no tiene derechos pero tiene necesidades... para el éxito en la vida es necesario que sean satisfechas. El Derecho es un principio filosófico, la necesidad un concepto científico".</w:t>
      </w:r>
    </w:p>
    <w:p w14:paraId="4D98F3F7" w14:textId="77777777" w:rsidR="001B03E0" w:rsidRPr="000D3432" w:rsidRDefault="001B03E0" w:rsidP="00A95498">
      <w:pPr>
        <w:jc w:val="both"/>
        <w:rPr>
          <w:rFonts w:asciiTheme="minorHAnsi" w:hAnsiTheme="minorHAnsi"/>
          <w:szCs w:val="24"/>
          <w:lang w:val="es-ES_tradnl"/>
        </w:rPr>
      </w:pPr>
    </w:p>
    <w:p w14:paraId="7FD43281"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lastRenderedPageBreak/>
        <w:t xml:space="preserve">Ya está copiado pero no la referencia bibliográfica: "La Filosofía Griega, la ciencia, la libre investigación, asoman entre aquellos colonos plantados pos los litorales del Asia Menor, a quienes grosso modo podemos llamar los jonios. La insolencia de los jonios, al enfrentarse con los terrores sagrados y la inmortal solemnidad de los imperios asiáticos, funda el pensamiento científico.”111 </w:t>
      </w:r>
    </w:p>
    <w:p w14:paraId="0AA26EA9" w14:textId="77777777" w:rsidR="001B03E0" w:rsidRPr="000D3432" w:rsidRDefault="001B03E0" w:rsidP="00A95498">
      <w:pPr>
        <w:jc w:val="both"/>
        <w:rPr>
          <w:rFonts w:asciiTheme="minorHAnsi" w:hAnsiTheme="minorHAnsi"/>
          <w:szCs w:val="24"/>
          <w:lang w:val="es-ES_tradnl"/>
        </w:rPr>
      </w:pPr>
    </w:p>
    <w:p w14:paraId="147BFD2C" w14:textId="77777777" w:rsidR="001B03E0" w:rsidRPr="000D3432" w:rsidRDefault="001B03E0" w:rsidP="00A95498">
      <w:pPr>
        <w:jc w:val="both"/>
        <w:rPr>
          <w:rFonts w:asciiTheme="minorHAnsi" w:hAnsiTheme="minorHAnsi"/>
          <w:szCs w:val="24"/>
          <w:lang w:val="es-ES_tradnl"/>
        </w:rPr>
      </w:pPr>
    </w:p>
    <w:p w14:paraId="73AC482A"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LOS NUEVOS POSTULADOS </w:t>
      </w:r>
    </w:p>
    <w:p w14:paraId="33596287" w14:textId="77777777" w:rsidR="001B03E0" w:rsidRPr="000D3432" w:rsidRDefault="001B03E0" w:rsidP="00A95498">
      <w:pPr>
        <w:jc w:val="center"/>
        <w:rPr>
          <w:rFonts w:asciiTheme="minorHAnsi" w:hAnsiTheme="minorHAnsi"/>
          <w:szCs w:val="24"/>
          <w:lang w:val="es-ES_tradnl"/>
        </w:rPr>
      </w:pPr>
      <w:r w:rsidRPr="000D3432">
        <w:rPr>
          <w:rFonts w:asciiTheme="minorHAnsi" w:hAnsiTheme="minorHAnsi"/>
          <w:b/>
          <w:szCs w:val="24"/>
          <w:lang w:val="es-ES_tradnl"/>
        </w:rPr>
        <w:t>SOBRE EL PODER</w:t>
      </w:r>
    </w:p>
    <w:p w14:paraId="0725A4D8" w14:textId="77777777" w:rsidR="001B03E0" w:rsidRPr="000D3432" w:rsidRDefault="001B03E0" w:rsidP="00A95498">
      <w:pPr>
        <w:pStyle w:val="Sangra2detdecuerpo4"/>
        <w:tabs>
          <w:tab w:val="clear" w:pos="-1440"/>
        </w:tabs>
        <w:ind w:firstLine="0"/>
        <w:rPr>
          <w:rFonts w:asciiTheme="minorHAnsi" w:hAnsiTheme="minorHAnsi" w:cs="Times New Roman"/>
          <w:lang w:val="es-ES_tradnl"/>
        </w:rPr>
      </w:pPr>
    </w:p>
    <w:p w14:paraId="4A31B71A" w14:textId="77777777" w:rsidR="001B03E0" w:rsidRPr="000D3432" w:rsidRDefault="001B03E0" w:rsidP="00A95498">
      <w:pPr>
        <w:pStyle w:val="Sangra2detdecuerpo4"/>
        <w:tabs>
          <w:tab w:val="clear" w:pos="-1440"/>
        </w:tabs>
        <w:ind w:firstLine="0"/>
        <w:rPr>
          <w:rFonts w:asciiTheme="minorHAnsi" w:hAnsiTheme="minorHAnsi" w:cs="Times New Roman"/>
          <w:lang w:val="es-ES_tradnl"/>
        </w:rPr>
      </w:pPr>
      <w:r w:rsidRPr="000D3432">
        <w:rPr>
          <w:rFonts w:asciiTheme="minorHAnsi" w:hAnsiTheme="minorHAnsi" w:cs="Times New Roman"/>
          <w:lang w:val="es-ES_tradnl"/>
        </w:rPr>
        <w:t>El poder, como factor del movimiento social, fue -según concepciones tradicionales- aislándose en conceptos y definiciones que lo focalizaban y ubicaban en cierto espacio temporal determinado, anclado de por vida. En reacción a esta concepción tradicional del poder, Foucault sugiere el abandono de ciertos postulados tradicionales y propone un análisis diferente del poder. Entre los postulados del poder que intenta desmitificar, están:</w:t>
      </w:r>
    </w:p>
    <w:p w14:paraId="704A48F8" w14:textId="77777777" w:rsidR="001B03E0" w:rsidRPr="000D3432" w:rsidRDefault="001B03E0" w:rsidP="00A95498">
      <w:pPr>
        <w:jc w:val="both"/>
        <w:rPr>
          <w:rFonts w:asciiTheme="minorHAnsi" w:hAnsiTheme="minorHAnsi"/>
          <w:szCs w:val="24"/>
          <w:lang w:val="es-ES_tradnl"/>
        </w:rPr>
      </w:pPr>
    </w:p>
    <w:p w14:paraId="6CDE3AD7"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b/>
          <w:szCs w:val="24"/>
          <w:lang w:val="es-ES_tradnl"/>
        </w:rPr>
        <w:t>1.-</w:t>
      </w:r>
      <w:r w:rsidRPr="000D3432">
        <w:rPr>
          <w:rFonts w:asciiTheme="minorHAnsi" w:hAnsiTheme="minorHAnsi"/>
          <w:szCs w:val="24"/>
          <w:lang w:val="es-ES_tradnl"/>
        </w:rPr>
        <w:t xml:space="preserve"> </w:t>
      </w:r>
      <w:r w:rsidRPr="000D3432">
        <w:rPr>
          <w:rFonts w:asciiTheme="minorHAnsi" w:hAnsiTheme="minorHAnsi"/>
          <w:b/>
          <w:szCs w:val="24"/>
          <w:lang w:val="es-ES_tradnl"/>
        </w:rPr>
        <w:t>El Postulado de la Propiedad:</w:t>
      </w:r>
    </w:p>
    <w:p w14:paraId="248447E9"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Por el cual el poder sería la “propiedad de una clase que lo habría conquistado.</w:t>
      </w:r>
    </w:p>
    <w:p w14:paraId="01C78E97" w14:textId="77777777" w:rsidR="001B03E0" w:rsidRPr="000D3432" w:rsidRDefault="001B03E0" w:rsidP="00A95498">
      <w:pPr>
        <w:jc w:val="both"/>
        <w:rPr>
          <w:rFonts w:asciiTheme="minorHAnsi" w:hAnsiTheme="minorHAnsi"/>
          <w:szCs w:val="24"/>
          <w:lang w:val="es-ES_tradnl"/>
        </w:rPr>
      </w:pPr>
    </w:p>
    <w:p w14:paraId="5FB5DB4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problema de la desigualdad partía de este supuesto: la propiedad era la que daba el poder y creaba la desigualdad. Era necesario acceder a la propiedad para progresar</w:t>
      </w:r>
    </w:p>
    <w:p w14:paraId="5EA9CA8C"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“En el siglo XIX, Marx pensaba que quien poseyera las herramientas y la tecnología -los “medios de producción”- controlaría la sociedad.”</w:t>
      </w:r>
      <w:r w:rsidRPr="000D3432">
        <w:rPr>
          <w:rStyle w:val="Refdenotaalpie"/>
          <w:rFonts w:asciiTheme="minorHAnsi" w:hAnsiTheme="minorHAnsi"/>
          <w:sz w:val="24"/>
          <w:szCs w:val="24"/>
          <w:lang w:val="es-ES_tradnl"/>
        </w:rPr>
        <w:footnoteReference w:id="615"/>
      </w:r>
    </w:p>
    <w:p w14:paraId="32CC3D98" w14:textId="77777777" w:rsidR="001B03E0" w:rsidRPr="000D3432" w:rsidRDefault="001B03E0" w:rsidP="00A95498">
      <w:pPr>
        <w:jc w:val="both"/>
        <w:rPr>
          <w:rFonts w:asciiTheme="minorHAnsi" w:hAnsiTheme="minorHAnsi"/>
          <w:szCs w:val="24"/>
          <w:lang w:val="es-ES_tradnl"/>
        </w:rPr>
      </w:pPr>
    </w:p>
    <w:p w14:paraId="6063B6CD"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Más abajo Toffler refiere que Marx se equivocó. No era la propiedad lo que daría el poder sino el control. Eran los integradores los que tenía el poder. Las empresas eran tan grandes y complejas que no se podía comprender todo su funcionamiento. Fueron, por tanto, los integradores los que moldeando las decisiones del propietario controlaban el poder. Lo que importaba ya no era la propiedad, sino el control. La idea de que la propiedad era la fuente del poder puede provenir de aquellas nociones anteriores a la </w:t>
      </w:r>
      <w:r w:rsidRPr="000D3432">
        <w:rPr>
          <w:rFonts w:asciiTheme="minorHAnsi" w:hAnsiTheme="minorHAnsi"/>
          <w:b/>
          <w:szCs w:val="24"/>
          <w:lang w:val="es-ES_tradnl"/>
        </w:rPr>
        <w:t>modernidad.</w:t>
      </w:r>
      <w:r w:rsidRPr="000D3432">
        <w:rPr>
          <w:rFonts w:asciiTheme="minorHAnsi" w:hAnsiTheme="minorHAnsi"/>
          <w:szCs w:val="24"/>
          <w:lang w:val="es-ES_tradnl"/>
        </w:rPr>
        <w:t xml:space="preserve"> Cuando había reyes, monarcas, </w:t>
      </w:r>
    </w:p>
    <w:p w14:paraId="6C68B45B" w14:textId="77777777" w:rsidR="001B03E0" w:rsidRPr="000D3432" w:rsidRDefault="001B03E0" w:rsidP="00A95498">
      <w:pPr>
        <w:ind w:left="720" w:firstLine="426"/>
        <w:jc w:val="both"/>
        <w:rPr>
          <w:rFonts w:asciiTheme="minorHAnsi" w:hAnsiTheme="minorHAnsi"/>
          <w:szCs w:val="24"/>
          <w:lang w:val="es-ES_tradnl"/>
        </w:rPr>
      </w:pPr>
      <w:r w:rsidRPr="000D3432">
        <w:rPr>
          <w:rFonts w:asciiTheme="minorHAnsi" w:hAnsiTheme="minorHAnsi"/>
          <w:szCs w:val="24"/>
          <w:lang w:val="es-ES_tradnl"/>
        </w:rPr>
        <w:t>“El interrogante “¿Quién gobierna las cosas?” es una pregunta típica de la segunda ola. Pues hasta la revolución industrial no hubo apenas razones para formularla. Ya gobernaran reyes o chamanes, señores de la guerra, dioses del sol o santos, las gentes rara vez sentían la menor duda respecto a quién ejercía el poder sobre ellas. El harapiento aldeano, al levantar la vista de los campos, veía el palacio o el monasterio destacarse, esplendorosos, en el horizonte. No necesitaba ningún científico político ni editorialista de periódico para resolver el enigma del poder. Todo el mundo sabía quién tenía el control.</w:t>
      </w:r>
    </w:p>
    <w:p w14:paraId="07DBF7C1" w14:textId="77777777" w:rsidR="001B03E0" w:rsidRPr="000D3432" w:rsidRDefault="001B03E0" w:rsidP="00A95498">
      <w:pPr>
        <w:ind w:left="720" w:firstLine="426"/>
        <w:jc w:val="both"/>
        <w:rPr>
          <w:rFonts w:asciiTheme="minorHAnsi" w:hAnsiTheme="minorHAnsi"/>
          <w:szCs w:val="24"/>
          <w:lang w:val="es-ES_tradnl"/>
        </w:rPr>
      </w:pPr>
      <w:r w:rsidRPr="000D3432">
        <w:rPr>
          <w:rFonts w:asciiTheme="minorHAnsi" w:hAnsiTheme="minorHAnsi"/>
          <w:szCs w:val="24"/>
          <w:lang w:val="es-ES_tradnl"/>
        </w:rPr>
        <w:t xml:space="preserve">Pero allá donde llegó la segunda ola emergió una nueva clase de poder, difuso y sin rostro. Los que ostentaban el poder se convirtieron en </w:t>
      </w:r>
      <w:r w:rsidRPr="000D3432">
        <w:rPr>
          <w:rFonts w:asciiTheme="minorHAnsi" w:hAnsiTheme="minorHAnsi"/>
          <w:szCs w:val="24"/>
          <w:lang w:val="es-ES_tradnl"/>
        </w:rPr>
        <w:lastRenderedPageBreak/>
        <w:t>los anónimos “ellos”. ¿Quiénes eran “ellos”?”</w:t>
      </w:r>
      <w:r w:rsidRPr="000D3432">
        <w:rPr>
          <w:rStyle w:val="Refdenotaalpie"/>
          <w:rFonts w:asciiTheme="minorHAnsi" w:hAnsiTheme="minorHAnsi"/>
          <w:sz w:val="24"/>
          <w:szCs w:val="24"/>
          <w:lang w:val="es-ES_tradnl"/>
        </w:rPr>
        <w:footnoteReference w:id="616"/>
      </w:r>
    </w:p>
    <w:p w14:paraId="1CBC61C9" w14:textId="77777777" w:rsidR="001B03E0" w:rsidRPr="000D3432" w:rsidRDefault="001B03E0" w:rsidP="00A95498">
      <w:pPr>
        <w:jc w:val="both"/>
        <w:rPr>
          <w:rFonts w:asciiTheme="minorHAnsi" w:hAnsiTheme="minorHAnsi"/>
          <w:szCs w:val="24"/>
          <w:lang w:val="es-ES_tradnl"/>
        </w:rPr>
      </w:pPr>
    </w:p>
    <w:p w14:paraId="0200181E"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Volviendo a la concepción de que el poder era una propiedad,</w:t>
      </w:r>
    </w:p>
    <w:p w14:paraId="58A9DDEF" w14:textId="77777777" w:rsidR="001B03E0" w:rsidRPr="000D3432" w:rsidRDefault="001B03E0" w:rsidP="00A95498">
      <w:pPr>
        <w:ind w:left="720" w:firstLine="426"/>
        <w:jc w:val="both"/>
        <w:rPr>
          <w:rFonts w:asciiTheme="minorHAnsi" w:hAnsiTheme="minorHAnsi"/>
          <w:szCs w:val="24"/>
          <w:lang w:val="es-ES_tradnl"/>
        </w:rPr>
      </w:pPr>
      <w:r w:rsidRPr="000D3432">
        <w:rPr>
          <w:rFonts w:asciiTheme="minorHAnsi" w:hAnsiTheme="minorHAnsi"/>
          <w:szCs w:val="24"/>
          <w:lang w:val="es-ES_tradnl"/>
        </w:rPr>
        <w:t>“Foucault muestra que el poder no procede de ese modo, ni de ahí: no es tanto una propiedad como una estrategia, y sus efectos no son atribuibles a una apropiación, “sino a disposiciones, maniobras, tácticas, técnicas, funcionamientos”; “se ejerce más que se posee, no es el privilegio adquirido o conservado de la clase dominante, sino el efecto de conjunto de sus posiciones estratégicas”.</w:t>
      </w:r>
      <w:r w:rsidRPr="000D3432">
        <w:rPr>
          <w:rStyle w:val="Refdenotaalpie"/>
          <w:rFonts w:asciiTheme="minorHAnsi" w:hAnsiTheme="minorHAnsi"/>
          <w:sz w:val="24"/>
          <w:szCs w:val="24"/>
          <w:lang w:val="es-ES_tradnl"/>
        </w:rPr>
        <w:footnoteReference w:id="617"/>
      </w:r>
    </w:p>
    <w:p w14:paraId="07B40C05" w14:textId="77777777" w:rsidR="001B03E0" w:rsidRPr="000D3432" w:rsidRDefault="001B03E0" w:rsidP="00A95498">
      <w:pPr>
        <w:jc w:val="both"/>
        <w:rPr>
          <w:rFonts w:asciiTheme="minorHAnsi" w:hAnsiTheme="minorHAnsi"/>
          <w:szCs w:val="24"/>
          <w:lang w:val="es-ES_tradnl"/>
        </w:rPr>
      </w:pPr>
    </w:p>
    <w:p w14:paraId="213DDF67" w14:textId="77777777" w:rsidR="001B03E0" w:rsidRPr="000D3432" w:rsidRDefault="001B03E0" w:rsidP="00A95498">
      <w:pPr>
        <w:jc w:val="both"/>
        <w:rPr>
          <w:rFonts w:asciiTheme="minorHAnsi" w:hAnsiTheme="minorHAnsi"/>
          <w:b/>
          <w:szCs w:val="24"/>
          <w:lang w:val="es-ES_tradnl"/>
        </w:rPr>
      </w:pPr>
      <w:r w:rsidRPr="000D3432">
        <w:rPr>
          <w:rFonts w:asciiTheme="minorHAnsi" w:hAnsiTheme="minorHAnsi"/>
          <w:b/>
          <w:szCs w:val="24"/>
          <w:lang w:val="es-ES_tradnl"/>
        </w:rPr>
        <w:t>2.- Postulado de la localización:</w:t>
      </w:r>
    </w:p>
    <w:p w14:paraId="5DB0461D" w14:textId="77777777" w:rsidR="001B03E0" w:rsidRPr="000D3432" w:rsidRDefault="001B03E0" w:rsidP="00A95498">
      <w:pPr>
        <w:jc w:val="both"/>
        <w:rPr>
          <w:rFonts w:asciiTheme="minorHAnsi" w:hAnsiTheme="minorHAnsi"/>
          <w:b/>
          <w:szCs w:val="24"/>
          <w:lang w:val="es-ES_tradnl"/>
        </w:rPr>
      </w:pPr>
    </w:p>
    <w:p w14:paraId="4E7E9C41"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Según este planteamiento el poder está en un lugar determinado, un lugar o una persona natural o jurídica, “El poder sería poder de Estado, estaría localizado en el aparato de Estado, hasta el extremo de que incluso los poderes “privados” sólo tendían una aparente dispersión y seguirían siendo aparatos de Estado especiales.”</w:t>
      </w:r>
      <w:r w:rsidRPr="000D3432">
        <w:rPr>
          <w:rStyle w:val="Refdenotaalpie"/>
          <w:rFonts w:asciiTheme="minorHAnsi" w:hAnsiTheme="minorHAnsi"/>
          <w:sz w:val="24"/>
          <w:szCs w:val="24"/>
          <w:lang w:val="es-ES_tradnl"/>
        </w:rPr>
        <w:footnoteReference w:id="618"/>
      </w:r>
    </w:p>
    <w:p w14:paraId="6A3D3BA8" w14:textId="77777777" w:rsidR="001B03E0" w:rsidRPr="000D3432" w:rsidRDefault="001B03E0" w:rsidP="00A95498">
      <w:pPr>
        <w:jc w:val="both"/>
        <w:rPr>
          <w:rFonts w:asciiTheme="minorHAnsi" w:hAnsiTheme="minorHAnsi"/>
          <w:szCs w:val="24"/>
          <w:lang w:val="es-ES_tradnl"/>
        </w:rPr>
      </w:pPr>
    </w:p>
    <w:p w14:paraId="4A269843"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El poder localizado en el Estado. Foucault -según Deleuze-, demuestra lo erróneo de esta concepción, y por la cual </w:t>
      </w:r>
    </w:p>
    <w:p w14:paraId="45AC2253"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“El Estado aparece como un efecto de conjunto o una resultante de una multiplicidad de engranajes y de núcleos que se sitúan a un nivel completamente distinto, y que constituyen de por sí una “microfísica del poder”.”</w:t>
      </w:r>
      <w:r w:rsidRPr="000D3432">
        <w:rPr>
          <w:rStyle w:val="Refdenotaalpie"/>
          <w:rFonts w:asciiTheme="minorHAnsi" w:hAnsiTheme="minorHAnsi"/>
          <w:sz w:val="24"/>
          <w:szCs w:val="24"/>
          <w:lang w:val="es-ES_tradnl"/>
        </w:rPr>
        <w:footnoteReference w:id="619"/>
      </w:r>
    </w:p>
    <w:p w14:paraId="77AD97C6" w14:textId="77777777" w:rsidR="001B03E0" w:rsidRPr="000D3432" w:rsidRDefault="001B03E0" w:rsidP="00A95498">
      <w:pPr>
        <w:jc w:val="both"/>
        <w:rPr>
          <w:rFonts w:asciiTheme="minorHAnsi" w:hAnsiTheme="minorHAnsi"/>
          <w:szCs w:val="24"/>
          <w:lang w:val="es-ES_tradnl"/>
        </w:rPr>
      </w:pPr>
    </w:p>
    <w:p w14:paraId="59A48E06"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poder atraviesa todo tipo de aparatos y de instituciones,</w:t>
      </w:r>
    </w:p>
    <w:p w14:paraId="18E96934"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“Se señalará que “local” tiene dos sentidos muy diferentes: el poder es local puesto que nunca es global, pero no es local o localizable puesto que es difuso.”</w:t>
      </w:r>
      <w:r w:rsidRPr="000D3432">
        <w:rPr>
          <w:rStyle w:val="Refdenotaalpie"/>
          <w:rFonts w:asciiTheme="minorHAnsi" w:hAnsiTheme="minorHAnsi"/>
          <w:sz w:val="24"/>
          <w:szCs w:val="24"/>
          <w:lang w:val="es-ES_tradnl"/>
        </w:rPr>
        <w:footnoteReference w:id="620"/>
      </w:r>
    </w:p>
    <w:p w14:paraId="4D75AE61" w14:textId="77777777" w:rsidR="001B03E0" w:rsidRPr="000D3432" w:rsidRDefault="001B03E0" w:rsidP="00A95498">
      <w:pPr>
        <w:jc w:val="both"/>
        <w:rPr>
          <w:rFonts w:asciiTheme="minorHAnsi" w:hAnsiTheme="minorHAnsi"/>
          <w:szCs w:val="24"/>
          <w:lang w:val="es-ES_tradnl"/>
        </w:rPr>
      </w:pPr>
    </w:p>
    <w:p w14:paraId="36AFABCF" w14:textId="77777777" w:rsidR="001B03E0" w:rsidRPr="000D3432" w:rsidRDefault="001B03E0" w:rsidP="00A95498">
      <w:pPr>
        <w:jc w:val="both"/>
        <w:rPr>
          <w:rFonts w:asciiTheme="minorHAnsi" w:hAnsiTheme="minorHAnsi"/>
          <w:b/>
          <w:szCs w:val="24"/>
          <w:lang w:val="es-ES_tradnl"/>
        </w:rPr>
      </w:pPr>
      <w:r w:rsidRPr="000D3432">
        <w:rPr>
          <w:rFonts w:asciiTheme="minorHAnsi" w:hAnsiTheme="minorHAnsi"/>
          <w:b/>
          <w:szCs w:val="24"/>
          <w:lang w:val="es-ES_tradnl"/>
        </w:rPr>
        <w:t>3.- Postulado de la esencia o del atributo:</w:t>
      </w:r>
    </w:p>
    <w:p w14:paraId="0C5F059C" w14:textId="77777777" w:rsidR="001B03E0" w:rsidRPr="000D3432" w:rsidRDefault="001B03E0" w:rsidP="00A95498">
      <w:pPr>
        <w:jc w:val="both"/>
        <w:rPr>
          <w:rFonts w:asciiTheme="minorHAnsi" w:hAnsiTheme="minorHAnsi"/>
          <w:szCs w:val="24"/>
          <w:lang w:val="es-ES_tradnl"/>
        </w:rPr>
      </w:pPr>
    </w:p>
    <w:p w14:paraId="3466EA3E"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 xml:space="preserve">“El poder tendría una esencia y sería atributo que cualificaría a aquellos que lo poseen (dominantes) distinguiéndolos de aquellos sobre los que se ejerce (dominados). El poder carece de esencia, es operatorio. No es atributo, sino relación: la relación de poder es el conjunto de las relaciones de fuerzas, que pasa tanto por las fuerzas dominadas como por las dominantes: las dos constituyen singularidades. “El poder inviste (a los dominados), pasa por ellos y a través de ellos, se apoya en ellos, del mismo modo que ellos, en su lucha contra él, se apoyan a su vez en las influencias que ejerce sobre ellos (...) Foucault muestra que “la arbitrariedad del rey” no va de arriba abajo como un atributo de su poder trascendente, sino que es solicitada por los más humildes, </w:t>
      </w:r>
      <w:r w:rsidRPr="000D3432">
        <w:rPr>
          <w:rFonts w:asciiTheme="minorHAnsi" w:hAnsiTheme="minorHAnsi"/>
          <w:szCs w:val="24"/>
          <w:lang w:val="es-ES_tradnl"/>
        </w:rPr>
        <w:lastRenderedPageBreak/>
        <w:t>parientes, vecinos, colegas que quieren que se encierre a un pobre provocador de altercados, y utilizan al monarca absoluto como un “servicio público” inmanente capaz de regular los conflictos familiares, conyugales, vecinales o profesionales. (...) Pues lejos de ejercerse en una esfera general o apropiada, la relación de pode se implanta allí donde existen singularidades, incluso minúsculas, relaciones de fuerzas tales como “disputas de cenicos, discordias entre padres e hijos, desavenencias conyugales, excesos del vino y del sexo, altercados públicos y no pocas pasiones secretas”.</w:t>
      </w:r>
      <w:r w:rsidRPr="000D3432">
        <w:rPr>
          <w:rStyle w:val="Refdenotaalpie"/>
          <w:rFonts w:asciiTheme="minorHAnsi" w:hAnsiTheme="minorHAnsi"/>
          <w:sz w:val="24"/>
          <w:szCs w:val="24"/>
          <w:lang w:val="es-ES_tradnl"/>
        </w:rPr>
        <w:footnoteReference w:id="621"/>
      </w:r>
    </w:p>
    <w:p w14:paraId="6B352BAE" w14:textId="77777777" w:rsidR="001B03E0" w:rsidRPr="000D3432" w:rsidRDefault="001B03E0" w:rsidP="00A95498">
      <w:pPr>
        <w:jc w:val="both"/>
        <w:rPr>
          <w:rFonts w:asciiTheme="minorHAnsi" w:hAnsiTheme="minorHAnsi"/>
          <w:szCs w:val="24"/>
          <w:lang w:val="es-ES_tradnl"/>
        </w:rPr>
      </w:pPr>
    </w:p>
    <w:p w14:paraId="71D9A646" w14:textId="77777777" w:rsidR="001B03E0" w:rsidRPr="000D3432" w:rsidRDefault="001B03E0" w:rsidP="00A95498">
      <w:pPr>
        <w:jc w:val="both"/>
        <w:rPr>
          <w:rFonts w:asciiTheme="minorHAnsi" w:hAnsiTheme="minorHAnsi"/>
          <w:b/>
          <w:szCs w:val="24"/>
          <w:lang w:val="es-ES_tradnl"/>
        </w:rPr>
      </w:pPr>
      <w:r w:rsidRPr="000D3432">
        <w:rPr>
          <w:rFonts w:asciiTheme="minorHAnsi" w:hAnsiTheme="minorHAnsi"/>
          <w:b/>
          <w:szCs w:val="24"/>
          <w:lang w:val="es-ES_tradnl"/>
        </w:rPr>
        <w:t>4.- Postulado de la Modalidad:</w:t>
      </w:r>
    </w:p>
    <w:p w14:paraId="45CCB335" w14:textId="77777777" w:rsidR="001B03E0" w:rsidRPr="000D3432" w:rsidRDefault="001B03E0" w:rsidP="00A95498">
      <w:pPr>
        <w:jc w:val="both"/>
        <w:rPr>
          <w:rFonts w:asciiTheme="minorHAnsi" w:hAnsiTheme="minorHAnsi"/>
          <w:szCs w:val="24"/>
          <w:lang w:val="es-ES_tradnl"/>
        </w:rPr>
      </w:pPr>
    </w:p>
    <w:p w14:paraId="5903C1C2"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“El poder actuaría a través de la violencia o de la ideología, unas veces reprimiría, otras engañaría o haría creer, unas veces policía y otras propaganda.”</w:t>
      </w:r>
      <w:r w:rsidRPr="000D3432">
        <w:rPr>
          <w:rStyle w:val="Refdenotaalpie"/>
          <w:rFonts w:asciiTheme="minorHAnsi" w:hAnsiTheme="minorHAnsi"/>
          <w:sz w:val="24"/>
          <w:szCs w:val="24"/>
          <w:lang w:val="es-ES_tradnl"/>
        </w:rPr>
        <w:footnoteReference w:id="622"/>
      </w:r>
    </w:p>
    <w:p w14:paraId="002D1096"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 xml:space="preserve"> “(se ve con toda claridad en un simple congreso de un partido político. Puede suceder que la violencia esté en la sala o incluso en la calle; pero la ideología siempre está en la tribuna; y los problemas de la organización, la organización de poder, se deciden al lado, en la sala contigua). Un poder no procede por ideología, ni siquiera cuando se apoya en las almas; en el momento en  el que se influye sobre los cuerpos, no actúa necesariamente a través de la violencia y de la represión.  (...) El poder más que reprimir “produce realidad”, y más que ideologizar, más que abstraer u ocultar, produce verdad.”</w:t>
      </w:r>
      <w:r w:rsidRPr="000D3432">
        <w:rPr>
          <w:rStyle w:val="Refdenotaalpie"/>
          <w:rFonts w:asciiTheme="minorHAnsi" w:hAnsiTheme="minorHAnsi"/>
          <w:sz w:val="24"/>
          <w:szCs w:val="24"/>
          <w:lang w:val="es-ES_tradnl"/>
        </w:rPr>
        <w:footnoteReference w:id="623"/>
      </w:r>
    </w:p>
    <w:p w14:paraId="5BE20D8D" w14:textId="77777777" w:rsidR="001B03E0" w:rsidRPr="000D3432" w:rsidRDefault="001B03E0" w:rsidP="00A95498">
      <w:pPr>
        <w:jc w:val="both"/>
        <w:rPr>
          <w:rFonts w:asciiTheme="minorHAnsi" w:hAnsiTheme="minorHAnsi"/>
          <w:b/>
          <w:szCs w:val="24"/>
          <w:lang w:val="es-ES_tradnl"/>
        </w:rPr>
      </w:pPr>
    </w:p>
    <w:p w14:paraId="0A2EC9DF"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b/>
          <w:szCs w:val="24"/>
          <w:lang w:val="es-ES_tradnl"/>
        </w:rPr>
        <w:t>5.- Postulado de la Legalidad:</w:t>
      </w:r>
    </w:p>
    <w:p w14:paraId="4003243D" w14:textId="77777777" w:rsidR="001B03E0" w:rsidRPr="000D3432" w:rsidRDefault="001B03E0" w:rsidP="00A95498">
      <w:pPr>
        <w:jc w:val="both"/>
        <w:rPr>
          <w:rFonts w:asciiTheme="minorHAnsi" w:hAnsiTheme="minorHAnsi"/>
          <w:szCs w:val="24"/>
          <w:lang w:val="es-ES_tradnl"/>
        </w:rPr>
      </w:pPr>
    </w:p>
    <w:p w14:paraId="539202CA"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“El poder del Estado se expresaría en la ley, concibiéndose éstas unas veces como un estado de paz impuesto a las fuerzas brutas, otras como el resultado de una guerra o de una lucha ganada por los más fuertes (pero en los dos casos la ley se define por el cese obligado o voluntario de una guerra, y se opone a la ilegalidad que ella define por exclusión; los revolucionarios sólo pueden invocar otra legalidad que pasa por la conquista del poder y la instauración de otro aparato de Estado).”</w:t>
      </w:r>
      <w:r w:rsidRPr="000D3432">
        <w:rPr>
          <w:rStyle w:val="Refdenotaalpie"/>
          <w:rFonts w:asciiTheme="minorHAnsi" w:hAnsiTheme="minorHAnsi"/>
          <w:sz w:val="24"/>
          <w:szCs w:val="24"/>
          <w:lang w:val="es-ES_tradnl"/>
        </w:rPr>
        <w:footnoteReference w:id="624"/>
      </w:r>
    </w:p>
    <w:p w14:paraId="2381D5ED" w14:textId="77777777" w:rsidR="001B03E0" w:rsidRPr="000D3432" w:rsidRDefault="001B03E0" w:rsidP="00A95498">
      <w:pPr>
        <w:jc w:val="both"/>
        <w:rPr>
          <w:rFonts w:asciiTheme="minorHAnsi" w:hAnsiTheme="minorHAnsi"/>
          <w:szCs w:val="24"/>
          <w:lang w:val="es-ES_tradnl"/>
        </w:rPr>
      </w:pPr>
    </w:p>
    <w:p w14:paraId="46F8B712"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Foucault dice que no es así.</w:t>
      </w:r>
    </w:p>
    <w:p w14:paraId="4E93FC70" w14:textId="77777777" w:rsidR="001B03E0" w:rsidRPr="000D3432" w:rsidRDefault="001B03E0" w:rsidP="00A95498">
      <w:pPr>
        <w:ind w:left="708"/>
        <w:jc w:val="both"/>
        <w:rPr>
          <w:rFonts w:asciiTheme="minorHAnsi" w:hAnsiTheme="minorHAnsi"/>
          <w:szCs w:val="24"/>
          <w:lang w:val="es-ES_tradnl"/>
        </w:rPr>
      </w:pPr>
      <w:r w:rsidRPr="000D3432">
        <w:rPr>
          <w:rFonts w:asciiTheme="minorHAnsi" w:hAnsiTheme="minorHAnsi"/>
          <w:szCs w:val="24"/>
          <w:lang w:val="es-ES_tradnl"/>
        </w:rPr>
        <w:t>Uno de los temas más profundos del libro de Foucault consiste en sustituir esta oposición demasiado simple ley-ilegalidad por una correlación más sutil ilegalismos-leyes.</w:t>
      </w:r>
      <w:r w:rsidRPr="000D3432">
        <w:rPr>
          <w:rStyle w:val="Refdenotaalpie"/>
          <w:rFonts w:asciiTheme="minorHAnsi" w:hAnsiTheme="minorHAnsi"/>
          <w:sz w:val="24"/>
          <w:szCs w:val="24"/>
          <w:lang w:val="es-ES_tradnl"/>
        </w:rPr>
        <w:footnoteReference w:id="625"/>
      </w:r>
      <w:r w:rsidRPr="000D3432">
        <w:rPr>
          <w:rFonts w:asciiTheme="minorHAnsi" w:hAnsiTheme="minorHAnsi"/>
          <w:szCs w:val="24"/>
          <w:lang w:val="es-ES_tradnl"/>
        </w:rPr>
        <w:t xml:space="preserve"> </w:t>
      </w:r>
    </w:p>
    <w:p w14:paraId="1E4838CB" w14:textId="77777777" w:rsidR="001B03E0" w:rsidRPr="000D3432" w:rsidRDefault="001B03E0" w:rsidP="00A95498">
      <w:pPr>
        <w:ind w:firstLine="426"/>
        <w:jc w:val="both"/>
        <w:rPr>
          <w:rFonts w:asciiTheme="minorHAnsi" w:hAnsiTheme="minorHAnsi"/>
          <w:szCs w:val="24"/>
          <w:lang w:val="es-ES_tradnl"/>
        </w:rPr>
      </w:pPr>
    </w:p>
    <w:p w14:paraId="53B790FF"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 xml:space="preserve">“La ley siempre es una composición de ilegalismos que ella diferencia la formalizarlos. Basta con considerar el derecho de las sociedades comerciales para ver que las leyes no se oponen globalmente a la </w:t>
      </w:r>
      <w:r w:rsidRPr="000D3432">
        <w:rPr>
          <w:rFonts w:asciiTheme="minorHAnsi" w:hAnsiTheme="minorHAnsi"/>
          <w:szCs w:val="24"/>
          <w:lang w:val="es-ES_tradnl"/>
        </w:rPr>
        <w:lastRenderedPageBreak/>
        <w:t>ilegalidad, sino que unas organizan explícitamente la manera de eludir los otros. La ley es una gestión de los ilegalismo, unos que permite, hace posible o inventa como privilegio de la clase dominante, otros que tolera como compensación de las clases dominadas, o que incluso hace que sirvan a la clase dominante, otros, por último, que prohíbe, aísla y toma como objeto, pero también como medio de dominación.”</w:t>
      </w:r>
      <w:r w:rsidRPr="000D3432">
        <w:rPr>
          <w:rStyle w:val="Refdenotaalpie"/>
          <w:rFonts w:asciiTheme="minorHAnsi" w:hAnsiTheme="minorHAnsi"/>
          <w:sz w:val="24"/>
          <w:szCs w:val="24"/>
          <w:lang w:val="es-ES_tradnl"/>
        </w:rPr>
        <w:footnoteReference w:id="626"/>
      </w:r>
    </w:p>
    <w:p w14:paraId="44426AE4" w14:textId="77777777" w:rsidR="001B03E0" w:rsidRPr="000D3432" w:rsidRDefault="001B03E0" w:rsidP="00A95498">
      <w:pPr>
        <w:ind w:left="720"/>
        <w:jc w:val="both"/>
        <w:rPr>
          <w:rFonts w:asciiTheme="minorHAnsi" w:hAnsiTheme="minorHAnsi"/>
          <w:szCs w:val="24"/>
          <w:lang w:val="es-ES_tradnl"/>
        </w:rPr>
      </w:pPr>
    </w:p>
    <w:p w14:paraId="430B8804"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 las repúblicas y las monarquías occidentales tienen en común el haber erigido la entidad de la Ley como supuesto principio de poder, a fin de atribuirse una representación jurídica homogénea: el “modelo jurídico” surge para ocultar el mapa estratégico. Sin embargo, bajo el modelo de la legalidad continúa actuando el mapa de los ilegalismo.”</w:t>
      </w:r>
      <w:r w:rsidRPr="000D3432">
        <w:rPr>
          <w:rStyle w:val="Refdenotaalpie"/>
          <w:rFonts w:asciiTheme="minorHAnsi" w:hAnsiTheme="minorHAnsi"/>
          <w:sz w:val="24"/>
          <w:szCs w:val="24"/>
          <w:lang w:val="es-ES_tradnl"/>
        </w:rPr>
        <w:footnoteReference w:id="627"/>
      </w:r>
    </w:p>
    <w:p w14:paraId="2C6DDD77" w14:textId="77777777" w:rsidR="001B03E0" w:rsidRPr="000D3432" w:rsidRDefault="001B03E0" w:rsidP="00A95498">
      <w:pPr>
        <w:ind w:left="720"/>
        <w:jc w:val="both"/>
        <w:rPr>
          <w:rFonts w:asciiTheme="minorHAnsi" w:hAnsiTheme="minorHAnsi"/>
          <w:szCs w:val="24"/>
          <w:lang w:val="es-ES_tradnl"/>
        </w:rPr>
      </w:pPr>
    </w:p>
    <w:p w14:paraId="0DD5FA2C" w14:textId="77777777" w:rsidR="001B03E0" w:rsidRPr="000D3432" w:rsidRDefault="001B03E0" w:rsidP="00A95498">
      <w:pPr>
        <w:ind w:left="720"/>
        <w:jc w:val="both"/>
        <w:rPr>
          <w:rFonts w:asciiTheme="minorHAnsi" w:hAnsiTheme="minorHAnsi"/>
          <w:szCs w:val="24"/>
          <w:lang w:val="es-ES_tradnl"/>
        </w:rPr>
      </w:pPr>
      <w:r w:rsidRPr="000D3432">
        <w:rPr>
          <w:rFonts w:asciiTheme="minorHAnsi" w:hAnsiTheme="minorHAnsi"/>
          <w:szCs w:val="24"/>
          <w:lang w:val="es-ES_tradnl"/>
        </w:rPr>
        <w:t>“Foucault muestra que la ley no es ni un estado de paz ni el resultado de una guerra ganada: es la guerra, la estrategia de esa guerra en acto, de la misma manera que el poder no es una propiedad adquirida de la clase dominante, sino un ejercicio actual de su estrategia.”</w:t>
      </w:r>
      <w:r w:rsidRPr="000D3432">
        <w:rPr>
          <w:rStyle w:val="Refdenotaalpie"/>
          <w:rFonts w:asciiTheme="minorHAnsi" w:hAnsiTheme="minorHAnsi"/>
          <w:sz w:val="24"/>
          <w:szCs w:val="24"/>
          <w:lang w:val="es-ES_tradnl"/>
        </w:rPr>
        <w:footnoteReference w:id="628"/>
      </w:r>
    </w:p>
    <w:p w14:paraId="64EB1896" w14:textId="77777777" w:rsidR="001B03E0" w:rsidRPr="000D3432" w:rsidRDefault="001B03E0" w:rsidP="00A95498">
      <w:pPr>
        <w:jc w:val="both"/>
        <w:rPr>
          <w:rFonts w:asciiTheme="minorHAnsi" w:hAnsiTheme="minorHAnsi"/>
          <w:szCs w:val="24"/>
          <w:lang w:val="es-ES_tradnl"/>
        </w:rPr>
      </w:pPr>
    </w:p>
    <w:p w14:paraId="2A1B31F2"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Esta palabra "poder" es un intento, a través de la abstracción, de significar algo, de simbolizar algo que está en la realidad. Michel Foucault nos describe como la "palabra", que fue un invento primario del hombre para apoderarse de su alrededor- es un signo de poder, un acto destinado a conseguir sometimiento, imposición de ideas, gustos, deseos, etc, es decir, un "acto de afectar y ser afectado".</w:t>
      </w:r>
    </w:p>
    <w:p w14:paraId="7057E9A0" w14:textId="77777777" w:rsidR="001B03E0" w:rsidRPr="000D3432" w:rsidRDefault="001B03E0" w:rsidP="00A95498">
      <w:pPr>
        <w:jc w:val="both"/>
        <w:rPr>
          <w:rFonts w:asciiTheme="minorHAnsi" w:hAnsiTheme="minorHAnsi"/>
          <w:szCs w:val="24"/>
          <w:lang w:val="es-ES_tradnl"/>
        </w:rPr>
      </w:pPr>
    </w:p>
    <w:p w14:paraId="77AAA1B9" w14:textId="77777777" w:rsidR="001B03E0" w:rsidRPr="000D3432" w:rsidRDefault="001B03E0" w:rsidP="00A95498">
      <w:pPr>
        <w:ind w:firstLine="426"/>
        <w:jc w:val="both"/>
        <w:rPr>
          <w:rFonts w:asciiTheme="minorHAnsi" w:hAnsiTheme="minorHAnsi"/>
          <w:szCs w:val="24"/>
          <w:lang w:val="es-ES_tradnl"/>
        </w:rPr>
      </w:pPr>
    </w:p>
    <w:p w14:paraId="680B271F" w14:textId="77777777" w:rsidR="001B03E0" w:rsidRPr="000D3432" w:rsidRDefault="001B03E0" w:rsidP="00A95498">
      <w:pPr>
        <w:pStyle w:val="Ttulo2"/>
        <w:spacing w:line="240" w:lineRule="auto"/>
        <w:jc w:val="center"/>
        <w:rPr>
          <w:rFonts w:asciiTheme="minorHAnsi" w:hAnsiTheme="minorHAnsi"/>
          <w:color w:val="943634" w:themeColor="accent2" w:themeShade="BF"/>
          <w:sz w:val="24"/>
          <w:szCs w:val="24"/>
          <w:u w:val="single"/>
          <w:lang w:val="es-ES_tradnl"/>
        </w:rPr>
      </w:pPr>
      <w:bookmarkStart w:id="110" w:name="_Toc318102915"/>
      <w:r w:rsidRPr="000D3432">
        <w:rPr>
          <w:rFonts w:asciiTheme="minorHAnsi" w:hAnsiTheme="minorHAnsi"/>
          <w:color w:val="943634" w:themeColor="accent2" w:themeShade="BF"/>
          <w:sz w:val="24"/>
          <w:szCs w:val="24"/>
          <w:u w:val="single"/>
          <w:lang w:val="es-ES_tradnl"/>
        </w:rPr>
        <w:t>REFORMA JUDICIAL Y</w:t>
      </w:r>
      <w:bookmarkEnd w:id="110"/>
      <w:r w:rsidRPr="000D3432">
        <w:rPr>
          <w:rFonts w:asciiTheme="minorHAnsi" w:hAnsiTheme="minorHAnsi"/>
          <w:color w:val="943634" w:themeColor="accent2" w:themeShade="BF"/>
          <w:sz w:val="24"/>
          <w:szCs w:val="24"/>
          <w:u w:val="single"/>
          <w:lang w:val="es-ES_tradnl"/>
        </w:rPr>
        <w:t xml:space="preserve"> </w:t>
      </w:r>
    </w:p>
    <w:p w14:paraId="0EE8C647" w14:textId="77777777" w:rsidR="001B03E0" w:rsidRPr="000D3432" w:rsidRDefault="001B03E0" w:rsidP="00A95498">
      <w:pPr>
        <w:pStyle w:val="Ttulo2"/>
        <w:spacing w:line="240" w:lineRule="auto"/>
        <w:jc w:val="center"/>
        <w:rPr>
          <w:rFonts w:asciiTheme="minorHAnsi" w:hAnsiTheme="minorHAnsi"/>
          <w:sz w:val="24"/>
          <w:szCs w:val="24"/>
          <w:lang w:val="es-ES_tradnl"/>
        </w:rPr>
      </w:pPr>
      <w:bookmarkStart w:id="111" w:name="_Toc318102916"/>
      <w:r w:rsidRPr="000D3432">
        <w:rPr>
          <w:rFonts w:asciiTheme="minorHAnsi" w:hAnsiTheme="minorHAnsi"/>
          <w:sz w:val="24"/>
          <w:szCs w:val="24"/>
          <w:lang w:val="es-ES_tradnl"/>
        </w:rPr>
        <w:t>MODERNIDAD</w:t>
      </w:r>
      <w:bookmarkEnd w:id="111"/>
      <w:r w:rsidRPr="000D3432">
        <w:rPr>
          <w:rFonts w:asciiTheme="minorHAnsi" w:hAnsiTheme="minorHAnsi"/>
          <w:sz w:val="24"/>
          <w:szCs w:val="24"/>
          <w:lang w:val="es-ES_tradnl"/>
        </w:rPr>
        <w:t xml:space="preserve"> </w:t>
      </w:r>
    </w:p>
    <w:p w14:paraId="130B487E" w14:textId="77777777" w:rsidR="001B03E0" w:rsidRPr="000D3432" w:rsidRDefault="001B03E0" w:rsidP="00A95498">
      <w:pPr>
        <w:jc w:val="both"/>
        <w:rPr>
          <w:rFonts w:asciiTheme="minorHAnsi" w:hAnsiTheme="minorHAnsi"/>
          <w:szCs w:val="24"/>
          <w:lang w:val="es-ES_tradnl"/>
        </w:rPr>
      </w:pPr>
    </w:p>
    <w:p w14:paraId="32E8D42E"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hablar de “reforma judicial”; (...) la reforma consiste, fundamentalmente, en una serie de medidas ordenadas a dotar al Poder Jurisdiccional de los elementos materiales indispensables, a lograr la mayor rapidez posible en los trámites judiciales, a mejorar los sistemas de selección de los magistrados, a obtener que la justicia esté al alcance de todos en forma imparcial y eficaz. Estas medidas van desde el incremento presupuestario de la administración de justicia, hasta la reforma de los códigos de procedimiento y la ordenación de las leyes nacionales.(...)</w:t>
      </w:r>
    </w:p>
    <w:p w14:paraId="2920AA5A" w14:textId="77777777" w:rsidR="001B03E0" w:rsidRPr="000D3432" w:rsidRDefault="001B03E0" w:rsidP="00A95498">
      <w:pPr>
        <w:jc w:val="both"/>
        <w:rPr>
          <w:rFonts w:asciiTheme="minorHAnsi" w:hAnsiTheme="minorHAnsi"/>
          <w:szCs w:val="24"/>
          <w:lang w:val="es-ES_tradnl"/>
        </w:rPr>
      </w:pPr>
    </w:p>
    <w:p w14:paraId="6533F6AA"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 Todas estas medidas, (...) no podrán configurar una auténtica reforma, si no van acompañadas de un </w:t>
      </w:r>
      <w:r w:rsidRPr="000D3432">
        <w:rPr>
          <w:rFonts w:asciiTheme="minorHAnsi" w:hAnsiTheme="minorHAnsi"/>
          <w:b/>
          <w:szCs w:val="24"/>
          <w:lang w:val="es-ES_tradnl"/>
        </w:rPr>
        <w:t>radical cambio de mentalidad en lo que a la concepción del derecho se refiere.</w:t>
      </w:r>
      <w:r w:rsidRPr="000D3432">
        <w:rPr>
          <w:rFonts w:asciiTheme="minorHAnsi" w:hAnsiTheme="minorHAnsi"/>
          <w:szCs w:val="24"/>
          <w:lang w:val="es-ES_tradnl"/>
        </w:rPr>
        <w:t>”</w:t>
      </w:r>
      <w:r w:rsidRPr="000D3432">
        <w:rPr>
          <w:rStyle w:val="Refdenotaalpie"/>
          <w:rFonts w:asciiTheme="minorHAnsi" w:hAnsiTheme="minorHAnsi"/>
          <w:sz w:val="24"/>
          <w:szCs w:val="24"/>
          <w:lang w:val="es-ES_tradnl"/>
        </w:rPr>
        <w:footnoteReference w:id="629"/>
      </w:r>
    </w:p>
    <w:p w14:paraId="158ACBE6" w14:textId="77777777" w:rsidR="001B03E0" w:rsidRPr="000D3432" w:rsidRDefault="001B03E0" w:rsidP="00A95498">
      <w:pPr>
        <w:jc w:val="both"/>
        <w:rPr>
          <w:rFonts w:asciiTheme="minorHAnsi" w:hAnsiTheme="minorHAnsi"/>
          <w:szCs w:val="24"/>
          <w:lang w:val="es-ES_tradnl"/>
        </w:rPr>
      </w:pPr>
    </w:p>
    <w:p w14:paraId="08BCFEDD"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“Sobre los moldes gastados del actual pensamiento jurídico -heredero directo del elaborado en la modernidad- no habrá cambio verdadero ni progreso en el </w:t>
      </w:r>
      <w:r w:rsidRPr="000D3432">
        <w:rPr>
          <w:rFonts w:asciiTheme="minorHAnsi" w:hAnsiTheme="minorHAnsi"/>
          <w:szCs w:val="24"/>
          <w:lang w:val="es-ES_tradnl"/>
        </w:rPr>
        <w:lastRenderedPageBreak/>
        <w:t>derecho; a partir del formalismo, el normativismo, el deductivismo judicial, la dogmática, el consensualismo y el positivismo “jurídico, no habrá reforma que merezca los esfuerzos llevados a cabo para concretarla; se volverá a lo mismo con distinto rostro y la mutación de la máscara no será suficiente para ocultar la grave enfermedad que aqueja al organismo jurídico.”</w:t>
      </w:r>
      <w:r w:rsidRPr="000D3432">
        <w:rPr>
          <w:rStyle w:val="Refdenotaalpie"/>
          <w:rFonts w:asciiTheme="minorHAnsi" w:hAnsiTheme="minorHAnsi"/>
          <w:sz w:val="24"/>
          <w:szCs w:val="24"/>
          <w:lang w:val="es-ES_tradnl"/>
        </w:rPr>
        <w:footnoteReference w:id="630"/>
      </w:r>
    </w:p>
    <w:p w14:paraId="558A22A0" w14:textId="77777777" w:rsidR="001B03E0" w:rsidRPr="000D3432" w:rsidRDefault="001B03E0" w:rsidP="00A95498">
      <w:pPr>
        <w:ind w:firstLine="426"/>
        <w:jc w:val="both"/>
        <w:rPr>
          <w:rFonts w:asciiTheme="minorHAnsi" w:hAnsiTheme="minorHAnsi"/>
          <w:szCs w:val="24"/>
          <w:lang w:val="es-ES_tradnl"/>
        </w:rPr>
      </w:pPr>
    </w:p>
    <w:p w14:paraId="2F5F32C3"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“Como todas las reformas, la reforma judicial debe comenzar por la inteligencia; es preciso dar la espalda a los mitos y conjuros del pensamiento moderno e iniciar la marcha hacia la boca de la caverna, donde nos espera la ley que dimana de la verdad objetiva.”</w:t>
      </w:r>
      <w:r w:rsidRPr="000D3432">
        <w:rPr>
          <w:rStyle w:val="Refdenotaalpie"/>
          <w:rFonts w:asciiTheme="minorHAnsi" w:hAnsiTheme="minorHAnsi"/>
          <w:sz w:val="24"/>
          <w:szCs w:val="24"/>
          <w:lang w:val="es-ES_tradnl"/>
        </w:rPr>
        <w:footnoteReference w:id="631"/>
      </w:r>
    </w:p>
    <w:p w14:paraId="722B261F" w14:textId="77777777" w:rsidR="001B03E0" w:rsidRPr="000D3432" w:rsidRDefault="001B03E0" w:rsidP="00A95498">
      <w:pPr>
        <w:ind w:firstLine="426"/>
        <w:jc w:val="both"/>
        <w:rPr>
          <w:rFonts w:asciiTheme="minorHAnsi" w:hAnsiTheme="minorHAnsi"/>
          <w:szCs w:val="24"/>
          <w:lang w:val="es-ES_tradnl"/>
        </w:rPr>
      </w:pPr>
    </w:p>
    <w:p w14:paraId="7C6277CE" w14:textId="77777777" w:rsidR="001B03E0" w:rsidRPr="000D3432" w:rsidRDefault="001B03E0" w:rsidP="00A95498">
      <w:pPr>
        <w:ind w:firstLine="426"/>
        <w:jc w:val="both"/>
        <w:rPr>
          <w:rFonts w:asciiTheme="minorHAnsi" w:hAnsiTheme="minorHAnsi"/>
          <w:szCs w:val="24"/>
          <w:lang w:val="es-ES_tradnl"/>
        </w:rPr>
      </w:pPr>
    </w:p>
    <w:p w14:paraId="689B2679"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¿LIBERALISMO</w:t>
      </w:r>
    </w:p>
    <w:p w14:paraId="231FEDEA"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 xml:space="preserve"> ECONÓMICO?</w:t>
      </w:r>
    </w:p>
    <w:p w14:paraId="1AF6EA73" w14:textId="77777777" w:rsidR="001B03E0" w:rsidRPr="000D3432" w:rsidRDefault="001B03E0" w:rsidP="00A95498">
      <w:pPr>
        <w:ind w:firstLine="426"/>
        <w:jc w:val="both"/>
        <w:rPr>
          <w:rFonts w:asciiTheme="minorHAnsi" w:hAnsiTheme="minorHAnsi"/>
          <w:szCs w:val="24"/>
          <w:lang w:val="es-ES_tradnl"/>
        </w:rPr>
      </w:pPr>
    </w:p>
    <w:p w14:paraId="0D8CF959"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“En la esfera de la economía, la racionalidad moderna se manifestó en la tecnificación y en la búsqueda del incremento de la productividad basado en el cálculo y la planificación. Simultáneamente, una política de tinte liberal, abrió las puertas de la economía a una ola de productos importados sin estimular el desarrollo de la industria nacional,(...)En teoría, los principios liberales daban la posibilidad de elegir en el mercado y plasmar un camino autónomo, pero en los hechos no ofreció especialmente a las clases populares urbanas, los medios para afrontar la nueva situación. Alentó el individualismo, pero no se preocupó por la justicia. El liberalismo, por ello, impulsó una modernización sin modernidad.”</w:t>
      </w:r>
      <w:r w:rsidRPr="000D3432">
        <w:rPr>
          <w:rStyle w:val="Refdenotaalpie"/>
          <w:rFonts w:asciiTheme="minorHAnsi" w:hAnsiTheme="minorHAnsi"/>
          <w:sz w:val="24"/>
          <w:szCs w:val="24"/>
          <w:lang w:val="es-ES_tradnl"/>
        </w:rPr>
        <w:footnoteReference w:id="632"/>
      </w:r>
    </w:p>
    <w:p w14:paraId="74468E51" w14:textId="77777777" w:rsidR="001B03E0" w:rsidRPr="000D3432" w:rsidRDefault="001B03E0" w:rsidP="00A95498">
      <w:pPr>
        <w:ind w:firstLine="426"/>
        <w:jc w:val="both"/>
        <w:rPr>
          <w:rFonts w:asciiTheme="minorHAnsi" w:hAnsiTheme="minorHAnsi"/>
          <w:szCs w:val="24"/>
          <w:lang w:val="es-ES_tradnl"/>
        </w:rPr>
      </w:pPr>
    </w:p>
    <w:p w14:paraId="51CEA21A" w14:textId="77777777" w:rsidR="001B03E0" w:rsidRPr="000D3432" w:rsidRDefault="001B03E0" w:rsidP="00A95498">
      <w:pPr>
        <w:ind w:firstLine="426"/>
        <w:jc w:val="both"/>
        <w:rPr>
          <w:rFonts w:asciiTheme="minorHAnsi" w:hAnsiTheme="minorHAnsi"/>
          <w:szCs w:val="24"/>
          <w:lang w:val="es-ES_tradnl"/>
        </w:rPr>
      </w:pPr>
    </w:p>
    <w:p w14:paraId="7F2D8FD7" w14:textId="77777777" w:rsidR="001B03E0" w:rsidRPr="000D3432" w:rsidRDefault="001B03E0" w:rsidP="00A95498">
      <w:pPr>
        <w:pStyle w:val="Ttulo4"/>
        <w:jc w:val="center"/>
        <w:rPr>
          <w:rFonts w:asciiTheme="minorHAnsi" w:hAnsiTheme="minorHAnsi"/>
          <w:color w:val="943634" w:themeColor="accent2" w:themeShade="BF"/>
          <w:u w:val="single"/>
          <w:lang w:val="es-ES_tradnl"/>
        </w:rPr>
      </w:pPr>
      <w:r w:rsidRPr="000D3432">
        <w:rPr>
          <w:rFonts w:asciiTheme="minorHAnsi" w:hAnsiTheme="minorHAnsi"/>
          <w:color w:val="943634" w:themeColor="accent2" w:themeShade="BF"/>
          <w:u w:val="single"/>
          <w:lang w:val="es-ES_tradnl"/>
        </w:rPr>
        <w:t xml:space="preserve">ESTADO </w:t>
      </w:r>
    </w:p>
    <w:p w14:paraId="11F4277D" w14:textId="77777777" w:rsidR="001B03E0" w:rsidRPr="000D3432" w:rsidRDefault="001B03E0" w:rsidP="00A95498">
      <w:pPr>
        <w:pStyle w:val="Ttulo4"/>
        <w:jc w:val="center"/>
        <w:rPr>
          <w:rFonts w:asciiTheme="minorHAnsi" w:hAnsiTheme="minorHAnsi"/>
          <w:lang w:val="es-ES_tradnl"/>
        </w:rPr>
      </w:pPr>
      <w:r w:rsidRPr="000D3432">
        <w:rPr>
          <w:rFonts w:asciiTheme="minorHAnsi" w:hAnsiTheme="minorHAnsi"/>
          <w:lang w:val="es-ES_tradnl"/>
        </w:rPr>
        <w:t>Y MODERNIDAD</w:t>
      </w:r>
    </w:p>
    <w:p w14:paraId="5E9BADF7" w14:textId="77777777" w:rsidR="001B03E0" w:rsidRPr="000D3432" w:rsidRDefault="001B03E0" w:rsidP="00A95498">
      <w:pPr>
        <w:jc w:val="both"/>
        <w:rPr>
          <w:rFonts w:asciiTheme="minorHAnsi" w:hAnsiTheme="minorHAnsi"/>
          <w:szCs w:val="24"/>
          <w:lang w:val="es-ES_tradnl"/>
        </w:rPr>
      </w:pPr>
    </w:p>
    <w:p w14:paraId="156DC87B"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“En consecuencia, no necesitan de un estado que los oriente hacia el bien, como quería San Agustín, ya que no reconocen más bien que el que ellos definen para sí mismos. El protagonismo social del Estado se encuentra así amenazado. Los individuos -eso que ya entonces se comenzó a llamar la “sociedad civil”- quieren hacer las cosas por sí mismos; y todo lo que necesitan es un árbitro que los coordine para que no se destruyan recíprocamente, nada más. El Estado no será ya el director de teatro que indica cómo deben representar su papel los actores sociales sino un mero árbitro que no juega el juego sino que se limita a garantizar que los actores sociales lo jueguen según las reglas que ellos mismos se han impuestos.”</w:t>
      </w:r>
      <w:r w:rsidRPr="000D3432">
        <w:rPr>
          <w:rStyle w:val="Refdenotaalpie"/>
          <w:rFonts w:asciiTheme="minorHAnsi" w:hAnsiTheme="minorHAnsi"/>
          <w:sz w:val="24"/>
          <w:szCs w:val="24"/>
          <w:lang w:val="es-ES_tradnl"/>
        </w:rPr>
        <w:footnoteReference w:id="633"/>
      </w:r>
    </w:p>
    <w:p w14:paraId="2FB0D1CE" w14:textId="77777777" w:rsidR="001B03E0" w:rsidRPr="000D3432" w:rsidRDefault="001B03E0" w:rsidP="00A95498">
      <w:pPr>
        <w:ind w:firstLine="426"/>
        <w:jc w:val="both"/>
        <w:rPr>
          <w:rFonts w:asciiTheme="minorHAnsi" w:hAnsiTheme="minorHAnsi"/>
          <w:szCs w:val="24"/>
          <w:lang w:val="es-ES_tradnl"/>
        </w:rPr>
      </w:pPr>
    </w:p>
    <w:p w14:paraId="2D6D8B60"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 xml:space="preserve">“...Hobbes, padre de la modernidad, replantea el Derecho y el Estado dándoles el carácter de instancias de compatibilización de fines individualmente </w:t>
      </w:r>
      <w:r w:rsidRPr="000D3432">
        <w:rPr>
          <w:rFonts w:asciiTheme="minorHAnsi" w:hAnsiTheme="minorHAnsi"/>
          <w:szCs w:val="24"/>
          <w:lang w:val="es-ES_tradnl"/>
        </w:rPr>
        <w:lastRenderedPageBreak/>
        <w:t>determinados. Ya no se trata de diseñar el mundo a la manera divida con la ayuda del Derecho sino simplemente de coordinar los intereses privados a fin de que no se destruyan uno al otro. Esta coordinación se va a dar fundamentalmente de manera libre, a través de contratos privados; pero como el hombre busca siempre maximizar su interés y eso lo puede llevar incluso a romper sus promesas, hace falta un contrato social que organice ese tejido de contratos privados y los haga cumplir. Es entonces que nace la economía moderna, el Estado moderno y el Derecho moderno; o, si queremos decirlo de otra manera, la Economía, el Estado y el Derecho inspirados en el liberalismo.”</w:t>
      </w:r>
      <w:r w:rsidRPr="000D3432">
        <w:rPr>
          <w:rStyle w:val="Refdenotaalpie"/>
          <w:rFonts w:asciiTheme="minorHAnsi" w:hAnsiTheme="minorHAnsi"/>
          <w:sz w:val="24"/>
          <w:szCs w:val="24"/>
          <w:lang w:val="es-ES_tradnl"/>
        </w:rPr>
        <w:footnoteReference w:id="634"/>
      </w:r>
    </w:p>
    <w:p w14:paraId="5E88BCE9" w14:textId="77777777" w:rsidR="001B03E0" w:rsidRPr="000D3432" w:rsidRDefault="001B03E0" w:rsidP="00A95498">
      <w:pPr>
        <w:ind w:firstLine="426"/>
        <w:jc w:val="both"/>
        <w:rPr>
          <w:rFonts w:asciiTheme="minorHAnsi" w:hAnsiTheme="minorHAnsi"/>
          <w:szCs w:val="24"/>
          <w:lang w:val="es-ES_tradnl"/>
        </w:rPr>
      </w:pPr>
    </w:p>
    <w:p w14:paraId="3EC42B15"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“La economía será un tejido de relaciones privadas libremente decididas a través de un mercado. El Estado será una suerte de gran árbitro que, sin imponer fines propios, garantiza la paz necesaria para el desenvolvimiento de los fines privados, resuelve los conflictos entre los particulares y obliga al cumplimiento de los pactos. El Derecho será el medio imperativo con la ayuda del cual el Estado cumple este papel de árbitro. Dentro de este contexto, paradójicamente, el Estado resulta indispensable como garante del libre juego de la libertad individual y el Derecho resulta inconcebible sin la existencia de un Estado que lo respalde.”</w:t>
      </w:r>
      <w:r w:rsidRPr="000D3432">
        <w:rPr>
          <w:rStyle w:val="Refdenotaalpie"/>
          <w:rFonts w:asciiTheme="minorHAnsi" w:hAnsiTheme="minorHAnsi"/>
          <w:sz w:val="24"/>
          <w:szCs w:val="24"/>
          <w:lang w:val="es-ES_tradnl"/>
        </w:rPr>
        <w:footnoteReference w:id="635"/>
      </w:r>
    </w:p>
    <w:p w14:paraId="06B5A8D0" w14:textId="77777777" w:rsidR="001B03E0" w:rsidRPr="000D3432" w:rsidRDefault="001B03E0" w:rsidP="00A95498">
      <w:pPr>
        <w:jc w:val="both"/>
        <w:rPr>
          <w:rFonts w:asciiTheme="minorHAnsi" w:hAnsiTheme="minorHAnsi"/>
          <w:szCs w:val="24"/>
          <w:lang w:val="es-ES_tradnl"/>
        </w:rPr>
      </w:pPr>
    </w:p>
    <w:p w14:paraId="0219E16C"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LIBERALISMO Y </w:t>
      </w:r>
    </w:p>
    <w:p w14:paraId="35E9A601"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SOCIALISMO</w:t>
      </w:r>
    </w:p>
    <w:p w14:paraId="5F924FED" w14:textId="77777777" w:rsidR="001B03E0" w:rsidRPr="000D3432" w:rsidRDefault="001B03E0" w:rsidP="00A95498">
      <w:pPr>
        <w:jc w:val="both"/>
        <w:rPr>
          <w:rFonts w:asciiTheme="minorHAnsi" w:hAnsiTheme="minorHAnsi"/>
          <w:b/>
          <w:szCs w:val="24"/>
          <w:lang w:val="es-ES_tradnl"/>
        </w:rPr>
      </w:pPr>
    </w:p>
    <w:p w14:paraId="0B112698"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“En realidad, el liberalismo inicial y el socialismo tradicional fueron manifestaciones extremas de aspectos parciales de la modernidad: el uno puso el acento en la libertad subjetiva y el otro en la acción con arreglo a fines; el uno pretendió construir la sociedad exclusivamente en base a la racionalidad formal y el otro rescató y exacerbó la racionalidad substantiva implícita dentro del propio liberalismo; el uno puso el acento en la producción y en la convicción de qe la acción de conquista del hombre sobre la naturaleza solucionaría todos los problemas económicos de la humanidad, yt el otro puso el acento en la distribución como piedra de toque del progreso social; el uno postuló una sociedad una sociedad formada sólo por individuos autónomos y el otro acentuó el papel de las estructuraciones sociales en clases; el uno pretendió colocar toda la acción social en el plano privado y el otro en el plano público.”</w:t>
      </w:r>
      <w:r w:rsidRPr="000D3432">
        <w:rPr>
          <w:rStyle w:val="Refdenotaalpie"/>
          <w:rFonts w:asciiTheme="minorHAnsi" w:hAnsiTheme="minorHAnsi"/>
          <w:sz w:val="24"/>
          <w:szCs w:val="24"/>
          <w:lang w:val="es-ES_tradnl"/>
        </w:rPr>
        <w:footnoteReference w:id="636"/>
      </w:r>
    </w:p>
    <w:p w14:paraId="2C02537C" w14:textId="77777777" w:rsidR="001B03E0" w:rsidRPr="000D3432" w:rsidRDefault="001B03E0" w:rsidP="00A95498">
      <w:pPr>
        <w:ind w:firstLine="426"/>
        <w:jc w:val="both"/>
        <w:rPr>
          <w:rFonts w:asciiTheme="minorHAnsi" w:hAnsiTheme="minorHAnsi"/>
          <w:szCs w:val="24"/>
          <w:lang w:val="es-ES_tradnl"/>
        </w:rPr>
      </w:pPr>
    </w:p>
    <w:p w14:paraId="704993B6"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 xml:space="preserve">“...estamos ahora ante un mundo que trasciende esta antinomia de la modernidad y que se transforma desde sus dos extremos: el capitalismo incorpora cada vez mayores dosis de fines sociales y el socialismo mayores dosis de libertad y subjetividad; el capitalismo reconoce y utiliza estructuras sociales mientras que el socialismo flexibiliza sus esquemas rígidos clasistas; el capitalismo admite cada vez más la intervención pública y el socialismo </w:t>
      </w:r>
      <w:r w:rsidRPr="000D3432">
        <w:rPr>
          <w:rFonts w:asciiTheme="minorHAnsi" w:hAnsiTheme="minorHAnsi"/>
          <w:szCs w:val="24"/>
          <w:lang w:val="es-ES_tradnl"/>
        </w:rPr>
        <w:lastRenderedPageBreak/>
        <w:t>privatiza su sistema e introduce consecuentemente una racionalidad formal.”</w:t>
      </w:r>
      <w:r w:rsidRPr="000D3432">
        <w:rPr>
          <w:rStyle w:val="Refdenotaalpie"/>
          <w:rFonts w:asciiTheme="minorHAnsi" w:hAnsiTheme="minorHAnsi"/>
          <w:sz w:val="24"/>
          <w:szCs w:val="24"/>
          <w:lang w:val="es-ES_tradnl"/>
        </w:rPr>
        <w:footnoteReference w:id="637"/>
      </w:r>
    </w:p>
    <w:p w14:paraId="51B49AE3" w14:textId="77777777" w:rsidR="001B03E0" w:rsidRPr="000D3432" w:rsidRDefault="001B03E0" w:rsidP="00A95498">
      <w:pPr>
        <w:ind w:firstLine="426"/>
        <w:jc w:val="both"/>
        <w:rPr>
          <w:rFonts w:asciiTheme="minorHAnsi" w:hAnsiTheme="minorHAnsi"/>
          <w:szCs w:val="24"/>
          <w:lang w:val="es-ES_tradnl"/>
        </w:rPr>
      </w:pPr>
    </w:p>
    <w:p w14:paraId="18A6D45A"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“Este nuevo mundo en ciernes -que posiblemente conservará siempre sus variantes capitalistas y socialistas- es el que ha sido denominado como postmodernidad. Ene realidad, pretende ser una modernidad integrada, en la que se logre una conciliación teórica y social de los elementos en tensión dentro de la modernidad.”</w:t>
      </w:r>
      <w:r w:rsidRPr="000D3432">
        <w:rPr>
          <w:rStyle w:val="Refdenotaalpie"/>
          <w:rFonts w:asciiTheme="minorHAnsi" w:hAnsiTheme="minorHAnsi"/>
          <w:sz w:val="24"/>
          <w:szCs w:val="24"/>
          <w:lang w:val="es-ES_tradnl"/>
        </w:rPr>
        <w:footnoteReference w:id="638"/>
      </w:r>
    </w:p>
    <w:p w14:paraId="532D4B06" w14:textId="77777777" w:rsidR="001B03E0" w:rsidRPr="000D3432" w:rsidRDefault="001B03E0" w:rsidP="00A95498">
      <w:pPr>
        <w:ind w:firstLine="426"/>
        <w:jc w:val="both"/>
        <w:rPr>
          <w:rFonts w:asciiTheme="minorHAnsi" w:hAnsiTheme="minorHAnsi"/>
          <w:szCs w:val="24"/>
          <w:lang w:val="es-ES_tradnl"/>
        </w:rPr>
      </w:pPr>
    </w:p>
    <w:p w14:paraId="0BA40637"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“...la modernidad -tanto en su versión socialista como en su versión liberal- intentó cancelar las diferencias cultuales con el objeto de crear una sola humanidad formada por hombres libres e iguales. Como consecuencia de ello, tuvo animadversión contra las diferencias culturales, las autonomías regionales y el pluralismo jurídico: todo aquello que afectara la generalidad de la ley y la integridad</w:t>
      </w:r>
      <w:r w:rsidRPr="000D3432">
        <w:rPr>
          <w:rFonts w:asciiTheme="minorHAnsi" w:hAnsiTheme="minorHAnsi"/>
          <w:b/>
          <w:szCs w:val="24"/>
          <w:lang w:val="es-ES_tradnl"/>
        </w:rPr>
        <w:t xml:space="preserve"> </w:t>
      </w:r>
      <w:r w:rsidRPr="000D3432">
        <w:rPr>
          <w:rFonts w:asciiTheme="minorHAnsi" w:hAnsiTheme="minorHAnsi"/>
          <w:szCs w:val="24"/>
          <w:lang w:val="es-ES_tradnl"/>
        </w:rPr>
        <w:t>sin resquicios del Estado era sospechosos de subversión de la modernidad.”</w:t>
      </w:r>
      <w:r w:rsidRPr="000D3432">
        <w:rPr>
          <w:rStyle w:val="Refdenotaalpie"/>
          <w:rFonts w:asciiTheme="minorHAnsi" w:hAnsiTheme="minorHAnsi"/>
          <w:sz w:val="24"/>
          <w:szCs w:val="24"/>
          <w:lang w:val="es-ES_tradnl"/>
        </w:rPr>
        <w:footnoteReference w:id="639"/>
      </w:r>
    </w:p>
    <w:p w14:paraId="2E8F2813"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Se desarrollarán nuevas formas de organización social</w:t>
      </w:r>
    </w:p>
    <w:p w14:paraId="45012E4E"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“...el liberalismo individualista. La afirmación de la libertad y la exaltación d ela individualidad dan lugar a una sociedad constituida por hombres libres quienes no quieren que se les imponga forma social alguna, bajo el pretexto de que es buena o que corresponde a los ideales religiosos ni por cualquier otro motivo; quieren construir, por sí mismos, sus foras sociales llegando a acuerdos libres entre ellos.”</w:t>
      </w:r>
      <w:r w:rsidRPr="000D3432">
        <w:rPr>
          <w:rStyle w:val="Refdenotaalpie"/>
          <w:rFonts w:asciiTheme="minorHAnsi" w:hAnsiTheme="minorHAnsi"/>
          <w:sz w:val="24"/>
          <w:szCs w:val="24"/>
          <w:lang w:val="es-ES_tradnl"/>
        </w:rPr>
        <w:footnoteReference w:id="640"/>
      </w:r>
    </w:p>
    <w:p w14:paraId="595A322A" w14:textId="77777777" w:rsidR="001B03E0" w:rsidRPr="000D3432" w:rsidRDefault="001B03E0" w:rsidP="00A95498">
      <w:pPr>
        <w:jc w:val="both"/>
        <w:rPr>
          <w:rFonts w:asciiTheme="minorHAnsi" w:hAnsiTheme="minorHAnsi"/>
          <w:szCs w:val="24"/>
          <w:lang w:val="es-ES_tradnl"/>
        </w:rPr>
      </w:pPr>
    </w:p>
    <w:p w14:paraId="74434833" w14:textId="77777777" w:rsidR="001B03E0" w:rsidRPr="000D3432" w:rsidRDefault="001B03E0" w:rsidP="00A95498">
      <w:pPr>
        <w:jc w:val="center"/>
        <w:rPr>
          <w:rFonts w:asciiTheme="minorHAnsi" w:hAnsiTheme="minorHAnsi"/>
          <w:color w:val="943634" w:themeColor="accent2" w:themeShade="BF"/>
          <w:szCs w:val="24"/>
          <w:lang w:val="es-ES_tradnl"/>
        </w:rPr>
      </w:pPr>
      <w:r w:rsidRPr="000D3432">
        <w:rPr>
          <w:rFonts w:asciiTheme="minorHAnsi" w:hAnsiTheme="minorHAnsi"/>
          <w:b/>
          <w:color w:val="943634" w:themeColor="accent2" w:themeShade="BF"/>
          <w:szCs w:val="24"/>
          <w:lang w:val="es-ES_tradnl"/>
        </w:rPr>
        <w:t>NEOLIBERALISMO</w:t>
      </w:r>
    </w:p>
    <w:p w14:paraId="5435CFA7" w14:textId="77777777" w:rsidR="001B03E0" w:rsidRPr="000D3432" w:rsidRDefault="001B03E0" w:rsidP="00A95498">
      <w:pPr>
        <w:ind w:firstLine="426"/>
        <w:jc w:val="both"/>
        <w:rPr>
          <w:rFonts w:asciiTheme="minorHAnsi" w:hAnsiTheme="minorHAnsi"/>
          <w:szCs w:val="24"/>
          <w:lang w:val="es-ES_tradnl"/>
        </w:rPr>
      </w:pPr>
    </w:p>
    <w:p w14:paraId="2F6C0EB7"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“El neoliberalismo tal como se entiende en América latina, es una concepción radical del capitalismo que tiende a absolutizar el mercado hasta convertirlo en el medio, el método y el fin de todo comportamiento humano inteligente y racional. Según esta concepción están subordinados al mercado la vida de las personas, el comportamiento de las sociedades y la política de los gobiernos. Este mercado absoluto no acepta regulación en ningún campo. Es libre, sin restricciones financieras, laborales, tecnológicas o administrativas.”</w:t>
      </w:r>
      <w:r w:rsidRPr="000D3432">
        <w:rPr>
          <w:rStyle w:val="Refdenotaalpie"/>
          <w:rFonts w:asciiTheme="minorHAnsi" w:hAnsiTheme="minorHAnsi"/>
          <w:sz w:val="24"/>
          <w:szCs w:val="24"/>
          <w:lang w:val="es-ES_tradnl"/>
        </w:rPr>
        <w:footnoteReference w:id="641"/>
      </w:r>
    </w:p>
    <w:p w14:paraId="5F7D3C2C" w14:textId="77777777" w:rsidR="001B03E0" w:rsidRPr="000D3432" w:rsidRDefault="001B03E0" w:rsidP="00A95498">
      <w:pPr>
        <w:pStyle w:val="Textodecuerpo33"/>
        <w:widowControl/>
        <w:rPr>
          <w:rFonts w:asciiTheme="minorHAnsi" w:hAnsiTheme="minorHAnsi" w:cs="Times New Roman"/>
          <w:color w:val="auto"/>
          <w:lang w:val="es-ES_tradnl"/>
        </w:rPr>
      </w:pPr>
    </w:p>
    <w:p w14:paraId="627A5EF1" w14:textId="77777777" w:rsidR="001B03E0" w:rsidRPr="000D3432" w:rsidRDefault="001B03E0" w:rsidP="00A95498">
      <w:pPr>
        <w:pStyle w:val="Textodecuerpo33"/>
        <w:widowControl/>
        <w:jc w:val="center"/>
        <w:rPr>
          <w:rFonts w:asciiTheme="minorHAnsi" w:hAnsiTheme="minorHAnsi" w:cs="Times New Roman"/>
          <w:color w:val="943634" w:themeColor="accent2" w:themeShade="BF"/>
          <w:u w:val="single"/>
          <w:lang w:val="es-ES_tradnl"/>
        </w:rPr>
      </w:pPr>
      <w:r w:rsidRPr="000D3432">
        <w:rPr>
          <w:rFonts w:asciiTheme="minorHAnsi" w:hAnsiTheme="minorHAnsi" w:cs="Times New Roman"/>
          <w:color w:val="943634" w:themeColor="accent2" w:themeShade="BF"/>
          <w:u w:val="single"/>
          <w:lang w:val="es-ES_tradnl"/>
        </w:rPr>
        <w:t>POSTMODERNIDAD</w:t>
      </w:r>
    </w:p>
    <w:p w14:paraId="0B99202A" w14:textId="77777777" w:rsidR="001B03E0" w:rsidRPr="000D3432" w:rsidRDefault="001B03E0" w:rsidP="00A95498">
      <w:pPr>
        <w:pStyle w:val="Textodecuerpo33"/>
        <w:widowControl/>
        <w:jc w:val="center"/>
        <w:rPr>
          <w:rFonts w:asciiTheme="minorHAnsi" w:hAnsiTheme="minorHAnsi" w:cs="Times New Roman"/>
          <w:color w:val="auto"/>
          <w:lang w:val="es-ES_tradnl"/>
        </w:rPr>
      </w:pPr>
      <w:r w:rsidRPr="000D3432">
        <w:rPr>
          <w:rFonts w:asciiTheme="minorHAnsi" w:hAnsiTheme="minorHAnsi" w:cs="Times New Roman"/>
          <w:color w:val="auto"/>
          <w:lang w:val="es-ES_tradnl"/>
        </w:rPr>
        <w:t xml:space="preserve"> Y CÓDIGOS</w:t>
      </w:r>
    </w:p>
    <w:p w14:paraId="0C73B238" w14:textId="77777777" w:rsidR="001B03E0" w:rsidRPr="000D3432" w:rsidRDefault="001B03E0" w:rsidP="00A95498">
      <w:pPr>
        <w:jc w:val="both"/>
        <w:rPr>
          <w:rFonts w:asciiTheme="minorHAnsi" w:hAnsiTheme="minorHAnsi"/>
          <w:b/>
          <w:szCs w:val="24"/>
          <w:lang w:val="es-ES_tradnl"/>
        </w:rPr>
      </w:pPr>
    </w:p>
    <w:p w14:paraId="4D88C258"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 xml:space="preserve">“Los códigos de procedimientos civiles antiguamente acostumbraban considerar lo que se llamaba el término de la distancia, que era un tiempo adicional al plazo establecido para un cierto acto a fin de que la notificación pudiera llegar a su destino; en algunos casos, aún dentro del mismo país, ese término de la distancia podía ser de hasta quince días. Ahora toda persona con </w:t>
      </w:r>
      <w:r w:rsidRPr="000D3432">
        <w:rPr>
          <w:rFonts w:asciiTheme="minorHAnsi" w:hAnsiTheme="minorHAnsi"/>
          <w:szCs w:val="24"/>
          <w:lang w:val="es-ES_tradnl"/>
        </w:rPr>
        <w:lastRenderedPageBreak/>
        <w:t>un fax puede ser informada en cuestión de segundos. De otro lado, la instalación de satélites orbitales hizo posible la llamada directa a cualquier teléfono del mundo así como la televisión universal donde todos pueden enterarse de todo al instante, cualquiera que sea el lugar del planeta en que se encuentren; (...) verlos mientras se están produciendo. (...) el INTERNET ha terminado de convertir el mundo en una aldea global,...”</w:t>
      </w:r>
      <w:r w:rsidRPr="000D3432">
        <w:rPr>
          <w:rStyle w:val="Refdenotaalpie"/>
          <w:rFonts w:asciiTheme="minorHAnsi" w:hAnsiTheme="minorHAnsi"/>
          <w:sz w:val="24"/>
          <w:szCs w:val="24"/>
          <w:lang w:val="es-ES_tradnl"/>
        </w:rPr>
        <w:footnoteReference w:id="642"/>
      </w:r>
    </w:p>
    <w:p w14:paraId="1294860F" w14:textId="77777777" w:rsidR="001B03E0" w:rsidRPr="000D3432" w:rsidRDefault="001B03E0" w:rsidP="00A95498">
      <w:pPr>
        <w:pStyle w:val="Textonotapie"/>
        <w:ind w:firstLine="426"/>
        <w:jc w:val="both"/>
        <w:rPr>
          <w:rFonts w:asciiTheme="minorHAnsi" w:hAnsiTheme="minorHAnsi"/>
          <w:sz w:val="24"/>
          <w:szCs w:val="24"/>
          <w:lang w:val="es-ES_tradnl"/>
        </w:rPr>
      </w:pPr>
    </w:p>
    <w:p w14:paraId="66E7A9FD" w14:textId="77777777" w:rsidR="001B03E0" w:rsidRPr="000D3432" w:rsidRDefault="001B03E0" w:rsidP="00A95498">
      <w:pPr>
        <w:pStyle w:val="Textonotapie"/>
        <w:jc w:val="both"/>
        <w:rPr>
          <w:rFonts w:asciiTheme="minorHAnsi" w:hAnsiTheme="minorHAnsi"/>
          <w:sz w:val="24"/>
          <w:szCs w:val="24"/>
          <w:lang w:val="es-ES_tradnl"/>
        </w:rPr>
      </w:pPr>
    </w:p>
    <w:p w14:paraId="6071461F"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LUCHA ENTRE </w:t>
      </w:r>
    </w:p>
    <w:p w14:paraId="749BECB9"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LEY Y COSTUMBRE</w:t>
      </w:r>
    </w:p>
    <w:p w14:paraId="1CD570C4" w14:textId="77777777" w:rsidR="001B03E0" w:rsidRPr="000D3432" w:rsidRDefault="001B03E0" w:rsidP="00A95498">
      <w:pPr>
        <w:jc w:val="both"/>
        <w:rPr>
          <w:rFonts w:asciiTheme="minorHAnsi" w:hAnsiTheme="minorHAnsi"/>
          <w:szCs w:val="24"/>
          <w:lang w:val="es-ES_tradnl"/>
        </w:rPr>
      </w:pPr>
    </w:p>
    <w:p w14:paraId="4353D6E9"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"Durante la Edad Media, la lucha entre la ley y la costumbre es una lucha entre el poder real -el rey y la corte-, encarnado en la ley, y el poder de los señores feudales o de las ciudades, encarnado en sus costumbres. (...)es la lucha de un poder central y unos poderes locales o periféricos. (...) a partir de la Revolución Francesa, la lucha entre la ley y la costumbre representa la lucha de la burguesía liberal -defensa de la ley- y las fuerzas conservadoras y contrarrevolucionarias -defensoras de las antiguas costumbres-.(...) de lo que se trata en realidad es de luchas entre diferentes grupos sociales (grupos financieros o industriales, burócratas, sindicatos, etc.) por la hegemonía social o, al menos, por la protección de sus intereses."126.</w:t>
      </w:r>
    </w:p>
    <w:p w14:paraId="02687BF8" w14:textId="77777777" w:rsidR="001B03E0" w:rsidRPr="000D3432" w:rsidRDefault="001B03E0" w:rsidP="00A95498">
      <w:pPr>
        <w:jc w:val="both"/>
        <w:rPr>
          <w:rFonts w:asciiTheme="minorHAnsi" w:hAnsiTheme="minorHAnsi"/>
          <w:szCs w:val="24"/>
          <w:lang w:val="es-ES_tradnl"/>
        </w:rPr>
      </w:pPr>
    </w:p>
    <w:p w14:paraId="7D688BF7" w14:textId="77777777" w:rsidR="001B03E0" w:rsidRPr="000D3432" w:rsidRDefault="001B03E0" w:rsidP="00A95498">
      <w:pPr>
        <w:jc w:val="center"/>
        <w:rPr>
          <w:rFonts w:asciiTheme="minorHAnsi" w:hAnsiTheme="minorHAnsi"/>
          <w:b/>
          <w:szCs w:val="24"/>
          <w:lang w:val="es-ES_tradnl"/>
        </w:rPr>
      </w:pPr>
    </w:p>
    <w:p w14:paraId="2ECE8FC0"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LAS INFLUENCIAS DE LAS REVOLUCIONES </w:t>
      </w:r>
    </w:p>
    <w:p w14:paraId="456D7D76"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Y EL DESEO DEL DESARROLLO MODERNO</w:t>
      </w:r>
    </w:p>
    <w:p w14:paraId="1472E100" w14:textId="77777777" w:rsidR="001B03E0" w:rsidRPr="000D3432" w:rsidRDefault="001B03E0" w:rsidP="00A95498">
      <w:pPr>
        <w:jc w:val="both"/>
        <w:rPr>
          <w:rFonts w:asciiTheme="minorHAnsi" w:hAnsiTheme="minorHAnsi"/>
          <w:szCs w:val="24"/>
          <w:lang w:val="es-ES_tradnl"/>
        </w:rPr>
      </w:pPr>
    </w:p>
    <w:p w14:paraId="162E7B45"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primera revolución moderna es la inglesa, donde se consiguió pasar de una monarquía absoluta a una monarquía parlamentaria, esto en 1688.</w:t>
      </w:r>
    </w:p>
    <w:p w14:paraId="103BB75F" w14:textId="77777777" w:rsidR="001B03E0" w:rsidRPr="000D3432" w:rsidRDefault="001B03E0" w:rsidP="00A95498">
      <w:pPr>
        <w:jc w:val="both"/>
        <w:rPr>
          <w:rFonts w:asciiTheme="minorHAnsi" w:hAnsiTheme="minorHAnsi"/>
          <w:szCs w:val="24"/>
          <w:lang w:val="es-ES_tradnl"/>
        </w:rPr>
      </w:pPr>
    </w:p>
    <w:p w14:paraId="5DF67EEB"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segunda revolución fue la Americana, en 1776.</w:t>
      </w:r>
    </w:p>
    <w:p w14:paraId="546FDB2E" w14:textId="77777777" w:rsidR="001B03E0" w:rsidRPr="000D3432" w:rsidRDefault="001B03E0" w:rsidP="00A95498">
      <w:pPr>
        <w:jc w:val="both"/>
        <w:rPr>
          <w:rFonts w:asciiTheme="minorHAnsi" w:hAnsiTheme="minorHAnsi"/>
          <w:szCs w:val="24"/>
          <w:lang w:val="es-ES_tradnl"/>
        </w:rPr>
      </w:pPr>
    </w:p>
    <w:p w14:paraId="62385D6F"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La tercera fue la francesa, en 1789, en cuyo nombre se cortan las cabezas de los ricos.</w:t>
      </w:r>
    </w:p>
    <w:p w14:paraId="2765507B" w14:textId="77777777" w:rsidR="001B03E0" w:rsidRPr="000D3432" w:rsidRDefault="001B03E0" w:rsidP="00A95498">
      <w:pPr>
        <w:jc w:val="both"/>
        <w:rPr>
          <w:rFonts w:asciiTheme="minorHAnsi" w:hAnsiTheme="minorHAnsi"/>
          <w:szCs w:val="24"/>
          <w:lang w:val="es-ES_tradnl"/>
        </w:rPr>
      </w:pPr>
    </w:p>
    <w:p w14:paraId="74CD3A66" w14:textId="77777777" w:rsidR="001B03E0" w:rsidRPr="000D3432" w:rsidRDefault="001B03E0" w:rsidP="00A95498">
      <w:pPr>
        <w:jc w:val="both"/>
        <w:rPr>
          <w:rFonts w:asciiTheme="minorHAnsi" w:hAnsiTheme="minorHAnsi"/>
          <w:szCs w:val="24"/>
          <w:lang w:val="es-ES_tradnl"/>
        </w:rPr>
      </w:pPr>
    </w:p>
    <w:p w14:paraId="00465258" w14:textId="77777777" w:rsidR="001B03E0" w:rsidRPr="000D3432" w:rsidRDefault="001B03E0"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 xml:space="preserve">ALGUNAS IRRELEVANTES </w:t>
      </w:r>
    </w:p>
    <w:p w14:paraId="24D1B40A" w14:textId="77777777" w:rsidR="001B03E0" w:rsidRPr="000D3432" w:rsidRDefault="001B03E0" w:rsidP="00A95498">
      <w:pPr>
        <w:jc w:val="center"/>
        <w:rPr>
          <w:rFonts w:asciiTheme="minorHAnsi" w:hAnsiTheme="minorHAnsi"/>
          <w:b/>
          <w:szCs w:val="24"/>
          <w:lang w:val="es-ES_tradnl"/>
        </w:rPr>
      </w:pPr>
      <w:r w:rsidRPr="000D3432">
        <w:rPr>
          <w:rFonts w:asciiTheme="minorHAnsi" w:hAnsiTheme="minorHAnsi"/>
          <w:b/>
          <w:szCs w:val="24"/>
          <w:lang w:val="es-ES_tradnl"/>
        </w:rPr>
        <w:t>FLEXIONES Y REFLEXIONES JURÍDICAS</w:t>
      </w:r>
    </w:p>
    <w:p w14:paraId="1BF4B4B6" w14:textId="77777777" w:rsidR="001B03E0" w:rsidRPr="000D3432" w:rsidRDefault="001B03E0" w:rsidP="00A95498">
      <w:pPr>
        <w:jc w:val="both"/>
        <w:rPr>
          <w:rFonts w:asciiTheme="minorHAnsi" w:hAnsiTheme="minorHAnsi"/>
          <w:szCs w:val="24"/>
          <w:lang w:val="es-ES_tradnl"/>
        </w:rPr>
      </w:pPr>
    </w:p>
    <w:p w14:paraId="15C55A26" w14:textId="77777777" w:rsidR="001B03E0" w:rsidRPr="000D3432" w:rsidRDefault="001B03E0" w:rsidP="00A95498">
      <w:pPr>
        <w:jc w:val="both"/>
        <w:rPr>
          <w:rFonts w:asciiTheme="minorHAnsi" w:hAnsiTheme="minorHAnsi"/>
          <w:szCs w:val="24"/>
          <w:lang w:val="es-ES_tradnl"/>
        </w:rPr>
      </w:pPr>
      <w:r w:rsidRPr="000D3432">
        <w:rPr>
          <w:rFonts w:asciiTheme="minorHAnsi" w:hAnsiTheme="minorHAnsi"/>
          <w:szCs w:val="24"/>
          <w:lang w:val="es-ES_tradnl"/>
        </w:rPr>
        <w:t>Si el Derecho es “una estructuración normativa que resulta de un complejo tejido de valores compartidos, de consensos y de prácticas sociales. Entonces deberíamos concluir que a diferentes culturas corresponden diferentes Derechos: la multiculturalidad exige el pluralismo jurídico.” (Trazegnies).</w:t>
      </w:r>
    </w:p>
    <w:p w14:paraId="4F2027D7" w14:textId="77777777" w:rsidR="001B03E0" w:rsidRPr="000D3432" w:rsidRDefault="001B03E0" w:rsidP="00A95498">
      <w:pPr>
        <w:pStyle w:val="Textodecuerpo33"/>
        <w:widowControl/>
        <w:rPr>
          <w:rFonts w:asciiTheme="minorHAnsi" w:hAnsiTheme="minorHAnsi" w:cs="Times New Roman"/>
          <w:b w:val="0"/>
          <w:color w:val="auto"/>
          <w:lang w:val="es-ES_tradnl"/>
        </w:rPr>
      </w:pPr>
    </w:p>
    <w:p w14:paraId="1FA53A40" w14:textId="77777777" w:rsidR="001B03E0" w:rsidRPr="000D3432" w:rsidRDefault="001B03E0" w:rsidP="00A95498">
      <w:pPr>
        <w:ind w:firstLine="426"/>
        <w:jc w:val="both"/>
        <w:rPr>
          <w:rFonts w:asciiTheme="minorHAnsi" w:hAnsiTheme="minorHAnsi"/>
          <w:szCs w:val="24"/>
          <w:lang w:val="es-ES_tradnl"/>
        </w:rPr>
      </w:pPr>
      <w:r w:rsidRPr="000D3432">
        <w:rPr>
          <w:rFonts w:asciiTheme="minorHAnsi" w:hAnsiTheme="minorHAnsi"/>
          <w:szCs w:val="24"/>
          <w:lang w:val="es-ES_tradnl"/>
        </w:rPr>
        <w:t xml:space="preserve">“La modernización atravesó también los muros de la cárcel y desde 1856 estampó su sello en la legislación penal, que empezó por enfatizar la </w:t>
      </w:r>
      <w:r w:rsidRPr="000D3432">
        <w:rPr>
          <w:rFonts w:asciiTheme="minorHAnsi" w:hAnsiTheme="minorHAnsi"/>
          <w:szCs w:val="24"/>
          <w:lang w:val="es-ES_tradnl"/>
        </w:rPr>
        <w:lastRenderedPageBreak/>
        <w:t>readaptación sobre el castigo para los que violaban la ley.”</w:t>
      </w:r>
      <w:r w:rsidRPr="000D3432">
        <w:rPr>
          <w:rStyle w:val="Refdenotaalpie"/>
          <w:rFonts w:asciiTheme="minorHAnsi" w:hAnsiTheme="minorHAnsi"/>
          <w:sz w:val="24"/>
          <w:szCs w:val="24"/>
          <w:lang w:val="es-ES_tradnl"/>
        </w:rPr>
        <w:footnoteReference w:id="643"/>
      </w:r>
      <w:r w:rsidRPr="000D3432">
        <w:rPr>
          <w:rFonts w:asciiTheme="minorHAnsi" w:hAnsiTheme="minorHAnsi"/>
          <w:szCs w:val="24"/>
          <w:lang w:val="es-ES_tradnl"/>
        </w:rPr>
        <w:t xml:space="preserve"> </w:t>
      </w:r>
    </w:p>
    <w:p w14:paraId="20B8663E" w14:textId="77777777" w:rsidR="001B03E0" w:rsidRPr="000D3432" w:rsidRDefault="001B03E0" w:rsidP="00A95498">
      <w:pPr>
        <w:ind w:firstLine="426"/>
        <w:jc w:val="both"/>
        <w:rPr>
          <w:rFonts w:asciiTheme="minorHAnsi" w:hAnsiTheme="minorHAnsi"/>
          <w:szCs w:val="24"/>
          <w:lang w:val="es-ES_tradnl"/>
        </w:rPr>
      </w:pPr>
    </w:p>
    <w:p w14:paraId="5D372CD1" w14:textId="77777777" w:rsidR="001B03E0" w:rsidRPr="000D3432" w:rsidRDefault="001B03E0" w:rsidP="00A95498">
      <w:pPr>
        <w:rPr>
          <w:rFonts w:asciiTheme="minorHAnsi" w:hAnsiTheme="minorHAnsi" w:cs="Arial"/>
          <w:szCs w:val="24"/>
          <w:lang w:val="es-ES_tradnl"/>
        </w:rPr>
      </w:pPr>
    </w:p>
    <w:p w14:paraId="28BF3507" w14:textId="77777777" w:rsidR="001B03E0" w:rsidRPr="000D3432" w:rsidRDefault="001B03E0" w:rsidP="00A95498">
      <w:pPr>
        <w:rPr>
          <w:rFonts w:asciiTheme="minorHAnsi" w:hAnsiTheme="minorHAnsi" w:cs="Arial"/>
          <w:szCs w:val="24"/>
          <w:lang w:val="es-ES_tradnl"/>
        </w:rPr>
      </w:pPr>
    </w:p>
    <w:p w14:paraId="4A6224FC" w14:textId="77777777" w:rsidR="001B03E0" w:rsidRPr="000D3432" w:rsidRDefault="001B03E0" w:rsidP="00A95498">
      <w:pPr>
        <w:rPr>
          <w:rFonts w:asciiTheme="minorHAnsi" w:hAnsiTheme="minorHAnsi" w:cs="Arial"/>
          <w:szCs w:val="24"/>
          <w:lang w:val="es-ES_tradnl"/>
        </w:rPr>
      </w:pPr>
    </w:p>
    <w:p w14:paraId="3231B06A" w14:textId="77777777" w:rsidR="001B03E0" w:rsidRPr="000D3432" w:rsidRDefault="001B03E0" w:rsidP="00A95498">
      <w:pPr>
        <w:rPr>
          <w:rFonts w:asciiTheme="minorHAnsi" w:hAnsiTheme="minorHAnsi" w:cs="Arial"/>
          <w:szCs w:val="24"/>
          <w:lang w:val="es-ES_tradnl"/>
        </w:rPr>
      </w:pPr>
    </w:p>
    <w:p w14:paraId="37499652" w14:textId="77777777" w:rsidR="001B03E0" w:rsidRPr="000D3432" w:rsidRDefault="001B03E0" w:rsidP="00A95498">
      <w:pPr>
        <w:rPr>
          <w:rFonts w:asciiTheme="minorHAnsi" w:hAnsiTheme="minorHAnsi" w:cs="Arial"/>
          <w:szCs w:val="24"/>
          <w:lang w:val="es-ES_tradnl"/>
        </w:rPr>
      </w:pPr>
    </w:p>
    <w:p w14:paraId="1D188A07" w14:textId="77777777" w:rsidR="001B03E0" w:rsidRPr="000D3432" w:rsidRDefault="001B03E0" w:rsidP="00A95498">
      <w:pPr>
        <w:rPr>
          <w:rFonts w:asciiTheme="minorHAnsi" w:hAnsiTheme="minorHAnsi" w:cs="Arial"/>
          <w:szCs w:val="24"/>
          <w:lang w:val="es-ES_tradnl"/>
        </w:rPr>
      </w:pPr>
    </w:p>
    <w:p w14:paraId="5173F7E6" w14:textId="77777777" w:rsidR="001B03E0" w:rsidRPr="000D3432" w:rsidRDefault="001B03E0" w:rsidP="00A95498">
      <w:pPr>
        <w:rPr>
          <w:rFonts w:asciiTheme="minorHAnsi" w:hAnsiTheme="minorHAnsi" w:cs="Arial"/>
          <w:szCs w:val="24"/>
          <w:lang w:val="es-ES_tradnl"/>
        </w:rPr>
      </w:pPr>
    </w:p>
    <w:p w14:paraId="33144DCB" w14:textId="77777777" w:rsidR="001B03E0" w:rsidRPr="000D3432" w:rsidRDefault="001B03E0" w:rsidP="00A95498">
      <w:pPr>
        <w:rPr>
          <w:rFonts w:asciiTheme="minorHAnsi" w:hAnsiTheme="minorHAnsi"/>
          <w:szCs w:val="24"/>
        </w:rPr>
      </w:pPr>
    </w:p>
    <w:p w14:paraId="2CF92795" w14:textId="77777777" w:rsidR="001B03E0" w:rsidRPr="000D3432" w:rsidRDefault="001B03E0" w:rsidP="00A95498">
      <w:pPr>
        <w:rPr>
          <w:rFonts w:asciiTheme="minorHAnsi" w:hAnsiTheme="minorHAnsi"/>
          <w:szCs w:val="24"/>
        </w:rPr>
      </w:pPr>
    </w:p>
    <w:p w14:paraId="6D7059DD" w14:textId="77777777" w:rsidR="001B03E0" w:rsidRPr="000D3432" w:rsidRDefault="001B03E0" w:rsidP="00A95498">
      <w:pPr>
        <w:rPr>
          <w:rFonts w:asciiTheme="minorHAnsi" w:hAnsiTheme="minorHAnsi"/>
          <w:szCs w:val="24"/>
        </w:rPr>
      </w:pPr>
    </w:p>
    <w:p w14:paraId="0A347238" w14:textId="77777777" w:rsidR="001B03E0" w:rsidRPr="000D3432" w:rsidRDefault="001B03E0" w:rsidP="00A95498">
      <w:pPr>
        <w:rPr>
          <w:rFonts w:asciiTheme="minorHAnsi" w:hAnsiTheme="minorHAnsi"/>
          <w:szCs w:val="24"/>
        </w:rPr>
      </w:pPr>
    </w:p>
    <w:p w14:paraId="190E766F" w14:textId="77777777" w:rsidR="001B03E0" w:rsidRPr="000D3432" w:rsidRDefault="001B03E0"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5AE23A9E" w14:textId="77777777" w:rsidR="001B03E0" w:rsidRPr="000D3432" w:rsidRDefault="001B03E0" w:rsidP="00A95498">
      <w:pPr>
        <w:rPr>
          <w:rFonts w:asciiTheme="minorHAnsi" w:hAnsiTheme="minorHAnsi"/>
          <w:szCs w:val="24"/>
        </w:rPr>
      </w:pPr>
    </w:p>
    <w:p w14:paraId="33EFA560" w14:textId="77777777" w:rsidR="001B03E0" w:rsidRPr="000D3432" w:rsidRDefault="001B03E0" w:rsidP="00A95498">
      <w:pPr>
        <w:rPr>
          <w:rFonts w:asciiTheme="minorHAnsi" w:hAnsiTheme="minorHAnsi"/>
          <w:szCs w:val="24"/>
        </w:rPr>
      </w:pPr>
    </w:p>
    <w:p w14:paraId="0BA835E2" w14:textId="77777777" w:rsidR="001B03E0" w:rsidRPr="000D3432" w:rsidRDefault="001B03E0" w:rsidP="00A95498">
      <w:pPr>
        <w:rPr>
          <w:rFonts w:asciiTheme="minorHAnsi" w:hAnsiTheme="minorHAnsi"/>
          <w:szCs w:val="24"/>
        </w:rPr>
      </w:pPr>
    </w:p>
    <w:p w14:paraId="4F27E90E" w14:textId="77777777" w:rsidR="001B03E0" w:rsidRPr="000D3432" w:rsidRDefault="001B03E0" w:rsidP="00A95498">
      <w:pPr>
        <w:rPr>
          <w:rFonts w:asciiTheme="minorHAnsi" w:hAnsiTheme="minorHAnsi"/>
          <w:szCs w:val="24"/>
        </w:rPr>
      </w:pPr>
    </w:p>
    <w:p w14:paraId="4924A2A4" w14:textId="77777777" w:rsidR="001B03E0" w:rsidRPr="000D3432" w:rsidRDefault="001B03E0" w:rsidP="00A95498">
      <w:pPr>
        <w:rPr>
          <w:rFonts w:asciiTheme="minorHAnsi" w:hAnsiTheme="minorHAnsi"/>
          <w:szCs w:val="24"/>
        </w:rPr>
      </w:pPr>
    </w:p>
    <w:p w14:paraId="26C768C6" w14:textId="77777777" w:rsidR="003A15D9" w:rsidRPr="000D3432" w:rsidRDefault="003A15D9" w:rsidP="00A95498">
      <w:pPr>
        <w:jc w:val="center"/>
        <w:outlineLvl w:val="1"/>
        <w:rPr>
          <w:rFonts w:asciiTheme="minorHAnsi" w:hAnsiTheme="minorHAnsi" w:cstheme="minorHAnsi"/>
          <w:b/>
          <w:bCs/>
          <w:color w:val="1F497D" w:themeColor="text2"/>
          <w:szCs w:val="24"/>
        </w:rPr>
      </w:pPr>
    </w:p>
    <w:p w14:paraId="4B0B3677" w14:textId="77777777" w:rsidR="003A15D9" w:rsidRPr="000D3432" w:rsidRDefault="003A15D9" w:rsidP="00A95498">
      <w:pPr>
        <w:jc w:val="right"/>
        <w:outlineLvl w:val="1"/>
        <w:rPr>
          <w:rFonts w:asciiTheme="minorHAnsi" w:hAnsiTheme="minorHAnsi" w:cstheme="minorHAnsi"/>
          <w:b/>
          <w:bCs/>
          <w:color w:val="1F497D" w:themeColor="text2"/>
          <w:szCs w:val="24"/>
        </w:rPr>
      </w:pPr>
    </w:p>
    <w:p w14:paraId="08355876" w14:textId="77777777" w:rsidR="003A15D9" w:rsidRPr="000D3432" w:rsidRDefault="003A15D9" w:rsidP="00A95498">
      <w:pPr>
        <w:tabs>
          <w:tab w:val="left" w:pos="1130"/>
          <w:tab w:val="right" w:pos="8505"/>
        </w:tabs>
        <w:jc w:val="center"/>
        <w:outlineLvl w:val="1"/>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 xml:space="preserve">EL PENSAMIENTO JURÍDICO </w:t>
      </w:r>
    </w:p>
    <w:p w14:paraId="018F698F" w14:textId="77777777" w:rsidR="003A15D9" w:rsidRPr="000D3432" w:rsidRDefault="003A15D9" w:rsidP="00A95498">
      <w:pPr>
        <w:tabs>
          <w:tab w:val="left" w:pos="1130"/>
          <w:tab w:val="right" w:pos="8505"/>
        </w:tabs>
        <w:jc w:val="center"/>
        <w:outlineLvl w:val="1"/>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EN EL DERECHO PREMODERNO, MODERNO Y POST MODERNO</w:t>
      </w:r>
    </w:p>
    <w:p w14:paraId="75D13962" w14:textId="77777777" w:rsidR="003A15D9" w:rsidRPr="000D3432" w:rsidRDefault="003A15D9" w:rsidP="00A95498">
      <w:pPr>
        <w:tabs>
          <w:tab w:val="left" w:pos="1130"/>
          <w:tab w:val="right" w:pos="8505"/>
        </w:tabs>
        <w:jc w:val="center"/>
        <w:outlineLvl w:val="1"/>
        <w:rPr>
          <w:rFonts w:asciiTheme="minorHAnsi" w:hAnsiTheme="minorHAnsi" w:cs="Andalus"/>
          <w:bCs/>
          <w:color w:val="1F497D" w:themeColor="text2"/>
          <w:szCs w:val="24"/>
        </w:rPr>
      </w:pPr>
      <w:r w:rsidRPr="000D3432">
        <w:rPr>
          <w:rFonts w:asciiTheme="minorHAnsi" w:hAnsiTheme="minorHAnsi" w:cs="Andalus"/>
          <w:bCs/>
          <w:color w:val="1F497D" w:themeColor="text2"/>
          <w:szCs w:val="24"/>
        </w:rPr>
        <w:t>Nociones germinales y sintéticas sobre la Decandencia del Derecho Moderno</w:t>
      </w:r>
    </w:p>
    <w:p w14:paraId="76936BC5" w14:textId="77777777" w:rsidR="003A15D9" w:rsidRPr="000D3432" w:rsidRDefault="003A15D9" w:rsidP="00A95498">
      <w:pPr>
        <w:jc w:val="center"/>
        <w:rPr>
          <w:rFonts w:asciiTheme="minorHAnsi" w:hAnsiTheme="minorHAnsi" w:cs="Andalus"/>
          <w:color w:val="1F497D" w:themeColor="text2"/>
          <w:szCs w:val="24"/>
          <w:lang w:eastAsia="es-PE"/>
        </w:rPr>
      </w:pPr>
    </w:p>
    <w:p w14:paraId="218FD42D" w14:textId="77777777" w:rsidR="003A15D9" w:rsidRPr="000D3432" w:rsidRDefault="003A15D9" w:rsidP="00A95498">
      <w:pPr>
        <w:jc w:val="both"/>
        <w:rPr>
          <w:rFonts w:asciiTheme="minorHAnsi" w:hAnsiTheme="minorHAnsi"/>
          <w:szCs w:val="24"/>
        </w:rPr>
      </w:pPr>
    </w:p>
    <w:p w14:paraId="25CB8795" w14:textId="77777777" w:rsidR="003A15D9" w:rsidRPr="000D3432" w:rsidRDefault="003A15D9" w:rsidP="00A95498">
      <w:pPr>
        <w:jc w:val="both"/>
        <w:rPr>
          <w:rFonts w:asciiTheme="minorHAnsi" w:hAnsiTheme="minorHAnsi"/>
          <w:szCs w:val="24"/>
        </w:rPr>
      </w:pPr>
    </w:p>
    <w:p w14:paraId="0C1D32AD" w14:textId="77777777" w:rsidR="003A15D9" w:rsidRPr="000D3432" w:rsidRDefault="003A15D9" w:rsidP="00A95498">
      <w:pPr>
        <w:jc w:val="both"/>
        <w:rPr>
          <w:rFonts w:asciiTheme="minorHAnsi" w:hAnsiTheme="minorHAnsi"/>
          <w:szCs w:val="24"/>
        </w:rPr>
      </w:pPr>
    </w:p>
    <w:p w14:paraId="572DDEA1" w14:textId="77777777" w:rsidR="003A15D9" w:rsidRPr="000D3432" w:rsidRDefault="003A15D9" w:rsidP="00A95498">
      <w:pPr>
        <w:jc w:val="both"/>
        <w:rPr>
          <w:rFonts w:asciiTheme="minorHAnsi" w:hAnsiTheme="minorHAnsi"/>
          <w:szCs w:val="24"/>
        </w:rPr>
      </w:pPr>
    </w:p>
    <w:p w14:paraId="6FCB6406" w14:textId="77777777" w:rsidR="003A15D9" w:rsidRPr="000D3432" w:rsidRDefault="003A15D9" w:rsidP="00A95498">
      <w:pPr>
        <w:jc w:val="center"/>
        <w:rPr>
          <w:rFonts w:asciiTheme="minorHAnsi" w:hAnsiTheme="minorHAnsi"/>
          <w:b/>
          <w:szCs w:val="24"/>
        </w:rPr>
      </w:pPr>
    </w:p>
    <w:p w14:paraId="68C9251A" w14:textId="77777777" w:rsidR="003A15D9" w:rsidRPr="000D3432" w:rsidRDefault="003A15D9" w:rsidP="00A95498">
      <w:pPr>
        <w:rPr>
          <w:rFonts w:asciiTheme="minorHAnsi" w:hAnsiTheme="minorHAnsi"/>
          <w:b/>
          <w:szCs w:val="24"/>
        </w:rPr>
      </w:pPr>
      <w:r w:rsidRPr="000D3432">
        <w:rPr>
          <w:rFonts w:asciiTheme="minorHAnsi" w:hAnsiTheme="minorHAnsi"/>
          <w:b/>
          <w:szCs w:val="24"/>
        </w:rPr>
        <w:br w:type="page"/>
      </w:r>
    </w:p>
    <w:p w14:paraId="07A13815" w14:textId="77777777" w:rsidR="003A15D9" w:rsidRPr="000D3432" w:rsidRDefault="003A15D9" w:rsidP="00A95498">
      <w:pPr>
        <w:jc w:val="center"/>
        <w:rPr>
          <w:rFonts w:asciiTheme="minorHAnsi" w:hAnsiTheme="minorHAnsi"/>
          <w:b/>
          <w:szCs w:val="24"/>
        </w:rPr>
      </w:pPr>
    </w:p>
    <w:p w14:paraId="4EF124BE" w14:textId="77777777" w:rsidR="003A15D9" w:rsidRPr="000D3432" w:rsidRDefault="003A15D9" w:rsidP="00A95498">
      <w:pPr>
        <w:jc w:val="center"/>
        <w:rPr>
          <w:rFonts w:asciiTheme="minorHAnsi" w:hAnsiTheme="minorHAnsi"/>
          <w:b/>
          <w:szCs w:val="24"/>
        </w:rPr>
      </w:pPr>
    </w:p>
    <w:p w14:paraId="60832A73" w14:textId="77777777" w:rsidR="00C1101F" w:rsidRPr="000D3432" w:rsidRDefault="00C1101F" w:rsidP="00A95498">
      <w:pPr>
        <w:jc w:val="center"/>
        <w:rPr>
          <w:rFonts w:asciiTheme="minorHAnsi" w:hAnsiTheme="minorHAnsi"/>
          <w:b/>
          <w:szCs w:val="24"/>
        </w:rPr>
      </w:pPr>
    </w:p>
    <w:p w14:paraId="23006900" w14:textId="77777777" w:rsidR="00C1101F" w:rsidRPr="000D3432" w:rsidRDefault="00C1101F" w:rsidP="00A95498">
      <w:pPr>
        <w:jc w:val="center"/>
        <w:rPr>
          <w:rFonts w:asciiTheme="minorHAnsi" w:hAnsiTheme="minorHAnsi"/>
          <w:b/>
          <w:szCs w:val="24"/>
        </w:rPr>
      </w:pPr>
    </w:p>
    <w:p w14:paraId="61C8FC11" w14:textId="77777777" w:rsidR="00C1101F" w:rsidRPr="000D3432" w:rsidRDefault="00C1101F" w:rsidP="00A95498">
      <w:pPr>
        <w:jc w:val="center"/>
        <w:rPr>
          <w:rFonts w:asciiTheme="minorHAnsi" w:hAnsiTheme="minorHAnsi"/>
          <w:b/>
          <w:szCs w:val="24"/>
        </w:rPr>
      </w:pPr>
    </w:p>
    <w:p w14:paraId="141B5FD2" w14:textId="77777777" w:rsidR="003A15D9" w:rsidRPr="000D3432" w:rsidRDefault="003A15D9" w:rsidP="00A95498">
      <w:pPr>
        <w:jc w:val="center"/>
        <w:rPr>
          <w:rFonts w:asciiTheme="minorHAnsi" w:hAnsiTheme="minorHAnsi"/>
          <w:b/>
          <w:szCs w:val="24"/>
        </w:rPr>
      </w:pPr>
    </w:p>
    <w:p w14:paraId="7937CA1C" w14:textId="77777777" w:rsidR="003A15D9" w:rsidRPr="000D3432" w:rsidRDefault="003A15D9" w:rsidP="00A95498">
      <w:pPr>
        <w:tabs>
          <w:tab w:val="left" w:pos="1130"/>
          <w:tab w:val="right" w:pos="8505"/>
        </w:tabs>
        <w:jc w:val="center"/>
        <w:outlineLvl w:val="1"/>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 xml:space="preserve">EL PENSAMIENTO JURÍDICO </w:t>
      </w:r>
    </w:p>
    <w:p w14:paraId="6C5197AB" w14:textId="77777777" w:rsidR="003A15D9" w:rsidRPr="000D3432" w:rsidRDefault="003A15D9" w:rsidP="00A95498">
      <w:pPr>
        <w:tabs>
          <w:tab w:val="left" w:pos="1130"/>
          <w:tab w:val="right" w:pos="8505"/>
        </w:tabs>
        <w:jc w:val="center"/>
        <w:outlineLvl w:val="1"/>
        <w:rPr>
          <w:rFonts w:asciiTheme="minorHAnsi" w:hAnsiTheme="minorHAnsi" w:cs="Andalus"/>
          <w:b/>
          <w:bCs/>
          <w:color w:val="1F497D" w:themeColor="text2"/>
          <w:szCs w:val="24"/>
        </w:rPr>
      </w:pPr>
      <w:r w:rsidRPr="000D3432">
        <w:rPr>
          <w:rFonts w:asciiTheme="minorHAnsi" w:hAnsiTheme="minorHAnsi" w:cs="Andalus"/>
          <w:b/>
          <w:bCs/>
          <w:color w:val="1F497D" w:themeColor="text2"/>
          <w:szCs w:val="24"/>
        </w:rPr>
        <w:t>EN EL DERECHO PREMODERNO, MODERNO Y POST MODERNO</w:t>
      </w:r>
    </w:p>
    <w:p w14:paraId="113472EF" w14:textId="77777777" w:rsidR="003A15D9" w:rsidRPr="000D3432" w:rsidRDefault="003A15D9" w:rsidP="00A95498">
      <w:pPr>
        <w:tabs>
          <w:tab w:val="left" w:pos="1130"/>
          <w:tab w:val="right" w:pos="8505"/>
        </w:tabs>
        <w:jc w:val="center"/>
        <w:outlineLvl w:val="1"/>
        <w:rPr>
          <w:rFonts w:asciiTheme="minorHAnsi" w:hAnsiTheme="minorHAnsi" w:cs="Andalus"/>
          <w:bCs/>
          <w:color w:val="1F497D" w:themeColor="text2"/>
          <w:szCs w:val="24"/>
        </w:rPr>
      </w:pPr>
      <w:r w:rsidRPr="000D3432">
        <w:rPr>
          <w:rFonts w:asciiTheme="minorHAnsi" w:hAnsiTheme="minorHAnsi" w:cs="Andalus"/>
          <w:bCs/>
          <w:color w:val="1F497D" w:themeColor="text2"/>
          <w:szCs w:val="24"/>
        </w:rPr>
        <w:t>Nociones germinales y sintéticas sobre la Decandencia del Derecho Moderno</w:t>
      </w:r>
    </w:p>
    <w:p w14:paraId="2429FF63" w14:textId="77777777" w:rsidR="003A15D9" w:rsidRPr="000D3432" w:rsidRDefault="003A15D9" w:rsidP="00A95498">
      <w:pPr>
        <w:jc w:val="right"/>
        <w:rPr>
          <w:rFonts w:asciiTheme="minorHAnsi" w:hAnsiTheme="minorHAnsi"/>
          <w:b/>
          <w:szCs w:val="24"/>
        </w:rPr>
      </w:pPr>
    </w:p>
    <w:p w14:paraId="32D8CF67" w14:textId="77777777" w:rsidR="003A15D9" w:rsidRPr="000D3432" w:rsidRDefault="003A15D9" w:rsidP="00A95498">
      <w:pPr>
        <w:jc w:val="both"/>
        <w:rPr>
          <w:rFonts w:asciiTheme="minorHAnsi" w:hAnsiTheme="minorHAnsi"/>
          <w:b/>
          <w:szCs w:val="24"/>
        </w:rPr>
      </w:pPr>
    </w:p>
    <w:p w14:paraId="42997969" w14:textId="77777777" w:rsidR="003A15D9" w:rsidRPr="000D3432" w:rsidRDefault="003A15D9" w:rsidP="00A95498">
      <w:pPr>
        <w:jc w:val="both"/>
        <w:rPr>
          <w:rFonts w:asciiTheme="minorHAnsi" w:hAnsiTheme="minorHAnsi"/>
          <w:b/>
          <w:szCs w:val="24"/>
        </w:rPr>
      </w:pPr>
    </w:p>
    <w:p w14:paraId="14D38691" w14:textId="77777777" w:rsidR="003A15D9" w:rsidRPr="000D3432" w:rsidRDefault="003A15D9" w:rsidP="00A95498">
      <w:pPr>
        <w:ind w:left="2124"/>
        <w:jc w:val="both"/>
        <w:rPr>
          <w:rFonts w:asciiTheme="minorHAnsi" w:hAnsiTheme="minorHAnsi"/>
          <w:b/>
          <w:szCs w:val="24"/>
        </w:rPr>
      </w:pPr>
      <w:r w:rsidRPr="000D3432">
        <w:rPr>
          <w:rFonts w:asciiTheme="minorHAnsi" w:hAnsiTheme="minorHAnsi"/>
          <w:bCs/>
          <w:szCs w:val="24"/>
        </w:rPr>
        <w:t xml:space="preserve">“Queremos librarnos de todo y de todos. Queremos volver a estar </w:t>
      </w:r>
      <w:r w:rsidRPr="000D3432">
        <w:rPr>
          <w:rFonts w:asciiTheme="minorHAnsi" w:hAnsiTheme="minorHAnsi"/>
          <w:bCs/>
          <w:i/>
          <w:szCs w:val="24"/>
        </w:rPr>
        <w:t>desnudos</w:t>
      </w:r>
      <w:r w:rsidRPr="000D3432">
        <w:rPr>
          <w:rFonts w:asciiTheme="minorHAnsi" w:hAnsiTheme="minorHAnsi"/>
          <w:bCs/>
          <w:szCs w:val="24"/>
        </w:rPr>
        <w:t xml:space="preserve"> en el alma, lo mismo que Adán, inocente, estuvo desnudo en su cuerpo. Queremos arrojar las capas de la religión, las casacas de las filosofías, las camisas de los prejuicios, las corbatas escurridizas de los ideales, los zapatos de la lógica y los calzoncillos de la moral.” </w:t>
      </w:r>
      <w:r w:rsidRPr="000D3432">
        <w:rPr>
          <w:rFonts w:asciiTheme="minorHAnsi" w:hAnsiTheme="minorHAnsi"/>
          <w:i/>
          <w:szCs w:val="24"/>
        </w:rPr>
        <w:t>Giovanni Papini</w:t>
      </w:r>
      <w:r w:rsidRPr="000D3432">
        <w:rPr>
          <w:rStyle w:val="Refdenotaalpie"/>
          <w:rFonts w:asciiTheme="minorHAnsi" w:hAnsiTheme="minorHAnsi"/>
          <w:i/>
          <w:sz w:val="24"/>
          <w:szCs w:val="24"/>
        </w:rPr>
        <w:footnoteReference w:id="644"/>
      </w:r>
    </w:p>
    <w:p w14:paraId="11DE1EDA" w14:textId="77777777" w:rsidR="003A15D9" w:rsidRPr="000D3432" w:rsidRDefault="003A15D9" w:rsidP="00A95498">
      <w:pPr>
        <w:pStyle w:val="Ttulo1"/>
        <w:spacing w:line="240" w:lineRule="auto"/>
        <w:ind w:left="708"/>
        <w:rPr>
          <w:rFonts w:asciiTheme="minorHAnsi" w:hAnsiTheme="minorHAnsi"/>
          <w:b w:val="0"/>
          <w:color w:val="000000"/>
          <w:sz w:val="24"/>
          <w:szCs w:val="24"/>
        </w:rPr>
      </w:pPr>
    </w:p>
    <w:p w14:paraId="11525130" w14:textId="77777777" w:rsidR="003A15D9" w:rsidRPr="000D3432" w:rsidRDefault="003A15D9" w:rsidP="00A95498">
      <w:pPr>
        <w:rPr>
          <w:rFonts w:asciiTheme="minorHAnsi" w:hAnsiTheme="minorHAnsi"/>
          <w:b/>
          <w:color w:val="000000"/>
          <w:szCs w:val="24"/>
        </w:rPr>
      </w:pPr>
    </w:p>
    <w:p w14:paraId="1E015690"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GENERALIDADES:</w:t>
      </w:r>
    </w:p>
    <w:p w14:paraId="346287AA"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“Nuestros derechos son aquella parte de nuestro poder que los demás nos han reconocido y quieren que conservemos” (</w:t>
      </w:r>
      <w:r w:rsidRPr="000D3432">
        <w:rPr>
          <w:rFonts w:asciiTheme="minorHAnsi" w:hAnsiTheme="minorHAnsi"/>
          <w:i/>
          <w:szCs w:val="24"/>
        </w:rPr>
        <w:t>Nietzsche)</w:t>
      </w:r>
    </w:p>
    <w:p w14:paraId="42FB44D2" w14:textId="77777777" w:rsidR="003A15D9" w:rsidRPr="000D3432" w:rsidRDefault="003A15D9" w:rsidP="00A95498">
      <w:pPr>
        <w:ind w:firstLine="708"/>
        <w:jc w:val="both"/>
        <w:rPr>
          <w:rFonts w:asciiTheme="minorHAnsi" w:hAnsiTheme="minorHAnsi"/>
          <w:color w:val="000000"/>
          <w:szCs w:val="24"/>
        </w:rPr>
      </w:pPr>
    </w:p>
    <w:p w14:paraId="3C8C11BE" w14:textId="77777777" w:rsidR="003A15D9" w:rsidRPr="000D3432" w:rsidRDefault="003A15D9" w:rsidP="00A95498">
      <w:pPr>
        <w:ind w:firstLine="708"/>
        <w:jc w:val="both"/>
        <w:rPr>
          <w:rFonts w:asciiTheme="minorHAnsi" w:hAnsiTheme="minorHAnsi"/>
          <w:color w:val="000000"/>
          <w:szCs w:val="24"/>
        </w:rPr>
      </w:pPr>
      <w:r w:rsidRPr="000D3432">
        <w:rPr>
          <w:rFonts w:asciiTheme="minorHAnsi" w:hAnsiTheme="minorHAnsi"/>
          <w:color w:val="000000"/>
          <w:szCs w:val="24"/>
        </w:rPr>
        <w:t>El presente texto es una síntesis sobre un tema fascinante a mi parecer: “El Pensamiento Jurídico”. Fenómeno especial por  su enorme complejidad, y porque parece ser el factor hegemónico, central, principal, de todo el sistema normativo, utilizado por cualquier sociedad civilizada: su “Mente normativa”. Aquella que representa en la vida las razones que hacen al ser humano comportarse de tal o cual manera. El pensamiento jurídico es un fenómeno difícil de aprehender en si, por su enorme complejidad, y, además, entre otras razones, porque su configuración sólo puede observarse desde su exteriorización (las prácticas) es decir, desde las conductas humanas. Sin embargo esta exteriorización del pensamiento humano no nos puede dar una noción completa y certera de su real dimensión y conformación. Por eso, siendo el pensamiento jurídico una parte importante de nuestro pensamiento en general, una muestra de cómo los seres humanos asumimos mentalmente el fenómeno normativo y respondemos ante un sistema regulador, debemos analizarlo con las pinzas de quien sabe que el pensamiento puede cambiar el mundo y sus formas de vivir en el. El pensamiento es aquel mecanismo mediante el cual se forman, direccionan influencian nuestras conductas, o dicho en términos circunscritos a lo jurídico: forman la idea del derecho en el que creemos, y aplicamos.  En el pensamiento jurídico de cada ser humano encontramos pues el motivo, la razón de porque actuamos o no actuamos de tal o cual forma, que es a nuestro parecer el eje de toda nuestra vida, su sistema normativo.</w:t>
      </w:r>
    </w:p>
    <w:p w14:paraId="64917D9D" w14:textId="77777777" w:rsidR="003A15D9" w:rsidRPr="000D3432" w:rsidRDefault="003A15D9" w:rsidP="00A95498">
      <w:pPr>
        <w:jc w:val="both"/>
        <w:rPr>
          <w:rFonts w:asciiTheme="minorHAnsi" w:hAnsiTheme="minorHAnsi"/>
          <w:color w:val="000000"/>
          <w:szCs w:val="24"/>
        </w:rPr>
      </w:pPr>
    </w:p>
    <w:p w14:paraId="3C8CD6D6" w14:textId="77777777" w:rsidR="003A15D9" w:rsidRPr="000D3432" w:rsidRDefault="003A15D9" w:rsidP="00A95498">
      <w:pPr>
        <w:ind w:firstLine="708"/>
        <w:jc w:val="both"/>
        <w:rPr>
          <w:rFonts w:asciiTheme="minorHAnsi" w:hAnsiTheme="minorHAnsi"/>
          <w:color w:val="000000"/>
          <w:szCs w:val="24"/>
        </w:rPr>
      </w:pPr>
      <w:r w:rsidRPr="000D3432">
        <w:rPr>
          <w:rFonts w:asciiTheme="minorHAnsi" w:hAnsiTheme="minorHAnsi"/>
          <w:color w:val="000000"/>
          <w:szCs w:val="24"/>
        </w:rPr>
        <w:t xml:space="preserve">Por otro lado, cabe decir que la concepción del Derecho ha sido observada desde diversos ángulos, a través de las diferentes doctrinas jurídicas, pero pocas veces, se la ha observado desde el individuo, es decir, desde cómo toma el individuo al derecho, su concepción de derecho y de justicia, y su correspondencia con las mismas. Es en ese sentido que utilizando un análisis de la mentalidad de nuestra sociedad hemos ensayado el presente trabajo, fijándonos en la estructura mental de los que viven, hacen, o aplican el derecho, y la hemos dividido en tres estadios: premodernidad, modernidad y postmodernidad en el Derecho. Esto significa que se asume el derecho bajo cualquiera de estas percepciones, lo cual nos lleva a todo un sistema diferente al normativo con el que se ejerce el Derecho. Por eso, la aptitud o concepción del derecho que tenga la persona dará el sistema mental utilizado en el sistema normativo. </w:t>
      </w:r>
    </w:p>
    <w:p w14:paraId="021AB1AD" w14:textId="77777777" w:rsidR="003A15D9" w:rsidRPr="000D3432" w:rsidRDefault="003A15D9" w:rsidP="00A95498">
      <w:pPr>
        <w:jc w:val="both"/>
        <w:rPr>
          <w:rFonts w:asciiTheme="minorHAnsi" w:hAnsiTheme="minorHAnsi"/>
          <w:color w:val="000000"/>
          <w:szCs w:val="24"/>
        </w:rPr>
      </w:pPr>
    </w:p>
    <w:p w14:paraId="551EFCD5" w14:textId="77777777" w:rsidR="003A15D9" w:rsidRPr="000D3432" w:rsidRDefault="003A15D9" w:rsidP="00A95498">
      <w:pPr>
        <w:ind w:firstLine="708"/>
        <w:jc w:val="both"/>
        <w:rPr>
          <w:rFonts w:asciiTheme="minorHAnsi" w:hAnsiTheme="minorHAnsi"/>
          <w:color w:val="000000"/>
          <w:szCs w:val="24"/>
        </w:rPr>
      </w:pPr>
      <w:r w:rsidRPr="000D3432">
        <w:rPr>
          <w:rFonts w:asciiTheme="minorHAnsi" w:hAnsiTheme="minorHAnsi"/>
          <w:color w:val="000000"/>
          <w:szCs w:val="24"/>
        </w:rPr>
        <w:t>El presente trabajo trata, en síntesis, del pensamiento jurídico premoderno, moderno, postmoderno, y de la asimilación y utilización del mismo. En suma, del pensamiento jurídico. Que no es más que una expresión de nuestro tipo de pensamiento en general; puesto que el Derecho es “una concepción mental”, una sublimación o refinamiento de nuestras relaciones de fuerzas, de poder, circunscritas dentro del margen de la necesidad o exigencias de coexistencia, de compatibilidad de intereses; de experiencias o conjunto de experiencias o conflictos de intereses, de organización de esas relaciones de fuerzas, refinadas a través del pensamiento, hecho teoría.</w:t>
      </w:r>
    </w:p>
    <w:p w14:paraId="20D6600F" w14:textId="77777777" w:rsidR="003A15D9" w:rsidRPr="000D3432" w:rsidRDefault="003A15D9" w:rsidP="00A95498">
      <w:pPr>
        <w:jc w:val="both"/>
        <w:rPr>
          <w:rFonts w:asciiTheme="minorHAnsi" w:hAnsiTheme="minorHAnsi"/>
          <w:color w:val="000000"/>
          <w:szCs w:val="24"/>
        </w:rPr>
      </w:pPr>
    </w:p>
    <w:p w14:paraId="5B2FE069" w14:textId="77777777" w:rsidR="003A15D9" w:rsidRPr="000D3432" w:rsidRDefault="003A15D9" w:rsidP="00A95498">
      <w:pPr>
        <w:ind w:firstLine="708"/>
        <w:jc w:val="both"/>
        <w:rPr>
          <w:rFonts w:asciiTheme="minorHAnsi" w:hAnsiTheme="minorHAnsi"/>
          <w:color w:val="000000"/>
          <w:szCs w:val="24"/>
        </w:rPr>
      </w:pPr>
      <w:r w:rsidRPr="000D3432">
        <w:rPr>
          <w:rFonts w:asciiTheme="minorHAnsi" w:hAnsiTheme="minorHAnsi"/>
          <w:color w:val="000000"/>
          <w:szCs w:val="24"/>
        </w:rPr>
        <w:t xml:space="preserve">Hemos dividido nuestro trabajo en tres factores: 1) El pensamiento Jurídico Premoderno, 2) Moderno y 3) Postmoderno; que explicamos en las presentes líneas, con sus fundamentos para construir una concepción del derecho y la cual aplicamos en nuestra vida. Intentamos, a través de este análisis, descubrir el mejor sistema normativo para solucionar los conflictos de intereses y hacer mejor a los seres humanos. </w:t>
      </w:r>
    </w:p>
    <w:p w14:paraId="56C1087D" w14:textId="77777777" w:rsidR="003A15D9" w:rsidRPr="000D3432" w:rsidRDefault="003A15D9" w:rsidP="00A95498">
      <w:pPr>
        <w:rPr>
          <w:rFonts w:asciiTheme="minorHAnsi" w:hAnsiTheme="minorHAnsi"/>
          <w:color w:val="000000"/>
          <w:szCs w:val="24"/>
        </w:rPr>
      </w:pPr>
    </w:p>
    <w:p w14:paraId="466F9646" w14:textId="77777777" w:rsidR="003A15D9" w:rsidRPr="000D3432" w:rsidRDefault="003A15D9" w:rsidP="00A95498">
      <w:pPr>
        <w:jc w:val="center"/>
        <w:rPr>
          <w:rFonts w:asciiTheme="minorHAnsi" w:hAnsiTheme="minorHAnsi"/>
          <w:b/>
          <w:color w:val="000000"/>
          <w:szCs w:val="24"/>
        </w:rPr>
      </w:pPr>
      <w:r w:rsidRPr="000D3432">
        <w:rPr>
          <w:rFonts w:asciiTheme="minorHAnsi" w:hAnsiTheme="minorHAnsi"/>
          <w:b/>
          <w:color w:val="000000"/>
          <w:szCs w:val="24"/>
        </w:rPr>
        <w:t>TÍTULO PRIMERO</w:t>
      </w:r>
    </w:p>
    <w:p w14:paraId="41E4E6BA" w14:textId="77777777" w:rsidR="003A15D9" w:rsidRPr="000D3432" w:rsidRDefault="003A15D9" w:rsidP="00A95498">
      <w:pPr>
        <w:numPr>
          <w:ilvl w:val="12"/>
          <w:numId w:val="0"/>
        </w:numPr>
        <w:rPr>
          <w:rFonts w:asciiTheme="minorHAnsi" w:hAnsiTheme="minorHAnsi"/>
          <w:b/>
          <w:color w:val="000000"/>
          <w:szCs w:val="24"/>
        </w:rPr>
      </w:pPr>
    </w:p>
    <w:p w14:paraId="05744B9C" w14:textId="77777777" w:rsidR="003A15D9" w:rsidRPr="000D3432" w:rsidRDefault="003A15D9" w:rsidP="00A95498">
      <w:pPr>
        <w:numPr>
          <w:ilvl w:val="12"/>
          <w:numId w:val="0"/>
        </w:numPr>
        <w:rPr>
          <w:rFonts w:asciiTheme="minorHAnsi" w:hAnsiTheme="minorHAnsi"/>
          <w:b/>
          <w:color w:val="000000"/>
          <w:szCs w:val="24"/>
        </w:rPr>
      </w:pPr>
      <w:r w:rsidRPr="000D3432">
        <w:rPr>
          <w:rFonts w:asciiTheme="minorHAnsi" w:hAnsiTheme="minorHAnsi"/>
          <w:b/>
          <w:color w:val="000000"/>
          <w:szCs w:val="24"/>
        </w:rPr>
        <w:t>I.- ANTECEDENTES DE LA POSTMODERNIDAD: LA MODERNIDAD</w:t>
      </w:r>
    </w:p>
    <w:p w14:paraId="59855193" w14:textId="77777777" w:rsidR="003A15D9" w:rsidRPr="000D3432" w:rsidRDefault="003A15D9" w:rsidP="00A95498">
      <w:pPr>
        <w:numPr>
          <w:ilvl w:val="12"/>
          <w:numId w:val="0"/>
        </w:numPr>
        <w:rPr>
          <w:rFonts w:asciiTheme="minorHAnsi" w:hAnsiTheme="minorHAnsi"/>
          <w:b/>
          <w:color w:val="000000"/>
          <w:szCs w:val="24"/>
        </w:rPr>
      </w:pPr>
    </w:p>
    <w:p w14:paraId="6A974D31" w14:textId="77777777" w:rsidR="003A15D9" w:rsidRPr="000D3432" w:rsidRDefault="003A15D9" w:rsidP="00A95498">
      <w:pPr>
        <w:numPr>
          <w:ilvl w:val="12"/>
          <w:numId w:val="0"/>
        </w:numPr>
        <w:rPr>
          <w:rFonts w:asciiTheme="minorHAnsi" w:hAnsiTheme="minorHAnsi"/>
          <w:b/>
          <w:color w:val="000000"/>
          <w:szCs w:val="24"/>
        </w:rPr>
      </w:pPr>
      <w:r w:rsidRPr="000D3432">
        <w:rPr>
          <w:rFonts w:asciiTheme="minorHAnsi" w:hAnsiTheme="minorHAnsi"/>
          <w:b/>
          <w:color w:val="000000"/>
          <w:szCs w:val="24"/>
        </w:rPr>
        <w:t>1.- LA GENEALOGÍA DEL PENSAMIENTO DE LA MODERNIDAD</w:t>
      </w:r>
    </w:p>
    <w:p w14:paraId="49793401" w14:textId="77777777" w:rsidR="003A15D9" w:rsidRPr="000D3432" w:rsidRDefault="003A15D9" w:rsidP="00A95498">
      <w:pPr>
        <w:ind w:left="2124"/>
        <w:jc w:val="both"/>
        <w:rPr>
          <w:rFonts w:asciiTheme="minorHAnsi" w:hAnsiTheme="minorHAnsi"/>
          <w:szCs w:val="24"/>
        </w:rPr>
      </w:pPr>
    </w:p>
    <w:p w14:paraId="49CCF715"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 xml:space="preserve">“Sobre los moldes gastados del actual pensamiento jurídico -heredero directo del elaborado en la modernidad- no habrá cambio verdadero ni progreso en el derecho; a partir del formalismo, el normativismo, el deductivismo judicial, la dogmática, el consensualismo y el positivismo “jurídico, no habrá reforma que merezca los esfuerzos llevados a cabo para concretarla; se volverá a lo mismo con distinto rostro y la mutación de la máscara no será suficiente para ocultar la grave enfermedad que aqueja al organismo </w:t>
      </w:r>
      <w:r w:rsidRPr="000D3432">
        <w:rPr>
          <w:rFonts w:asciiTheme="minorHAnsi" w:hAnsiTheme="minorHAnsi"/>
          <w:szCs w:val="24"/>
        </w:rPr>
        <w:lastRenderedPageBreak/>
        <w:t>jurídico.” (Massini)</w:t>
      </w:r>
      <w:r w:rsidRPr="000D3432">
        <w:rPr>
          <w:rStyle w:val="Refdenotaalpie"/>
          <w:rFonts w:asciiTheme="minorHAnsi" w:hAnsiTheme="minorHAnsi"/>
          <w:sz w:val="24"/>
          <w:szCs w:val="24"/>
        </w:rPr>
        <w:footnoteReference w:id="645"/>
      </w:r>
    </w:p>
    <w:p w14:paraId="572FCFF9" w14:textId="77777777" w:rsidR="003A15D9" w:rsidRPr="000D3432" w:rsidRDefault="003A15D9" w:rsidP="00A95498">
      <w:pPr>
        <w:numPr>
          <w:ilvl w:val="12"/>
          <w:numId w:val="0"/>
        </w:numPr>
        <w:rPr>
          <w:rFonts w:asciiTheme="minorHAnsi" w:hAnsiTheme="minorHAnsi"/>
          <w:color w:val="000000"/>
          <w:szCs w:val="24"/>
        </w:rPr>
      </w:pPr>
    </w:p>
    <w:p w14:paraId="604A5A26" w14:textId="77777777" w:rsidR="003A15D9" w:rsidRPr="000D3432" w:rsidRDefault="003A15D9" w:rsidP="00A95498">
      <w:pPr>
        <w:pStyle w:val="Textodecuerpo2"/>
        <w:spacing w:after="0" w:line="240" w:lineRule="auto"/>
        <w:jc w:val="both"/>
        <w:rPr>
          <w:rFonts w:asciiTheme="minorHAnsi" w:hAnsiTheme="minorHAnsi"/>
          <w:bCs/>
          <w:iCs/>
          <w:color w:val="000000"/>
          <w:szCs w:val="24"/>
        </w:rPr>
      </w:pPr>
      <w:r w:rsidRPr="000D3432">
        <w:rPr>
          <w:rFonts w:asciiTheme="minorHAnsi" w:hAnsiTheme="minorHAnsi"/>
          <w:bCs/>
          <w:iCs/>
          <w:color w:val="000000"/>
          <w:szCs w:val="24"/>
        </w:rPr>
        <w:t xml:space="preserve">Cabe poner en relieve ciertas condiciones y circunstancias; en principio aquel fenómeno peligroso y negativo del ser humano de nuestro tiempo de tener una inadecuada asimilación de los procesos modernizantes; de aquel uso también inadecuado de las influencias modernizantes, que relevan una mentalidad premoderna, proveniente de un medio ambiente confuso e inmanejable, y que provoca de alguna forma la obstrucción de las capacidades críticas y autocríticas. Eso indicaría además, que algunos de los fundamentos de la modernidad, como el racionalismo, no funcionan muy bien en la práctica, o no son suficientes para resolver los conflictos sociales, para explicar la vida o lograr un desarrollo social. Frente a todo esto aparece un “desencanto crítico”, que en términos más elegantes da por llamarse Postmodernidad. </w:t>
      </w:r>
    </w:p>
    <w:p w14:paraId="1F7143B7" w14:textId="77777777" w:rsidR="003A15D9" w:rsidRPr="000D3432" w:rsidRDefault="003A15D9" w:rsidP="00A95498">
      <w:pPr>
        <w:jc w:val="both"/>
        <w:rPr>
          <w:rFonts w:asciiTheme="minorHAnsi" w:hAnsiTheme="minorHAnsi"/>
          <w:bCs/>
          <w:iCs/>
          <w:color w:val="000000"/>
          <w:szCs w:val="24"/>
        </w:rPr>
      </w:pPr>
    </w:p>
    <w:p w14:paraId="573F8A23" w14:textId="77777777" w:rsidR="003A15D9" w:rsidRPr="000D3432" w:rsidRDefault="003A15D9" w:rsidP="00A95498">
      <w:pPr>
        <w:pStyle w:val="Textodecuerpo2"/>
        <w:spacing w:after="0" w:line="240" w:lineRule="auto"/>
        <w:jc w:val="both"/>
        <w:rPr>
          <w:rFonts w:asciiTheme="minorHAnsi" w:hAnsiTheme="minorHAnsi"/>
          <w:bCs/>
          <w:iCs/>
          <w:color w:val="000000"/>
          <w:szCs w:val="24"/>
        </w:rPr>
      </w:pPr>
      <w:r w:rsidRPr="000D3432">
        <w:rPr>
          <w:rFonts w:asciiTheme="minorHAnsi" w:hAnsiTheme="minorHAnsi"/>
          <w:bCs/>
          <w:iCs/>
          <w:color w:val="000000"/>
          <w:szCs w:val="24"/>
        </w:rPr>
        <w:t xml:space="preserve">La ilusión que la modernidad iba a lograr la justicia y lograr la mejor organización social es puesta en debate, puesto que ha sucedido que la modernidad no ha conectado al hombre con la justicia sino al hombre con la razón. Pero el problema no está en el sistema social o cultural que se ha venido aprendiendo sino en la mentalidad jurídica premoderna en el cual aún se mantiene el ser humano. </w:t>
      </w:r>
    </w:p>
    <w:p w14:paraId="3BA34592"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01B0B84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El Problema, es pues aquella mentalidad jurídica premoderna. Problema que se suponía habíase superado con la Modernidad, como un modo de pensar, como una corriente de pensamiento que lograría el desarrollo social, y la cual tenía como característica esencial la exacerbación de la razón, extraído de las ideas del Renacimiento alumbrado por la Ilustración. Momento de la historia de la humanidad donde se incluso se pensaba que los capitalistas alcanzarían la felicidad a través de la racionalización de las estructuras sociales e incremento de la producción, y los marxistas lograrían la emancipación del proletariado a través de la lucha de clases. La Modernidad, pues, supuso la creencia en el progreso; así como también en la creencia en la existencia de una razón universal, es decir una razón para todos los seres humanos y en todos los tiempos; que solucionaría, como una técnica, todos los problemas sometidos a ella.</w:t>
      </w:r>
    </w:p>
    <w:p w14:paraId="73992A4A" w14:textId="77777777" w:rsidR="003A15D9" w:rsidRPr="000D3432" w:rsidRDefault="003A15D9" w:rsidP="00A95498">
      <w:pPr>
        <w:rPr>
          <w:rFonts w:asciiTheme="minorHAnsi" w:hAnsiTheme="minorHAnsi"/>
          <w:color w:val="000000"/>
          <w:szCs w:val="24"/>
        </w:rPr>
      </w:pPr>
    </w:p>
    <w:p w14:paraId="55F85E2E"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EL RENACIMIENTO Y EL PENSAMIENTO JURÍDICO MODERNO</w:t>
      </w:r>
    </w:p>
    <w:p w14:paraId="344200E0" w14:textId="77777777" w:rsidR="003A15D9" w:rsidRPr="000D3432" w:rsidRDefault="003A15D9" w:rsidP="00A95498">
      <w:pPr>
        <w:numPr>
          <w:ilvl w:val="12"/>
          <w:numId w:val="0"/>
        </w:numPr>
        <w:rPr>
          <w:rFonts w:asciiTheme="minorHAnsi" w:hAnsiTheme="minorHAnsi"/>
          <w:color w:val="000000"/>
          <w:szCs w:val="24"/>
        </w:rPr>
      </w:pPr>
    </w:p>
    <w:p w14:paraId="63285602" w14:textId="77777777" w:rsidR="003A15D9" w:rsidRPr="000D3432" w:rsidRDefault="003A15D9" w:rsidP="00A95498">
      <w:pPr>
        <w:tabs>
          <w:tab w:val="left" w:pos="-1440"/>
        </w:tabs>
        <w:ind w:left="720"/>
        <w:jc w:val="both"/>
        <w:rPr>
          <w:rFonts w:asciiTheme="minorHAnsi" w:hAnsiTheme="minorHAnsi"/>
          <w:szCs w:val="24"/>
        </w:rPr>
      </w:pPr>
      <w:r w:rsidRPr="000D3432">
        <w:rPr>
          <w:rFonts w:asciiTheme="minorHAnsi" w:hAnsiTheme="minorHAnsi"/>
          <w:szCs w:val="24"/>
        </w:rPr>
        <w:t>“Galileo descubrió (...) el poder del individuo, del sujeto humano (...) el sujeto humano era el creador del saber del mundo. No debía consultar libros, ni autores consagrados. Bastaba con consultar la experiencia y su propio entendimiento. El hombre del Renacimiento confiaba en sus sentidos, en su propia mente y entendimiento. No veía límites ni barreras, era un verdadero audaz." Jayme Barilko</w:t>
      </w:r>
      <w:r w:rsidRPr="000D3432">
        <w:rPr>
          <w:rStyle w:val="Refdenotaalpie"/>
          <w:rFonts w:asciiTheme="minorHAnsi" w:hAnsiTheme="minorHAnsi"/>
          <w:sz w:val="24"/>
          <w:szCs w:val="24"/>
        </w:rPr>
        <w:footnoteReference w:id="646"/>
      </w:r>
      <w:r w:rsidRPr="000D3432">
        <w:rPr>
          <w:rFonts w:asciiTheme="minorHAnsi" w:hAnsiTheme="minorHAnsi"/>
          <w:szCs w:val="24"/>
        </w:rPr>
        <w:t>.</w:t>
      </w:r>
    </w:p>
    <w:p w14:paraId="1D787341" w14:textId="77777777" w:rsidR="003A15D9" w:rsidRPr="000D3432" w:rsidRDefault="003A15D9" w:rsidP="00A95498">
      <w:pPr>
        <w:numPr>
          <w:ilvl w:val="12"/>
          <w:numId w:val="0"/>
        </w:numPr>
        <w:rPr>
          <w:rFonts w:asciiTheme="minorHAnsi" w:hAnsiTheme="minorHAnsi"/>
          <w:color w:val="000000"/>
          <w:szCs w:val="24"/>
        </w:rPr>
      </w:pPr>
    </w:p>
    <w:p w14:paraId="30EA4700" w14:textId="77777777" w:rsidR="003A15D9" w:rsidRPr="000D3432" w:rsidRDefault="003A15D9" w:rsidP="00A95498">
      <w:pPr>
        <w:pStyle w:val="Textodecuerpo2"/>
        <w:spacing w:after="0" w:line="240" w:lineRule="auto"/>
        <w:jc w:val="both"/>
        <w:rPr>
          <w:rFonts w:asciiTheme="minorHAnsi" w:hAnsiTheme="minorHAnsi"/>
          <w:bCs/>
          <w:iCs/>
          <w:color w:val="000000"/>
          <w:szCs w:val="24"/>
        </w:rPr>
      </w:pPr>
      <w:r w:rsidRPr="000D3432">
        <w:rPr>
          <w:rFonts w:asciiTheme="minorHAnsi" w:hAnsiTheme="minorHAnsi"/>
          <w:bCs/>
          <w:iCs/>
          <w:color w:val="000000"/>
          <w:szCs w:val="24"/>
        </w:rPr>
        <w:t>El Renacimiento nació en Italia, significando el renacer de la cultura greco-</w:t>
      </w:r>
      <w:r w:rsidRPr="000D3432">
        <w:rPr>
          <w:rFonts w:asciiTheme="minorHAnsi" w:hAnsiTheme="minorHAnsi"/>
          <w:bCs/>
          <w:iCs/>
          <w:color w:val="000000"/>
          <w:szCs w:val="24"/>
        </w:rPr>
        <w:lastRenderedPageBreak/>
        <w:t xml:space="preserve">romana. Fue un movimiento cultural en donde aparecen las inquietudes modernas. Se inicia a mediados del siglo XV y se caracteriza por ser en ese tiempo una efervescente tendencia del estudio e imitación de la cultura griega y romana (latina). Tuvo por centro al humanismo, es decir, al ser humano; abriendo el camino a la época moderna, al pensamiento moderno, dejando por ende de lado la cultura medieval;  y por consiguiente fue una cultura que negó el anterior mecanismo (medieval) y sus procesos cognoscitivos; se prefiere lo real, empírico, práctico, es decir aquello que puede ser demostrado por la razón, sobrevalorándolo por encima de lo mítico o lo divino: Por estas circunstancias el ser humano se convertiría en el fin primero y último de la existencia. </w:t>
      </w:r>
    </w:p>
    <w:p w14:paraId="26B2A24B" w14:textId="77777777" w:rsidR="003A15D9" w:rsidRPr="000D3432" w:rsidRDefault="003A15D9" w:rsidP="00A95498">
      <w:pPr>
        <w:pStyle w:val="Textodecuerpo2"/>
        <w:spacing w:after="0" w:line="240" w:lineRule="auto"/>
        <w:jc w:val="both"/>
        <w:rPr>
          <w:rFonts w:asciiTheme="minorHAnsi" w:hAnsiTheme="minorHAnsi"/>
          <w:bCs/>
          <w:iCs/>
          <w:color w:val="000000"/>
          <w:szCs w:val="24"/>
        </w:rPr>
      </w:pPr>
    </w:p>
    <w:p w14:paraId="2E08E22D" w14:textId="77777777" w:rsidR="003A15D9" w:rsidRPr="000D3432" w:rsidRDefault="003A15D9" w:rsidP="00A95498">
      <w:pPr>
        <w:pStyle w:val="Textodecuerpo2"/>
        <w:spacing w:after="0" w:line="240" w:lineRule="auto"/>
        <w:jc w:val="both"/>
        <w:rPr>
          <w:rFonts w:asciiTheme="minorHAnsi" w:hAnsiTheme="minorHAnsi"/>
          <w:bCs/>
          <w:iCs/>
          <w:color w:val="000000"/>
          <w:szCs w:val="24"/>
        </w:rPr>
      </w:pPr>
      <w:r w:rsidRPr="000D3432">
        <w:rPr>
          <w:rFonts w:asciiTheme="minorHAnsi" w:hAnsiTheme="minorHAnsi"/>
          <w:bCs/>
          <w:iCs/>
          <w:color w:val="000000"/>
          <w:szCs w:val="24"/>
        </w:rPr>
        <w:t xml:space="preserve">Esta época se esfuerza por reencontrar el camino que se había perdido con la Edad Media, aquella cultura Greco-Romana; así el mundo como representación del orden divino ya no era aceptado; y el nuevo ser humano del renacimiento aspira a la libertad de actuar y de pensar; aspira a lograr la traslación de las acciones a la vida terrenal y no a la vida extraterrenal, fundamentando el paso de lo místico a lo empírico, terrenal, constituido por medio de la razón, y en donde el centro era el ser humano racionalizado. </w:t>
      </w:r>
    </w:p>
    <w:p w14:paraId="25D9A467" w14:textId="77777777" w:rsidR="003A15D9" w:rsidRPr="000D3432" w:rsidRDefault="003A15D9" w:rsidP="00A95498">
      <w:pPr>
        <w:pStyle w:val="Textodecuerpo2"/>
        <w:spacing w:after="0" w:line="240" w:lineRule="auto"/>
        <w:jc w:val="both"/>
        <w:rPr>
          <w:rFonts w:asciiTheme="minorHAnsi" w:hAnsiTheme="minorHAnsi"/>
          <w:bCs/>
          <w:iCs/>
          <w:color w:val="000000"/>
          <w:szCs w:val="24"/>
        </w:rPr>
      </w:pPr>
    </w:p>
    <w:p w14:paraId="2984C4E8" w14:textId="77777777" w:rsidR="003A15D9" w:rsidRPr="000D3432" w:rsidRDefault="003A15D9" w:rsidP="00A95498">
      <w:pPr>
        <w:pStyle w:val="Textodecuerpo2"/>
        <w:spacing w:after="0" w:line="240" w:lineRule="auto"/>
        <w:jc w:val="both"/>
        <w:rPr>
          <w:rFonts w:asciiTheme="minorHAnsi" w:hAnsiTheme="minorHAnsi"/>
          <w:b/>
          <w:i/>
          <w:smallCaps/>
          <w:color w:val="000000"/>
          <w:szCs w:val="24"/>
        </w:rPr>
      </w:pPr>
      <w:r w:rsidRPr="000D3432">
        <w:rPr>
          <w:rFonts w:asciiTheme="minorHAnsi" w:hAnsiTheme="minorHAnsi"/>
          <w:bCs/>
          <w:iCs/>
          <w:color w:val="000000"/>
          <w:szCs w:val="24"/>
        </w:rPr>
        <w:t>El Renacimiento fue, entonces, el inicio del pensamiento moderno, en donde las concepciones de la Edad Media eran consideradas oscuras y por lo tal repudiadas. El Renacimiento más que una época situada entre dos fechas es un movimiento cultural en el que aparecen los gérmenes de las inquietudes modernas como la del avance científico, que producía y despertaba nuevas visiones del mundo. Tiempo para la Imprenta que se convirtió en aquel mecanismo revolucionario para la transmisión del saber. Instrumento para repensar todo, para contradecir a la tradición a través de la masificación de las ideas de los pensadores. El conocimiento se democratiza, puesto que deja de ser exclusivo de monjes y monasterios; y se sucede la crisis del pensamiento teológico. Asimismo, el poder espiritual se rompe y empiezan a nacer las Naciones, así como las teorías del Estado con Maquiavelo, Hobbes; surge una importante aversión por la religiosidad, por la teología; aparece el Humanismo que pone al hombre en el centro; asimismo se ataca la Escolástica que trataba de conciliar la revelación divina con la razón humana, siendo que por contrario la naturaleza cobra mayor importancia, pues está fuera de la gracia divina. El nuevo pensamiento jurídico se va formando bajo estas ideas.</w:t>
      </w:r>
    </w:p>
    <w:p w14:paraId="6582C8AD" w14:textId="77777777" w:rsidR="003A15D9" w:rsidRPr="000D3432" w:rsidRDefault="003A15D9" w:rsidP="00A95498">
      <w:pPr>
        <w:rPr>
          <w:rFonts w:asciiTheme="minorHAnsi" w:hAnsiTheme="minorHAnsi"/>
          <w:color w:val="000000"/>
          <w:szCs w:val="24"/>
        </w:rPr>
      </w:pPr>
    </w:p>
    <w:p w14:paraId="6559913A"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B.- LA ILUSTRACIÓN COMO INSTRUMENTO PARA LA NUEVA CONCEPCIÓN DEL DERECHO MODERNO    </w:t>
      </w:r>
    </w:p>
    <w:p w14:paraId="38254BFE" w14:textId="77777777" w:rsidR="003A15D9" w:rsidRPr="000D3432" w:rsidRDefault="003A15D9" w:rsidP="00A95498">
      <w:pPr>
        <w:rPr>
          <w:rFonts w:asciiTheme="minorHAnsi" w:hAnsiTheme="minorHAnsi"/>
          <w:color w:val="000000"/>
          <w:szCs w:val="24"/>
        </w:rPr>
      </w:pPr>
    </w:p>
    <w:p w14:paraId="09E114A9" w14:textId="77777777" w:rsidR="003A15D9" w:rsidRPr="000D3432" w:rsidRDefault="003A15D9" w:rsidP="00A95498">
      <w:pPr>
        <w:ind w:left="2124"/>
        <w:jc w:val="both"/>
        <w:rPr>
          <w:rFonts w:asciiTheme="minorHAnsi" w:hAnsiTheme="minorHAnsi"/>
          <w:color w:val="000000"/>
          <w:szCs w:val="24"/>
        </w:rPr>
      </w:pPr>
      <w:r w:rsidRPr="000D3432">
        <w:rPr>
          <w:rFonts w:asciiTheme="minorHAnsi" w:hAnsiTheme="minorHAnsi"/>
          <w:szCs w:val="24"/>
        </w:rPr>
        <w:t>“La ilustración es la liberación del hombre de su culpable incapacidad”, incapacidad de hacerse justicia por propia cuenta, “la incapacidad significa la imposibilidad de servirse de su inteligencia sin la guía de otro” (Kant)</w:t>
      </w:r>
    </w:p>
    <w:p w14:paraId="1AE25284" w14:textId="77777777" w:rsidR="003A15D9" w:rsidRPr="000D3432" w:rsidRDefault="003A15D9" w:rsidP="00A95498">
      <w:pPr>
        <w:rPr>
          <w:rFonts w:asciiTheme="minorHAnsi" w:hAnsiTheme="minorHAnsi"/>
          <w:color w:val="000000"/>
          <w:szCs w:val="24"/>
        </w:rPr>
      </w:pPr>
    </w:p>
    <w:p w14:paraId="7784517D"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Ilustración podría ser la ruptura en la mentalidad premoderna del hombre occidental apoyada por el pensamiento. La Modernidad es el pensamiento que surge de la filosofía de la Ilustración, e impregna las mentes e institución es, con </w:t>
      </w:r>
      <w:r w:rsidRPr="000D3432">
        <w:rPr>
          <w:rFonts w:asciiTheme="minorHAnsi" w:hAnsiTheme="minorHAnsi"/>
          <w:color w:val="000000"/>
          <w:szCs w:val="24"/>
        </w:rPr>
        <w:lastRenderedPageBreak/>
        <w:t xml:space="preserve">la idea de la primacía de la razón, la exaltación de la subjetividad, individual. </w:t>
      </w:r>
    </w:p>
    <w:p w14:paraId="2A3729D0" w14:textId="77777777" w:rsidR="003A15D9" w:rsidRPr="000D3432" w:rsidRDefault="003A15D9" w:rsidP="00A95498">
      <w:pPr>
        <w:jc w:val="both"/>
        <w:rPr>
          <w:rFonts w:asciiTheme="minorHAnsi" w:hAnsiTheme="minorHAnsi"/>
          <w:color w:val="000000"/>
          <w:szCs w:val="24"/>
        </w:rPr>
      </w:pPr>
    </w:p>
    <w:p w14:paraId="214BDEB7"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Esto se produjo por el activismo de un grupo de intelectuales que divulgaron los principios de investigación científica, logrando propulsar la crítica de todos los géneros de supersticiones y tradiciones que no tuvieran una base racional; poniendo con esto en observación y juicio todo el régimen antiguo. </w:t>
      </w:r>
    </w:p>
    <w:p w14:paraId="76ABD743" w14:textId="77777777" w:rsidR="003A15D9" w:rsidRPr="000D3432" w:rsidRDefault="003A15D9" w:rsidP="00A95498">
      <w:pPr>
        <w:jc w:val="both"/>
        <w:rPr>
          <w:rFonts w:asciiTheme="minorHAnsi" w:hAnsiTheme="minorHAnsi"/>
          <w:color w:val="000000"/>
          <w:szCs w:val="24"/>
        </w:rPr>
      </w:pPr>
    </w:p>
    <w:p w14:paraId="396E1BCD"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Este es el tiempo en el cual aparecen Montesquieu con el Espíritu de las Leyes y su división de poderes; aparece también la Enciclopedia Francesa (1751) escrita con criterios racionales y liberales, dirigida por Diderot, D’Alembert, y en el cual colaboraron también Voltaire, Rousseau, que plantea el Contrato Social cuyo contenido son los principios de una sociedad democrática, entre otros. </w:t>
      </w:r>
    </w:p>
    <w:p w14:paraId="502D680E" w14:textId="77777777" w:rsidR="003A15D9" w:rsidRPr="000D3432" w:rsidRDefault="003A15D9" w:rsidP="00A95498">
      <w:pPr>
        <w:jc w:val="both"/>
        <w:rPr>
          <w:rFonts w:asciiTheme="minorHAnsi" w:hAnsiTheme="minorHAnsi"/>
          <w:color w:val="000000"/>
          <w:szCs w:val="24"/>
        </w:rPr>
      </w:pPr>
    </w:p>
    <w:p w14:paraId="78FDC018"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Enciclopedia atacaba a la Iglesia y a todos los vehículos máximos de las convenciones vigentes. Así, de la disciplina, de la jerarquía, de los dogmas, se pasa a las ideas de la independencia, de la  igualdad, de una religión natural, de un anticristianismo, que supone una crítica férrea a la fe cristiana, la monarquía absoluta, las normas sociales y jurídicas. Provocando como consecuencia una revolución efectiva en los supuestos conceptos mentales del tiempo; siendo esta revolución teórica, anticlerical, antidogmática, racionalista hasta la exageración, antiabsolutista, y por contrario exaltadora de la ciencia, tolerancia, antibelicista, antimilitarista, progresista. Por otro lado la iglesia es refutada por haber concentrado el poder, impuesto la intolerancia, con la inquisición, y oscurecido el conocimiento del pueblo; además de haber obstaculizado la autonomía y emancipación del hombre. </w:t>
      </w:r>
    </w:p>
    <w:p w14:paraId="39BF3ED9" w14:textId="77777777" w:rsidR="003A15D9" w:rsidRPr="000D3432" w:rsidRDefault="003A15D9" w:rsidP="00A95498">
      <w:pPr>
        <w:jc w:val="both"/>
        <w:rPr>
          <w:rFonts w:asciiTheme="minorHAnsi" w:hAnsiTheme="minorHAnsi"/>
          <w:color w:val="000000"/>
          <w:szCs w:val="24"/>
        </w:rPr>
      </w:pPr>
    </w:p>
    <w:p w14:paraId="78DAD47C"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Para Kant el Renacimiento constituía en el ser humano la “Mayoría de Edad”, es decir aquella facultad que obligaba a pensar por si mismo, esto había provocado la adquisición del derecho a pensar.  La “Mayoría de Edad” significaba el rompimiento a la atadura del dominio del padre, de la tradición, o la iglesia; fenómeno por el cual cada persona llega a convertirse en su propio padre; con esto se negaba incluso el poder divino, y la nueva concepción sería que Dios podría existir pero al lado del hombre, no ocuparía una fuerza centrípeta. Así la voluntad de Dios deja de ser una justificación jurídica; el derecho, entonces, ya no será divino sino humano, y el instrumento para lograrlo es la razón como único criterio válido a tomarse en cuenta para los fines de regular al individuo. </w:t>
      </w:r>
    </w:p>
    <w:p w14:paraId="7E168816" w14:textId="77777777" w:rsidR="003A15D9" w:rsidRPr="000D3432" w:rsidRDefault="003A15D9" w:rsidP="00A95498">
      <w:pPr>
        <w:jc w:val="both"/>
        <w:rPr>
          <w:rFonts w:asciiTheme="minorHAnsi" w:hAnsiTheme="minorHAnsi"/>
          <w:color w:val="000000"/>
          <w:szCs w:val="24"/>
        </w:rPr>
      </w:pPr>
    </w:p>
    <w:p w14:paraId="416FBBB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Esta es una época antiescolástica, en donde el hombre no es ya un viejo ejecutor material de unos planes trascendentales y divinos que recibe de forma pasiva; el hombre auténtico es artífice y constructor de su mundo. Así el desdén a lo divino y la exaltación de la razón se fundamenta en que ésta puede hallar los principios en las cosas naturales, aún si Dios no existiera, pues está basado en el principio de la contradicción, es decir, responde a la naturaleza racional del hombre. </w:t>
      </w:r>
    </w:p>
    <w:p w14:paraId="768026FA" w14:textId="77777777" w:rsidR="003A15D9" w:rsidRPr="000D3432" w:rsidRDefault="003A15D9" w:rsidP="00A95498">
      <w:pPr>
        <w:jc w:val="both"/>
        <w:rPr>
          <w:rFonts w:asciiTheme="minorHAnsi" w:hAnsiTheme="minorHAnsi"/>
          <w:color w:val="000000"/>
          <w:szCs w:val="24"/>
        </w:rPr>
      </w:pPr>
    </w:p>
    <w:p w14:paraId="2D642F12"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2.- MODERNIDAD,  MODERNO, MODERNIZACIÓN HISTÓRICA Y JURÍDICA</w:t>
      </w:r>
    </w:p>
    <w:p w14:paraId="776E8EE4" w14:textId="77777777" w:rsidR="003A15D9" w:rsidRPr="000D3432" w:rsidRDefault="003A15D9" w:rsidP="00A95498">
      <w:pPr>
        <w:rPr>
          <w:rFonts w:asciiTheme="minorHAnsi" w:hAnsiTheme="minorHAnsi"/>
          <w:b/>
          <w:color w:val="000000"/>
          <w:szCs w:val="24"/>
        </w:rPr>
      </w:pPr>
    </w:p>
    <w:p w14:paraId="676CBA5C"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MODERNIDAD. CONCEPCIÓN HISTÓRICA Y JURÍDICA</w:t>
      </w:r>
    </w:p>
    <w:p w14:paraId="51364D3D" w14:textId="77777777" w:rsidR="003A15D9" w:rsidRPr="000D3432" w:rsidRDefault="003A15D9" w:rsidP="00A95498">
      <w:pPr>
        <w:ind w:left="2124"/>
        <w:jc w:val="both"/>
        <w:rPr>
          <w:rFonts w:asciiTheme="minorHAnsi" w:hAnsiTheme="minorHAnsi"/>
          <w:szCs w:val="24"/>
        </w:rPr>
      </w:pPr>
    </w:p>
    <w:p w14:paraId="2B3DF3A1"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“La modernidad según la tradición crítica nacida de las Luces no exige un espacio histórico particular, sino una actitud mental.” (Urbano)</w:t>
      </w:r>
      <w:r w:rsidRPr="000D3432">
        <w:rPr>
          <w:rStyle w:val="Refdenotaalpie"/>
          <w:rFonts w:asciiTheme="minorHAnsi" w:hAnsiTheme="minorHAnsi"/>
          <w:sz w:val="24"/>
          <w:szCs w:val="24"/>
        </w:rPr>
        <w:footnoteReference w:id="647"/>
      </w:r>
    </w:p>
    <w:p w14:paraId="02B8327F" w14:textId="77777777" w:rsidR="003A15D9" w:rsidRPr="000D3432" w:rsidRDefault="003A15D9" w:rsidP="00A95498">
      <w:pPr>
        <w:ind w:left="2124"/>
        <w:jc w:val="both"/>
        <w:rPr>
          <w:rFonts w:asciiTheme="minorHAnsi" w:hAnsiTheme="minorHAnsi"/>
          <w:szCs w:val="24"/>
        </w:rPr>
      </w:pPr>
    </w:p>
    <w:p w14:paraId="6F75DECB"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Modernidad es un modelo de civilización con pretensiones universales, donde predomina la racionalidad humana, subjetiva en todos los conocimiento y de la realidad; donde el único saber admitido es el científico; y el orden social se instaura por decisión de los individuos libres e iguales. Así mismo el orden político obtiene su legitimidad de la soberanía popular; el orden económico reposa sobre el valor del trabajo y la rentabilidad productiva; el orden jurídico sólo reconoce leyes justificables racionalmente; el dominio de la racionalidad se ejerce por medio de la aplicación práctica de los conocimientos científicos, desarrollos tecnológicos. </w:t>
      </w:r>
    </w:p>
    <w:p w14:paraId="17F0F57B" w14:textId="77777777" w:rsidR="003A15D9" w:rsidRPr="000D3432" w:rsidRDefault="003A15D9" w:rsidP="00A95498">
      <w:pPr>
        <w:rPr>
          <w:rFonts w:asciiTheme="minorHAnsi" w:hAnsiTheme="minorHAnsi"/>
          <w:color w:val="000000"/>
          <w:szCs w:val="24"/>
        </w:rPr>
      </w:pPr>
    </w:p>
    <w:p w14:paraId="12063119"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En la Modernidad el hombre entra en relación consigo mismo, a diferencia de la Edad Media, donde el hermetismo humano se transmutaba en obediencia silenciosa e irreflexiva; en donde la capacidad reflexiva estaba entornillada en realidades metafísicas, y la autopercepción estaba eliminada; a diferencia de la Modernidad en la cual la persona se convierte en un fiscalizador de sus propios actos y de la validez de los mismos. En términos económicos hay cambios incluso en las estructuras laborales, puesto que las estructuras económicas antes designadas por los señores y la divinidad cambian; así como la organización del trabajo y el espíritu de producción, por el uso de máquinas, el incremento de la productividad, la organización racional, y la precisión del futuro. La Modernidad plantea que es a través de la maximización de los bienes individuales como se lograría el bien de todos, conciliando los intereses compatibles. </w:t>
      </w:r>
    </w:p>
    <w:p w14:paraId="12965584" w14:textId="77777777" w:rsidR="003A15D9" w:rsidRPr="000D3432" w:rsidRDefault="003A15D9" w:rsidP="00A95498">
      <w:pPr>
        <w:rPr>
          <w:rFonts w:asciiTheme="minorHAnsi" w:hAnsiTheme="minorHAnsi"/>
          <w:color w:val="000000"/>
          <w:szCs w:val="24"/>
        </w:rPr>
      </w:pPr>
    </w:p>
    <w:p w14:paraId="2C5B5CBB"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En este nuevo esquema y espacio el Derecho habrá de ser un organismo con capacidad coactiva o central para lograr la universalización y eliminación de particularismos tradicionales; el Estado central coactivo se encargará de suprimir cualquier conducta o actividad no nacional; los actos irracionales serán considerados ilegítimos, ilegales, antisociales, y serán tomados como perturbadores del funcionamiento orgánico, racional, de los intereses de los individuos. </w:t>
      </w:r>
    </w:p>
    <w:p w14:paraId="4801391E" w14:textId="77777777" w:rsidR="003A15D9" w:rsidRPr="000D3432" w:rsidRDefault="003A15D9" w:rsidP="00A95498">
      <w:pPr>
        <w:numPr>
          <w:ilvl w:val="12"/>
          <w:numId w:val="0"/>
        </w:numPr>
        <w:jc w:val="both"/>
        <w:rPr>
          <w:rFonts w:asciiTheme="minorHAnsi" w:hAnsiTheme="minorHAnsi"/>
          <w:color w:val="000000"/>
          <w:szCs w:val="24"/>
        </w:rPr>
      </w:pPr>
    </w:p>
    <w:p w14:paraId="71F8FCCD"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En este nuevo escenario, el de la Modernidad, se requería de un Derecho predictible para evitar cualquier perturbación. En este sistema el Derecho debería tener un carácter genérico y sistemático, constituir un orden cerrado, sin lagunas, de aplicación uniforme; sucedería así una sustitución del Derecho como mandato divino, sobrenatural, por el Derecho como sistema normativo que se apoya en su coherencia interna, racional.</w:t>
      </w:r>
    </w:p>
    <w:p w14:paraId="78073A8E"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485E63FA"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Asimismo la Modernidad como producto europeo es un discurso de occidente, que fue tomado en el Perú al promediar el siglo XIX, mediante el cual se </w:t>
      </w:r>
      <w:r w:rsidRPr="000D3432">
        <w:rPr>
          <w:rFonts w:asciiTheme="minorHAnsi" w:hAnsiTheme="minorHAnsi"/>
          <w:color w:val="000000"/>
          <w:szCs w:val="24"/>
        </w:rPr>
        <w:lastRenderedPageBreak/>
        <w:t xml:space="preserve">internaliza la racionalidad como fundamento instrumental, es decir aquello que define lo racional como algo útil. Aquella racionalidad tiene animadversión por el caos, y esboza pretensiones de exactitud. La modernidad echa abajo los lenguajes totalizantes, como la divinidad, y en el Perú se expresa desde la Colonia, y jurídicamente con el Derecho Indiano. En América surge de la articulación de la corriente Iberia y la Anglofrancesa, con el discurso de la racionalidad en términos culturales y jurídicos. </w:t>
      </w:r>
    </w:p>
    <w:p w14:paraId="682E5A8A" w14:textId="77777777" w:rsidR="003A15D9" w:rsidRPr="000D3432" w:rsidRDefault="003A15D9" w:rsidP="00A95498">
      <w:pPr>
        <w:jc w:val="both"/>
        <w:rPr>
          <w:rFonts w:asciiTheme="minorHAnsi" w:hAnsiTheme="minorHAnsi"/>
          <w:color w:val="000000"/>
          <w:szCs w:val="24"/>
        </w:rPr>
      </w:pPr>
    </w:p>
    <w:p w14:paraId="55544F7A" w14:textId="77777777" w:rsidR="003A15D9" w:rsidRPr="000D3432" w:rsidRDefault="003A15D9" w:rsidP="00A95498">
      <w:pPr>
        <w:jc w:val="both"/>
        <w:rPr>
          <w:rFonts w:asciiTheme="minorHAnsi" w:hAnsiTheme="minorHAnsi"/>
          <w:color w:val="000000"/>
          <w:szCs w:val="24"/>
        </w:rPr>
      </w:pPr>
    </w:p>
    <w:p w14:paraId="1E79D204" w14:textId="77777777" w:rsidR="003A15D9" w:rsidRPr="000D3432" w:rsidRDefault="003A15D9" w:rsidP="00A95498">
      <w:pPr>
        <w:jc w:val="both"/>
        <w:rPr>
          <w:rFonts w:asciiTheme="minorHAnsi" w:hAnsiTheme="minorHAnsi"/>
          <w:color w:val="000000"/>
          <w:szCs w:val="24"/>
        </w:rPr>
      </w:pPr>
    </w:p>
    <w:p w14:paraId="427A9D00"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1) LA AGONÍA DE LA TRADICIÓN Y LA NUEVA CONSTITUCIÓN RACIONAL DEL DERECHO</w:t>
      </w:r>
    </w:p>
    <w:p w14:paraId="74E5CFA8" w14:textId="77777777" w:rsidR="003A15D9" w:rsidRPr="000D3432" w:rsidRDefault="003A15D9" w:rsidP="00A95498">
      <w:pPr>
        <w:ind w:left="2124"/>
        <w:jc w:val="both"/>
        <w:rPr>
          <w:rFonts w:asciiTheme="minorHAnsi" w:hAnsiTheme="minorHAnsi"/>
          <w:szCs w:val="24"/>
        </w:rPr>
      </w:pPr>
    </w:p>
    <w:p w14:paraId="2F5C44E3" w14:textId="77777777" w:rsidR="003A15D9" w:rsidRPr="000D3432" w:rsidRDefault="003A15D9" w:rsidP="00A95498">
      <w:pPr>
        <w:ind w:left="2124"/>
        <w:jc w:val="both"/>
        <w:rPr>
          <w:rFonts w:asciiTheme="minorHAnsi" w:hAnsiTheme="minorHAnsi"/>
          <w:color w:val="000000"/>
          <w:szCs w:val="24"/>
        </w:rPr>
      </w:pPr>
      <w:r w:rsidRPr="000D3432">
        <w:rPr>
          <w:rFonts w:asciiTheme="minorHAnsi" w:hAnsiTheme="minorHAnsi"/>
          <w:szCs w:val="24"/>
        </w:rPr>
        <w:t>“En definitiva, una tradición jurídica existe siempre que se ha perdido el rastro del originario designio que guió la puesta en vigor de una norma o cuando, por lo menos, no se tiene ya una clara conciencia de él.” (Picazo).</w:t>
      </w:r>
      <w:r w:rsidRPr="000D3432">
        <w:rPr>
          <w:rStyle w:val="Refdenotaalpie"/>
          <w:rFonts w:asciiTheme="minorHAnsi" w:hAnsiTheme="minorHAnsi"/>
          <w:sz w:val="24"/>
          <w:szCs w:val="24"/>
        </w:rPr>
        <w:footnoteReference w:id="648"/>
      </w:r>
      <w:r w:rsidRPr="000D3432">
        <w:rPr>
          <w:rFonts w:asciiTheme="minorHAnsi" w:hAnsiTheme="minorHAnsi"/>
          <w:szCs w:val="24"/>
        </w:rPr>
        <w:t>.</w:t>
      </w:r>
    </w:p>
    <w:p w14:paraId="01CB7ED4" w14:textId="77777777" w:rsidR="003A15D9" w:rsidRPr="000D3432" w:rsidRDefault="003A15D9" w:rsidP="00A95498">
      <w:pPr>
        <w:rPr>
          <w:rFonts w:asciiTheme="minorHAnsi" w:hAnsiTheme="minorHAnsi"/>
          <w:color w:val="000000"/>
          <w:szCs w:val="24"/>
        </w:rPr>
      </w:pPr>
    </w:p>
    <w:p w14:paraId="76CD2DA1"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Una de las características que revertió la modernidad es el culto exacerbado por la tradición, aquella que significaba el traspaso por la costumbre, por la repetición de creencias, instituciones. La modernidad propone la negación de la continuación de cierta memoria colectiva irreflexiva, fundamentando que la tradición es incoherente debido a su diversidad. A diferencia de la Ley que debe resultar de la razón, la tradición es el resultado de la historia.  Puesto esto en evidencia, hubo de quitársele poder político y jurídico a la tradición, lo que supuso un ataque al contenido histórico y metafísico de la tradición. Sin embargo tradición y modernidad tienen en común poseer un mismo proceso de articulación, puesto que las sociedades latinoamericanas habían incorporado institucionalmente estructuras racionales subyacentes en las tradiciones y aquellas de la modernidad.</w:t>
      </w:r>
    </w:p>
    <w:p w14:paraId="385C768C"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4E3CA968"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La tradición, significaba que las cosas se hacían por hábito, por repetición, lo que influía determinantemente en las decisiones jurídicas; se podría hasta decir que las sentencias, en un determinado momento fueron tradicionales, es decir, copiadas según un formato, y no como decisiones singulares y únicas. </w:t>
      </w:r>
    </w:p>
    <w:p w14:paraId="083BDEBD" w14:textId="77777777" w:rsidR="003A15D9" w:rsidRPr="000D3432" w:rsidRDefault="003A15D9" w:rsidP="00A95498">
      <w:pPr>
        <w:jc w:val="both"/>
        <w:rPr>
          <w:rFonts w:asciiTheme="minorHAnsi" w:hAnsiTheme="minorHAnsi"/>
          <w:color w:val="000000"/>
          <w:szCs w:val="24"/>
        </w:rPr>
      </w:pPr>
    </w:p>
    <w:p w14:paraId="7BDCB7F9"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2) LA RELIGIÓN EN LA INQUISICIÓN Y EL SENTIDO MODERNO DE LA OBJETIVIZACIÓN DEL DERECHO</w:t>
      </w:r>
    </w:p>
    <w:p w14:paraId="5D8AB7F4" w14:textId="77777777" w:rsidR="003A15D9" w:rsidRPr="000D3432" w:rsidRDefault="003A15D9" w:rsidP="00A95498">
      <w:pPr>
        <w:pStyle w:val="Textodecuerpo2"/>
        <w:spacing w:after="0" w:line="240" w:lineRule="auto"/>
        <w:ind w:left="3540"/>
        <w:rPr>
          <w:rFonts w:asciiTheme="minorHAnsi" w:hAnsiTheme="minorHAnsi"/>
          <w:b/>
          <w:i/>
          <w:smallCaps/>
          <w:color w:val="000000"/>
          <w:szCs w:val="24"/>
        </w:rPr>
      </w:pPr>
    </w:p>
    <w:p w14:paraId="2DBFE615" w14:textId="77777777" w:rsidR="003A15D9" w:rsidRPr="000D3432" w:rsidRDefault="003A15D9" w:rsidP="00A95498">
      <w:pPr>
        <w:pStyle w:val="Textodecuerpo2"/>
        <w:spacing w:after="0" w:line="240" w:lineRule="auto"/>
        <w:ind w:left="3540"/>
        <w:jc w:val="both"/>
        <w:rPr>
          <w:rFonts w:asciiTheme="minorHAnsi" w:hAnsiTheme="minorHAnsi"/>
          <w:color w:val="000000"/>
          <w:szCs w:val="24"/>
        </w:rPr>
      </w:pPr>
      <w:r w:rsidRPr="000D3432">
        <w:rPr>
          <w:rFonts w:asciiTheme="minorHAnsi" w:hAnsiTheme="minorHAnsi"/>
          <w:szCs w:val="24"/>
        </w:rPr>
        <w:t>“No hay bastante religión en el mundo para aniquilar a las religiones” (Nietzsche) .</w:t>
      </w:r>
    </w:p>
    <w:p w14:paraId="35EA7052"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7DE3D892"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Siendo la modernidad una transformación social, involucró también en su accionar a la religión. Religión que según la concepción de Sigmud Freud, con su psicoanálisis, es nada más que cierta “neurosis obsesiva”. Cabe explicar que Freíd fue uno los estudiosos que mejor exploró cómo funcionaba el </w:t>
      </w:r>
      <w:r w:rsidRPr="000D3432">
        <w:rPr>
          <w:rFonts w:asciiTheme="minorHAnsi" w:hAnsiTheme="minorHAnsi"/>
          <w:color w:val="000000"/>
          <w:szCs w:val="24"/>
        </w:rPr>
        <w:lastRenderedPageBreak/>
        <w:t xml:space="preserve">pensamiento. Puede decirse que existirían tres etapas existirían en la formación del sistema del pensamiento: 1.- El animismo o mitológico; 2.- Las Religiosas; 3.- La Ciencia. Dentro de estas concepciones se cree que el hombre desea ser protegido por ese sentimiento adquirido del padre, así también la religión significaría la continuidad del paternalismo. Se llega, pues, a las teorías de Sigmud Freud que relaciona el sentimiento de culpa con la religión; así la religión nos impone el concepto de “deber algo”. </w:t>
      </w:r>
    </w:p>
    <w:p w14:paraId="28F850A0"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5939E011"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La religión era una fuerza importantísima en la edad primitiva; cabe referir como ejemplo que en ese tiempo la propiedad no era garantizada por las leyes, sino por la religión. Es más, al principio entre los Griegos y Romanos la ley era parte de la religión, los códigos eran un conjunto de ritos, prescripciones litúrgicas, oraciones; las leyes se transmitían por medio de la oración, no eran escritas; la justicia dictada sólo procedía si se tenía la aprobación favorable de la religión. En Roma, cuna del Derecho, no se era buen pontífice si se desconocía el Derecho y no se podía conocer el Derecho si se ignoraba la religión. Asimismo, es de advertirse que el Juez no daba razones de su decisión normativa. </w:t>
      </w:r>
    </w:p>
    <w:p w14:paraId="1C55D321" w14:textId="77777777" w:rsidR="003A15D9" w:rsidRPr="000D3432" w:rsidRDefault="003A15D9" w:rsidP="00A95498">
      <w:pPr>
        <w:jc w:val="both"/>
        <w:rPr>
          <w:rFonts w:asciiTheme="minorHAnsi" w:hAnsiTheme="minorHAnsi"/>
          <w:color w:val="000000"/>
          <w:szCs w:val="24"/>
        </w:rPr>
      </w:pPr>
    </w:p>
    <w:p w14:paraId="2391627F"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B.- MODERNO. CONSTRUCCIÓN INTELECTUAL DEL DERECHO</w:t>
      </w:r>
    </w:p>
    <w:p w14:paraId="1B7C5CE2" w14:textId="77777777" w:rsidR="003A15D9" w:rsidRPr="000D3432" w:rsidRDefault="003A15D9" w:rsidP="00A95498">
      <w:pPr>
        <w:rPr>
          <w:rFonts w:asciiTheme="minorHAnsi" w:hAnsiTheme="minorHAnsi"/>
          <w:color w:val="000000"/>
          <w:szCs w:val="24"/>
        </w:rPr>
      </w:pPr>
    </w:p>
    <w:p w14:paraId="0D040D2A"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“Ser moderno es encontrarnos en un ambiente que nos promete aventura, poder, alegría, crecimiento, transformación de nosostros mismos y del mundo y, al mismo tiempo, amenaza con destruir todo lo que tenemos, todo lo que sabemos, todo lo que somos [...] Ser moderno consiste en ser parte de un universo en el que, (...)Todo lo que es sólido se desvanece en el aire” Benjamín Woolle</w:t>
      </w:r>
      <w:r w:rsidRPr="000D3432">
        <w:rPr>
          <w:rStyle w:val="Refdenotaalpie"/>
          <w:rFonts w:asciiTheme="minorHAnsi" w:hAnsiTheme="minorHAnsi"/>
          <w:sz w:val="24"/>
          <w:szCs w:val="24"/>
        </w:rPr>
        <w:footnoteReference w:id="649"/>
      </w:r>
    </w:p>
    <w:p w14:paraId="6F79CD89" w14:textId="77777777" w:rsidR="003A15D9" w:rsidRPr="000D3432" w:rsidRDefault="003A15D9" w:rsidP="00A95498">
      <w:pPr>
        <w:rPr>
          <w:rFonts w:asciiTheme="minorHAnsi" w:hAnsiTheme="minorHAnsi"/>
          <w:color w:val="000000"/>
          <w:szCs w:val="24"/>
        </w:rPr>
      </w:pPr>
    </w:p>
    <w:p w14:paraId="2ECEF356"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El término moderno implica primero separar el uso de los procedimientos técnicos de la disposición mental con que se usan. Por moderno entendemos, entonces, aquella actitud, estado o disposición mental; capacidad mental para sintonizar con el ambiente espiritual y los avances teóricos de la época. En otros términos, se habla de la salud mental, del proceso técnico instrumental; de tal forma que ser moderno no es aceptar lo nuevo sino lo mejor de lo nuevo, lo conveniente, lo adecuado a  nuestras necesidades y al progreso, es ajustarse crítica, autocrítica y conscientemente a los cambios del tiempo, a los fenómenos sociales. </w:t>
      </w:r>
    </w:p>
    <w:p w14:paraId="5459F9BD"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1ACEBD26"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083B2D74"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C.- MODERNIZACIÓN. CONCEPTO TÉCNICO Y NORMATIVO</w:t>
      </w:r>
    </w:p>
    <w:p w14:paraId="614B7C07"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27E1FDEC"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 xml:space="preserve">“Según Gagnon, la palabra modernización designa el aumento de productividad por efecto de la innovación tecnológica.(...) Con ello se busca racionalizar la producción, evitar la repetición de operaciones, aumentar </w:t>
      </w:r>
      <w:r w:rsidRPr="000D3432">
        <w:rPr>
          <w:rFonts w:asciiTheme="minorHAnsi" w:hAnsiTheme="minorHAnsi"/>
          <w:szCs w:val="24"/>
        </w:rPr>
        <w:lastRenderedPageBreak/>
        <w:t>la velocidad de las prácticas administrativas.” Urbano</w:t>
      </w:r>
      <w:r w:rsidRPr="000D3432">
        <w:rPr>
          <w:rStyle w:val="Refdenotaalpie"/>
          <w:rFonts w:asciiTheme="minorHAnsi" w:hAnsiTheme="minorHAnsi"/>
          <w:sz w:val="24"/>
          <w:szCs w:val="24"/>
        </w:rPr>
        <w:footnoteReference w:id="650"/>
      </w:r>
    </w:p>
    <w:p w14:paraId="23D7175C"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0DA7E8FC"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Por modernización entendemos aquella categoría procesal; es decir, de aquello que nos da cuenta de un proceso universal antes que del contenido particular de tal proceso; proceso que estructura cambios. La modernización supuso elementos de identificación, racionalización de la producción, ahorro de costos y tiempo, correspondencia entre los fines y medios, según explicara Weber es la elección de los medios más adecuados para llegar a las metas. </w:t>
      </w:r>
    </w:p>
    <w:p w14:paraId="7DA1C6BD" w14:textId="77777777" w:rsidR="003A15D9" w:rsidRPr="000D3432" w:rsidRDefault="003A15D9" w:rsidP="00A95498">
      <w:pPr>
        <w:jc w:val="both"/>
        <w:rPr>
          <w:rFonts w:asciiTheme="minorHAnsi" w:hAnsiTheme="minorHAnsi"/>
          <w:color w:val="000000"/>
          <w:szCs w:val="24"/>
        </w:rPr>
      </w:pPr>
    </w:p>
    <w:p w14:paraId="42522D88"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La modernización dejó ver el fenómeno social económico, como por ejemplo el de identificar al Liberalismo como un mercado universalizante; o al Socialismo como cierta planificación central. </w:t>
      </w:r>
    </w:p>
    <w:p w14:paraId="65A99165" w14:textId="77777777" w:rsidR="003A15D9" w:rsidRPr="000D3432" w:rsidRDefault="003A15D9" w:rsidP="00A95498">
      <w:pPr>
        <w:rPr>
          <w:rFonts w:asciiTheme="minorHAnsi" w:hAnsiTheme="minorHAnsi"/>
          <w:color w:val="000000"/>
          <w:szCs w:val="24"/>
        </w:rPr>
      </w:pPr>
    </w:p>
    <w:p w14:paraId="353BCB79"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1) MODERNIZACIÓN TRADICIONALISTA EN EL DERECHO</w:t>
      </w:r>
    </w:p>
    <w:p w14:paraId="51F9BD7E" w14:textId="77777777" w:rsidR="003A15D9" w:rsidRPr="000D3432" w:rsidRDefault="003A15D9" w:rsidP="00A95498">
      <w:pPr>
        <w:ind w:left="1841"/>
        <w:rPr>
          <w:rFonts w:asciiTheme="minorHAnsi" w:hAnsiTheme="minorHAnsi"/>
          <w:color w:val="000000"/>
          <w:szCs w:val="24"/>
        </w:rPr>
      </w:pPr>
    </w:p>
    <w:p w14:paraId="74E7711F" w14:textId="77777777" w:rsidR="003A15D9" w:rsidRPr="000D3432" w:rsidRDefault="003A15D9" w:rsidP="00A95498">
      <w:pPr>
        <w:ind w:left="1841"/>
        <w:jc w:val="both"/>
        <w:rPr>
          <w:rFonts w:asciiTheme="minorHAnsi" w:hAnsiTheme="minorHAnsi"/>
          <w:szCs w:val="24"/>
        </w:rPr>
      </w:pPr>
      <w:r w:rsidRPr="000D3432">
        <w:rPr>
          <w:rFonts w:asciiTheme="minorHAnsi" w:hAnsiTheme="minorHAnsi"/>
          <w:szCs w:val="24"/>
        </w:rPr>
        <w:t>“…una modernización tradicionalista, es decir, una modernización que no modificó las estructuras y jerarquías básicas tradicionales, por lo que el contraste entre la élite dominante y el grueso de la población se hizo más notable. Una modernización que elimina el tributo indígena y la esclavitud del negro, pero incorpora, con la importación de asiáticos, nuevas expresiones de esclavitud y mantienen la servidumbre de la masa indígena.”</w:t>
      </w:r>
      <w:r w:rsidRPr="000D3432">
        <w:rPr>
          <w:rFonts w:asciiTheme="minorHAnsi" w:hAnsiTheme="minorHAnsi"/>
          <w:color w:val="000000"/>
          <w:szCs w:val="24"/>
        </w:rPr>
        <w:t>Ruiz Zevallos</w:t>
      </w:r>
      <w:r w:rsidRPr="000D3432">
        <w:rPr>
          <w:rStyle w:val="Refdenotaalpie"/>
          <w:rFonts w:asciiTheme="minorHAnsi" w:hAnsiTheme="minorHAnsi"/>
          <w:sz w:val="24"/>
          <w:szCs w:val="24"/>
        </w:rPr>
        <w:footnoteReference w:id="651"/>
      </w:r>
    </w:p>
    <w:p w14:paraId="6DEBB71B" w14:textId="77777777" w:rsidR="003A15D9" w:rsidRPr="000D3432" w:rsidRDefault="003A15D9" w:rsidP="00A95498">
      <w:pPr>
        <w:rPr>
          <w:rFonts w:asciiTheme="minorHAnsi" w:hAnsiTheme="minorHAnsi"/>
          <w:color w:val="000000"/>
          <w:szCs w:val="24"/>
        </w:rPr>
      </w:pPr>
    </w:p>
    <w:p w14:paraId="06DC88F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Modernización Tradicionalista se explica por proceder de los conceptos habituales, rituales, tradicionales, y no tocar los contenidos de la diagramación política cultural, no tocar los elementos que fundan la estructura a modernizar; asi mismo no modifican las estructuras y jerarquías básicas tradicionales. Es decir, es un proceso que no regenera nada, pero se enviste de apariencia renovadora, sin serlo realmente. </w:t>
      </w:r>
    </w:p>
    <w:p w14:paraId="557F0C79" w14:textId="77777777" w:rsidR="003A15D9" w:rsidRPr="000D3432" w:rsidRDefault="003A15D9" w:rsidP="00A95498">
      <w:pPr>
        <w:rPr>
          <w:rFonts w:asciiTheme="minorHAnsi" w:hAnsiTheme="minorHAnsi"/>
          <w:color w:val="000000"/>
          <w:szCs w:val="24"/>
        </w:rPr>
      </w:pPr>
    </w:p>
    <w:p w14:paraId="060E6643"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DERECHO Y MODERNIDAD</w:t>
      </w:r>
    </w:p>
    <w:p w14:paraId="7175C5D2" w14:textId="77777777" w:rsidR="003A15D9" w:rsidRPr="000D3432" w:rsidRDefault="003A15D9" w:rsidP="00A95498">
      <w:pPr>
        <w:rPr>
          <w:rFonts w:asciiTheme="minorHAnsi" w:hAnsiTheme="minorHAnsi"/>
          <w:color w:val="000000"/>
          <w:szCs w:val="24"/>
        </w:rPr>
      </w:pPr>
    </w:p>
    <w:p w14:paraId="4E32ECF1"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“Como todas las reformas, la reforma judicial debe comenzar por la inteligencia; es preciso dar la espalda a los mitos y conjuros del pensamiento moderno e iniciar la marcha hacia la boca de la caverna, donde no s espera la leuyz que dimana de la verdad objetiva.” Massini</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52"/>
      </w:r>
    </w:p>
    <w:p w14:paraId="12B8C9DF" w14:textId="77777777" w:rsidR="003A15D9" w:rsidRPr="000D3432" w:rsidRDefault="003A15D9" w:rsidP="00A95498">
      <w:pPr>
        <w:jc w:val="both"/>
        <w:rPr>
          <w:rFonts w:asciiTheme="minorHAnsi" w:hAnsiTheme="minorHAnsi"/>
          <w:b/>
          <w:color w:val="000000"/>
          <w:szCs w:val="24"/>
        </w:rPr>
      </w:pPr>
    </w:p>
    <w:p w14:paraId="56252E34"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4.- CRÍTICA A LOS FUNDAMENTOS DEL PENSAMIENTO JURÍDICO DE LA MODERNIDAD</w:t>
      </w:r>
    </w:p>
    <w:p w14:paraId="6B6A5196" w14:textId="77777777" w:rsidR="003A15D9" w:rsidRPr="000D3432" w:rsidRDefault="003A15D9" w:rsidP="00A95498">
      <w:pPr>
        <w:rPr>
          <w:rFonts w:asciiTheme="minorHAnsi" w:hAnsiTheme="minorHAnsi"/>
          <w:color w:val="000000"/>
          <w:szCs w:val="24"/>
        </w:rPr>
      </w:pPr>
    </w:p>
    <w:p w14:paraId="68C8D962"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El pensamiento jurídico de la modernidad niega la cultura anterior y trae consigo categorías propias, como el legalismo, el deductivismo, el razonamiento metódico, etc. Sucédese la sustitución del conjunto armónico y coherente de </w:t>
      </w:r>
      <w:r w:rsidRPr="000D3432">
        <w:rPr>
          <w:rFonts w:asciiTheme="minorHAnsi" w:hAnsiTheme="minorHAnsi"/>
          <w:color w:val="000000"/>
          <w:szCs w:val="24"/>
        </w:rPr>
        <w:lastRenderedPageBreak/>
        <w:t xml:space="preserve">principios y experiencias en el ámbito de lo jurídico, estructurado desde Las Leyes de Platón, y Las Eticas de Aristóteles, a través del Derecho Romano y los Glosadores Medievales, por aportar, a Grocio, y la desintegración del pensamiento clásico. </w:t>
      </w:r>
    </w:p>
    <w:p w14:paraId="7C486209"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7FE5E083"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época moderna se forma como una Construcción histórica, pues es un proceso que pasa por el Renacimiento, el Humanismo, la Ilustración, el Racionalismo, la Reforma (cristiana) la Contrarreforma y la Revolución. </w:t>
      </w:r>
    </w:p>
    <w:p w14:paraId="30E2FB80" w14:textId="77777777" w:rsidR="003A15D9" w:rsidRPr="000D3432" w:rsidRDefault="003A15D9" w:rsidP="00A95498">
      <w:pPr>
        <w:rPr>
          <w:rFonts w:asciiTheme="minorHAnsi" w:hAnsiTheme="minorHAnsi"/>
          <w:color w:val="000000"/>
          <w:szCs w:val="24"/>
        </w:rPr>
      </w:pPr>
    </w:p>
    <w:p w14:paraId="0ED7255C"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RACIONALISMO Y MÉTODO EN LA CONCEPCIÓN DEL DERECHO MODERNO</w:t>
      </w:r>
    </w:p>
    <w:p w14:paraId="6EC0F550" w14:textId="77777777" w:rsidR="003A15D9" w:rsidRPr="000D3432" w:rsidRDefault="003A15D9" w:rsidP="00A95498">
      <w:pPr>
        <w:rPr>
          <w:rFonts w:asciiTheme="minorHAnsi" w:hAnsiTheme="minorHAnsi"/>
          <w:color w:val="000000"/>
          <w:szCs w:val="24"/>
        </w:rPr>
      </w:pPr>
    </w:p>
    <w:p w14:paraId="7B8FF56C"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“El primero de los caracteres del pensar jurídico moderno es, sin lugar a dudas, su racionalismo fundamental. En materia de ideas jurídicas, racionalismo significa, en primer lugar, la pretensión de aplicar al campo de la praxis los postulados metodológicos de las ciencias exactas, considerados por los pensadores modernos como el desideratum en materia de metodología científica y, en cuanto tales, aplicables a todo estudio, cualquiera sea el sector de la realidad que tenga por objeto.” Massini</w:t>
      </w:r>
      <w:r w:rsidRPr="000D3432">
        <w:rPr>
          <w:rStyle w:val="Refdenotaalpie"/>
          <w:rFonts w:asciiTheme="minorHAnsi" w:hAnsiTheme="minorHAnsi"/>
          <w:sz w:val="24"/>
          <w:szCs w:val="24"/>
        </w:rPr>
        <w:footnoteReference w:id="653"/>
      </w:r>
    </w:p>
    <w:p w14:paraId="5CC717B5" w14:textId="77777777" w:rsidR="003A15D9" w:rsidRPr="000D3432" w:rsidRDefault="003A15D9" w:rsidP="00A95498">
      <w:pPr>
        <w:jc w:val="both"/>
        <w:rPr>
          <w:rFonts w:asciiTheme="minorHAnsi" w:hAnsiTheme="minorHAnsi"/>
          <w:color w:val="000000"/>
          <w:szCs w:val="24"/>
        </w:rPr>
      </w:pPr>
    </w:p>
    <w:p w14:paraId="5CE5751C"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Actuar racionalmente significa obrar conforme a una concepción general y sistemática. El racionalismo tiene como fuente principal del conocimiento la razón (la ratio); de tal forma que un conocimiento sólo es tal cuando es lógicamente necesario y universalmente válido; es decir, algo tiene que ser así y no de otro modo siempre y en todas partes. El racionalismo tiene la pretensión de aplicar al campo de la praxis los postulados metodológicos de las ciencias exactas. </w:t>
      </w:r>
    </w:p>
    <w:p w14:paraId="69CAA4C3" w14:textId="77777777" w:rsidR="003A15D9" w:rsidRPr="000D3432" w:rsidRDefault="003A15D9" w:rsidP="00A95498">
      <w:pPr>
        <w:jc w:val="both"/>
        <w:rPr>
          <w:rFonts w:asciiTheme="minorHAnsi" w:hAnsiTheme="minorHAnsi"/>
          <w:color w:val="000000"/>
          <w:szCs w:val="24"/>
        </w:rPr>
      </w:pPr>
    </w:p>
    <w:p w14:paraId="1E1FB4C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origen de estas tesis está en Descartes, en sus sistemas; donde plantea aplicar el método de la matemáticas para dotarla de certeza; lograr un grado de certeza y validez, como un fin instrumental para establecer la verdad; de tal forma que la verdad divina es puesta en tela de juicio. La verdad moderna era algo que existía, descubrible por la razón. Así con el racionalismo el derecho se vio en la imposición de seguir la metodología matemática a través de abstracciones y deducciones, para una operación lógica, razonable a fin de lograr un halo de certeza y seguridad matemática. El uso del método de las ciencias exactas era el centro de todo planteamiento teórico; el manejo del razonamiento permitía la conexión de categorías conceptuales de derechos válidos y certeros. </w:t>
      </w:r>
    </w:p>
    <w:p w14:paraId="41669A92" w14:textId="77777777" w:rsidR="003A15D9" w:rsidRPr="000D3432" w:rsidRDefault="003A15D9" w:rsidP="00A95498">
      <w:pPr>
        <w:jc w:val="both"/>
        <w:rPr>
          <w:rFonts w:asciiTheme="minorHAnsi" w:hAnsiTheme="minorHAnsi"/>
          <w:color w:val="000000"/>
          <w:szCs w:val="24"/>
        </w:rPr>
      </w:pPr>
    </w:p>
    <w:p w14:paraId="1844A4F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problema con esta visión es que se lograba una construcción jurídica inmutable, rígida, que se contraponía con el ser humano; por ejemplo, el método de la deducción a partir de principios racionales concluye con una construcción demasiado rígida e irreflexible. Sin embargo el empeño de usar el método de las </w:t>
      </w:r>
      <w:r w:rsidRPr="000D3432">
        <w:rPr>
          <w:rFonts w:asciiTheme="minorHAnsi" w:hAnsiTheme="minorHAnsi"/>
          <w:color w:val="000000"/>
          <w:szCs w:val="24"/>
        </w:rPr>
        <w:lastRenderedPageBreak/>
        <w:t xml:space="preserve">ciencias exacta consistía en la creencia de lograr certeza por su prueba objetiva, y los principios universalmente válidos, como rango de seguridad absoluta, lo que postulaba la realidad y no la ficción. El método se utilizaba para no errar en las conclusiones, puesto que la ciencia tenía como armazón ser un conocimiento cierto, evidente, sostenible siempre en todas partes, y frente al cual no existiría nunca un rasgo de engaño. A tal grado llegó esta teoría que los modernos usaron la razón para negar lo anterior de la vieja forma de conocimiento. </w:t>
      </w:r>
    </w:p>
    <w:p w14:paraId="1C78531F" w14:textId="77777777" w:rsidR="003A15D9" w:rsidRPr="000D3432" w:rsidRDefault="003A15D9" w:rsidP="00A95498">
      <w:pPr>
        <w:jc w:val="both"/>
        <w:rPr>
          <w:rFonts w:asciiTheme="minorHAnsi" w:hAnsiTheme="minorHAnsi"/>
          <w:color w:val="000000"/>
          <w:szCs w:val="24"/>
        </w:rPr>
      </w:pPr>
    </w:p>
    <w:p w14:paraId="4F198E2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ideal Moderno era construir un sistema de Derecho cierto, válido, y universalmente aceptado a través de la razón. El método racionalista establecía de una vez por todas las condiciones de hacer Derecho. La Modernidad Jurídica pretendía escapar, con ello, de los errores de los sentidos, prejuicios, tradiciones; de tal forma que incluso las Santas Escrituras que antaño tenían validez absoluta ya no eran prueba racional alguna; puesto que el Derecho pretendió hacer medible todas las acciones humanas para que pudieran entrar en las esferas de lo medible, es decir, de lo racional. Así, Dios y las escrituras dejarían de ser el fundamento de la validez del Derecho; asimismo los datos de la realidad empírica serían dejados de lado como fuentes de conocimiento del Derecho puesto que los sentidos no son certeros e incluso pueden engañar a nuestro conocimiento, porque nuestros sentidos tienen límites (vista, oido, olfato, tacto); por ello, la realidad y la teología fueron relegados al olvido o desprecio. </w:t>
      </w:r>
    </w:p>
    <w:p w14:paraId="226E2E81" w14:textId="77777777" w:rsidR="003A15D9" w:rsidRPr="000D3432" w:rsidRDefault="003A15D9" w:rsidP="00A95498">
      <w:pPr>
        <w:jc w:val="both"/>
        <w:rPr>
          <w:rFonts w:asciiTheme="minorHAnsi" w:hAnsiTheme="minorHAnsi"/>
          <w:color w:val="000000"/>
          <w:szCs w:val="24"/>
        </w:rPr>
      </w:pPr>
    </w:p>
    <w:p w14:paraId="77FACC4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Modernidad quería crear un Derecho racional perfectamente estructurado en base a abstracciones inamovibles; dejando de lado la experiencia por ser este un fenómeno mutable, inestable, diverso. </w:t>
      </w:r>
    </w:p>
    <w:p w14:paraId="6B7B8938" w14:textId="77777777" w:rsidR="003A15D9" w:rsidRPr="000D3432" w:rsidRDefault="003A15D9" w:rsidP="00A95498">
      <w:pPr>
        <w:jc w:val="both"/>
        <w:rPr>
          <w:rFonts w:asciiTheme="minorHAnsi" w:hAnsiTheme="minorHAnsi"/>
          <w:color w:val="000000"/>
          <w:szCs w:val="24"/>
        </w:rPr>
      </w:pPr>
    </w:p>
    <w:p w14:paraId="7D4C29D8"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Sin embargo la Postmodernidad recoge este fenómeno de mutabilidad, y a la realidad; porque piensa que el Derecho no puede cortar vínculos con la realidad bajo pena de ilegitimidad. La razón, sin embargo, mostraba que era experiencia, o experimentación, y no revelación. </w:t>
      </w:r>
    </w:p>
    <w:p w14:paraId="6DEE3116" w14:textId="77777777" w:rsidR="003A15D9" w:rsidRPr="000D3432" w:rsidRDefault="003A15D9" w:rsidP="00A95498">
      <w:pPr>
        <w:jc w:val="both"/>
        <w:rPr>
          <w:rFonts w:asciiTheme="minorHAnsi" w:hAnsiTheme="minorHAnsi"/>
          <w:color w:val="000000"/>
          <w:szCs w:val="24"/>
        </w:rPr>
      </w:pPr>
    </w:p>
    <w:p w14:paraId="65DE0F4D"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Además, en el siglo XVIII la confianza de la razón se deriva del éxito de las ciencias exactas; así con la razón se somete a examen a la autoridad, a la historia, a las costumbres, así como aquellas formas sociales de organización, etc. Los pensadores modernos vieron la vocación universalizante de los conceptos para el futuro. </w:t>
      </w:r>
    </w:p>
    <w:p w14:paraId="12FDF5FC" w14:textId="77777777" w:rsidR="003A15D9" w:rsidRPr="000D3432" w:rsidRDefault="003A15D9" w:rsidP="00A95498">
      <w:pPr>
        <w:jc w:val="both"/>
        <w:rPr>
          <w:rFonts w:asciiTheme="minorHAnsi" w:hAnsiTheme="minorHAnsi"/>
          <w:color w:val="000000"/>
          <w:szCs w:val="24"/>
        </w:rPr>
      </w:pPr>
    </w:p>
    <w:p w14:paraId="33D2857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Es en este ambiente en cuando Kant instaura la razón como tribunal Supremo, piensa en un Derecho Universal, y hace proposiciones racionales al respecto como “obra de manera que tus actos puedan obedecer a una ley general”.  La razón es el nuevo instrumento del conocimiento, y de ella se desprenden elementos como 1.- Eliminación de lo caótico, 2.- Simplificación, 3.- Generalización. </w:t>
      </w:r>
    </w:p>
    <w:p w14:paraId="2E55D8B4" w14:textId="77777777" w:rsidR="003A15D9" w:rsidRPr="000D3432" w:rsidRDefault="003A15D9" w:rsidP="00A95498">
      <w:pPr>
        <w:rPr>
          <w:rFonts w:asciiTheme="minorHAnsi" w:hAnsiTheme="minorHAnsi"/>
          <w:color w:val="000000"/>
          <w:szCs w:val="24"/>
        </w:rPr>
      </w:pPr>
    </w:p>
    <w:p w14:paraId="2E674204"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En último término, en la Modernidad, el Derecho ha sido una forma de introducir el racionalismo, de lograr la producción normativa, la concentración administrativa de justicia en un sistema único. Sin embargo, el problema del </w:t>
      </w:r>
      <w:r w:rsidRPr="000D3432">
        <w:rPr>
          <w:rFonts w:asciiTheme="minorHAnsi" w:hAnsiTheme="minorHAnsi"/>
          <w:color w:val="000000"/>
          <w:szCs w:val="24"/>
        </w:rPr>
        <w:lastRenderedPageBreak/>
        <w:t xml:space="preserve">racionalismo está en su discurso racional, científico, que es incapaz de ser aplicado al discurso ético, moral, axiológico, humano. </w:t>
      </w:r>
    </w:p>
    <w:p w14:paraId="4A5C5803"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53A94CA5"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B.- SISTEMA Y DEDUCCIÓN COMO ELEMENTOS DEL DERECHO MODERNO</w:t>
      </w:r>
    </w:p>
    <w:p w14:paraId="20EE42D0" w14:textId="77777777" w:rsidR="003A15D9" w:rsidRPr="000D3432" w:rsidRDefault="003A15D9" w:rsidP="00A95498">
      <w:pPr>
        <w:rPr>
          <w:rFonts w:asciiTheme="minorHAnsi" w:hAnsiTheme="minorHAnsi"/>
          <w:color w:val="000000"/>
          <w:szCs w:val="24"/>
        </w:rPr>
      </w:pPr>
    </w:p>
    <w:p w14:paraId="6F85FC7A" w14:textId="77777777" w:rsidR="003A15D9" w:rsidRPr="000D3432" w:rsidRDefault="003A15D9" w:rsidP="00A95498">
      <w:pPr>
        <w:pStyle w:val="Parrafffo"/>
        <w:spacing w:line="240" w:lineRule="auto"/>
        <w:ind w:left="2124"/>
        <w:rPr>
          <w:rFonts w:asciiTheme="minorHAnsi" w:hAnsiTheme="minorHAnsi"/>
          <w:sz w:val="24"/>
          <w:szCs w:val="24"/>
        </w:rPr>
      </w:pPr>
      <w:r w:rsidRPr="000D3432">
        <w:rPr>
          <w:rFonts w:asciiTheme="minorHAnsi" w:hAnsiTheme="minorHAnsi"/>
          <w:sz w:val="24"/>
          <w:szCs w:val="24"/>
        </w:rPr>
        <w:t>“Los filósofos juristas modernos, en especial los que pertenecieron a la escuela racionalista, en el intento de lograr un sistema de derecho de una certeza absoluta, con validez en todo lugar y todo tiempo, y alcanzar una construcción que fuera el producto exclusivo de la razón -sin los errores que provenían de los sentidos, los prejuicios, las tradiciones, etc.-, partieron de ciertos principios a priori, o de un dato arbitrariamente considerado como el constitutivo esencial de la naturaleza humana;...”</w:t>
      </w:r>
    </w:p>
    <w:p w14:paraId="0233C923" w14:textId="77777777" w:rsidR="003A15D9" w:rsidRPr="000D3432" w:rsidRDefault="003A15D9" w:rsidP="00A95498">
      <w:pPr>
        <w:rPr>
          <w:rFonts w:asciiTheme="minorHAnsi" w:hAnsiTheme="minorHAnsi"/>
          <w:color w:val="000000"/>
          <w:szCs w:val="24"/>
        </w:rPr>
      </w:pPr>
    </w:p>
    <w:p w14:paraId="17B7FE1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En el Derecho Moderno se pondera el sistematismo como mecanismo de organización social. El sistematismo cree en la construcción de un Derecho Autónomo, en un sistematismo científico del derecho autónomo de arribar a un pequeño grupo de reglas perfectas y sin excepciones desligadas de la experiencia  judicial que le deban todo a la razón lógica y matemática.</w:t>
      </w:r>
    </w:p>
    <w:p w14:paraId="089B5895" w14:textId="77777777" w:rsidR="003A15D9" w:rsidRPr="000D3432" w:rsidRDefault="003A15D9" w:rsidP="00A95498">
      <w:pPr>
        <w:jc w:val="both"/>
        <w:rPr>
          <w:rFonts w:asciiTheme="minorHAnsi" w:hAnsiTheme="minorHAnsi"/>
          <w:color w:val="000000"/>
          <w:szCs w:val="24"/>
        </w:rPr>
      </w:pPr>
    </w:p>
    <w:p w14:paraId="4AA1F44A"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Sistema  significa rigor y exceso de la razón, apoyada por el método deductivo. Sistema Cerrado donde las partes sólo tienen validez en referencia al todo; de tal forma que todo debe encajar dentro de un orden lógico deductivo que conforman el todo sistemático. El método deductivo usado matemáticamente, donde cada parte debería ser como un único camino de ida y de venida del todo, sofocando cualquier acto azaroso.  El Sistematismo significa el uso del método racional deductivo; donde cada afirmación puede ser reducida al primer principio a partir del que toda la deducción comienza; de tal forma que se arma toda una cadena de deducciones donde no hay lugar para la variación. </w:t>
      </w:r>
    </w:p>
    <w:p w14:paraId="4225A282" w14:textId="77777777" w:rsidR="003A15D9" w:rsidRPr="000D3432" w:rsidRDefault="003A15D9" w:rsidP="00A95498">
      <w:pPr>
        <w:jc w:val="both"/>
        <w:rPr>
          <w:rFonts w:asciiTheme="minorHAnsi" w:hAnsiTheme="minorHAnsi"/>
          <w:color w:val="000000"/>
          <w:szCs w:val="24"/>
        </w:rPr>
      </w:pPr>
    </w:p>
    <w:p w14:paraId="38D8371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sistematismo deductivista está fundado en razonamientos abstractos, liberados de las experiencias, que forman un encadenamiento lógico formal perfecto. </w:t>
      </w:r>
    </w:p>
    <w:p w14:paraId="59C60302" w14:textId="77777777" w:rsidR="003A15D9" w:rsidRPr="000D3432" w:rsidRDefault="003A15D9" w:rsidP="00A95498">
      <w:pPr>
        <w:jc w:val="both"/>
        <w:rPr>
          <w:rFonts w:asciiTheme="minorHAnsi" w:hAnsiTheme="minorHAnsi"/>
          <w:color w:val="000000"/>
          <w:szCs w:val="24"/>
        </w:rPr>
      </w:pPr>
    </w:p>
    <w:p w14:paraId="1C6E508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sistema cerrado es propuesto por Hegel que cree en la necesidad de imponerlo. Por su parte Hobbes cree que no hay certidumbre en la última conclusión sin certidumbre sobre todos aquellas afirmaciones y negaciones en las que se fundó la última conclusión. </w:t>
      </w:r>
    </w:p>
    <w:p w14:paraId="4F13F4A1" w14:textId="77777777" w:rsidR="003A15D9" w:rsidRPr="000D3432" w:rsidRDefault="003A15D9" w:rsidP="00A95498">
      <w:pPr>
        <w:rPr>
          <w:rFonts w:asciiTheme="minorHAnsi" w:hAnsiTheme="minorHAnsi"/>
          <w:color w:val="000000"/>
          <w:szCs w:val="24"/>
        </w:rPr>
      </w:pPr>
    </w:p>
    <w:p w14:paraId="4B9C970F"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problema radicaría en que no todo estaba dentro de un sistema; que los sistemas jurídicos pudieran estar desconectados de la historia y de la vida del Derecho; y que no siempre sería factible que cualquier solución tuviera su lugar en el sistema a fin de justificarse racionalmente a partir del mismo. No obstante esto en la modernidad se intenta crear un sistema científico del Derecho; por ejemplo, en esta idea se encuentra el Código Napoleónico. </w:t>
      </w:r>
    </w:p>
    <w:p w14:paraId="515BFABB" w14:textId="77777777" w:rsidR="003A15D9" w:rsidRPr="000D3432" w:rsidRDefault="003A15D9" w:rsidP="00A95498">
      <w:pPr>
        <w:jc w:val="both"/>
        <w:rPr>
          <w:rFonts w:asciiTheme="minorHAnsi" w:hAnsiTheme="minorHAnsi"/>
          <w:color w:val="000000"/>
          <w:szCs w:val="24"/>
        </w:rPr>
      </w:pPr>
    </w:p>
    <w:p w14:paraId="50AEC16F"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El derecho moderno rompió con el empirismo prudente antiguo y medieval, dejó de lado el método de atención y sumisión a  los datos; es el intento de concentrar los hechos jurídicos dentro del radio del sistema, el intento de formular todo el derecho desde los principios a las conclusiones; de tal forma que se produciría el destierro del derecho de aquello no registrado en el sistema; o como lo dijera Kelsen, construir un Derecho puro, libre de contaminaciones que lo pudieran perturbar o modificar. De esta forma se postularía la inexistencia del derecho donde no hubiera ley; el derecho construiría un sistema como método de organización y conocimiento.</w:t>
      </w:r>
    </w:p>
    <w:p w14:paraId="5B3F8F92" w14:textId="77777777" w:rsidR="003A15D9" w:rsidRPr="000D3432" w:rsidRDefault="003A15D9" w:rsidP="00A95498">
      <w:pPr>
        <w:jc w:val="both"/>
        <w:rPr>
          <w:rFonts w:asciiTheme="minorHAnsi" w:hAnsiTheme="minorHAnsi"/>
          <w:color w:val="000000"/>
          <w:szCs w:val="24"/>
        </w:rPr>
      </w:pPr>
    </w:p>
    <w:p w14:paraId="3073C27C"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Por otro lado, el nuevo fenómeno postmoderno cree más bien en un Sistema Abierto, que sin perder las ventajas de la ordenación sistemática, sea capaz de acoger nuevos problemas y de modificarse continuamente, donde puedan admitirse ciertas estructuras teóricas suficientemente amplias, e intentar alojar en ellas los nuevos hechos que se vayan descubriendo. </w:t>
      </w:r>
    </w:p>
    <w:p w14:paraId="63F8DED8" w14:textId="77777777" w:rsidR="003A15D9" w:rsidRPr="000D3432" w:rsidRDefault="003A15D9" w:rsidP="00A95498">
      <w:pPr>
        <w:rPr>
          <w:rFonts w:asciiTheme="minorHAnsi" w:hAnsiTheme="minorHAnsi"/>
          <w:color w:val="000000"/>
          <w:szCs w:val="24"/>
        </w:rPr>
      </w:pPr>
    </w:p>
    <w:p w14:paraId="5D89EF77" w14:textId="77777777" w:rsidR="003A15D9" w:rsidRPr="000D3432" w:rsidRDefault="003A15D9" w:rsidP="00A95498">
      <w:pPr>
        <w:numPr>
          <w:ilvl w:val="12"/>
          <w:numId w:val="0"/>
        </w:numPr>
        <w:jc w:val="both"/>
        <w:rPr>
          <w:rFonts w:asciiTheme="minorHAnsi" w:hAnsiTheme="minorHAnsi"/>
          <w:b/>
          <w:color w:val="000000"/>
          <w:szCs w:val="24"/>
        </w:rPr>
      </w:pPr>
      <w:r w:rsidRPr="000D3432">
        <w:rPr>
          <w:rFonts w:asciiTheme="minorHAnsi" w:hAnsiTheme="minorHAnsi"/>
          <w:b/>
          <w:color w:val="000000"/>
          <w:szCs w:val="24"/>
        </w:rPr>
        <w:t>C.- NORMATIVISMO. CONDICIÓN DE OBJETIVIZACIÓN DE LA NORMA</w:t>
      </w:r>
    </w:p>
    <w:p w14:paraId="0FB490C2" w14:textId="77777777" w:rsidR="003A15D9" w:rsidRPr="000D3432" w:rsidRDefault="003A15D9" w:rsidP="00A95498">
      <w:pPr>
        <w:numPr>
          <w:ilvl w:val="12"/>
          <w:numId w:val="0"/>
        </w:numPr>
        <w:rPr>
          <w:rFonts w:asciiTheme="minorHAnsi" w:hAnsiTheme="minorHAnsi"/>
          <w:color w:val="000000"/>
          <w:szCs w:val="24"/>
        </w:rPr>
      </w:pPr>
    </w:p>
    <w:p w14:paraId="1D2224DE" w14:textId="77777777" w:rsidR="003A15D9" w:rsidRPr="000D3432" w:rsidRDefault="003A15D9" w:rsidP="00A95498">
      <w:pPr>
        <w:ind w:left="2124"/>
        <w:jc w:val="both"/>
        <w:rPr>
          <w:rFonts w:asciiTheme="minorHAnsi" w:hAnsiTheme="minorHAnsi"/>
          <w:b/>
          <w:noProof/>
          <w:szCs w:val="24"/>
        </w:rPr>
      </w:pPr>
      <w:r w:rsidRPr="000D3432">
        <w:rPr>
          <w:rFonts w:asciiTheme="minorHAnsi" w:hAnsiTheme="minorHAnsi"/>
          <w:szCs w:val="24"/>
        </w:rPr>
        <w:t>"El normativismo puro exige una absoluta fidelidad a la letra de la ley, que se considerará la norma prototípica. Sin ley no hay nada que hacer."</w:t>
      </w:r>
    </w:p>
    <w:p w14:paraId="41ED0994" w14:textId="77777777" w:rsidR="003A15D9" w:rsidRPr="000D3432" w:rsidRDefault="003A15D9" w:rsidP="00A95498">
      <w:pPr>
        <w:numPr>
          <w:ilvl w:val="12"/>
          <w:numId w:val="0"/>
        </w:numPr>
        <w:rPr>
          <w:rFonts w:asciiTheme="minorHAnsi" w:hAnsiTheme="minorHAnsi"/>
          <w:color w:val="000000"/>
          <w:szCs w:val="24"/>
        </w:rPr>
      </w:pPr>
    </w:p>
    <w:p w14:paraId="3D953DB2"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Desarrollada en la Modernidad, el Normativismo toma a la norma como fundamento racional y principal del  Derecho; la norma estaría ya libre de la teología. En este escenario el sistema y la razón necesitaban a la norma para lograr un orden lógico y racional. </w:t>
      </w:r>
    </w:p>
    <w:p w14:paraId="216CA1B8" w14:textId="77777777" w:rsidR="003A15D9" w:rsidRPr="000D3432" w:rsidRDefault="003A15D9" w:rsidP="00A95498">
      <w:pPr>
        <w:numPr>
          <w:ilvl w:val="12"/>
          <w:numId w:val="0"/>
        </w:numPr>
        <w:jc w:val="both"/>
        <w:rPr>
          <w:rFonts w:asciiTheme="minorHAnsi" w:hAnsiTheme="minorHAnsi"/>
          <w:color w:val="000000"/>
          <w:szCs w:val="24"/>
        </w:rPr>
      </w:pPr>
    </w:p>
    <w:p w14:paraId="5F84D154"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La racionalización como fórmula para el conocimiento se impone pues las otras formas de conocimiento como la teología y el empirismo eran inestables. El Normativismo impone la creencia en que lo único que es derecho, y por tal válido, es la norma; de esta manera incluso para el Iusnaturalismo moderno todo derecho es norma, toda norma se reduce a otra norma, de tal forma que las normas forman un sistema cerrado. Esta concepción normativista sufre el respaldo de Spinoza y  Hobbes que creen que la Ley es Derecho, que el Derecho es Ley. </w:t>
      </w:r>
    </w:p>
    <w:p w14:paraId="055F7A48" w14:textId="77777777" w:rsidR="003A15D9" w:rsidRPr="000D3432" w:rsidRDefault="003A15D9" w:rsidP="00A95498">
      <w:pPr>
        <w:numPr>
          <w:ilvl w:val="12"/>
          <w:numId w:val="0"/>
        </w:numPr>
        <w:jc w:val="both"/>
        <w:rPr>
          <w:rFonts w:asciiTheme="minorHAnsi" w:hAnsiTheme="minorHAnsi"/>
          <w:color w:val="000000"/>
          <w:szCs w:val="24"/>
        </w:rPr>
      </w:pPr>
    </w:p>
    <w:p w14:paraId="3AE2CBD0"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Lo cierto y verdadero en el Derecho era, pues, la norma positiva que es construcción de la racionalidad de los hombres, ordenada por el Estado (Spinoza, Hobbes); Además, la norma positiva tiene su virtud en depender de la voluntad de los hombres. </w:t>
      </w:r>
    </w:p>
    <w:p w14:paraId="29B1B21F" w14:textId="77777777" w:rsidR="003A15D9" w:rsidRPr="000D3432" w:rsidRDefault="003A15D9" w:rsidP="00A95498">
      <w:pPr>
        <w:rPr>
          <w:rFonts w:asciiTheme="minorHAnsi" w:hAnsiTheme="minorHAnsi"/>
          <w:color w:val="000000"/>
          <w:szCs w:val="24"/>
        </w:rPr>
      </w:pPr>
    </w:p>
    <w:p w14:paraId="210B14A6"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D.- EL OLVIDO DE LA FINALIDAD. DISCURSO DEL PARADIGMA NORMATIVO DEL DERECHO </w:t>
      </w:r>
    </w:p>
    <w:p w14:paraId="4123DF6C" w14:textId="77777777" w:rsidR="003A15D9" w:rsidRPr="000D3432" w:rsidRDefault="003A15D9" w:rsidP="00A95498">
      <w:pPr>
        <w:rPr>
          <w:rFonts w:asciiTheme="minorHAnsi" w:hAnsiTheme="minorHAnsi"/>
          <w:color w:val="000000"/>
          <w:szCs w:val="24"/>
        </w:rPr>
      </w:pPr>
    </w:p>
    <w:p w14:paraId="183F1824" w14:textId="77777777" w:rsidR="003A15D9" w:rsidRPr="000D3432" w:rsidRDefault="003A15D9" w:rsidP="00A95498">
      <w:pPr>
        <w:ind w:left="2832"/>
        <w:jc w:val="both"/>
        <w:rPr>
          <w:rFonts w:asciiTheme="minorHAnsi" w:hAnsiTheme="minorHAnsi"/>
          <w:szCs w:val="24"/>
        </w:rPr>
      </w:pPr>
      <w:r w:rsidRPr="000D3432">
        <w:rPr>
          <w:rFonts w:asciiTheme="minorHAnsi" w:hAnsiTheme="minorHAnsi"/>
          <w:szCs w:val="24"/>
        </w:rPr>
        <w:t xml:space="preserve">“para comprender cualquiera de las instituciones que el ser humano edifica, ya sea libremente o siguiendo una inclinación natural, es imprescindible </w:t>
      </w:r>
      <w:r w:rsidRPr="000D3432">
        <w:rPr>
          <w:rFonts w:asciiTheme="minorHAnsi" w:hAnsiTheme="minorHAnsi"/>
          <w:szCs w:val="24"/>
        </w:rPr>
        <w:lastRenderedPageBreak/>
        <w:t>conocer la finalidad a la que se ordena. De lo contrario, nos sería imposible distinguir un estado de una banda de ladrones o a una empresa comercial de un club deportivo.”Massini</w:t>
      </w:r>
      <w:r w:rsidRPr="000D3432">
        <w:rPr>
          <w:rStyle w:val="Refdenotaalpie"/>
          <w:rFonts w:asciiTheme="minorHAnsi" w:hAnsiTheme="minorHAnsi"/>
          <w:sz w:val="24"/>
          <w:szCs w:val="24"/>
        </w:rPr>
        <w:footnoteReference w:id="654"/>
      </w:r>
    </w:p>
    <w:p w14:paraId="478DD1C1" w14:textId="77777777" w:rsidR="003A15D9" w:rsidRPr="000D3432" w:rsidRDefault="003A15D9" w:rsidP="00A95498">
      <w:pPr>
        <w:rPr>
          <w:rFonts w:asciiTheme="minorHAnsi" w:hAnsiTheme="minorHAnsi"/>
          <w:color w:val="000000"/>
          <w:szCs w:val="24"/>
        </w:rPr>
      </w:pPr>
    </w:p>
    <w:p w14:paraId="26B4A731"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Otro de los fundamentos que se esgrimieron en la Modernidad fue “La Finalidad Teológica; el Derecho no estaría ya dirigido hacia un orden teológico (fin); pues el fin ahora sería la razón misma. A diferencia de las creencias de Aristóteles y Santo Tomás de Aquino que creen en el universo teológicamente ordenado como orientado a un fin (telos) que le confería razón y sentido. </w:t>
      </w:r>
    </w:p>
    <w:p w14:paraId="7B7EC09D" w14:textId="77777777" w:rsidR="003A15D9" w:rsidRPr="000D3432" w:rsidRDefault="003A15D9" w:rsidP="00A95498">
      <w:pPr>
        <w:jc w:val="both"/>
        <w:rPr>
          <w:rFonts w:asciiTheme="minorHAnsi" w:hAnsiTheme="minorHAnsi"/>
          <w:color w:val="000000"/>
          <w:szCs w:val="24"/>
        </w:rPr>
      </w:pPr>
    </w:p>
    <w:p w14:paraId="48B0419E"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idea era que todo movimiento estaba naturalmente dirigido a un fin; y hasta Descartes rechazó la noción de finalidad natural inmanente; mientras que Spinoza, pensaba que el fin no era aprensible y Dios no actuaba por fines. Lo que se buscaban eran las causas eficientes. Así el pensamiento moderno estaría sacrificando, en aras de la razón, las causas finales del Derecho. La consecuencia sería el formalismo jurídico; y la normatividad haría su reino en razonamientos lógicamente matemáticos puros. Así el análisis del derecho desde el punto de vista gramatical, lógico, sistemático, pero con olvido de su función configuradora de las realidades humanas. </w:t>
      </w:r>
    </w:p>
    <w:p w14:paraId="2CD22A88" w14:textId="77777777" w:rsidR="003A15D9" w:rsidRPr="000D3432" w:rsidRDefault="003A15D9" w:rsidP="00A95498">
      <w:pPr>
        <w:jc w:val="both"/>
        <w:rPr>
          <w:rFonts w:asciiTheme="minorHAnsi" w:hAnsiTheme="minorHAnsi"/>
          <w:color w:val="000000"/>
          <w:szCs w:val="24"/>
        </w:rPr>
      </w:pPr>
    </w:p>
    <w:p w14:paraId="15B67EF9"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E.- EL FACTOR INDIVIDUALISTA EN LA COSMOGRAFÍA DEL DERECHO MODERNO</w:t>
      </w:r>
    </w:p>
    <w:p w14:paraId="1531C896" w14:textId="77777777" w:rsidR="003A15D9" w:rsidRPr="000D3432" w:rsidRDefault="003A15D9" w:rsidP="00A95498">
      <w:pPr>
        <w:rPr>
          <w:rFonts w:asciiTheme="minorHAnsi" w:hAnsiTheme="minorHAnsi"/>
          <w:color w:val="000000"/>
          <w:szCs w:val="24"/>
        </w:rPr>
      </w:pPr>
    </w:p>
    <w:p w14:paraId="31E8E9D3" w14:textId="77777777" w:rsidR="003A15D9" w:rsidRPr="000D3432" w:rsidRDefault="003A15D9" w:rsidP="00A95498">
      <w:pPr>
        <w:ind w:left="2124"/>
        <w:jc w:val="both"/>
        <w:rPr>
          <w:rFonts w:asciiTheme="minorHAnsi" w:hAnsiTheme="minorHAnsi"/>
          <w:color w:val="000000"/>
          <w:szCs w:val="24"/>
        </w:rPr>
      </w:pPr>
      <w:r w:rsidRPr="000D3432">
        <w:rPr>
          <w:rFonts w:asciiTheme="minorHAnsi" w:hAnsiTheme="minorHAnsi"/>
          <w:szCs w:val="24"/>
        </w:rPr>
        <w:t>“...el individualismo jurídico va a considerar al hombre portador de libertades innatas, (...) Este poder se reinvindicará contra la sociedad, la que aparecerá siempre como deudora del individuo autosuficiente; el hombre dejará de ser un deudor de sus padres y de su patria, tal como lo sostenían Cicerón y Tomás de Aquino para pasar a ser acreedor de todo y contra todos, en una utópica reivindicación de cuanto le venga en gana. La “Declaración de Derechos del Hombre y del Ciudadano”, (...) e inclusive la actual doctrina de los “Derechos Humanos”, utilizada por los EE.UU. Para castigar a los países amigos, son todas tributarias de esta concepción del derecho como facultad personal, como reivindicación de potestades...”</w:t>
      </w:r>
    </w:p>
    <w:p w14:paraId="4F5F1A7E" w14:textId="77777777" w:rsidR="003A15D9" w:rsidRPr="000D3432" w:rsidRDefault="003A15D9" w:rsidP="00A95498">
      <w:pPr>
        <w:jc w:val="both"/>
        <w:rPr>
          <w:rFonts w:asciiTheme="minorHAnsi" w:hAnsiTheme="minorHAnsi"/>
          <w:color w:val="000000"/>
          <w:szCs w:val="24"/>
        </w:rPr>
      </w:pPr>
    </w:p>
    <w:p w14:paraId="0E88419F"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Mientras tanto el factor individualista se produce como un cambio entre el siglo XIII y el XVI; en donde se produce un deslizamiento de lo objetivo a lo subjetivo; de la Res (cosa) medieval se ha pasado al cogito de Descartes; El Derecho como facultad del individuo se convierte en la base; el derecho no será ya lo debido sino lo que se nos debe, en un mundo donde el hombre es el centro del universo, de la sociedad; el derecho aparece como una facultad personal del individuo, en cuyo medio el individuo es el fin en si mismo. </w:t>
      </w:r>
    </w:p>
    <w:p w14:paraId="1C4A2F2E" w14:textId="77777777" w:rsidR="003A15D9" w:rsidRPr="000D3432" w:rsidRDefault="003A15D9" w:rsidP="00A95498">
      <w:pPr>
        <w:jc w:val="both"/>
        <w:rPr>
          <w:rFonts w:asciiTheme="minorHAnsi" w:hAnsiTheme="minorHAnsi"/>
          <w:color w:val="000000"/>
          <w:szCs w:val="24"/>
        </w:rPr>
      </w:pPr>
    </w:p>
    <w:p w14:paraId="6500B6F3"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lastRenderedPageBreak/>
        <w:t xml:space="preserve">Así, la voluntad individual es el elemento fundamental del derecho y el medio para descubrir lo “justo” conforme a sus intereses; por eso las soluciones jurídicas deben ser elaboradas y remitidas a la voluntad individual: La libertad se convierte en una facultad inherente al hombre; asimismo se exige que exista coherencia entre los intereses personales y entre estos y sus actos como condición del nuevo pensamiento. </w:t>
      </w:r>
    </w:p>
    <w:p w14:paraId="67776DCE" w14:textId="77777777" w:rsidR="003A15D9" w:rsidRPr="000D3432" w:rsidRDefault="003A15D9" w:rsidP="00A95498">
      <w:pPr>
        <w:jc w:val="both"/>
        <w:rPr>
          <w:rFonts w:asciiTheme="minorHAnsi" w:hAnsiTheme="minorHAnsi"/>
          <w:color w:val="000000"/>
          <w:szCs w:val="24"/>
        </w:rPr>
      </w:pPr>
    </w:p>
    <w:p w14:paraId="6BBC566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individuo, en este contexto, debe poder compatibilizar todos los intereses en un mundo donde deben haber leyes comunes respetados por todos. </w:t>
      </w:r>
    </w:p>
    <w:p w14:paraId="334B4360" w14:textId="77777777" w:rsidR="003A15D9" w:rsidRPr="000D3432" w:rsidRDefault="003A15D9" w:rsidP="00A95498">
      <w:pPr>
        <w:jc w:val="both"/>
        <w:rPr>
          <w:rFonts w:asciiTheme="minorHAnsi" w:hAnsiTheme="minorHAnsi"/>
          <w:color w:val="000000"/>
          <w:szCs w:val="24"/>
        </w:rPr>
      </w:pPr>
    </w:p>
    <w:p w14:paraId="696475E4"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5.- COSMOVISIÓN CONTRADICTORIA DEL MUNDO MODERNO. DIMENSIONES JURÍDICAS</w:t>
      </w:r>
    </w:p>
    <w:p w14:paraId="4E0B98A0" w14:textId="77777777" w:rsidR="003A15D9" w:rsidRPr="000D3432" w:rsidRDefault="003A15D9" w:rsidP="00A95498">
      <w:pPr>
        <w:rPr>
          <w:rFonts w:asciiTheme="minorHAnsi" w:hAnsiTheme="minorHAnsi"/>
          <w:color w:val="000000"/>
          <w:szCs w:val="24"/>
        </w:rPr>
      </w:pPr>
    </w:p>
    <w:p w14:paraId="2DEB0213" w14:textId="77777777" w:rsidR="003A15D9" w:rsidRPr="000D3432" w:rsidRDefault="003A15D9" w:rsidP="00A95498">
      <w:pPr>
        <w:pStyle w:val="Textodecuerpo2"/>
        <w:spacing w:after="0" w:line="240" w:lineRule="auto"/>
        <w:rPr>
          <w:rFonts w:asciiTheme="minorHAnsi" w:hAnsiTheme="minorHAnsi"/>
          <w:b/>
          <w:i/>
          <w:smallCaps/>
          <w:color w:val="000000"/>
          <w:szCs w:val="24"/>
        </w:rPr>
      </w:pPr>
      <w:r w:rsidRPr="000D3432">
        <w:rPr>
          <w:rFonts w:asciiTheme="minorHAnsi" w:hAnsiTheme="minorHAnsi"/>
          <w:b/>
          <w:i/>
          <w:smallCaps/>
          <w:color w:val="000000"/>
          <w:szCs w:val="24"/>
        </w:rPr>
        <w:t>Hay, sin embargo una cosmovisión contradictoria del Mundo Moderno, pues se percibe ciertos elementos, que reseñaremos brevemente a continuación.</w:t>
      </w:r>
    </w:p>
    <w:p w14:paraId="2BBB657A" w14:textId="77777777" w:rsidR="003A15D9" w:rsidRPr="000D3432" w:rsidRDefault="003A15D9" w:rsidP="00A95498">
      <w:pPr>
        <w:rPr>
          <w:rFonts w:asciiTheme="minorHAnsi" w:hAnsiTheme="minorHAnsi"/>
          <w:color w:val="000000"/>
          <w:szCs w:val="24"/>
        </w:rPr>
      </w:pPr>
    </w:p>
    <w:p w14:paraId="4F30B33D"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a.-LA EXTINCIÓN DEL DERECHO TEOLÓGICO </w:t>
      </w:r>
    </w:p>
    <w:p w14:paraId="1A5914A9" w14:textId="77777777" w:rsidR="003A15D9" w:rsidRPr="000D3432" w:rsidRDefault="003A15D9" w:rsidP="00A95498">
      <w:pPr>
        <w:jc w:val="both"/>
        <w:rPr>
          <w:rFonts w:asciiTheme="minorHAnsi" w:hAnsiTheme="minorHAnsi"/>
          <w:szCs w:val="24"/>
        </w:rPr>
      </w:pPr>
    </w:p>
    <w:p w14:paraId="667A67A4"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”Cuando Nietzsche habló sobre “la muerte de Dios” no estaba haciendo un planteamiento religioso de un ateísmo agresivo. Simplemente estaba reconociendo que Dios ya no puede ser entendido como un “superpapá” que le resuelve todos los problemas del “niño-hombre” sino que el hombre es un ser adulto que, quizá para merecer a Dios, tiene que pensar y hacer las cosas por su cuenta. Esa es una tendencia imprescindible para poder pasar a la modernidad.” Trazegnies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55"/>
      </w:r>
    </w:p>
    <w:p w14:paraId="00E6ED07" w14:textId="77777777" w:rsidR="003A15D9" w:rsidRPr="000D3432" w:rsidRDefault="003A15D9" w:rsidP="00A95498">
      <w:pPr>
        <w:rPr>
          <w:rFonts w:asciiTheme="minorHAnsi" w:hAnsiTheme="minorHAnsi"/>
          <w:color w:val="000000"/>
          <w:szCs w:val="24"/>
        </w:rPr>
      </w:pPr>
    </w:p>
    <w:p w14:paraId="361FCEFB"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En esta nueva visión, de la Modernidad, se produciría lo que podríamos denominar como antropocentrismo renacentista frente al teocentrismo medieval. Cabe, sin embargo, aclarar que fue la necesidad económica y política y no la modernidad quien derroto a la teología. En ese tiempo la Filosofía y la Teología se desenlazan desde el Renacimiento; sin embargo, aun a costa del intento de aniquilar a la religión, esta no desaparece, y se aferra al mundo a través de la tradición. </w:t>
      </w:r>
    </w:p>
    <w:p w14:paraId="7D5437D1" w14:textId="77777777" w:rsidR="003A15D9" w:rsidRPr="000D3432" w:rsidRDefault="003A15D9" w:rsidP="00A95498">
      <w:pPr>
        <w:rPr>
          <w:rFonts w:asciiTheme="minorHAnsi" w:hAnsiTheme="minorHAnsi"/>
          <w:color w:val="000000"/>
          <w:szCs w:val="24"/>
        </w:rPr>
      </w:pPr>
    </w:p>
    <w:p w14:paraId="22EE40EB"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b.- BASES INTELECTUALES DEL DERECHO HEREDADAS EN LA EDAD MEDIA</w:t>
      </w:r>
    </w:p>
    <w:p w14:paraId="293D31BE" w14:textId="77777777" w:rsidR="003A15D9" w:rsidRPr="000D3432" w:rsidRDefault="003A15D9" w:rsidP="00A95498">
      <w:pPr>
        <w:rPr>
          <w:rFonts w:asciiTheme="minorHAnsi" w:hAnsiTheme="minorHAnsi"/>
          <w:color w:val="000000"/>
          <w:szCs w:val="24"/>
        </w:rPr>
      </w:pPr>
    </w:p>
    <w:p w14:paraId="2BAA0C9C" w14:textId="77777777" w:rsidR="003A15D9" w:rsidRPr="000D3432" w:rsidRDefault="003A15D9"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En la Edad Media, a diferencia de lo que se creía, hubo un gran movimiento cultural; pues es en el siglo XII (medieval) en el que nace la ciencia europea del Derecho, gracias a la escuela de Bolonia, en que aparece el Método de Estudio e interpretación del Corpus Juris. </w:t>
      </w:r>
    </w:p>
    <w:p w14:paraId="35B27432" w14:textId="77777777" w:rsidR="003A15D9" w:rsidRPr="000D3432" w:rsidRDefault="003A15D9" w:rsidP="00A95498">
      <w:pPr>
        <w:pStyle w:val="Textodecuerpo"/>
        <w:spacing w:line="240" w:lineRule="auto"/>
        <w:rPr>
          <w:rFonts w:asciiTheme="minorHAnsi" w:hAnsiTheme="minorHAnsi"/>
          <w:color w:val="000000"/>
          <w:sz w:val="24"/>
          <w:szCs w:val="24"/>
        </w:rPr>
      </w:pPr>
    </w:p>
    <w:p w14:paraId="1A206C7F" w14:textId="77777777" w:rsidR="003A15D9" w:rsidRPr="000D3432" w:rsidRDefault="003A15D9"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Si bien la ilustración significo la época de las luces, en el siglo XVIII, estas ideas se gestaron en el siglo XVII. La Ilustración fue una lucha de la razón contra la autoridad, contra las tinieblas, una lucha contra cualquier tiranía; que pretende </w:t>
      </w:r>
      <w:r w:rsidRPr="000D3432">
        <w:rPr>
          <w:rFonts w:asciiTheme="minorHAnsi" w:hAnsiTheme="minorHAnsi"/>
          <w:color w:val="000000"/>
          <w:sz w:val="24"/>
          <w:szCs w:val="24"/>
        </w:rPr>
        <w:lastRenderedPageBreak/>
        <w:t xml:space="preserve">llegar por medio de la razón a la felicidad, felicidad que estuviera al alcance de todos. </w:t>
      </w:r>
    </w:p>
    <w:p w14:paraId="68EEFECE" w14:textId="77777777" w:rsidR="003A15D9" w:rsidRPr="000D3432" w:rsidRDefault="003A15D9" w:rsidP="00A95498">
      <w:pPr>
        <w:pStyle w:val="Textodecuerpo"/>
        <w:spacing w:line="240" w:lineRule="auto"/>
        <w:rPr>
          <w:rFonts w:asciiTheme="minorHAnsi" w:hAnsiTheme="minorHAnsi"/>
          <w:color w:val="000000"/>
          <w:sz w:val="24"/>
          <w:szCs w:val="24"/>
        </w:rPr>
      </w:pPr>
    </w:p>
    <w:p w14:paraId="33B2074B" w14:textId="77777777" w:rsidR="003A15D9" w:rsidRPr="000D3432" w:rsidRDefault="003A15D9"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Se podría decir que sin la construcción jurídica medieval no habría logrado nacer la modernidad jurídica; pues la modernidad puso énfasis en destruir las categorías religiosas del saber. </w:t>
      </w:r>
    </w:p>
    <w:p w14:paraId="4FCE95A5" w14:textId="77777777" w:rsidR="003A15D9" w:rsidRPr="000D3432" w:rsidRDefault="003A15D9" w:rsidP="00A95498">
      <w:pPr>
        <w:pStyle w:val="Textodecuerpo"/>
        <w:spacing w:line="240" w:lineRule="auto"/>
        <w:rPr>
          <w:rFonts w:asciiTheme="minorHAnsi" w:hAnsiTheme="minorHAnsi"/>
          <w:color w:val="000000"/>
          <w:sz w:val="24"/>
          <w:szCs w:val="24"/>
        </w:rPr>
      </w:pPr>
    </w:p>
    <w:p w14:paraId="434FCD22" w14:textId="77777777" w:rsidR="003A15D9" w:rsidRPr="000D3432" w:rsidRDefault="003A15D9"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Además, lo benéfico de la Edad Media consistió en que existía un patrimonio cultural conservado y enriquecido sin contaminaciones, un purismo en la transmisión del conocimiento. </w:t>
      </w:r>
    </w:p>
    <w:p w14:paraId="677D644C" w14:textId="77777777" w:rsidR="003A15D9" w:rsidRPr="000D3432" w:rsidRDefault="003A15D9" w:rsidP="00A95498">
      <w:pPr>
        <w:rPr>
          <w:rFonts w:asciiTheme="minorHAnsi" w:hAnsiTheme="minorHAnsi"/>
          <w:color w:val="000000"/>
          <w:szCs w:val="24"/>
        </w:rPr>
      </w:pPr>
    </w:p>
    <w:p w14:paraId="507D945F"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c.- EL ESPÍRITU CRÍTICO COMO PARADIGMA NORMATIVO DE LA MODERNIDAD</w:t>
      </w:r>
    </w:p>
    <w:p w14:paraId="7CB1D567" w14:textId="77777777" w:rsidR="003A15D9" w:rsidRPr="000D3432" w:rsidRDefault="003A15D9" w:rsidP="00A95498">
      <w:pPr>
        <w:numPr>
          <w:ilvl w:val="12"/>
          <w:numId w:val="0"/>
        </w:numPr>
        <w:rPr>
          <w:rFonts w:asciiTheme="minorHAnsi" w:hAnsiTheme="minorHAnsi"/>
          <w:color w:val="000000"/>
          <w:szCs w:val="24"/>
        </w:rPr>
      </w:pPr>
    </w:p>
    <w:p w14:paraId="4D54C8E7" w14:textId="77777777" w:rsidR="003A15D9" w:rsidRPr="000D3432" w:rsidRDefault="003A15D9" w:rsidP="00A95498">
      <w:pPr>
        <w:pStyle w:val="Textodecuerpo"/>
        <w:numPr>
          <w:ilvl w:val="12"/>
          <w:numId w:val="0"/>
        </w:numPr>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El espíritu crítico de la modernidad propone que el Estado debe ser creado por el hombre.  Esto es producido por el Renacimiento, que esboza una nueva idea de la ciencia y un nuevo ideal del hombre y del Estado. </w:t>
      </w:r>
    </w:p>
    <w:p w14:paraId="48AC22C1" w14:textId="77777777" w:rsidR="003A15D9" w:rsidRPr="000D3432" w:rsidRDefault="003A15D9" w:rsidP="00A95498">
      <w:pPr>
        <w:rPr>
          <w:rFonts w:asciiTheme="minorHAnsi" w:hAnsiTheme="minorHAnsi"/>
          <w:color w:val="000000"/>
          <w:szCs w:val="24"/>
        </w:rPr>
      </w:pPr>
    </w:p>
    <w:p w14:paraId="0EBE21FB"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d.- DISPERSIÓN DOCTRINAL EN LA MODERNIDAD (MÉTODO, ESTUDIO E INVESTIGACIÓN)</w:t>
      </w:r>
    </w:p>
    <w:p w14:paraId="2F2A41D2" w14:textId="77777777" w:rsidR="003A15D9" w:rsidRPr="000D3432" w:rsidRDefault="003A15D9" w:rsidP="00A95498">
      <w:pPr>
        <w:rPr>
          <w:rFonts w:asciiTheme="minorHAnsi" w:hAnsiTheme="minorHAnsi"/>
          <w:color w:val="000000"/>
          <w:szCs w:val="24"/>
        </w:rPr>
      </w:pPr>
    </w:p>
    <w:p w14:paraId="032BF281"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“Como parte negativa del espíritu moderno, aparece cierta “dispersión doctrinal”. A fuerza de concentrarse en problemas aislados, se descuida una visión orgánica del conjunto; o -lo que es peor- se da categoría de visión totalizadora, de valoración filosófica definitiva, a determinados métodos de trabajo, válidos tan sólo en campos determinados de saber. Así no solo se disocian y enfrentan razón práctica y razón teórica, ciencia y fe, Religión y Metafísica, Política y Moral, sino que pulularon en tal abundancia problemas, métodos y teorías que apenas es posible abarcarlos con una mirada. De esta “dispersión doctrinal” todavía padece el pensamiento contemporáneo.”</w:t>
      </w:r>
    </w:p>
    <w:p w14:paraId="4802F0D7" w14:textId="77777777" w:rsidR="003A15D9" w:rsidRPr="000D3432" w:rsidRDefault="003A15D9" w:rsidP="00A95498">
      <w:pPr>
        <w:rPr>
          <w:rFonts w:asciiTheme="minorHAnsi" w:hAnsiTheme="minorHAnsi"/>
          <w:color w:val="000000"/>
          <w:szCs w:val="24"/>
        </w:rPr>
      </w:pPr>
    </w:p>
    <w:p w14:paraId="33DE47DE"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La Modernidad produce también un rompimiento en la organización  y en los métodos de investigación y estudio; pues todo se estudia pero desde un ángulo aislado, rompiendo con la teología que era la dirección de las investigaciones medievales; rompiendo con la tradición, con la autoridad en motivos o causas temporales; así como rompiendo con los saberes metafísicos. </w:t>
      </w:r>
    </w:p>
    <w:p w14:paraId="7177DF5F"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1EC1238B"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En la modernidad se hace investigación en forma inorgánica, descuidando la visión de conjunto de estos estudios, se usan los métodos a ultranza, se usan ciertos métodos a veces no adecuados a ciertos objetos de estudio, lo que produce obviamente trastornos y enfrentamientos conceptuales, como por ejemplo, entre la razón y la práctica, la fe y la ciencia, política y moral. Hay, entonces diversificación de problemas, de métodos de estudio, de teorías. </w:t>
      </w:r>
    </w:p>
    <w:p w14:paraId="727D51DA" w14:textId="77777777" w:rsidR="003A15D9" w:rsidRPr="000D3432" w:rsidRDefault="003A15D9" w:rsidP="00A95498">
      <w:pPr>
        <w:jc w:val="both"/>
        <w:rPr>
          <w:rFonts w:asciiTheme="minorHAnsi" w:hAnsiTheme="minorHAnsi"/>
          <w:color w:val="000000"/>
          <w:szCs w:val="24"/>
        </w:rPr>
      </w:pPr>
    </w:p>
    <w:p w14:paraId="4CBA078A" w14:textId="77777777" w:rsidR="003A15D9" w:rsidRPr="000D3432" w:rsidRDefault="003A15D9" w:rsidP="009E6E2E">
      <w:pPr>
        <w:widowControl/>
        <w:numPr>
          <w:ilvl w:val="0"/>
          <w:numId w:val="35"/>
        </w:numPr>
        <w:overflowPunct/>
        <w:autoSpaceDE/>
        <w:autoSpaceDN/>
        <w:adjustRightInd/>
        <w:textAlignment w:val="auto"/>
        <w:rPr>
          <w:rFonts w:asciiTheme="minorHAnsi" w:hAnsiTheme="minorHAnsi"/>
          <w:b/>
          <w:color w:val="000000"/>
          <w:szCs w:val="24"/>
        </w:rPr>
      </w:pPr>
      <w:r w:rsidRPr="000D3432">
        <w:rPr>
          <w:rFonts w:asciiTheme="minorHAnsi" w:hAnsiTheme="minorHAnsi"/>
          <w:b/>
          <w:color w:val="000000"/>
          <w:szCs w:val="24"/>
        </w:rPr>
        <w:t>LA GESTACIÓN DEL ESTADO MODERNO</w:t>
      </w:r>
    </w:p>
    <w:p w14:paraId="17C00FFA" w14:textId="77777777" w:rsidR="003A15D9" w:rsidRPr="000D3432" w:rsidRDefault="003A15D9" w:rsidP="00A95498">
      <w:pPr>
        <w:jc w:val="both"/>
        <w:rPr>
          <w:rFonts w:asciiTheme="minorHAnsi" w:hAnsiTheme="minorHAnsi"/>
          <w:color w:val="000000"/>
          <w:szCs w:val="24"/>
        </w:rPr>
      </w:pPr>
    </w:p>
    <w:p w14:paraId="3E31B14D"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“El Estado moderno se fue formando a través de la eliminación y la absorción de los ordenamientos jurídicos superiores e inferiores por la sociedad nacional, por medio de un proceso que se podría llamar de monopolización de la producción jurídica. (...), la formación del Estado moderno corre paralela a la formación de un poder coactivo cada vez más centralizado y, por lo tanto, a la supresión gradual de los centros de poder inferiores y superiores al Estado, lo que tuvo como consecuencia la eliminación de todo centro de producción jurídica que no fuera el mismo Estado. La tendencia a identificar el derecho con el derecho estatal, que hoy todavía existe, es la consecuencia histórica del proceso de concentración del poder normativo y coactivo que caracterizó el surgimiento del Estado nacional moderno.” Bobbio</w:t>
      </w:r>
      <w:r w:rsidRPr="000D3432">
        <w:rPr>
          <w:rStyle w:val="Refdenotaalpie"/>
          <w:rFonts w:asciiTheme="minorHAnsi" w:hAnsiTheme="minorHAnsi"/>
          <w:sz w:val="24"/>
          <w:szCs w:val="24"/>
        </w:rPr>
        <w:footnoteReference w:id="656"/>
      </w:r>
      <w:r w:rsidRPr="000D3432">
        <w:rPr>
          <w:rFonts w:asciiTheme="minorHAnsi" w:hAnsiTheme="minorHAnsi"/>
          <w:szCs w:val="24"/>
        </w:rPr>
        <w:t xml:space="preserve"> </w:t>
      </w:r>
    </w:p>
    <w:p w14:paraId="136BBBC1" w14:textId="77777777" w:rsidR="003A15D9" w:rsidRPr="000D3432" w:rsidRDefault="003A15D9" w:rsidP="00A95498">
      <w:pPr>
        <w:jc w:val="both"/>
        <w:rPr>
          <w:rFonts w:asciiTheme="minorHAnsi" w:hAnsiTheme="minorHAnsi"/>
          <w:color w:val="000000"/>
          <w:szCs w:val="24"/>
        </w:rPr>
      </w:pPr>
    </w:p>
    <w:p w14:paraId="270E9A5B"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En esta parte del texto se hace una digresión de cómo se gestó el Estado Moderno, que es muy diferente a los pequeños Estados Nación de la antigüedad. El Estado y sus elementos clásicos son analizados a través de una óptica, la racionalidad de la vida.</w:t>
      </w:r>
    </w:p>
    <w:p w14:paraId="76445438" w14:textId="77777777" w:rsidR="003A15D9" w:rsidRPr="000D3432" w:rsidRDefault="003A15D9" w:rsidP="00A95498">
      <w:pPr>
        <w:jc w:val="both"/>
        <w:rPr>
          <w:rFonts w:asciiTheme="minorHAnsi" w:hAnsiTheme="minorHAnsi"/>
          <w:b/>
          <w:color w:val="000000"/>
          <w:szCs w:val="24"/>
        </w:rPr>
      </w:pPr>
    </w:p>
    <w:p w14:paraId="365FED44"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6.- LAS CONSECUENCIAS DEL PENSAMIENTO JURÍDICO DE LA MODERNIDAD</w:t>
      </w:r>
    </w:p>
    <w:p w14:paraId="191E2C89" w14:textId="77777777" w:rsidR="003A15D9" w:rsidRPr="000D3432" w:rsidRDefault="003A15D9" w:rsidP="00A95498">
      <w:pPr>
        <w:rPr>
          <w:rFonts w:asciiTheme="minorHAnsi" w:hAnsiTheme="minorHAnsi"/>
          <w:color w:val="000000"/>
          <w:szCs w:val="24"/>
        </w:rPr>
      </w:pPr>
    </w:p>
    <w:p w14:paraId="359F4DA6" w14:textId="77777777" w:rsidR="003A15D9" w:rsidRPr="000D3432" w:rsidRDefault="003A15D9" w:rsidP="00A95498">
      <w:pPr>
        <w:pStyle w:val="Textodecuerpo"/>
        <w:spacing w:line="240" w:lineRule="auto"/>
        <w:rPr>
          <w:rFonts w:asciiTheme="minorHAnsi" w:hAnsiTheme="minorHAnsi"/>
          <w:b/>
          <w:color w:val="000000"/>
          <w:sz w:val="24"/>
          <w:szCs w:val="24"/>
        </w:rPr>
      </w:pPr>
      <w:r w:rsidRPr="000D3432">
        <w:rPr>
          <w:rFonts w:asciiTheme="minorHAnsi" w:hAnsiTheme="minorHAnsi"/>
          <w:b/>
          <w:color w:val="000000"/>
          <w:sz w:val="24"/>
          <w:szCs w:val="24"/>
        </w:rPr>
        <w:t>El Derecho, como producto de la Modernidad, tuvo sus consecuencias, las mismas que explicaremos muy brevemente a continuación.</w:t>
      </w:r>
    </w:p>
    <w:p w14:paraId="3B72B6E4" w14:textId="77777777" w:rsidR="003A15D9" w:rsidRPr="000D3432" w:rsidRDefault="003A15D9" w:rsidP="00A95498">
      <w:pPr>
        <w:rPr>
          <w:rFonts w:asciiTheme="minorHAnsi" w:hAnsiTheme="minorHAnsi"/>
          <w:color w:val="000000"/>
          <w:szCs w:val="24"/>
        </w:rPr>
      </w:pPr>
    </w:p>
    <w:p w14:paraId="3ADF1DA6"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a.- EL DERECHO COMO CONJUNTO DE NORMAS</w:t>
      </w:r>
    </w:p>
    <w:p w14:paraId="1C813476" w14:textId="77777777" w:rsidR="003A15D9" w:rsidRPr="000D3432" w:rsidRDefault="003A15D9" w:rsidP="00A95498">
      <w:pPr>
        <w:rPr>
          <w:rFonts w:asciiTheme="minorHAnsi" w:hAnsiTheme="minorHAnsi"/>
          <w:b/>
          <w:color w:val="000000"/>
          <w:szCs w:val="24"/>
        </w:rPr>
      </w:pPr>
    </w:p>
    <w:p w14:paraId="23C64D77" w14:textId="77777777" w:rsidR="003A15D9" w:rsidRPr="000D3432" w:rsidRDefault="003A15D9" w:rsidP="00A95498">
      <w:pPr>
        <w:pStyle w:val="Prraffo"/>
        <w:spacing w:line="240" w:lineRule="auto"/>
        <w:ind w:left="2124"/>
        <w:rPr>
          <w:rFonts w:asciiTheme="minorHAnsi" w:hAnsiTheme="minorHAnsi"/>
          <w:sz w:val="24"/>
          <w:szCs w:val="24"/>
        </w:rPr>
      </w:pPr>
      <w:r w:rsidRPr="000D3432">
        <w:rPr>
          <w:rFonts w:asciiTheme="minorHAnsi" w:hAnsiTheme="minorHAnsi"/>
          <w:sz w:val="24"/>
          <w:szCs w:val="24"/>
        </w:rPr>
        <w:t>"Todos sabemos que hoy está harto difundida, aun entre quienes no son positivistas, la convicción de que el derecho es un conjunto de normas. Y con eso se extravía totalmente la noción de que el derecho es una realidad social, algo que los hombres hacen en sus relaciones sociales. (...) el orden normativo es sólo un sector o una dimensión del mundo jurídico, que de ningún modo agota su totalidad. El orden de conductas, al contrario, aparece como el centro de gravedad de ese mundo jurídico, donde se sitúa la eficacia y la vigencia." Bidart Campos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57"/>
      </w:r>
    </w:p>
    <w:p w14:paraId="0996835C" w14:textId="77777777" w:rsidR="003A15D9" w:rsidRPr="000D3432" w:rsidRDefault="003A15D9" w:rsidP="00A95498">
      <w:pPr>
        <w:jc w:val="both"/>
        <w:rPr>
          <w:rFonts w:asciiTheme="minorHAnsi" w:hAnsiTheme="minorHAnsi"/>
          <w:color w:val="000000"/>
          <w:szCs w:val="24"/>
        </w:rPr>
      </w:pPr>
    </w:p>
    <w:p w14:paraId="6E3A0B9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En la modernidad el Derecho se propuso como un conjunto de normas, elaborado sistemáticamente, fruto del exclusivo trabajo de la razón. Estas ideas vinieron con la Revolución Francesa. Noción debatible pues considera al </w:t>
      </w:r>
      <w:r w:rsidRPr="000D3432">
        <w:rPr>
          <w:rFonts w:asciiTheme="minorHAnsi" w:hAnsiTheme="minorHAnsi"/>
          <w:color w:val="000000"/>
          <w:szCs w:val="24"/>
        </w:rPr>
        <w:lastRenderedPageBreak/>
        <w:t>derecho como objeto dejando de lado al sujeto de derecho.</w:t>
      </w:r>
    </w:p>
    <w:p w14:paraId="43DB1E95" w14:textId="77777777" w:rsidR="003A15D9" w:rsidRPr="000D3432" w:rsidRDefault="003A15D9" w:rsidP="00A95498">
      <w:pPr>
        <w:rPr>
          <w:rFonts w:asciiTheme="minorHAnsi" w:hAnsiTheme="minorHAnsi"/>
          <w:color w:val="000000"/>
          <w:szCs w:val="24"/>
        </w:rPr>
      </w:pPr>
    </w:p>
    <w:p w14:paraId="483110AC"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b.- EL DERECHO COMO SISTEMA JURÍDICO CERRADO Y LA CONSTITUCIÓN</w:t>
      </w:r>
    </w:p>
    <w:p w14:paraId="1D596875" w14:textId="77777777" w:rsidR="003A15D9" w:rsidRPr="000D3432" w:rsidRDefault="003A15D9" w:rsidP="00A95498">
      <w:pPr>
        <w:jc w:val="both"/>
        <w:rPr>
          <w:rFonts w:asciiTheme="minorHAnsi" w:hAnsiTheme="minorHAnsi"/>
          <w:color w:val="000000"/>
          <w:szCs w:val="24"/>
        </w:rPr>
      </w:pPr>
    </w:p>
    <w:p w14:paraId="0A091F68"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“Algunos autores indican que la propensión sistemática no es en sí misma nociva; lo peligrosos es, a su entender, adherirse a un sistema cerrado (como el de Hegel) en vez de propugnar un sistema abierto que sin perder ninguna de las ventajas de la ordenación sistemática, sea capaz de acoger nuevos problemas y de modificarse continuamente.” Ferrater Mora</w:t>
      </w:r>
      <w:r w:rsidRPr="000D3432">
        <w:rPr>
          <w:rStyle w:val="Refdenotaalpie"/>
          <w:rFonts w:asciiTheme="minorHAnsi" w:hAnsiTheme="minorHAnsi"/>
          <w:sz w:val="24"/>
          <w:szCs w:val="24"/>
        </w:rPr>
        <w:footnoteReference w:id="658"/>
      </w:r>
    </w:p>
    <w:p w14:paraId="1B069686" w14:textId="77777777" w:rsidR="003A15D9" w:rsidRPr="000D3432" w:rsidRDefault="003A15D9" w:rsidP="00A95498">
      <w:pPr>
        <w:jc w:val="both"/>
        <w:rPr>
          <w:rFonts w:asciiTheme="minorHAnsi" w:hAnsiTheme="minorHAnsi"/>
          <w:szCs w:val="24"/>
        </w:rPr>
      </w:pPr>
    </w:p>
    <w:p w14:paraId="66C95FEE"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Derecho moderno trajo consigo también la inclinación sistémica en el derecho público, en la Constitución (máxima expresión de la modernidad); creando el complejo normativo estableciendo de una sola vez, total, sistemáticamente las funciones fundamentales del Estado, que es regular los órganos, ámbitos de competencia, y las relaciones entre ellos. </w:t>
      </w:r>
    </w:p>
    <w:p w14:paraId="567211B7" w14:textId="77777777" w:rsidR="003A15D9" w:rsidRPr="000D3432" w:rsidRDefault="003A15D9" w:rsidP="00A95498">
      <w:pPr>
        <w:jc w:val="both"/>
        <w:rPr>
          <w:rFonts w:asciiTheme="minorHAnsi" w:hAnsiTheme="minorHAnsi"/>
          <w:color w:val="000000"/>
          <w:szCs w:val="24"/>
        </w:rPr>
      </w:pPr>
    </w:p>
    <w:p w14:paraId="711E74AA"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Se forma, pues, la Constitución como sistema racional de normas acerca de la organización política del Estado. La Constitución pasa a ser la base del Derecho a partir del siglo XIX; en donde el Contrato Social es la autoridad máxima general y global de la regulación total de las relaciones entre los seres humanos. Las Constituciones son el freno y negación del poder de la monarquía; se pone fin al exclusivo poder de los Reyes, fin de la Soberanía Real de los Reyes. Este poder soberano de los Reyes (argumento que legitimaba el poder que presumía que éste venía de Dios al monarca, para que gobernara al pueblo). </w:t>
      </w:r>
    </w:p>
    <w:p w14:paraId="386EA022" w14:textId="77777777" w:rsidR="003A15D9" w:rsidRPr="000D3432" w:rsidRDefault="003A15D9" w:rsidP="00A95498">
      <w:pPr>
        <w:pStyle w:val="Textodecuerpo"/>
        <w:spacing w:line="240" w:lineRule="auto"/>
        <w:rPr>
          <w:rFonts w:asciiTheme="minorHAnsi" w:hAnsiTheme="minorHAnsi"/>
          <w:b/>
          <w:bCs/>
          <w:color w:val="000000"/>
          <w:sz w:val="24"/>
          <w:szCs w:val="24"/>
        </w:rPr>
      </w:pPr>
    </w:p>
    <w:p w14:paraId="0702144B" w14:textId="77777777" w:rsidR="003A15D9" w:rsidRPr="000D3432" w:rsidRDefault="003A15D9"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La Soberanía Real era aquella mediante el cual el Rey daba las Leyes, ejecutaba la política del Estado a través de sus ministros, resolvía en última instancia en los asuntos judiciales, etc. Frente a todo esto la modernidad trajo consigo la reacción de la Soberanía Popular, que ponía al hombre en condiciones iguales de asumir el poder. </w:t>
      </w:r>
    </w:p>
    <w:p w14:paraId="75D12FD9" w14:textId="77777777" w:rsidR="003A15D9" w:rsidRPr="000D3432" w:rsidRDefault="003A15D9" w:rsidP="00A95498">
      <w:pPr>
        <w:rPr>
          <w:rFonts w:asciiTheme="minorHAnsi" w:hAnsiTheme="minorHAnsi"/>
          <w:color w:val="000000"/>
          <w:szCs w:val="24"/>
        </w:rPr>
      </w:pPr>
    </w:p>
    <w:p w14:paraId="75259748"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c.- EL DERECHO COMO CODIFICACIÓN PERFECTA Y SU CONFIGURACIÓN EN EL POSITIVISMO JURÍDICO</w:t>
      </w:r>
    </w:p>
    <w:p w14:paraId="3E29A44F" w14:textId="77777777" w:rsidR="003A15D9" w:rsidRPr="000D3432" w:rsidRDefault="003A15D9" w:rsidP="00A95498">
      <w:pPr>
        <w:rPr>
          <w:rFonts w:asciiTheme="minorHAnsi" w:hAnsiTheme="minorHAnsi"/>
          <w:color w:val="000000"/>
          <w:szCs w:val="24"/>
        </w:rPr>
      </w:pPr>
    </w:p>
    <w:p w14:paraId="5E914DFA" w14:textId="77777777" w:rsidR="003A15D9" w:rsidRPr="000D3432" w:rsidRDefault="003A15D9" w:rsidP="00A95498">
      <w:pPr>
        <w:ind w:left="1416"/>
        <w:jc w:val="both"/>
        <w:rPr>
          <w:rFonts w:asciiTheme="minorHAnsi" w:hAnsiTheme="minorHAnsi"/>
          <w:szCs w:val="24"/>
        </w:rPr>
      </w:pPr>
      <w:r w:rsidRPr="000D3432">
        <w:rPr>
          <w:rFonts w:asciiTheme="minorHAnsi" w:hAnsiTheme="minorHAnsi"/>
          <w:szCs w:val="24"/>
        </w:rPr>
        <w:t>“En el ámbito del derecho privado, la consecuencia más inmediata de las ideas modernas fue la codificación.(...) Para los revolucionarios franceses, el nuevo estado que se estaba creando, “no quería ser sino un estado según la Razón (...) En otros términos, se trataba de estatalizar el derecho natural, de fijar en normas precisas y sancionadas por la autoridad, los principios eternos e inmutables que la razon humana había descubierto en la “era de las luces”; de este modo, se evitaría la imprecisión de los contenidos del derecho racional y se los establecería en forma cierta de una vez y para siempre.”</w:t>
      </w:r>
    </w:p>
    <w:p w14:paraId="07696383" w14:textId="77777777" w:rsidR="003A15D9" w:rsidRPr="000D3432" w:rsidRDefault="003A15D9" w:rsidP="00A95498">
      <w:pPr>
        <w:rPr>
          <w:rFonts w:asciiTheme="minorHAnsi" w:hAnsiTheme="minorHAnsi"/>
          <w:color w:val="000000"/>
          <w:szCs w:val="24"/>
        </w:rPr>
      </w:pPr>
    </w:p>
    <w:p w14:paraId="711B5D72"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modernidad trajo consigo también el Código, Códex, que era la forma tecnológica en la confección de textos escritos. Cabe aclarar que el Código es cualquier conjunto de reglas, aún cuando no hayan recibido una formalización escrita. </w:t>
      </w:r>
    </w:p>
    <w:p w14:paraId="41DCDBD8" w14:textId="77777777" w:rsidR="003A15D9" w:rsidRPr="000D3432" w:rsidRDefault="003A15D9" w:rsidP="00A95498">
      <w:pPr>
        <w:rPr>
          <w:rFonts w:asciiTheme="minorHAnsi" w:hAnsiTheme="minorHAnsi"/>
          <w:color w:val="000000"/>
          <w:szCs w:val="24"/>
        </w:rPr>
      </w:pPr>
    </w:p>
    <w:p w14:paraId="50EACA01"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Con la codificación se intentó la tecnificación y racionalización de las actividades jurídicas; idea que venía generada por la Ilustración. </w:t>
      </w:r>
    </w:p>
    <w:p w14:paraId="5A546EB7" w14:textId="77777777" w:rsidR="003A15D9" w:rsidRPr="000D3432" w:rsidRDefault="003A15D9" w:rsidP="00A95498">
      <w:pPr>
        <w:jc w:val="both"/>
        <w:rPr>
          <w:rFonts w:asciiTheme="minorHAnsi" w:hAnsiTheme="minorHAnsi"/>
          <w:color w:val="000000"/>
          <w:szCs w:val="24"/>
        </w:rPr>
      </w:pPr>
    </w:p>
    <w:p w14:paraId="742840F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Las Codificaciones Antiguas eran sólo ordenaciones, depuraciones, sistematizaciones del derecho vigente. Los Códigos Modernos eran más bien la creación de un derecho nuevo, producto de la razón ilustrada; pero este tipo de codificación precisaba fijar los principios racionales jurídicos eternos e inmutables. Y a pesar del gran avance que supuso trae consigo una aversión, trae el positivismo jurídico, que destierra a la realidad, dejando además relegada a la interpretación. Este positivismo jurídico fue distinto en sus fundamentos al positivismo filosófico. </w:t>
      </w:r>
    </w:p>
    <w:p w14:paraId="47511F71" w14:textId="77777777" w:rsidR="003A15D9" w:rsidRPr="000D3432" w:rsidRDefault="003A15D9" w:rsidP="00A95498">
      <w:pPr>
        <w:rPr>
          <w:rFonts w:asciiTheme="minorHAnsi" w:hAnsiTheme="minorHAnsi"/>
          <w:color w:val="000000"/>
          <w:szCs w:val="24"/>
        </w:rPr>
      </w:pPr>
    </w:p>
    <w:p w14:paraId="0E30187B"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d.- EL DERECHO COMO DOGMA TEÓRICO Y LA VOLUNTAD GENERAL</w:t>
      </w:r>
    </w:p>
    <w:p w14:paraId="6627E5C5" w14:textId="77777777" w:rsidR="003A15D9" w:rsidRPr="000D3432" w:rsidRDefault="003A15D9" w:rsidP="00A95498">
      <w:pPr>
        <w:pStyle w:val="Textodecuerpo2"/>
        <w:spacing w:after="0" w:line="240" w:lineRule="auto"/>
        <w:ind w:left="2124"/>
        <w:rPr>
          <w:rFonts w:asciiTheme="minorHAnsi" w:hAnsiTheme="minorHAnsi"/>
          <w:b/>
          <w:i/>
          <w:smallCaps/>
          <w:color w:val="000000"/>
          <w:szCs w:val="24"/>
        </w:rPr>
      </w:pPr>
    </w:p>
    <w:p w14:paraId="23A6B486"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“No sólo el racionalismo conducía a la prentendida aplicación mecánica de los códigos por el juez; también el dogma de la soberanía popular, expresada a través de la voluntad general, arribaba a los mismos resultados (...)Sólo la voluntad general podía ser fuente de normas de conducta social; la voluntad -y mucho menos la razón- del juez no tenían relevancia a ese respecto y su tarea era puramente repetitiva y reductiva del quehacer del legislador. (...) La ley debía ser mantenida en su integridad y aplicada fielmente a toda costa; en el caso de que el texto fuese obscuro o contradictorio, se establecían una serie de procedimientos destinados a develar cuál había sido, para ese caso, el querer del representante de la “voluntad general”.</w:t>
      </w:r>
      <w:r w:rsidRPr="000D3432">
        <w:rPr>
          <w:rFonts w:asciiTheme="minorHAnsi" w:hAnsiTheme="minorHAnsi"/>
          <w:b/>
          <w:i/>
          <w:smallCaps/>
          <w:szCs w:val="24"/>
        </w:rPr>
        <w:t xml:space="preserve"> </w:t>
      </w:r>
      <w:r w:rsidRPr="000D3432">
        <w:rPr>
          <w:rFonts w:asciiTheme="minorHAnsi" w:hAnsiTheme="minorHAnsi"/>
          <w:szCs w:val="24"/>
        </w:rPr>
        <w:t>Massini</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59"/>
      </w:r>
    </w:p>
    <w:p w14:paraId="4D68391E" w14:textId="77777777" w:rsidR="003A15D9" w:rsidRPr="000D3432" w:rsidRDefault="003A15D9" w:rsidP="00A95498">
      <w:pPr>
        <w:pStyle w:val="Textodecuerpo2"/>
        <w:spacing w:after="0" w:line="240" w:lineRule="auto"/>
        <w:rPr>
          <w:rFonts w:asciiTheme="minorHAnsi" w:hAnsiTheme="minorHAnsi"/>
          <w:b/>
          <w:i/>
          <w:smallCaps/>
          <w:color w:val="000000"/>
          <w:szCs w:val="24"/>
        </w:rPr>
      </w:pPr>
    </w:p>
    <w:p w14:paraId="326415D5"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Otra de las consecuencias de la Modernidad fue provocar un derecho dogmático; un derecho que rendía culto a la lógica pura. Así se produce una extraña conjunción histórica, pues incluso el Juez estaba ahora frente a la norma como el teólogo a la revelación. El Juez aceptara sin discusión los preceptos del positivismo, y extraerá sus soluciones mediante los procedimientos de la lógica; forma sus decisiones del texto legal, y este se convierte en dogma como certeza absoluta.  Sucede luego una aplicación mecánica de los códigos que contenían la ley.</w:t>
      </w:r>
    </w:p>
    <w:p w14:paraId="44A64F5D"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3B3F8B76"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El dogma de la Soberanía Popular estaba expresada a través de la voluntad general: sólo la voluntad general es fuente de normas; así el Juez se forma como </w:t>
      </w:r>
      <w:r w:rsidRPr="000D3432">
        <w:rPr>
          <w:rFonts w:asciiTheme="minorHAnsi" w:hAnsiTheme="minorHAnsi"/>
          <w:color w:val="000000"/>
          <w:szCs w:val="24"/>
        </w:rPr>
        <w:lastRenderedPageBreak/>
        <w:t>“la boca de la ley” y reduce su actuación a una función repetitiva del quehacer del legislador.</w:t>
      </w:r>
    </w:p>
    <w:p w14:paraId="0FD5FE32" w14:textId="77777777" w:rsidR="003A15D9" w:rsidRPr="000D3432" w:rsidRDefault="003A15D9" w:rsidP="00A95498">
      <w:pPr>
        <w:pStyle w:val="Textodecuerpo2"/>
        <w:spacing w:after="0" w:line="240" w:lineRule="auto"/>
        <w:jc w:val="both"/>
        <w:rPr>
          <w:rFonts w:asciiTheme="minorHAnsi" w:hAnsiTheme="minorHAnsi"/>
          <w:color w:val="000000"/>
          <w:szCs w:val="24"/>
        </w:rPr>
      </w:pPr>
    </w:p>
    <w:p w14:paraId="1F856CDA"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En este contexto lo importante es el espíritu de la ley, que debía aplicarse fielmente; y este espíritu de la ley significaba buscar el querer del representante de la voluntad general. Surge pues la exégesis, que no es más que el destierro de la interpretación. Y las leyes son consideradas intangibles por su origen y razón en la voluntad general. El pensamiento jurídico de la modernidad se formaría y estructuraría así acrítico. </w:t>
      </w:r>
    </w:p>
    <w:p w14:paraId="5CADB2DF" w14:textId="77777777" w:rsidR="003A15D9" w:rsidRPr="000D3432" w:rsidRDefault="003A15D9" w:rsidP="00A95498">
      <w:pPr>
        <w:jc w:val="both"/>
        <w:rPr>
          <w:rFonts w:asciiTheme="minorHAnsi" w:hAnsiTheme="minorHAnsi"/>
          <w:color w:val="000000"/>
          <w:szCs w:val="24"/>
        </w:rPr>
      </w:pPr>
    </w:p>
    <w:p w14:paraId="0EB40063"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7.- ALGUNAS CONCLUSIONES SOBRE EL PENSAMIENTO JURÍDICO DE LA MODERNIDAD</w:t>
      </w:r>
    </w:p>
    <w:p w14:paraId="2A7F949B" w14:textId="77777777" w:rsidR="003A15D9" w:rsidRPr="000D3432" w:rsidRDefault="003A15D9" w:rsidP="00A95498">
      <w:pPr>
        <w:jc w:val="both"/>
        <w:rPr>
          <w:rFonts w:asciiTheme="minorHAnsi" w:hAnsiTheme="minorHAnsi"/>
          <w:b/>
          <w:color w:val="000000"/>
          <w:szCs w:val="24"/>
        </w:rPr>
      </w:pPr>
    </w:p>
    <w:p w14:paraId="7B74D273" w14:textId="77777777" w:rsidR="003A15D9" w:rsidRPr="000D3432" w:rsidRDefault="003A15D9" w:rsidP="00A95498">
      <w:pPr>
        <w:pStyle w:val="Textodecuerpo2"/>
        <w:spacing w:after="0" w:line="240" w:lineRule="auto"/>
        <w:jc w:val="both"/>
        <w:rPr>
          <w:rFonts w:asciiTheme="minorHAnsi" w:hAnsiTheme="minorHAnsi"/>
          <w:color w:val="000000"/>
          <w:szCs w:val="24"/>
        </w:rPr>
      </w:pPr>
      <w:r w:rsidRPr="000D3432">
        <w:rPr>
          <w:rFonts w:asciiTheme="minorHAnsi" w:hAnsiTheme="minorHAnsi"/>
          <w:color w:val="000000"/>
          <w:szCs w:val="24"/>
        </w:rPr>
        <w:t xml:space="preserve">La modernidad  provoca cierto progreso por el intento de precisión para manejar conceptos y términos jurídicos con metodología rigurosa. El progreso significaría aquella precisión terminológica; el orden jurídico sería vislumbrado como un sistema; la organización estaría diseñada de acuerdo a un cuadro. Se interrelacionaría los elementos y los conceptos para que actúen en Derecho. Pero todo esto tendría un eje central: el hombre, que estaría al margen de la teología o la tradición; sin embargo, puesto allí, a través de un avance técnico formal que se reducía a: 1.- Precisión terminología; 2.- Conceptos y categorías rigurosamente elaborados.  La modernidad olvida lo concreto, histórico y valorativo. </w:t>
      </w:r>
    </w:p>
    <w:p w14:paraId="4BBA854E" w14:textId="77777777" w:rsidR="003A15D9" w:rsidRPr="000D3432" w:rsidRDefault="003A15D9" w:rsidP="00A95498">
      <w:pPr>
        <w:numPr>
          <w:ilvl w:val="12"/>
          <w:numId w:val="0"/>
        </w:numPr>
        <w:rPr>
          <w:rFonts w:asciiTheme="minorHAnsi" w:hAnsiTheme="minorHAnsi"/>
          <w:color w:val="000000"/>
          <w:szCs w:val="24"/>
        </w:rPr>
      </w:pPr>
    </w:p>
    <w:p w14:paraId="4D98E12B" w14:textId="77777777" w:rsidR="003A15D9" w:rsidRPr="000D3432" w:rsidRDefault="003A15D9" w:rsidP="00A95498">
      <w:pPr>
        <w:numPr>
          <w:ilvl w:val="12"/>
          <w:numId w:val="0"/>
        </w:numPr>
        <w:rPr>
          <w:rFonts w:asciiTheme="minorHAnsi" w:hAnsiTheme="minorHAnsi"/>
          <w:b/>
          <w:color w:val="000000"/>
          <w:szCs w:val="24"/>
        </w:rPr>
      </w:pPr>
      <w:r w:rsidRPr="000D3432">
        <w:rPr>
          <w:rFonts w:asciiTheme="minorHAnsi" w:hAnsiTheme="minorHAnsi"/>
          <w:b/>
          <w:color w:val="000000"/>
          <w:szCs w:val="24"/>
        </w:rPr>
        <w:t>LA POSTMODERNIDAD JURÍDICA</w:t>
      </w:r>
    </w:p>
    <w:p w14:paraId="7D0314AC" w14:textId="77777777" w:rsidR="003A15D9" w:rsidRPr="000D3432" w:rsidRDefault="003A15D9" w:rsidP="00A95498">
      <w:pPr>
        <w:numPr>
          <w:ilvl w:val="12"/>
          <w:numId w:val="0"/>
        </w:numPr>
        <w:rPr>
          <w:rFonts w:asciiTheme="minorHAnsi" w:hAnsiTheme="minorHAnsi"/>
          <w:color w:val="000000"/>
          <w:szCs w:val="24"/>
        </w:rPr>
      </w:pPr>
    </w:p>
    <w:p w14:paraId="7A3CF375" w14:textId="77777777" w:rsidR="003A15D9" w:rsidRPr="000D3432" w:rsidRDefault="003A15D9" w:rsidP="00A95498">
      <w:pPr>
        <w:pStyle w:val="Parrafffo"/>
        <w:spacing w:line="240" w:lineRule="auto"/>
        <w:ind w:left="2124"/>
        <w:rPr>
          <w:rFonts w:asciiTheme="minorHAnsi" w:hAnsiTheme="minorHAnsi"/>
          <w:sz w:val="24"/>
          <w:szCs w:val="24"/>
        </w:rPr>
      </w:pPr>
      <w:r w:rsidRPr="000D3432">
        <w:rPr>
          <w:rFonts w:asciiTheme="minorHAnsi" w:hAnsiTheme="minorHAnsi"/>
          <w:sz w:val="24"/>
          <w:szCs w:val="24"/>
        </w:rPr>
        <w:t>“El Derecho postmoderno no puede ser construido en términos que impliquen una reducción forzada a la unidad sino como la posibilidad de articular las diferencias, de mostrar las afiliaciones sin perder la heterogeneidad. Tiene que ser un orden esencialmente dinámico: no puede pretender fijar la sociedad de una determinada manera, no es una plantilla que se aplica sobre la riqueza de la vida social para que ésta se comporte en patrones conocidos; es más bien un proceso, es un método de confrontaciones de poder que continuamente va recreando el todo. No es un orden cerrado como quería el pensamiento moderno sino una totalidad abierta y en contínua evolución, situada frente a permanentes transformaciones de poder que llevan a situaciones no planeadas e impredictibles.” (Trazegnies)</w:t>
      </w:r>
    </w:p>
    <w:p w14:paraId="0F54BBC7" w14:textId="77777777" w:rsidR="003A15D9" w:rsidRPr="000D3432" w:rsidRDefault="003A15D9" w:rsidP="00A95498">
      <w:pPr>
        <w:numPr>
          <w:ilvl w:val="12"/>
          <w:numId w:val="0"/>
        </w:numPr>
        <w:rPr>
          <w:rFonts w:asciiTheme="minorHAnsi" w:hAnsiTheme="minorHAnsi"/>
          <w:color w:val="000000"/>
          <w:szCs w:val="24"/>
        </w:rPr>
      </w:pPr>
    </w:p>
    <w:p w14:paraId="40B486E7"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Frente al panorama de la  Modernidad que logró varios avances para desarrollar la organización jurídica de la sociedad, pero que resultaba, en la práctica, insuficiente para resolver los conflictos de intereses, pues dejaba de lado algunos aspectos fundamentales del ser humano, surge una nueva concepción, la Postmodernidad, que como un desencanto crítico se propone como un </w:t>
      </w:r>
      <w:r w:rsidRPr="000D3432">
        <w:rPr>
          <w:rFonts w:asciiTheme="minorHAnsi" w:hAnsiTheme="minorHAnsi"/>
          <w:color w:val="000000"/>
          <w:szCs w:val="24"/>
        </w:rPr>
        <w:lastRenderedPageBreak/>
        <w:t xml:space="preserve">fenómeno tonificante de la vida. </w:t>
      </w:r>
    </w:p>
    <w:p w14:paraId="68A81BF0" w14:textId="77777777" w:rsidR="003A15D9" w:rsidRPr="000D3432" w:rsidRDefault="003A15D9" w:rsidP="00A95498">
      <w:pPr>
        <w:numPr>
          <w:ilvl w:val="12"/>
          <w:numId w:val="0"/>
        </w:numPr>
        <w:jc w:val="both"/>
        <w:rPr>
          <w:rFonts w:asciiTheme="minorHAnsi" w:hAnsiTheme="minorHAnsi"/>
          <w:b/>
          <w:color w:val="000000"/>
          <w:szCs w:val="24"/>
        </w:rPr>
      </w:pPr>
      <w:r w:rsidRPr="000D3432">
        <w:rPr>
          <w:rFonts w:asciiTheme="minorHAnsi" w:hAnsiTheme="minorHAnsi"/>
          <w:b/>
          <w:color w:val="000000"/>
          <w:szCs w:val="24"/>
        </w:rPr>
        <w:t xml:space="preserve"> </w:t>
      </w:r>
    </w:p>
    <w:p w14:paraId="1444C618" w14:textId="77777777" w:rsidR="003A15D9" w:rsidRPr="000D3432" w:rsidRDefault="003A15D9" w:rsidP="00A95498">
      <w:pPr>
        <w:numPr>
          <w:ilvl w:val="12"/>
          <w:numId w:val="0"/>
        </w:numPr>
        <w:jc w:val="both"/>
        <w:rPr>
          <w:rFonts w:asciiTheme="minorHAnsi" w:hAnsiTheme="minorHAnsi"/>
          <w:b/>
          <w:color w:val="000000"/>
          <w:szCs w:val="24"/>
        </w:rPr>
      </w:pPr>
      <w:r w:rsidRPr="000D3432">
        <w:rPr>
          <w:rFonts w:asciiTheme="minorHAnsi" w:hAnsiTheme="minorHAnsi"/>
          <w:b/>
          <w:color w:val="000000"/>
          <w:szCs w:val="24"/>
        </w:rPr>
        <w:t>1.- LA GENEALOGÍA DE LA POSTMODERNIDAD. ANTECEDENTES NORMATIVOS</w:t>
      </w:r>
    </w:p>
    <w:p w14:paraId="2D703C85" w14:textId="77777777" w:rsidR="003A15D9" w:rsidRPr="000D3432" w:rsidRDefault="003A15D9" w:rsidP="00A95498">
      <w:pPr>
        <w:numPr>
          <w:ilvl w:val="12"/>
          <w:numId w:val="0"/>
        </w:numPr>
        <w:rPr>
          <w:rFonts w:asciiTheme="minorHAnsi" w:hAnsiTheme="minorHAnsi"/>
          <w:color w:val="000000"/>
          <w:szCs w:val="24"/>
        </w:rPr>
      </w:pPr>
    </w:p>
    <w:p w14:paraId="45CE7DD4"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Podemos encontrar la genealogía de la Postmodernidad entre la primera y segunda guerra mundial. Teoría mediante la cual la razón es criticada y también la época de la historia que habría usado como paradigma. La edad de la razón (la Edad Moderna) es puesta en tela de juicio. Surgen teorizaciones como la de Spengler con su libro “La decadencia de occidente”; asimismo como la obra de Ortega y Gasset con  “La rebelión de las masas”; resalta la escuela de Frankfurt; se produce la caída de Berlín; todo como un desencanto crítico del anterior régimen. </w:t>
      </w:r>
    </w:p>
    <w:p w14:paraId="1DBDFABF" w14:textId="77777777" w:rsidR="003A15D9" w:rsidRPr="000D3432" w:rsidRDefault="003A15D9" w:rsidP="00A95498">
      <w:pPr>
        <w:rPr>
          <w:rFonts w:asciiTheme="minorHAnsi" w:hAnsiTheme="minorHAnsi"/>
          <w:color w:val="000000"/>
          <w:szCs w:val="24"/>
        </w:rPr>
      </w:pPr>
    </w:p>
    <w:p w14:paraId="1C4924DD"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2.- EL DESENCANTO POSTMODERNO (CRÍTICA DE LA MODERNIDAD)</w:t>
      </w:r>
    </w:p>
    <w:p w14:paraId="3D1803F5" w14:textId="77777777" w:rsidR="003A15D9" w:rsidRPr="000D3432" w:rsidRDefault="003A15D9" w:rsidP="00A95498">
      <w:pPr>
        <w:rPr>
          <w:rFonts w:asciiTheme="minorHAnsi" w:hAnsiTheme="minorHAnsi"/>
          <w:color w:val="000000"/>
          <w:szCs w:val="24"/>
        </w:rPr>
      </w:pPr>
    </w:p>
    <w:p w14:paraId="5D5CA76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Este desencanto postmoderno  propone nada de universalismos, nada de racionalismos; existe una irritación por la desaparición de las particularidades; entre en análisis la metanarrativa, el metalenguaje, y comienza un nuevo derecho vital a partir de la crisis de la modernidad y crisis de la sociedad.  Esta crisis se da en los saberes, en la filosofía, en la economía, en el arte, la ciencia, la política, las relaciones sociales. Todo entra en un nuevo análisis, incluso se critica los mecanismos del progreso, la visión bidimensional. </w:t>
      </w:r>
    </w:p>
    <w:p w14:paraId="468E9BEB" w14:textId="77777777" w:rsidR="003A15D9" w:rsidRPr="000D3432" w:rsidRDefault="003A15D9" w:rsidP="00A95498">
      <w:pPr>
        <w:numPr>
          <w:ilvl w:val="12"/>
          <w:numId w:val="0"/>
        </w:numPr>
        <w:rPr>
          <w:rFonts w:asciiTheme="minorHAnsi" w:hAnsiTheme="minorHAnsi"/>
          <w:color w:val="000000"/>
          <w:szCs w:val="24"/>
        </w:rPr>
      </w:pPr>
    </w:p>
    <w:p w14:paraId="6800521F"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Surgen autores que tratan de la modernidad en decadencia, como Nietzsche, Heidegger, Foucault, Derrida, Lyotard, Habermas. La crisis de la modernidad trae el fin de la historia y de los metarrelatos, el fin de la verdad universal, del sentido unívoco. Frente a esto nace la postmodernidad que sustituye la cultura por multiculturalidad, la universalidad por la pluralidad, el monosentido por el multisentido. </w:t>
      </w:r>
    </w:p>
    <w:p w14:paraId="6F5B619A" w14:textId="77777777" w:rsidR="003A15D9" w:rsidRPr="000D3432" w:rsidRDefault="003A15D9" w:rsidP="00A95498">
      <w:pPr>
        <w:numPr>
          <w:ilvl w:val="12"/>
          <w:numId w:val="0"/>
        </w:numPr>
        <w:jc w:val="both"/>
        <w:rPr>
          <w:rFonts w:asciiTheme="minorHAnsi" w:hAnsiTheme="minorHAnsi"/>
          <w:color w:val="000000"/>
          <w:szCs w:val="24"/>
        </w:rPr>
      </w:pPr>
    </w:p>
    <w:p w14:paraId="1FBC31D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b/>
          <w:color w:val="000000"/>
          <w:szCs w:val="24"/>
        </w:rPr>
        <w:t>3.- ¿QUÉ ES POSTMODERNIDAD? CUESTIONAMIENTO HISTÓRICO Y CARACTERIZACIÓN CONCEPTUAL</w:t>
      </w:r>
      <w:r w:rsidRPr="000D3432">
        <w:rPr>
          <w:rFonts w:asciiTheme="minorHAnsi" w:hAnsiTheme="minorHAnsi"/>
          <w:color w:val="000000"/>
          <w:szCs w:val="24"/>
        </w:rPr>
        <w:t>)</w:t>
      </w:r>
    </w:p>
    <w:p w14:paraId="11D0669D" w14:textId="77777777" w:rsidR="003A15D9" w:rsidRPr="000D3432" w:rsidRDefault="003A15D9" w:rsidP="00A95498">
      <w:pPr>
        <w:numPr>
          <w:ilvl w:val="12"/>
          <w:numId w:val="0"/>
        </w:numPr>
        <w:rPr>
          <w:rFonts w:asciiTheme="minorHAnsi" w:hAnsiTheme="minorHAnsi"/>
          <w:color w:val="000000"/>
          <w:szCs w:val="24"/>
        </w:rPr>
      </w:pPr>
    </w:p>
    <w:p w14:paraId="02FD4B4A" w14:textId="77777777" w:rsidR="003A15D9" w:rsidRPr="000D3432" w:rsidRDefault="003A15D9" w:rsidP="00A95498">
      <w:pPr>
        <w:pStyle w:val="Textodecuerpo"/>
        <w:spacing w:line="240" w:lineRule="auto"/>
        <w:ind w:left="2124"/>
        <w:rPr>
          <w:rFonts w:asciiTheme="minorHAnsi" w:hAnsiTheme="minorHAnsi"/>
          <w:sz w:val="24"/>
          <w:szCs w:val="24"/>
        </w:rPr>
      </w:pPr>
      <w:r w:rsidRPr="000D3432">
        <w:rPr>
          <w:rFonts w:asciiTheme="minorHAnsi" w:hAnsiTheme="minorHAnsi"/>
          <w:sz w:val="24"/>
          <w:szCs w:val="24"/>
        </w:rPr>
        <w:t xml:space="preserve">“El postmodernismo es, en realidad, ante todo un desencanto exasperado frente a la modernidad, frente al carácter universalizante del pensamiento moderno. Es, de un lado, una irritación por la desaparición de las particularidades dentro de una universalidad racional que parece engullir toda identidad disconforme. Es también un escepticismo frente a todo aquello que presuma de valor universal; es decir, frente a todo aquello que constituya una metanarrativa, para utilizar una expresión que utilizan los postmodernos como herencia del origen de crítica literaria de esta posición. Es, finalmente, una desilusión y una desconfianza frente a la razón misma, en tanto que instrumento de homogeneización y de universalización.” </w:t>
      </w:r>
      <w:r w:rsidRPr="000D3432">
        <w:rPr>
          <w:rFonts w:asciiTheme="minorHAnsi" w:hAnsiTheme="minorHAnsi"/>
          <w:sz w:val="24"/>
          <w:szCs w:val="24"/>
        </w:rPr>
        <w:lastRenderedPageBreak/>
        <w:t>Trazegnies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60"/>
      </w:r>
    </w:p>
    <w:p w14:paraId="4A3DF67A" w14:textId="77777777" w:rsidR="003A15D9" w:rsidRPr="000D3432" w:rsidRDefault="003A15D9" w:rsidP="00A95498">
      <w:pPr>
        <w:numPr>
          <w:ilvl w:val="12"/>
          <w:numId w:val="0"/>
        </w:numPr>
        <w:rPr>
          <w:rFonts w:asciiTheme="minorHAnsi" w:hAnsiTheme="minorHAnsi"/>
          <w:color w:val="000000"/>
          <w:szCs w:val="24"/>
        </w:rPr>
      </w:pPr>
    </w:p>
    <w:p w14:paraId="462580B0"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La Postmodernidad plantea una crítica de la razón ilustrada, de la universalización, del objetivismo, de los metarrelatos, de los dogmas modernos, así como de los sistemas cerrados, y hasta de la verdad objetiva.</w:t>
      </w:r>
    </w:p>
    <w:p w14:paraId="27C6ACAA" w14:textId="77777777" w:rsidR="003A15D9" w:rsidRPr="000D3432" w:rsidRDefault="003A15D9" w:rsidP="00A95498">
      <w:pPr>
        <w:numPr>
          <w:ilvl w:val="12"/>
          <w:numId w:val="0"/>
        </w:numPr>
        <w:rPr>
          <w:rFonts w:asciiTheme="minorHAnsi" w:hAnsiTheme="minorHAnsi"/>
          <w:color w:val="000000"/>
          <w:szCs w:val="24"/>
        </w:rPr>
      </w:pPr>
    </w:p>
    <w:p w14:paraId="0BDACF9A" w14:textId="77777777" w:rsidR="003A15D9" w:rsidRPr="000D3432" w:rsidRDefault="003A15D9" w:rsidP="00A95498">
      <w:pPr>
        <w:numPr>
          <w:ilvl w:val="12"/>
          <w:numId w:val="0"/>
        </w:numPr>
        <w:jc w:val="both"/>
        <w:rPr>
          <w:rFonts w:asciiTheme="minorHAnsi" w:hAnsiTheme="minorHAnsi"/>
          <w:color w:val="000000"/>
          <w:szCs w:val="24"/>
        </w:rPr>
      </w:pPr>
      <w:r w:rsidRPr="000D3432">
        <w:rPr>
          <w:rFonts w:asciiTheme="minorHAnsi" w:hAnsiTheme="minorHAnsi"/>
          <w:color w:val="000000"/>
          <w:szCs w:val="24"/>
        </w:rPr>
        <w:t xml:space="preserve">La Postmodernidad cuestiona todo; es una rebelión contra una razón demasiada rígida; no es una vuelta al atomismo, individualismo egoísta; hay preocupación por el todo, pero desde la parte; se cree en un orden, pero diferente al racional (matemático y rígido), que no sacrifica la diversidad. Se cree en una razón que respeta lo complejo, lo diverso; no se trata de un anarquismo intelectual; ni de una condena a todo sistema; no reivindica indiscriminadamente los particularismos, ni dignifica a prior lo irracional; no se refugia en el relativismo, ni pretende confundir sino solucionar; se cree en el riesgo y el azar dentro de su sistema de operaciones; se trata más bien de una especie de revolución del cerebro, que no se queda en una etapa histórica, sino que es un movimiento intelectual; una forma de cambiar el mundo, de comprender el mundo; de explicar los fenómenos dominantes, y creer en la aldea global; así como creer en el caos como consustancial al orden; cree también en la hiperrealidad, en la realidad virtual, en el ciberespacio, en la realidad artificial. </w:t>
      </w:r>
    </w:p>
    <w:p w14:paraId="645AF241" w14:textId="77777777" w:rsidR="003A15D9" w:rsidRPr="000D3432" w:rsidRDefault="003A15D9" w:rsidP="00A95498">
      <w:pPr>
        <w:numPr>
          <w:ilvl w:val="12"/>
          <w:numId w:val="0"/>
        </w:numPr>
        <w:jc w:val="both"/>
        <w:rPr>
          <w:rFonts w:asciiTheme="minorHAnsi" w:hAnsiTheme="minorHAnsi"/>
          <w:color w:val="000000"/>
          <w:szCs w:val="24"/>
        </w:rPr>
      </w:pPr>
    </w:p>
    <w:p w14:paraId="100C8102"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Jean- Francois Lyotard, en su libro “La condición postmoderna” delinea los argumentos que ayudan a definir a la postmodernidad; explicando que el pos no significa retroceso, sino un fenómeno crítico; una cierta desconfianza en el progreso por la tecnología; y la ruptura con las verdades modernas; ruptura también con las verdades universales. La Postmodernidad para este autor, es una actitud, aptitud, ideología.  </w:t>
      </w:r>
    </w:p>
    <w:p w14:paraId="4ABDD197" w14:textId="77777777" w:rsidR="003A15D9" w:rsidRPr="000D3432" w:rsidRDefault="003A15D9" w:rsidP="00A95498">
      <w:pPr>
        <w:rPr>
          <w:rFonts w:asciiTheme="minorHAnsi" w:hAnsiTheme="minorHAnsi"/>
          <w:color w:val="000000"/>
          <w:szCs w:val="24"/>
        </w:rPr>
      </w:pPr>
    </w:p>
    <w:p w14:paraId="6F1E599B"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Sin embargo, la Postmodernidad se muestra en dos sentidos, como crítica de la modernidad, negación total de los contenidos de la modernidad criticada; y en segundo lugar la Postmodernidad como continuación de la modernidad, </w:t>
      </w:r>
    </w:p>
    <w:p w14:paraId="7A6081A5" w14:textId="77777777" w:rsidR="003A15D9" w:rsidRPr="000D3432" w:rsidRDefault="003A15D9" w:rsidP="00A95498">
      <w:pPr>
        <w:rPr>
          <w:rFonts w:asciiTheme="minorHAnsi" w:hAnsiTheme="minorHAnsi"/>
          <w:color w:val="000000"/>
          <w:szCs w:val="24"/>
        </w:rPr>
      </w:pPr>
    </w:p>
    <w:p w14:paraId="635A9E5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Con Habermas, se explica que es la reinvención de la modernidad, o una secuencia e impulso de los elementos esenciales de la modernidad, donde se exalta al individuo, la organización social, la democracia política, la liberación económica, la diversidad cultural, y la aceptación de las diferencias. </w:t>
      </w:r>
    </w:p>
    <w:p w14:paraId="26792BC6" w14:textId="77777777" w:rsidR="003A15D9" w:rsidRPr="000D3432" w:rsidRDefault="003A15D9" w:rsidP="00A95498">
      <w:pPr>
        <w:numPr>
          <w:ilvl w:val="12"/>
          <w:numId w:val="0"/>
        </w:numPr>
        <w:rPr>
          <w:rFonts w:asciiTheme="minorHAnsi" w:hAnsiTheme="minorHAnsi"/>
          <w:color w:val="000000"/>
          <w:szCs w:val="24"/>
        </w:rPr>
      </w:pPr>
    </w:p>
    <w:p w14:paraId="11911F4D"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4.- RASGOS DE LA POSTMODERNIDAD JURÍDICA</w:t>
      </w:r>
    </w:p>
    <w:p w14:paraId="076A94AF" w14:textId="77777777" w:rsidR="003A15D9" w:rsidRPr="000D3432" w:rsidRDefault="003A15D9" w:rsidP="00A95498">
      <w:pPr>
        <w:rPr>
          <w:rFonts w:asciiTheme="minorHAnsi" w:hAnsiTheme="minorHAnsi"/>
          <w:color w:val="000000"/>
          <w:szCs w:val="24"/>
        </w:rPr>
      </w:pPr>
    </w:p>
    <w:p w14:paraId="1ED6AA89"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Dentro de los rasgos más saltantes de la Postmodernidad se puede vislumbrar: </w:t>
      </w:r>
    </w:p>
    <w:p w14:paraId="2C58FCA6" w14:textId="77777777" w:rsidR="003A15D9" w:rsidRPr="000D3432" w:rsidRDefault="003A15D9" w:rsidP="00A95498">
      <w:pPr>
        <w:rPr>
          <w:rFonts w:asciiTheme="minorHAnsi" w:hAnsiTheme="minorHAnsi"/>
          <w:color w:val="000000"/>
          <w:szCs w:val="24"/>
        </w:rPr>
      </w:pPr>
    </w:p>
    <w:p w14:paraId="6CE12C97"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EL SENTIDO POLISÉMICO DEL DERECHO Y LA EXTINCIÓN DEL MONOSENTIDO EN LOS ASPECTOS APLICATIVOS DE LA NORMATIVIDAD</w:t>
      </w:r>
    </w:p>
    <w:p w14:paraId="15789737" w14:textId="77777777" w:rsidR="003A15D9" w:rsidRPr="000D3432" w:rsidRDefault="003A15D9" w:rsidP="00A95498">
      <w:pPr>
        <w:rPr>
          <w:rFonts w:asciiTheme="minorHAnsi" w:hAnsiTheme="minorHAnsi"/>
          <w:color w:val="000000"/>
          <w:szCs w:val="24"/>
        </w:rPr>
      </w:pPr>
    </w:p>
    <w:p w14:paraId="4E4DE448" w14:textId="77777777" w:rsidR="003A15D9" w:rsidRPr="000D3432" w:rsidRDefault="003A15D9" w:rsidP="00A95498">
      <w:pPr>
        <w:pStyle w:val="Ttulo4"/>
        <w:ind w:left="2124" w:firstLine="425"/>
        <w:rPr>
          <w:rFonts w:asciiTheme="minorHAnsi" w:hAnsiTheme="minorHAnsi"/>
          <w:b/>
        </w:rPr>
      </w:pPr>
      <w:r w:rsidRPr="000D3432">
        <w:rPr>
          <w:rFonts w:asciiTheme="minorHAnsi" w:hAnsiTheme="minorHAnsi"/>
        </w:rPr>
        <w:t xml:space="preserve">“La postmodernidad sustituye a la cultura por multicultura, a la univesalidad y el monosentido por la </w:t>
      </w:r>
      <w:r w:rsidRPr="000D3432">
        <w:rPr>
          <w:rFonts w:asciiTheme="minorHAnsi" w:hAnsiTheme="minorHAnsi"/>
        </w:rPr>
        <w:lastRenderedPageBreak/>
        <w:t>pluralidad y el multisentido en todos los campos de la vida del hombre.” (Castañeda Lomas)</w:t>
      </w:r>
    </w:p>
    <w:p w14:paraId="1D3B8D0D" w14:textId="77777777" w:rsidR="003A15D9" w:rsidRPr="000D3432" w:rsidRDefault="003A15D9" w:rsidP="00A95498">
      <w:pPr>
        <w:jc w:val="both"/>
        <w:rPr>
          <w:rFonts w:asciiTheme="minorHAnsi" w:hAnsiTheme="minorHAnsi"/>
          <w:color w:val="000000"/>
          <w:szCs w:val="24"/>
        </w:rPr>
      </w:pPr>
    </w:p>
    <w:p w14:paraId="109EFEF9"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Que significa que el mundo, la vida social y jurídica tiene varias significaciones; esto no significa que la concepción del Derecho se vaya a desestructurar o desorganizar, sino que debe existir cierta confluencia temporal de criterios de decisión. </w:t>
      </w:r>
    </w:p>
    <w:p w14:paraId="3EA8425E" w14:textId="77777777" w:rsidR="003A15D9" w:rsidRPr="000D3432" w:rsidRDefault="003A15D9" w:rsidP="00A95498">
      <w:pPr>
        <w:jc w:val="both"/>
        <w:rPr>
          <w:rFonts w:asciiTheme="minorHAnsi" w:hAnsiTheme="minorHAnsi"/>
          <w:color w:val="000000"/>
          <w:szCs w:val="24"/>
        </w:rPr>
      </w:pPr>
    </w:p>
    <w:p w14:paraId="5806D48F"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b.- EL FIN DE LA HISTORIA. CRISIS DEL PENSAMIENTO POLÍTICO JURÍDICO DE LA MODERNIDAD</w:t>
      </w:r>
    </w:p>
    <w:p w14:paraId="19154592" w14:textId="77777777" w:rsidR="003A15D9" w:rsidRPr="000D3432" w:rsidRDefault="003A15D9" w:rsidP="00A95498">
      <w:pPr>
        <w:rPr>
          <w:rFonts w:asciiTheme="minorHAnsi" w:hAnsiTheme="minorHAnsi"/>
          <w:color w:val="000000"/>
          <w:szCs w:val="24"/>
        </w:rPr>
      </w:pPr>
    </w:p>
    <w:p w14:paraId="601AC0C9" w14:textId="77777777" w:rsidR="003A15D9" w:rsidRPr="000D3432" w:rsidRDefault="003A15D9" w:rsidP="00A95498">
      <w:pPr>
        <w:pStyle w:val="Textodecuerpo21"/>
        <w:widowControl/>
        <w:ind w:left="2124"/>
        <w:rPr>
          <w:rFonts w:asciiTheme="minorHAnsi" w:hAnsiTheme="minorHAnsi"/>
          <w:b w:val="0"/>
          <w:sz w:val="24"/>
          <w:szCs w:val="24"/>
        </w:rPr>
      </w:pPr>
      <w:r w:rsidRPr="000D3432">
        <w:rPr>
          <w:rFonts w:asciiTheme="minorHAnsi" w:hAnsiTheme="minorHAnsi"/>
          <w:b w:val="0"/>
          <w:sz w:val="24"/>
          <w:szCs w:val="24"/>
        </w:rPr>
        <w:t>“...ha habido quienes, como Francis Fukuyama, han hablado -desde otra perspectiva, es verdad- de que nos encontráramos frente al “fin de la Historia” porque hemos llegado al apogeo del pensamiento político ya que no tiene evolución ni desarrollo posible.” Trazegnies</w:t>
      </w:r>
      <w:r w:rsidRPr="000D3432">
        <w:rPr>
          <w:rStyle w:val="Refdenotaalpie"/>
          <w:rFonts w:asciiTheme="minorHAnsi" w:hAnsiTheme="minorHAnsi"/>
          <w:b w:val="0"/>
          <w:sz w:val="24"/>
          <w:szCs w:val="24"/>
        </w:rPr>
        <w:t xml:space="preserve"> </w:t>
      </w:r>
      <w:r w:rsidRPr="000D3432">
        <w:rPr>
          <w:rStyle w:val="Refdenotaalpie"/>
          <w:rFonts w:asciiTheme="minorHAnsi" w:hAnsiTheme="minorHAnsi"/>
          <w:b w:val="0"/>
          <w:sz w:val="24"/>
          <w:szCs w:val="24"/>
        </w:rPr>
        <w:footnoteReference w:id="661"/>
      </w:r>
      <w:r w:rsidRPr="000D3432">
        <w:rPr>
          <w:rFonts w:asciiTheme="minorHAnsi" w:hAnsiTheme="minorHAnsi"/>
          <w:b w:val="0"/>
          <w:sz w:val="24"/>
          <w:szCs w:val="24"/>
        </w:rPr>
        <w:t xml:space="preserve"> </w:t>
      </w:r>
    </w:p>
    <w:p w14:paraId="7D62DB8C" w14:textId="77777777" w:rsidR="003A15D9" w:rsidRPr="000D3432" w:rsidRDefault="003A15D9" w:rsidP="00A95498">
      <w:pPr>
        <w:rPr>
          <w:rFonts w:asciiTheme="minorHAnsi" w:hAnsiTheme="minorHAnsi"/>
          <w:color w:val="000000"/>
          <w:szCs w:val="24"/>
        </w:rPr>
      </w:pPr>
    </w:p>
    <w:p w14:paraId="548D85B7"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Fin de la historia, como elemento de la Postmodernidad, significa que ha llegado el fin de la historia unitaria, y se cree más bien en la validez de historias diversas, variadas, rescatando el carácter local y particular de la realidad. Sucédese el fin de los fundamentos de la modernidad y la negación de los proyectos de esta, así como el fin de la experiencia como conocimiento válido; e incluso se considera que el progreso y la superación ya no significarían necesariamente el desarrollo. </w:t>
      </w:r>
    </w:p>
    <w:p w14:paraId="544FA10F" w14:textId="77777777" w:rsidR="003A15D9" w:rsidRPr="000D3432" w:rsidRDefault="003A15D9" w:rsidP="00A95498">
      <w:pPr>
        <w:rPr>
          <w:rFonts w:asciiTheme="minorHAnsi" w:hAnsiTheme="minorHAnsi"/>
          <w:color w:val="000000"/>
          <w:szCs w:val="24"/>
        </w:rPr>
      </w:pPr>
    </w:p>
    <w:p w14:paraId="0DE2A5A7"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b/>
          <w:color w:val="000000"/>
          <w:szCs w:val="24"/>
        </w:rPr>
        <w:t>c.- NIHILISMO. PÉRDIDA DE VALIDEZ Y LEGITIMIDAD DE LOS VALORES</w:t>
      </w:r>
      <w:r w:rsidRPr="000D3432">
        <w:rPr>
          <w:rFonts w:asciiTheme="minorHAnsi" w:hAnsiTheme="minorHAnsi"/>
          <w:color w:val="000000"/>
          <w:szCs w:val="24"/>
        </w:rPr>
        <w:t xml:space="preserve"> </w:t>
      </w:r>
      <w:r w:rsidRPr="000D3432">
        <w:rPr>
          <w:rFonts w:asciiTheme="minorHAnsi" w:hAnsiTheme="minorHAnsi"/>
          <w:b/>
          <w:color w:val="000000"/>
          <w:szCs w:val="24"/>
        </w:rPr>
        <w:t>JURÍDICO SUPREMOS DE LA MODERNIDAD</w:t>
      </w:r>
    </w:p>
    <w:p w14:paraId="4AF9AC0B" w14:textId="77777777" w:rsidR="003A15D9" w:rsidRPr="000D3432" w:rsidRDefault="003A15D9" w:rsidP="00A95498">
      <w:pPr>
        <w:rPr>
          <w:rFonts w:asciiTheme="minorHAnsi" w:hAnsiTheme="minorHAnsi"/>
          <w:color w:val="000000"/>
          <w:szCs w:val="24"/>
        </w:rPr>
      </w:pPr>
    </w:p>
    <w:p w14:paraId="6749FA8F" w14:textId="77777777" w:rsidR="003A15D9" w:rsidRPr="000D3432" w:rsidRDefault="003A15D9" w:rsidP="00A95498">
      <w:pPr>
        <w:ind w:left="2124"/>
        <w:jc w:val="both"/>
        <w:rPr>
          <w:rFonts w:asciiTheme="minorHAnsi" w:hAnsiTheme="minorHAnsi"/>
          <w:color w:val="000000"/>
          <w:szCs w:val="24"/>
        </w:rPr>
      </w:pPr>
      <w:r w:rsidRPr="000D3432">
        <w:rPr>
          <w:rFonts w:asciiTheme="minorHAnsi" w:hAnsiTheme="minorHAnsi"/>
          <w:szCs w:val="24"/>
        </w:rPr>
        <w:t xml:space="preserve">“Nietzsche plantea una crítica a toda la tradición occidental, sobre todo a Platón, ya que considera a este como el origen de dicha civilización y de la filosofía cristiana. Le culpa de haber traicionado el espíritu filosófico (el perspectivismo o la perspectiva de la vida), introduciendo un planteamiento antinatural y antivital y negando a la vida los instintos vitales que son sustituidos por unos valores fuera de este mundo. A esta posición la denomina Nietzsche </w:t>
      </w:r>
      <w:r w:rsidRPr="000D3432">
        <w:rPr>
          <w:rFonts w:asciiTheme="minorHAnsi" w:hAnsiTheme="minorHAnsi"/>
          <w:b/>
          <w:szCs w:val="24"/>
        </w:rPr>
        <w:t>Nihilismo</w:t>
      </w:r>
      <w:r w:rsidRPr="000D3432">
        <w:rPr>
          <w:rFonts w:asciiTheme="minorHAnsi" w:hAnsiTheme="minorHAnsi"/>
          <w:szCs w:val="24"/>
        </w:rPr>
        <w:t>.”</w:t>
      </w:r>
    </w:p>
    <w:p w14:paraId="1C1E349D" w14:textId="77777777" w:rsidR="003A15D9" w:rsidRPr="000D3432" w:rsidRDefault="003A15D9" w:rsidP="00A95498">
      <w:pPr>
        <w:rPr>
          <w:rFonts w:asciiTheme="minorHAnsi" w:hAnsiTheme="minorHAnsi"/>
          <w:color w:val="000000"/>
          <w:szCs w:val="24"/>
        </w:rPr>
      </w:pPr>
    </w:p>
    <w:p w14:paraId="4DD53DC1"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Otra característica de la Postmodernidad es que ésta se concibe como la negación total de todo conocimiento, pero también como punto de partida para salir de los errores cognoscitivos; punto para la no inflexión, para crear un nuevo tipo de pensamiento, donde los valores supremos pierden validez; y hay una nueva percepción de que formas sociales, culturales y tradiciones y jurídicas se van desintegrando. Se revela la vida política y jurídica deformada, de los valores jurídicos tradicionales. Así el ser humano es puesto dentro de un proceso del que estaba desintegrado. La Postmodernidad como nihilismos </w:t>
      </w:r>
      <w:r w:rsidRPr="000D3432">
        <w:rPr>
          <w:rFonts w:asciiTheme="minorHAnsi" w:hAnsiTheme="minorHAnsi"/>
          <w:color w:val="000000"/>
          <w:szCs w:val="24"/>
        </w:rPr>
        <w:lastRenderedPageBreak/>
        <w:t xml:space="preserve">concebido como negación total de todo conocimiento pero también como punto de partida para salir de los errores cognoscitivos. </w:t>
      </w:r>
    </w:p>
    <w:p w14:paraId="08AF0356" w14:textId="77777777" w:rsidR="003A15D9" w:rsidRPr="000D3432" w:rsidRDefault="003A15D9" w:rsidP="00A95498">
      <w:pPr>
        <w:rPr>
          <w:rFonts w:asciiTheme="minorHAnsi" w:hAnsiTheme="minorHAnsi"/>
          <w:color w:val="000000"/>
          <w:szCs w:val="24"/>
        </w:rPr>
      </w:pPr>
    </w:p>
    <w:p w14:paraId="3D1FB523"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d.- CRISIS DE LOS PARADIGMAS DE LA MODERNIDAD JURÍDICA</w:t>
      </w:r>
    </w:p>
    <w:p w14:paraId="0474D0B7"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b/>
      </w:r>
    </w:p>
    <w:p w14:paraId="1077BD85" w14:textId="77777777" w:rsidR="003A15D9" w:rsidRPr="000D3432" w:rsidRDefault="003A15D9" w:rsidP="00A95498">
      <w:pPr>
        <w:ind w:left="960" w:hanging="960"/>
        <w:jc w:val="both"/>
        <w:rPr>
          <w:rFonts w:asciiTheme="minorHAnsi" w:hAnsiTheme="minorHAnsi"/>
          <w:b/>
          <w:color w:val="000000"/>
          <w:szCs w:val="24"/>
        </w:rPr>
      </w:pPr>
      <w:r w:rsidRPr="000D3432">
        <w:rPr>
          <w:rFonts w:asciiTheme="minorHAnsi" w:hAnsiTheme="minorHAnsi"/>
          <w:b/>
          <w:color w:val="000000"/>
          <w:szCs w:val="24"/>
        </w:rPr>
        <w:t>1.- LA MUERTE DE LAS IDEOLOGÍAS EN LA POSTMODERNIDAD</w:t>
      </w:r>
    </w:p>
    <w:p w14:paraId="5CAE6444" w14:textId="77777777" w:rsidR="003A15D9" w:rsidRPr="000D3432" w:rsidRDefault="003A15D9" w:rsidP="00A95498">
      <w:pPr>
        <w:rPr>
          <w:rFonts w:asciiTheme="minorHAnsi" w:hAnsiTheme="minorHAnsi"/>
          <w:color w:val="000000"/>
          <w:szCs w:val="24"/>
        </w:rPr>
      </w:pPr>
    </w:p>
    <w:p w14:paraId="29497373"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“La muerte de las ideologías significaba que todos habían decidido que como somos diferentes no tendríamos ya una ideología a seguir”</w:t>
      </w:r>
    </w:p>
    <w:p w14:paraId="01DEC817" w14:textId="77777777" w:rsidR="003A15D9" w:rsidRPr="000D3432" w:rsidRDefault="003A15D9" w:rsidP="00A95498">
      <w:pPr>
        <w:rPr>
          <w:rFonts w:asciiTheme="minorHAnsi" w:hAnsiTheme="minorHAnsi"/>
          <w:color w:val="000000"/>
          <w:szCs w:val="24"/>
        </w:rPr>
      </w:pPr>
    </w:p>
    <w:p w14:paraId="5AAECE81"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Postmodernidad supuso analizar y criticar aquella afirmación que las ideologías son el fundamento al cual debemos someternos. La ideología tomada como verdad universal a la cual todos deben someterse provocaría la disolución de las diferencias. Esto debía ser rebatido. La Ideología tomada como verdad universal que tenía como consecuencia el sometimiento de todos a ella. Frente a esto la Postmodernidad tenía la ideología de la libertad. Se contraataca aquella razón que era una especie de envoltura indestructible y asfixiante que impone una verdad universal e incontestable. La Postmodernidad duda de aquella ideología que postula que el progreso trae consigo el bien común o que se use la tecnología para el bien común. </w:t>
      </w:r>
    </w:p>
    <w:p w14:paraId="7F3514E3" w14:textId="77777777" w:rsidR="003A15D9" w:rsidRPr="000D3432" w:rsidRDefault="003A15D9" w:rsidP="00A95498">
      <w:pPr>
        <w:jc w:val="both"/>
        <w:rPr>
          <w:rFonts w:asciiTheme="minorHAnsi" w:hAnsiTheme="minorHAnsi"/>
          <w:color w:val="000000"/>
          <w:szCs w:val="24"/>
        </w:rPr>
      </w:pPr>
    </w:p>
    <w:p w14:paraId="326F3A22"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e.- PLURALISMO COMO EPISTEME. DIVERSIDAD CULTURAL Y NORMATIVA</w:t>
      </w:r>
    </w:p>
    <w:p w14:paraId="7015F2F4" w14:textId="77777777" w:rsidR="003A15D9" w:rsidRPr="000D3432" w:rsidRDefault="003A15D9" w:rsidP="00A95498">
      <w:pPr>
        <w:rPr>
          <w:rFonts w:asciiTheme="minorHAnsi" w:hAnsiTheme="minorHAnsi"/>
          <w:color w:val="000000"/>
          <w:szCs w:val="24"/>
        </w:rPr>
      </w:pPr>
    </w:p>
    <w:p w14:paraId="15167B38"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“Si el Derecho es “una estructuración normativa que resulta de un complejo tejido de valores compartidos, de consensos y de prácticas sociales. Entonces deberíamos concluir que a diferentes culturas corresponden diferentes Derechos: la multiculturalidad exige el pluralismo jurídico.” (Trazegnies)</w:t>
      </w:r>
    </w:p>
    <w:p w14:paraId="1A81E17F" w14:textId="77777777" w:rsidR="003A15D9" w:rsidRPr="000D3432" w:rsidRDefault="003A15D9" w:rsidP="00A95498">
      <w:pPr>
        <w:rPr>
          <w:rFonts w:asciiTheme="minorHAnsi" w:hAnsiTheme="minorHAnsi"/>
          <w:color w:val="000000"/>
          <w:szCs w:val="24"/>
        </w:rPr>
      </w:pPr>
    </w:p>
    <w:p w14:paraId="03B489ED"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Postmodernidad concibe la diversidad cultural, el pluralismo jurídico, que es aquel reconocimiento legal de la multiculturalidad. Es el momento en el cual se reconoce el origen geográfico de nuestra cultura, e incluso de la tradición pero vista como impulsos, y no como hábito o dogma. </w:t>
      </w:r>
    </w:p>
    <w:p w14:paraId="401BF2D5" w14:textId="77777777" w:rsidR="003A15D9" w:rsidRPr="000D3432" w:rsidRDefault="003A15D9" w:rsidP="00A95498">
      <w:pPr>
        <w:jc w:val="both"/>
        <w:rPr>
          <w:rFonts w:asciiTheme="minorHAnsi" w:hAnsiTheme="minorHAnsi"/>
          <w:color w:val="000000"/>
          <w:szCs w:val="24"/>
        </w:rPr>
      </w:pPr>
    </w:p>
    <w:p w14:paraId="0B3FB5E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reconocimiento del multiculturalismo significaría la afirmación de la diferencia, es decir, que existirían y convivirían un complejo tejido de culturas con características propias; así existiría no un Derecho uniforme, porque la sociedad no es uniforme, sino multiforme. </w:t>
      </w:r>
    </w:p>
    <w:p w14:paraId="26319D82" w14:textId="77777777" w:rsidR="003A15D9" w:rsidRPr="000D3432" w:rsidRDefault="003A15D9" w:rsidP="00A95498">
      <w:pPr>
        <w:rPr>
          <w:rFonts w:asciiTheme="minorHAnsi" w:hAnsiTheme="minorHAnsi"/>
          <w:color w:val="000000"/>
          <w:szCs w:val="24"/>
        </w:rPr>
      </w:pPr>
    </w:p>
    <w:p w14:paraId="5874481C"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f.- DESTRUCCIÓN DE LOS MITOS DE LA MODERNIDAD JURÍDICA</w:t>
      </w:r>
    </w:p>
    <w:p w14:paraId="7FFF49BD" w14:textId="77777777" w:rsidR="003A15D9" w:rsidRPr="000D3432" w:rsidRDefault="003A15D9" w:rsidP="00A95498">
      <w:pPr>
        <w:rPr>
          <w:rFonts w:asciiTheme="minorHAnsi" w:hAnsiTheme="minorHAnsi"/>
          <w:color w:val="000000"/>
          <w:szCs w:val="24"/>
        </w:rPr>
      </w:pPr>
    </w:p>
    <w:p w14:paraId="7FBCC341" w14:textId="77777777" w:rsidR="003A15D9" w:rsidRPr="000D3432" w:rsidRDefault="003A15D9" w:rsidP="00A95498">
      <w:pPr>
        <w:ind w:left="2124"/>
        <w:jc w:val="both"/>
        <w:rPr>
          <w:rFonts w:asciiTheme="minorHAnsi" w:hAnsiTheme="minorHAnsi"/>
          <w:color w:val="000000"/>
          <w:szCs w:val="24"/>
        </w:rPr>
      </w:pPr>
      <w:r w:rsidRPr="000D3432">
        <w:rPr>
          <w:rFonts w:asciiTheme="minorHAnsi" w:hAnsiTheme="minorHAnsi"/>
          <w:szCs w:val="24"/>
        </w:rPr>
        <w:t>“La Postmodernidad no ha sido sólo la destrucción de un mito, sino la destrucción de todos los mitos..(...) en esta vida no cabe ninguna gran palabra y, por eso, la Posmodernidad se desmarca incómodamente tanto de la izquierda como de la derecha...”</w:t>
      </w:r>
    </w:p>
    <w:p w14:paraId="079B8E86" w14:textId="77777777" w:rsidR="003A15D9" w:rsidRPr="000D3432" w:rsidRDefault="003A15D9" w:rsidP="00A95498">
      <w:pPr>
        <w:rPr>
          <w:rFonts w:asciiTheme="minorHAnsi" w:hAnsiTheme="minorHAnsi"/>
          <w:color w:val="000000"/>
          <w:szCs w:val="24"/>
        </w:rPr>
      </w:pPr>
    </w:p>
    <w:p w14:paraId="75B77288"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Los mitos que ha creado la modernidad es que sólo la razón es el método válido para darle sostenibilidad y legitimidad a todo conocimiento y verdad. Frente a esto la Postmodernidad explica que existen otros aspectos de la vida que no son racionales, incluso factores que aparentemente provienen de la racionalidad, como el objetivismo, están mayoritariamente dominados por la subjetividad, pues quienes aplican la objetividad son los seres humanos. Así los mitos de la Modernidad son puestos en tela de juicio.</w:t>
      </w:r>
    </w:p>
    <w:p w14:paraId="19B1D307" w14:textId="77777777" w:rsidR="003A15D9" w:rsidRPr="000D3432" w:rsidRDefault="003A15D9" w:rsidP="00A95498">
      <w:pPr>
        <w:rPr>
          <w:rFonts w:asciiTheme="minorHAnsi" w:hAnsiTheme="minorHAnsi"/>
          <w:color w:val="000000"/>
          <w:szCs w:val="24"/>
        </w:rPr>
      </w:pPr>
    </w:p>
    <w:p w14:paraId="55F984B0"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5.- LOS FUNDAMENTOS PRIMARIOS DE LA POSTMODERNIDAD JURÍDICA</w:t>
      </w:r>
    </w:p>
    <w:p w14:paraId="60644946" w14:textId="77777777" w:rsidR="003A15D9" w:rsidRPr="000D3432" w:rsidRDefault="003A15D9" w:rsidP="00A95498">
      <w:pPr>
        <w:rPr>
          <w:rFonts w:asciiTheme="minorHAnsi" w:hAnsiTheme="minorHAnsi"/>
          <w:b/>
          <w:color w:val="000000"/>
          <w:szCs w:val="24"/>
        </w:rPr>
      </w:pPr>
    </w:p>
    <w:p w14:paraId="025BED82"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LA TOLERANCIA COMO GRADO DE COMPATIBILIZACIÓN NORMATIVA</w:t>
      </w:r>
    </w:p>
    <w:p w14:paraId="1BB336FF" w14:textId="77777777" w:rsidR="003A15D9" w:rsidRPr="000D3432" w:rsidRDefault="003A15D9" w:rsidP="00A95498">
      <w:pPr>
        <w:rPr>
          <w:rFonts w:asciiTheme="minorHAnsi" w:hAnsiTheme="minorHAnsi"/>
          <w:color w:val="000000"/>
          <w:szCs w:val="24"/>
        </w:rPr>
      </w:pPr>
    </w:p>
    <w:p w14:paraId="455192E8"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“La Tolerancia supone la afirmación y confirmación de la diferencia, y del proceso social como producto de esta diferencia. Es decir, que el slogan esbozado hoy es el de “que no está mal ser diferente”, sino que es más bien un acto completamente natural, que existe o debe existir, realmente, como derecho.”</w:t>
      </w:r>
    </w:p>
    <w:p w14:paraId="657D9696" w14:textId="77777777" w:rsidR="003A15D9" w:rsidRPr="000D3432" w:rsidRDefault="003A15D9" w:rsidP="00A95498">
      <w:pPr>
        <w:ind w:left="2124"/>
        <w:jc w:val="both"/>
        <w:rPr>
          <w:rFonts w:asciiTheme="minorHAnsi" w:hAnsiTheme="minorHAnsi"/>
          <w:color w:val="000000"/>
          <w:szCs w:val="24"/>
        </w:rPr>
      </w:pPr>
    </w:p>
    <w:p w14:paraId="1E06DD33"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Dentro de  los fundamentos de la Postmodernidad se encuentra la Tolerancia, como compatibilización de los intereses. La diferencia que se convierte en calidad o cantidad. La diferencia que se concibe como derecho. </w:t>
      </w:r>
    </w:p>
    <w:p w14:paraId="0860A5CD" w14:textId="77777777" w:rsidR="003A15D9" w:rsidRPr="000D3432" w:rsidRDefault="003A15D9" w:rsidP="00A95498">
      <w:pPr>
        <w:rPr>
          <w:rFonts w:asciiTheme="minorHAnsi" w:hAnsiTheme="minorHAnsi"/>
          <w:color w:val="000000"/>
          <w:szCs w:val="24"/>
        </w:rPr>
      </w:pPr>
    </w:p>
    <w:p w14:paraId="7EC56CC1"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b.- EL RELATIVISMO O LA NEGACIÓN DE VERDADES JURÍDICAS TRASCULTURALES</w:t>
      </w:r>
    </w:p>
    <w:p w14:paraId="76EA2CA9" w14:textId="77777777" w:rsidR="003A15D9" w:rsidRPr="000D3432" w:rsidRDefault="003A15D9" w:rsidP="00A95498">
      <w:pPr>
        <w:rPr>
          <w:rFonts w:asciiTheme="minorHAnsi" w:hAnsiTheme="minorHAnsi"/>
          <w:color w:val="000000"/>
          <w:szCs w:val="24"/>
        </w:rPr>
      </w:pPr>
    </w:p>
    <w:p w14:paraId="10C035AD"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«Es inconsecuente guillotinar al príncipe y sustituirle por el principio. Bajo éste, no menos que con aquél, queda la vida supeditada a un régimen absoluto. Y esto es precisamente lo que no puede ser: ni el absolutismo racionalista -que salva la razón y nulifica la vida-, ni el relativismo, que salva la vida evaporando la razón. La sensibilidad de la época que ahora comienza se caracteriza por su insumisión a ese dilema. No podemos satisfactoriamente instalarnos en ninguno de sus términos.»” Sánchez Miñambres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62"/>
      </w:r>
      <w:r w:rsidRPr="000D3432">
        <w:rPr>
          <w:rFonts w:asciiTheme="minorHAnsi" w:hAnsiTheme="minorHAnsi"/>
          <w:szCs w:val="24"/>
        </w:rPr>
        <w:t xml:space="preserve"> </w:t>
      </w:r>
    </w:p>
    <w:p w14:paraId="38D7DF14" w14:textId="77777777" w:rsidR="003A15D9" w:rsidRPr="000D3432" w:rsidRDefault="003A15D9" w:rsidP="00A95498">
      <w:pPr>
        <w:rPr>
          <w:rFonts w:asciiTheme="minorHAnsi" w:hAnsiTheme="minorHAnsi"/>
          <w:color w:val="000000"/>
          <w:szCs w:val="24"/>
        </w:rPr>
      </w:pPr>
    </w:p>
    <w:p w14:paraId="4C95C2B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El Relativismo es otro fundamento de la Postmodernidad. Bunge explica que todo es relativo al sujeto que construye; así si todo es construcción social entonces no habría verdades completas o transculturales.</w:t>
      </w:r>
    </w:p>
    <w:p w14:paraId="285B5553" w14:textId="77777777" w:rsidR="003A15D9" w:rsidRPr="000D3432" w:rsidRDefault="003A15D9" w:rsidP="00A95498">
      <w:pPr>
        <w:rPr>
          <w:rFonts w:asciiTheme="minorHAnsi" w:hAnsiTheme="minorHAnsi"/>
          <w:color w:val="000000"/>
          <w:szCs w:val="24"/>
        </w:rPr>
      </w:pPr>
    </w:p>
    <w:p w14:paraId="52E51423"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Además, la Ciencia es universal, carece de nacionalidad, sexo o clase social, y el Derecho, según Bunge es una sociotécnica. Así el orden social es una relación organizada entre los hombres y mujeres de una determinada sociedad, este proceso se hace permanente y por tanto relativo. </w:t>
      </w:r>
    </w:p>
    <w:p w14:paraId="39426B64" w14:textId="77777777" w:rsidR="003A15D9" w:rsidRPr="000D3432" w:rsidRDefault="003A15D9" w:rsidP="00A95498">
      <w:pPr>
        <w:rPr>
          <w:rFonts w:asciiTheme="minorHAnsi" w:hAnsiTheme="minorHAnsi"/>
          <w:color w:val="000000"/>
          <w:szCs w:val="24"/>
        </w:rPr>
      </w:pPr>
    </w:p>
    <w:p w14:paraId="441EABA7"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lastRenderedPageBreak/>
        <w:t xml:space="preserve">Fue Eisten, 1913, que formula la Teoría de la Relatividad, que es un concepto físico, naciendo la sospecha como método. La Teoría de la Relatividad posibilitó que se procediera a la demolición de los valores establecidos; todo aquello considerado absoluto se redujo a elementos históricos y relativos; ni el absolutismo racionalista que salva la razón y nulifica la vida, ni el relativismo que salva la vida y evapora la razón. La verdad no existe. El relativismo propone la defensa de la diferencia y de la libertad. </w:t>
      </w:r>
    </w:p>
    <w:p w14:paraId="67ABF4B7" w14:textId="77777777" w:rsidR="003A15D9" w:rsidRPr="000D3432" w:rsidRDefault="003A15D9" w:rsidP="00A95498">
      <w:pPr>
        <w:rPr>
          <w:rFonts w:asciiTheme="minorHAnsi" w:hAnsiTheme="minorHAnsi"/>
          <w:color w:val="000000"/>
          <w:szCs w:val="24"/>
        </w:rPr>
      </w:pPr>
    </w:p>
    <w:p w14:paraId="4AD80285"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c.- PLURALISMO JURÍDICO. EL DERECHO A LA DIFERENCIA Y RECONOCIMIENTO A LOS PARTICULARISMOS CULTURALES Y SOCIALES</w:t>
      </w:r>
    </w:p>
    <w:p w14:paraId="5BE593B0" w14:textId="77777777" w:rsidR="003A15D9" w:rsidRPr="000D3432" w:rsidRDefault="003A15D9" w:rsidP="00A95498">
      <w:pPr>
        <w:ind w:left="2124"/>
        <w:jc w:val="both"/>
        <w:rPr>
          <w:rFonts w:asciiTheme="minorHAnsi" w:hAnsiTheme="minorHAnsi"/>
          <w:szCs w:val="24"/>
        </w:rPr>
      </w:pPr>
    </w:p>
    <w:p w14:paraId="115FABF2"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“...la modernidad -tanto en su versión socialista como en su versión liberal- intentó cancelar las diferencias cultuales con el objeto de crear una sola humanidad formada por hombres libres e iguales. Como consecuencia de ello, tuvo animadversión contra las diferencias cultrales, las autonomías regionales y el pluralismo jurídico: todo aquello que afectara la generalidad de la ley y la integridad</w:t>
      </w:r>
      <w:r w:rsidRPr="000D3432">
        <w:rPr>
          <w:rFonts w:asciiTheme="minorHAnsi" w:hAnsiTheme="minorHAnsi"/>
          <w:b/>
          <w:szCs w:val="24"/>
        </w:rPr>
        <w:t xml:space="preserve"> </w:t>
      </w:r>
      <w:r w:rsidRPr="000D3432">
        <w:rPr>
          <w:rFonts w:asciiTheme="minorHAnsi" w:hAnsiTheme="minorHAnsi"/>
          <w:szCs w:val="24"/>
        </w:rPr>
        <w:t>sin resquicios del Estado era sospechosos de subversión de la modernidad.”Trazegnies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663"/>
      </w:r>
    </w:p>
    <w:p w14:paraId="1E5410B3" w14:textId="77777777" w:rsidR="003A15D9" w:rsidRPr="000D3432" w:rsidRDefault="003A15D9" w:rsidP="00A95498">
      <w:pPr>
        <w:rPr>
          <w:rFonts w:asciiTheme="minorHAnsi" w:hAnsiTheme="minorHAnsi"/>
          <w:color w:val="000000"/>
          <w:szCs w:val="24"/>
        </w:rPr>
      </w:pPr>
    </w:p>
    <w:p w14:paraId="1A1155D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Postmodernidad trae también consigo el pluralismo jurídico. Anteriormente la Modernidad a través de la igualdad rompe la tradición hereditaria del poder, pero esta igualdad eliminada olvida los particularismos culturales. La Postmodernidad intenta rescatar los particularismo, no es separación total del todo, sino la articulación de los elementos que componen el todo. Se trata de una visión de conjunto. </w:t>
      </w:r>
    </w:p>
    <w:p w14:paraId="261685B3" w14:textId="77777777" w:rsidR="003A15D9" w:rsidRPr="000D3432" w:rsidRDefault="003A15D9" w:rsidP="00A95498">
      <w:pPr>
        <w:rPr>
          <w:rFonts w:asciiTheme="minorHAnsi" w:hAnsiTheme="minorHAnsi"/>
          <w:color w:val="000000"/>
          <w:szCs w:val="24"/>
        </w:rPr>
      </w:pPr>
    </w:p>
    <w:p w14:paraId="4913FC25"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6.- DIFICULTADES DE LA POSTMODERNIDAD </w:t>
      </w:r>
    </w:p>
    <w:p w14:paraId="1EBCE24C" w14:textId="77777777" w:rsidR="003A15D9" w:rsidRPr="000D3432" w:rsidRDefault="003A15D9" w:rsidP="00A95498">
      <w:pPr>
        <w:rPr>
          <w:rFonts w:asciiTheme="minorHAnsi" w:hAnsiTheme="minorHAnsi"/>
          <w:color w:val="000000"/>
          <w:szCs w:val="24"/>
        </w:rPr>
      </w:pPr>
    </w:p>
    <w:p w14:paraId="4F4242B1"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Se pueden encontrar también dificultades en la Postmodernidad.</w:t>
      </w:r>
    </w:p>
    <w:p w14:paraId="3C056C46" w14:textId="77777777" w:rsidR="003A15D9" w:rsidRPr="000D3432" w:rsidRDefault="003A15D9" w:rsidP="00A95498">
      <w:pPr>
        <w:rPr>
          <w:rFonts w:asciiTheme="minorHAnsi" w:hAnsiTheme="minorHAnsi"/>
          <w:color w:val="000000"/>
          <w:szCs w:val="24"/>
        </w:rPr>
      </w:pPr>
    </w:p>
    <w:p w14:paraId="37178974"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CRISIS DE LOS SABERES DOMINANTES Y CATEGORÍAS VALORATIVAS DE LA MODERNIDAD JURÍDICA</w:t>
      </w:r>
    </w:p>
    <w:p w14:paraId="1D0100AF" w14:textId="77777777" w:rsidR="003A15D9" w:rsidRPr="000D3432" w:rsidRDefault="003A15D9" w:rsidP="00A95498">
      <w:pPr>
        <w:rPr>
          <w:rFonts w:asciiTheme="minorHAnsi" w:hAnsiTheme="minorHAnsi"/>
          <w:color w:val="000000"/>
          <w:szCs w:val="24"/>
        </w:rPr>
      </w:pPr>
    </w:p>
    <w:p w14:paraId="4A83EF5F" w14:textId="77777777" w:rsidR="003A15D9" w:rsidRPr="000D3432" w:rsidRDefault="003A15D9" w:rsidP="00A95498">
      <w:pPr>
        <w:ind w:left="2124"/>
        <w:jc w:val="both"/>
        <w:rPr>
          <w:rFonts w:asciiTheme="minorHAnsi" w:hAnsiTheme="minorHAnsi"/>
          <w:szCs w:val="24"/>
        </w:rPr>
      </w:pPr>
      <w:r w:rsidRPr="000D3432">
        <w:rPr>
          <w:rFonts w:asciiTheme="minorHAnsi" w:hAnsiTheme="minorHAnsi"/>
          <w:szCs w:val="24"/>
        </w:rPr>
        <w:t>“No podemos quedarnos en una simple transmisión de saberes, que luego se hacen saberes dominantes tradicionales, pues se los utiliza y valida sin saber cual es su origen y sentido primigenio, y por lo tanto la función que cumplen”</w:t>
      </w:r>
    </w:p>
    <w:p w14:paraId="4282F963" w14:textId="77777777" w:rsidR="003A15D9" w:rsidRPr="000D3432" w:rsidRDefault="003A15D9" w:rsidP="00A95498">
      <w:pPr>
        <w:rPr>
          <w:rFonts w:asciiTheme="minorHAnsi" w:hAnsiTheme="minorHAnsi"/>
          <w:color w:val="000000"/>
          <w:szCs w:val="24"/>
        </w:rPr>
      </w:pPr>
    </w:p>
    <w:p w14:paraId="35A617B1"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Si todo está en duda y en crítica, ¿con qué instituciones se puede construir este nuevo mundo?. El orden jurídico habrá de reconocer la multiplicidad de fenómenos pero sin dogmatizar los saberes jurídicos. </w:t>
      </w:r>
    </w:p>
    <w:p w14:paraId="3FE7BB24" w14:textId="77777777" w:rsidR="003A15D9" w:rsidRPr="000D3432" w:rsidRDefault="003A15D9" w:rsidP="00A95498">
      <w:pPr>
        <w:jc w:val="both"/>
        <w:rPr>
          <w:rFonts w:asciiTheme="minorHAnsi" w:hAnsiTheme="minorHAnsi"/>
          <w:color w:val="000000"/>
          <w:szCs w:val="24"/>
        </w:rPr>
      </w:pPr>
    </w:p>
    <w:p w14:paraId="380325C0"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b.- ESTÉTICA, NEUTRALIDAD VALORATIVA, CORPORIZACIÓN Y </w:t>
      </w:r>
      <w:r w:rsidRPr="000D3432">
        <w:rPr>
          <w:rFonts w:asciiTheme="minorHAnsi" w:hAnsiTheme="minorHAnsi"/>
          <w:b/>
          <w:color w:val="000000"/>
          <w:szCs w:val="24"/>
        </w:rPr>
        <w:lastRenderedPageBreak/>
        <w:t>REIVINDICACIÓN JURÍDICA DEL INDIVIDUO</w:t>
      </w:r>
    </w:p>
    <w:p w14:paraId="6BCC1023" w14:textId="77777777" w:rsidR="003A15D9" w:rsidRPr="000D3432" w:rsidRDefault="003A15D9" w:rsidP="00A95498">
      <w:pPr>
        <w:rPr>
          <w:rFonts w:asciiTheme="minorHAnsi" w:hAnsiTheme="minorHAnsi"/>
          <w:color w:val="000000"/>
          <w:szCs w:val="24"/>
        </w:rPr>
      </w:pPr>
    </w:p>
    <w:p w14:paraId="0E94034E" w14:textId="77777777" w:rsidR="003A15D9" w:rsidRPr="000D3432" w:rsidRDefault="003A15D9" w:rsidP="00A95498">
      <w:pPr>
        <w:ind w:left="2124"/>
        <w:jc w:val="both"/>
        <w:rPr>
          <w:rFonts w:asciiTheme="minorHAnsi" w:hAnsiTheme="minorHAnsi"/>
          <w:color w:val="000000"/>
          <w:szCs w:val="24"/>
        </w:rPr>
      </w:pPr>
      <w:r w:rsidRPr="000D3432">
        <w:rPr>
          <w:rFonts w:asciiTheme="minorHAnsi" w:hAnsiTheme="minorHAnsi"/>
          <w:szCs w:val="24"/>
        </w:rPr>
        <w:t>“Si cada individuo o cada minoría se otorgara el derecho de definir lo que es justo, ese sectarismo se convertiría pronto en ‘todos contra todos’ (Régis Debray)</w:t>
      </w:r>
    </w:p>
    <w:p w14:paraId="5F4F9316" w14:textId="77777777" w:rsidR="003A15D9" w:rsidRPr="000D3432" w:rsidRDefault="003A15D9" w:rsidP="00A95498">
      <w:pPr>
        <w:rPr>
          <w:rFonts w:asciiTheme="minorHAnsi" w:hAnsiTheme="minorHAnsi"/>
          <w:color w:val="000000"/>
          <w:szCs w:val="24"/>
        </w:rPr>
      </w:pPr>
    </w:p>
    <w:p w14:paraId="0ACAA556"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Si todo se reduce al individuo, puede provocarse cierto narcisismo, por lo que debe plantearse reglas de la estética individual, que dejarían de lado el interés colectivo. Asimismo surge el problema de la desintegración de la familia nuclear. Puede sucederse una cierta neutralidad valorativa, relatividad moral, en aras de tener como  centro y primer valor a la libertad. </w:t>
      </w:r>
    </w:p>
    <w:p w14:paraId="1B358EC4" w14:textId="77777777" w:rsidR="003A15D9" w:rsidRPr="000D3432" w:rsidRDefault="003A15D9" w:rsidP="00A95498">
      <w:pPr>
        <w:jc w:val="both"/>
        <w:rPr>
          <w:rFonts w:asciiTheme="minorHAnsi" w:hAnsiTheme="minorHAnsi"/>
          <w:color w:val="000000"/>
          <w:szCs w:val="24"/>
        </w:rPr>
      </w:pPr>
    </w:p>
    <w:p w14:paraId="70B2A35B" w14:textId="77777777" w:rsidR="003A15D9" w:rsidRPr="000D3432" w:rsidRDefault="003A15D9" w:rsidP="00A95498">
      <w:pPr>
        <w:jc w:val="both"/>
        <w:rPr>
          <w:rFonts w:asciiTheme="minorHAnsi" w:hAnsiTheme="minorHAnsi"/>
          <w:color w:val="000000"/>
          <w:szCs w:val="24"/>
        </w:rPr>
      </w:pPr>
    </w:p>
    <w:p w14:paraId="1031D611" w14:textId="77777777" w:rsidR="003A15D9" w:rsidRPr="000D3432" w:rsidRDefault="003A15D9" w:rsidP="00A95498">
      <w:pPr>
        <w:rPr>
          <w:rFonts w:asciiTheme="minorHAnsi" w:hAnsiTheme="minorHAnsi"/>
          <w:color w:val="000000"/>
          <w:szCs w:val="24"/>
        </w:rPr>
      </w:pPr>
    </w:p>
    <w:p w14:paraId="62EE1554" w14:textId="77777777" w:rsidR="003A15D9" w:rsidRPr="000D3432" w:rsidRDefault="003A15D9" w:rsidP="00A95498">
      <w:pPr>
        <w:jc w:val="both"/>
        <w:rPr>
          <w:rFonts w:asciiTheme="minorHAnsi" w:hAnsiTheme="minorHAnsi"/>
          <w:b/>
          <w:color w:val="000000"/>
          <w:szCs w:val="24"/>
        </w:rPr>
      </w:pPr>
    </w:p>
    <w:p w14:paraId="62B51879" w14:textId="77777777" w:rsidR="003A15D9" w:rsidRPr="000D3432" w:rsidRDefault="003A15D9" w:rsidP="00A95498">
      <w:pPr>
        <w:jc w:val="both"/>
        <w:rPr>
          <w:rFonts w:asciiTheme="minorHAnsi" w:hAnsiTheme="minorHAnsi"/>
          <w:b/>
          <w:color w:val="000000"/>
          <w:szCs w:val="24"/>
        </w:rPr>
      </w:pPr>
    </w:p>
    <w:p w14:paraId="5878B571"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c.- LA POSTMODERNIDAD Y LOS RIESGOS DEL CARÁCTER DE NEGACIÓN DE LAS TEORÍAS JURÍDICAS MODERNAS</w:t>
      </w:r>
    </w:p>
    <w:p w14:paraId="29D5A7F0" w14:textId="77777777" w:rsidR="003A15D9" w:rsidRPr="000D3432" w:rsidRDefault="003A15D9" w:rsidP="00A95498">
      <w:pPr>
        <w:rPr>
          <w:rFonts w:asciiTheme="minorHAnsi" w:hAnsiTheme="minorHAnsi"/>
          <w:color w:val="000000"/>
          <w:szCs w:val="24"/>
        </w:rPr>
      </w:pPr>
    </w:p>
    <w:p w14:paraId="04986DA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Otro elemento de la Postmodernidad podría ser que se tendría que reaprender todos los valores, y puesto que esta se da, analizar la negación de la eficacia de la  libertad, justicia, igualdad, libertad; es decir el problema de la negación de los elementos modernos. </w:t>
      </w:r>
    </w:p>
    <w:p w14:paraId="66B3030B" w14:textId="77777777" w:rsidR="003A15D9" w:rsidRPr="000D3432" w:rsidRDefault="003A15D9" w:rsidP="00A95498">
      <w:pPr>
        <w:rPr>
          <w:rFonts w:asciiTheme="minorHAnsi" w:hAnsiTheme="minorHAnsi"/>
          <w:color w:val="000000"/>
          <w:szCs w:val="24"/>
        </w:rPr>
      </w:pPr>
    </w:p>
    <w:p w14:paraId="7C88AE5C"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d.- VACÍOS EN EL PROCESO COGNOSCITIVO DE LA CONCEPCIÓN JURÍDICA MODERNA</w:t>
      </w:r>
    </w:p>
    <w:p w14:paraId="2295F8CF" w14:textId="77777777" w:rsidR="003A15D9" w:rsidRPr="000D3432" w:rsidRDefault="003A15D9" w:rsidP="00A95498">
      <w:pPr>
        <w:rPr>
          <w:rFonts w:asciiTheme="minorHAnsi" w:hAnsiTheme="minorHAnsi"/>
          <w:color w:val="000000"/>
          <w:szCs w:val="24"/>
        </w:rPr>
      </w:pPr>
    </w:p>
    <w:p w14:paraId="6E76DA9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Postmodernidad al suponer un salto a la modernidad, nos trae consigo un ahorro de esfuerzo, una economía en el paso por las fases de la modernidad en la que estamos actualmente entrampados. </w:t>
      </w:r>
    </w:p>
    <w:p w14:paraId="60ABBD72" w14:textId="77777777" w:rsidR="003A15D9" w:rsidRPr="000D3432" w:rsidRDefault="003A15D9" w:rsidP="00A95498">
      <w:pPr>
        <w:rPr>
          <w:rFonts w:asciiTheme="minorHAnsi" w:hAnsiTheme="minorHAnsi"/>
          <w:color w:val="000000"/>
          <w:szCs w:val="24"/>
        </w:rPr>
      </w:pPr>
    </w:p>
    <w:p w14:paraId="378FB76D"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e.- INEXISTENCIA O INSUFICIENCIA DE UNA CULTURA JURÍDICA</w:t>
      </w:r>
    </w:p>
    <w:p w14:paraId="1F7C917D" w14:textId="77777777" w:rsidR="003A15D9" w:rsidRPr="000D3432" w:rsidRDefault="003A15D9" w:rsidP="00A95498">
      <w:pPr>
        <w:rPr>
          <w:rFonts w:asciiTheme="minorHAnsi" w:hAnsiTheme="minorHAnsi"/>
          <w:color w:val="000000"/>
          <w:szCs w:val="24"/>
        </w:rPr>
      </w:pPr>
    </w:p>
    <w:p w14:paraId="08E6276E" w14:textId="77777777" w:rsidR="003A15D9" w:rsidRPr="000D3432" w:rsidRDefault="003A15D9" w:rsidP="00A95498">
      <w:pPr>
        <w:rPr>
          <w:rFonts w:asciiTheme="minorHAnsi" w:hAnsiTheme="minorHAnsi"/>
          <w:color w:val="000000"/>
          <w:szCs w:val="24"/>
        </w:rPr>
      </w:pPr>
      <w:r w:rsidRPr="000D3432">
        <w:rPr>
          <w:rFonts w:asciiTheme="minorHAnsi" w:hAnsiTheme="minorHAnsi"/>
          <w:color w:val="000000"/>
          <w:szCs w:val="24"/>
        </w:rPr>
        <w:t xml:space="preserve">En esta parte explicamos los desafíos de encontrarnos con la inexistencia o insuficiencia de una adecuada cultura jurídica, por los desvíos que ha sufrido la misma por motivos premoderno o modernos. </w:t>
      </w:r>
    </w:p>
    <w:p w14:paraId="0083513A" w14:textId="77777777" w:rsidR="003A15D9" w:rsidRPr="000D3432" w:rsidRDefault="003A15D9" w:rsidP="00A95498">
      <w:pPr>
        <w:rPr>
          <w:rFonts w:asciiTheme="minorHAnsi" w:hAnsiTheme="minorHAnsi"/>
          <w:color w:val="000000"/>
          <w:szCs w:val="24"/>
        </w:rPr>
      </w:pPr>
    </w:p>
    <w:p w14:paraId="48CFBC44"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f.- NIHILISMO MORAL, COGNOSCITIVO Y JURÍDICO </w:t>
      </w:r>
    </w:p>
    <w:p w14:paraId="64765E42" w14:textId="77777777" w:rsidR="003A15D9" w:rsidRPr="000D3432" w:rsidRDefault="003A15D9" w:rsidP="00A95498">
      <w:pPr>
        <w:rPr>
          <w:rFonts w:asciiTheme="minorHAnsi" w:hAnsiTheme="minorHAnsi"/>
          <w:color w:val="000000"/>
          <w:szCs w:val="24"/>
        </w:rPr>
      </w:pPr>
    </w:p>
    <w:p w14:paraId="2C0B025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El nihilismo duda sobre el valor de alcanzar la verdad o conocimiento cierto.</w:t>
      </w:r>
    </w:p>
    <w:p w14:paraId="3D6485F6" w14:textId="77777777" w:rsidR="003A15D9" w:rsidRPr="000D3432" w:rsidRDefault="003A15D9" w:rsidP="00A95498">
      <w:pPr>
        <w:rPr>
          <w:rFonts w:asciiTheme="minorHAnsi" w:hAnsiTheme="minorHAnsi"/>
          <w:color w:val="000000"/>
          <w:szCs w:val="24"/>
        </w:rPr>
      </w:pPr>
    </w:p>
    <w:p w14:paraId="54741278"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g.- EL DESCOMPROMISO ABSOLUTO POR LA REIVINDICACIÓN DE LAS CARACTERÍSTICAS DIFERENCIALES JURÍDICAS DEL INDIVIDUO</w:t>
      </w:r>
    </w:p>
    <w:p w14:paraId="03F57936" w14:textId="77777777" w:rsidR="003A15D9" w:rsidRPr="000D3432" w:rsidRDefault="003A15D9" w:rsidP="00A95498">
      <w:pPr>
        <w:rPr>
          <w:rFonts w:asciiTheme="minorHAnsi" w:hAnsiTheme="minorHAnsi"/>
          <w:color w:val="000000"/>
          <w:szCs w:val="24"/>
        </w:rPr>
      </w:pPr>
    </w:p>
    <w:p w14:paraId="7B37CA81"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En esta parte se analiza el descompromiso absoluto del nuevo personaje, y se establecen cuales son las características diferenciales jurídicas del individuo. </w:t>
      </w:r>
    </w:p>
    <w:p w14:paraId="2660B86B" w14:textId="77777777" w:rsidR="003A15D9" w:rsidRPr="000D3432" w:rsidRDefault="003A15D9" w:rsidP="00A95498">
      <w:pPr>
        <w:rPr>
          <w:rFonts w:asciiTheme="minorHAnsi" w:hAnsiTheme="minorHAnsi"/>
          <w:color w:val="000000"/>
          <w:szCs w:val="24"/>
        </w:rPr>
      </w:pPr>
    </w:p>
    <w:p w14:paraId="678F9698"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Esto indica que es el individuo el eje y lo importante; olvidado sin embargo por </w:t>
      </w:r>
      <w:r w:rsidRPr="000D3432">
        <w:rPr>
          <w:rFonts w:asciiTheme="minorHAnsi" w:hAnsiTheme="minorHAnsi"/>
          <w:color w:val="000000"/>
          <w:szCs w:val="24"/>
        </w:rPr>
        <w:lastRenderedPageBreak/>
        <w:t>el descompromiso de parte o de todo de l</w:t>
      </w:r>
    </w:p>
    <w:p w14:paraId="0A912821" w14:textId="77777777" w:rsidR="003A15D9" w:rsidRPr="000D3432" w:rsidRDefault="003A15D9" w:rsidP="00A95498">
      <w:pPr>
        <w:rPr>
          <w:rFonts w:asciiTheme="minorHAnsi" w:hAnsiTheme="minorHAnsi"/>
          <w:color w:val="000000"/>
          <w:szCs w:val="24"/>
        </w:rPr>
      </w:pPr>
    </w:p>
    <w:p w14:paraId="7DBD2478" w14:textId="77777777" w:rsidR="003A15D9" w:rsidRPr="000D3432" w:rsidRDefault="003A15D9" w:rsidP="00A95498">
      <w:pPr>
        <w:rPr>
          <w:rFonts w:asciiTheme="minorHAnsi" w:hAnsiTheme="minorHAnsi"/>
          <w:color w:val="000000"/>
          <w:szCs w:val="24"/>
        </w:rPr>
      </w:pPr>
    </w:p>
    <w:p w14:paraId="5C2D0F6C" w14:textId="77777777" w:rsidR="003A15D9" w:rsidRPr="000D3432" w:rsidRDefault="003A15D9" w:rsidP="00A95498">
      <w:pPr>
        <w:rPr>
          <w:rFonts w:asciiTheme="minorHAnsi" w:hAnsiTheme="minorHAnsi"/>
          <w:color w:val="000000"/>
          <w:szCs w:val="24"/>
        </w:rPr>
      </w:pPr>
    </w:p>
    <w:p w14:paraId="47B57794" w14:textId="77777777" w:rsidR="003A15D9" w:rsidRPr="000D3432" w:rsidRDefault="003A15D9" w:rsidP="00A95498">
      <w:pPr>
        <w:rPr>
          <w:rFonts w:asciiTheme="minorHAnsi" w:hAnsiTheme="minorHAnsi"/>
          <w:color w:val="000000"/>
          <w:szCs w:val="24"/>
        </w:rPr>
      </w:pPr>
    </w:p>
    <w:p w14:paraId="17B93E56" w14:textId="77777777" w:rsidR="003A15D9" w:rsidRPr="000D3432" w:rsidRDefault="003A15D9" w:rsidP="00A95498">
      <w:pPr>
        <w:rPr>
          <w:rFonts w:asciiTheme="minorHAnsi" w:hAnsiTheme="minorHAnsi"/>
          <w:color w:val="000000"/>
          <w:szCs w:val="24"/>
        </w:rPr>
      </w:pPr>
    </w:p>
    <w:p w14:paraId="38992D5A"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8.- ELEMENTOS DEL DERECHO POSTMODERNO</w:t>
      </w:r>
    </w:p>
    <w:p w14:paraId="676DB3CE" w14:textId="77777777" w:rsidR="003A15D9" w:rsidRPr="000D3432" w:rsidRDefault="003A15D9" w:rsidP="00A95498">
      <w:pPr>
        <w:rPr>
          <w:rFonts w:asciiTheme="minorHAnsi" w:hAnsiTheme="minorHAnsi"/>
          <w:color w:val="000000"/>
          <w:szCs w:val="24"/>
        </w:rPr>
      </w:pPr>
    </w:p>
    <w:p w14:paraId="7697C511"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a.- EL INDIVIDUALISMO COMO INTERÉS SUPREMO. ARMONIZACIÓN ENTRE LOS INTERESES JURÍDICOS INDIVIDUALES Y LOS INTERESES COLECTIVOS, ENTRE INDIVIDUO Y ESTADO</w:t>
      </w:r>
    </w:p>
    <w:p w14:paraId="37701835" w14:textId="77777777" w:rsidR="003A15D9" w:rsidRPr="000D3432" w:rsidRDefault="003A15D9" w:rsidP="00A95498">
      <w:pPr>
        <w:rPr>
          <w:rFonts w:asciiTheme="minorHAnsi" w:hAnsiTheme="minorHAnsi"/>
          <w:color w:val="000000"/>
          <w:szCs w:val="24"/>
        </w:rPr>
      </w:pPr>
    </w:p>
    <w:p w14:paraId="625D8CFB"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Dentro de los Elementos que postula el Derecho Postmoderno tenemos al interés del individuo, es decir, lo que en este mundo importaría sería el interés individual, puesto que en último término lo que el ser humano hace es perseguir sus intereses independientemente de las justificaciones que para ello hayan dado. </w:t>
      </w:r>
    </w:p>
    <w:p w14:paraId="39F67052" w14:textId="77777777" w:rsidR="003A15D9" w:rsidRPr="000D3432" w:rsidRDefault="003A15D9" w:rsidP="00A95498">
      <w:pPr>
        <w:jc w:val="both"/>
        <w:rPr>
          <w:rFonts w:asciiTheme="minorHAnsi" w:hAnsiTheme="minorHAnsi"/>
          <w:color w:val="000000"/>
          <w:szCs w:val="24"/>
        </w:rPr>
      </w:pPr>
    </w:p>
    <w:p w14:paraId="3E3FCC49"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Así, maximizar los intereses individuales sin minimizar los intereses de los demás es el punto eje de un derecho postmoderno.</w:t>
      </w:r>
    </w:p>
    <w:p w14:paraId="308CE5D6" w14:textId="77777777" w:rsidR="003A15D9" w:rsidRPr="000D3432" w:rsidRDefault="003A15D9" w:rsidP="00A95498">
      <w:pPr>
        <w:jc w:val="both"/>
        <w:rPr>
          <w:rFonts w:asciiTheme="minorHAnsi" w:hAnsiTheme="minorHAnsi"/>
          <w:color w:val="000000"/>
          <w:szCs w:val="24"/>
        </w:rPr>
      </w:pPr>
    </w:p>
    <w:p w14:paraId="285A0A00"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Así, si todos están enfrentados los unos con los otros (Hobbes) el orden jurídico sólo existiría para regular los intereses, para encuadrarlos dentro de un marco general, pero no específico, que permita el juego y la creación de los propios medios del hombre a llegar a sus máximos intereses.</w:t>
      </w:r>
    </w:p>
    <w:p w14:paraId="213E71E0" w14:textId="77777777" w:rsidR="003A15D9" w:rsidRPr="000D3432" w:rsidRDefault="003A15D9" w:rsidP="00A95498">
      <w:pPr>
        <w:jc w:val="both"/>
        <w:rPr>
          <w:rFonts w:asciiTheme="minorHAnsi" w:hAnsiTheme="minorHAnsi"/>
          <w:color w:val="000000"/>
          <w:szCs w:val="24"/>
        </w:rPr>
      </w:pPr>
    </w:p>
    <w:p w14:paraId="73A369FA"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La postmodernidad no cree en la justicia como ideal del bien común, sino de bien particular; de igual forma el hombre cree en la justicia o la igualdad sólo por ser la defensa de sus intereses, no por amor al pueblo; así como busca la justicia, sólo porque le es necesario para proteger sus intereses. En conclusión el hombre ya no requiere del Estado para que lo dirija, sino sólo para que proteja sus intereses; el hombre decide qué es bueno y qué es malo.</w:t>
      </w:r>
    </w:p>
    <w:p w14:paraId="5F258039" w14:textId="77777777" w:rsidR="003A15D9" w:rsidRPr="000D3432" w:rsidRDefault="003A15D9" w:rsidP="00A95498">
      <w:pPr>
        <w:jc w:val="both"/>
        <w:rPr>
          <w:rFonts w:asciiTheme="minorHAnsi" w:hAnsiTheme="minorHAnsi"/>
          <w:color w:val="000000"/>
          <w:szCs w:val="24"/>
        </w:rPr>
      </w:pPr>
    </w:p>
    <w:p w14:paraId="3CB4F3D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Las soluciones jurídicas habrían de crearse por los propios hombres necesitados de soluciones rápidas, para evitar engorrosos procesos judiciales, como por ejemplo, los Medios Alternativos de solución. La ley debe concretarse y reforzar su expresión en los derechos individuales, para prestarle la máxima garantía a estos intereses individuales.</w:t>
      </w:r>
    </w:p>
    <w:p w14:paraId="04FB0627" w14:textId="77777777" w:rsidR="003A15D9" w:rsidRPr="000D3432" w:rsidRDefault="003A15D9" w:rsidP="00A95498">
      <w:pPr>
        <w:rPr>
          <w:rFonts w:asciiTheme="minorHAnsi" w:hAnsiTheme="minorHAnsi"/>
          <w:color w:val="000000"/>
          <w:szCs w:val="24"/>
        </w:rPr>
      </w:pPr>
    </w:p>
    <w:p w14:paraId="2D27BC7E"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b.- LA RACIONALIDAD JURÍDICA COMO PROCESO PARA UN ORDENAMIENTO JURÍDICO CON INTERNA COHERENCIA </w:t>
      </w:r>
    </w:p>
    <w:p w14:paraId="6876FBB2" w14:textId="77777777" w:rsidR="003A15D9" w:rsidRPr="000D3432" w:rsidRDefault="003A15D9" w:rsidP="00A95498">
      <w:pPr>
        <w:rPr>
          <w:rFonts w:asciiTheme="minorHAnsi" w:hAnsiTheme="minorHAnsi"/>
          <w:color w:val="000000"/>
          <w:szCs w:val="24"/>
        </w:rPr>
      </w:pPr>
    </w:p>
    <w:p w14:paraId="37A2D84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Otro de los elementos del Derecho Postmoderno es la Razón operativa. El problema consiste en que quien crece con la razón describe el mundo tal cual es, y desde allí intenta comunicar a los otros cómo deben pensar y actuar correctamente. </w:t>
      </w:r>
    </w:p>
    <w:p w14:paraId="7D4FAB86" w14:textId="77777777" w:rsidR="003A15D9" w:rsidRPr="000D3432" w:rsidRDefault="003A15D9" w:rsidP="00A95498">
      <w:pPr>
        <w:jc w:val="both"/>
        <w:rPr>
          <w:rFonts w:asciiTheme="minorHAnsi" w:hAnsiTheme="minorHAnsi"/>
          <w:color w:val="000000"/>
          <w:szCs w:val="24"/>
        </w:rPr>
      </w:pPr>
    </w:p>
    <w:p w14:paraId="7474396C"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Razón Operativa es más bien un cálculo de las posibilidades de realización de </w:t>
      </w:r>
      <w:r w:rsidRPr="000D3432">
        <w:rPr>
          <w:rFonts w:asciiTheme="minorHAnsi" w:hAnsiTheme="minorHAnsi"/>
          <w:color w:val="000000"/>
          <w:szCs w:val="24"/>
        </w:rPr>
        <w:lastRenderedPageBreak/>
        <w:t xml:space="preserve">nuestros interés antes que un sistema ideológico que se impone desde arriba y que determina cuáles deben ser nuestros intereses y pasiones; la racionalidad, así entendida, es más que un dato, una aspiración y un propósito; la racionalidad se dirige a obtener cierta coherencia interna; permite que el ordenamiento tenga cierta coherencia interna, de tal forma que la razón ya no sería una ideología salvadora. </w:t>
      </w:r>
    </w:p>
    <w:p w14:paraId="29CBED48" w14:textId="77777777" w:rsidR="003A15D9" w:rsidRPr="000D3432" w:rsidRDefault="003A15D9" w:rsidP="00A95498">
      <w:pPr>
        <w:rPr>
          <w:rFonts w:asciiTheme="minorHAnsi" w:hAnsiTheme="minorHAnsi"/>
          <w:color w:val="000000"/>
          <w:szCs w:val="24"/>
        </w:rPr>
      </w:pPr>
    </w:p>
    <w:p w14:paraId="0F5A9F2D"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c.- INVALIDEZ DE LOS DISCURSOS E IDEOLOGÍAS TOTALIZANTES Y NUEVOS SISTEMAS DE METARRELATOS DE LA VERDAD JURÍDICA</w:t>
      </w:r>
    </w:p>
    <w:p w14:paraId="229947C8" w14:textId="77777777" w:rsidR="003A15D9" w:rsidRPr="000D3432" w:rsidRDefault="003A15D9" w:rsidP="00A95498">
      <w:pPr>
        <w:rPr>
          <w:rFonts w:asciiTheme="minorHAnsi" w:hAnsiTheme="minorHAnsi"/>
          <w:color w:val="000000"/>
          <w:szCs w:val="24"/>
        </w:rPr>
      </w:pPr>
    </w:p>
    <w:p w14:paraId="6D63939A"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Este elemento consiste en que la ideología como principio universalizante ya no es aceptada; promoviendo la libertad sin moldes, sin ideologías totalizantes. Así no hay lugar para viejos discursos que se pretendía como absolutos, plenos, y más bien se pretende deshacerse de viejos discursos, deshacerse de clasificaciones cuadradas. Se forma un mundo donde la verdad pasa a ser una noción con historia, y sale en evidencia el fin de los discursos ciertos como las ideologías, una libertad sin ideologías, dogmas, puesto que el dogma supone creer tener un conocimiento verdadero y absoluto.</w:t>
      </w:r>
    </w:p>
    <w:p w14:paraId="202273E2" w14:textId="77777777" w:rsidR="003A15D9" w:rsidRPr="000D3432" w:rsidRDefault="003A15D9" w:rsidP="00A95498">
      <w:pPr>
        <w:rPr>
          <w:rFonts w:asciiTheme="minorHAnsi" w:hAnsiTheme="minorHAnsi"/>
          <w:color w:val="000000"/>
          <w:szCs w:val="24"/>
        </w:rPr>
      </w:pPr>
    </w:p>
    <w:p w14:paraId="64C45F2B"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d.- REIVINDICACIÓN DE LAS DIFERENCIAS. EL ESTADO Y EL DERECHO HORIZONTAL. ABANDONO DEL MONOPOLIO DE LA SANCIÓN </w:t>
      </w:r>
    </w:p>
    <w:p w14:paraId="5C83EC0E" w14:textId="77777777" w:rsidR="003A15D9" w:rsidRPr="000D3432" w:rsidRDefault="003A15D9" w:rsidP="00A95498">
      <w:pPr>
        <w:rPr>
          <w:rFonts w:asciiTheme="minorHAnsi" w:hAnsiTheme="minorHAnsi"/>
          <w:color w:val="000000"/>
          <w:szCs w:val="24"/>
        </w:rPr>
      </w:pPr>
    </w:p>
    <w:p w14:paraId="4C03C37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El Derecho Postmoderno propone la aceptación de las diferencias, y por lo tal la necesidad de articular esas diferencias; y puesto que no hay centros, sino simultaneidad de presencias, de creencias y valores sociales y jurídicos.</w:t>
      </w:r>
    </w:p>
    <w:p w14:paraId="476E2856" w14:textId="77777777" w:rsidR="003A15D9" w:rsidRPr="000D3432" w:rsidRDefault="003A15D9" w:rsidP="00A95498">
      <w:pPr>
        <w:jc w:val="both"/>
        <w:rPr>
          <w:rFonts w:asciiTheme="minorHAnsi" w:hAnsiTheme="minorHAnsi"/>
          <w:color w:val="000000"/>
          <w:szCs w:val="24"/>
        </w:rPr>
      </w:pPr>
    </w:p>
    <w:p w14:paraId="680E33FF"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Articular las diferencias significa también que el Estado deberá disminuir, para coordinar los intereses individuales, y lo hará a través de la educación; así mismo el derecho se estructurará más mediante contratos (Derecho horizontal) que verticalmente mediante normas generales; el Estado no tendrá así el monopolio de la sanción, sino que las reglas surgirán de común acuerdo de las partes que verán la necesidad de no hacer trampa para negociar; las reglas surgirán del juego entre las partes; las reglas se cumplirán para que el juego no se frustre; el Estado, entonces, debe perder parte de poder para dárselo al individuo; sin embargo cabe anotar que el Estado es una amenaza constante porque para ser tal tiene que tener más poder que cada uno de sus ciudadanos; lo que supone que al parecer siempre tendremos que pagar un precio por la protección del Estado; sin embargo, en la postmodernidad será mínima</w:t>
      </w:r>
    </w:p>
    <w:p w14:paraId="03EDA5CB" w14:textId="77777777" w:rsidR="003A15D9" w:rsidRPr="000D3432" w:rsidRDefault="003A15D9" w:rsidP="00A95498">
      <w:pPr>
        <w:numPr>
          <w:ilvl w:val="12"/>
          <w:numId w:val="0"/>
        </w:numPr>
        <w:rPr>
          <w:rFonts w:asciiTheme="minorHAnsi" w:hAnsiTheme="minorHAnsi"/>
          <w:color w:val="000000"/>
          <w:szCs w:val="24"/>
        </w:rPr>
      </w:pPr>
    </w:p>
    <w:p w14:paraId="4EFDFC4A"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El derecho postmoderno debe articular el orden dentro de la diversidad y viceversa, rescatando la diversidad cultural y normativa; abandonando las urgencias universalistas; articulando diferentes manifestaciones de lo múltiple. En este Derecho postmoderno existe una referencia al interés general, pero articulándolo con el interés personal, individual; es pues una totalidad abierta. </w:t>
      </w:r>
    </w:p>
    <w:p w14:paraId="00C48EC9" w14:textId="77777777" w:rsidR="003A15D9" w:rsidRPr="000D3432" w:rsidRDefault="003A15D9" w:rsidP="00A95498">
      <w:pPr>
        <w:rPr>
          <w:rFonts w:asciiTheme="minorHAnsi" w:hAnsiTheme="minorHAnsi"/>
          <w:color w:val="000000"/>
          <w:szCs w:val="24"/>
        </w:rPr>
      </w:pPr>
    </w:p>
    <w:p w14:paraId="0FA657B7"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e.- LA TEORÍA PERSPECTIVISTA EN EL DERECHO Y EL DERRUMBE DE LA ESTABILIDAD Y PERMANENCIA DE LA NOCIÓN DE PLANIFICACIÓN </w:t>
      </w:r>
    </w:p>
    <w:p w14:paraId="7B7FBEC7" w14:textId="77777777" w:rsidR="003A15D9" w:rsidRPr="000D3432" w:rsidRDefault="003A15D9" w:rsidP="00A95498">
      <w:pPr>
        <w:rPr>
          <w:rFonts w:asciiTheme="minorHAnsi" w:hAnsiTheme="minorHAnsi"/>
          <w:color w:val="000000"/>
          <w:szCs w:val="24"/>
        </w:rPr>
      </w:pPr>
    </w:p>
    <w:p w14:paraId="6EC6BF9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lastRenderedPageBreak/>
        <w:t>El Derecho Postmoderno plantea el problema que las planificaciones a largo plazo son el resultado de la soberbia generacional que intenta imponer sus ideas y sus metas sobre las generaciones siguientes; intentando encasillar el futuro dentro de ciertas líneas. Sin embargo existen particularismos que hacen del Derecho una diferenciación, un acto de diferenciación; así existen tantas realidades como puntos de vistas; y hay variedad de criterios frente a esta multiplicidad de puntos de vista</w:t>
      </w:r>
    </w:p>
    <w:p w14:paraId="59B08CEC" w14:textId="77777777" w:rsidR="003A15D9" w:rsidRPr="000D3432" w:rsidRDefault="003A15D9" w:rsidP="00A95498">
      <w:pPr>
        <w:rPr>
          <w:rFonts w:asciiTheme="minorHAnsi" w:hAnsiTheme="minorHAnsi"/>
          <w:color w:val="000000"/>
          <w:szCs w:val="24"/>
        </w:rPr>
      </w:pPr>
    </w:p>
    <w:p w14:paraId="651B12D2"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f.- EL RECONOCIMIENTO DEL DERECHO DE LA PERSONA MEDIANTE EL CONTRASTE CON LA REALIDAD (DERECHOS RECONOCIDOS AUN SIN LEY) </w:t>
      </w:r>
    </w:p>
    <w:p w14:paraId="5AAE015E" w14:textId="77777777" w:rsidR="003A15D9" w:rsidRPr="000D3432" w:rsidRDefault="003A15D9" w:rsidP="00A95498">
      <w:pPr>
        <w:rPr>
          <w:rFonts w:asciiTheme="minorHAnsi" w:hAnsiTheme="minorHAnsi"/>
          <w:color w:val="000000"/>
          <w:szCs w:val="24"/>
        </w:rPr>
      </w:pPr>
    </w:p>
    <w:p w14:paraId="60774F62"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En el nuevo Derecho Postmoderno los derechos serán reconocidos aún sin ley, pues los conocimientos sobre la validez de los hechos deben plantearse de nuevo; así mismo los particulares pueden crear reglas de conducta y reglamentar sus respectivas relaciones jurídicas. </w:t>
      </w:r>
    </w:p>
    <w:p w14:paraId="5C2D5371" w14:textId="77777777" w:rsidR="003A15D9" w:rsidRPr="000D3432" w:rsidRDefault="003A15D9" w:rsidP="00A95498">
      <w:pPr>
        <w:rPr>
          <w:rFonts w:asciiTheme="minorHAnsi" w:hAnsiTheme="minorHAnsi"/>
          <w:color w:val="000000"/>
          <w:szCs w:val="24"/>
        </w:rPr>
      </w:pPr>
    </w:p>
    <w:p w14:paraId="51E70505"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Dorwkin escribe que los derechos pueden ser reconocidos aún sin ley, aún contraponiéndose a la ley positiva si es que se compone de acuerdo a ciertos principios morales que justifiquen el reconocimiento de tales derechos. ¿Cuál sería el exponentes fundamental?</w:t>
      </w:r>
    </w:p>
    <w:p w14:paraId="26B86B08" w14:textId="77777777" w:rsidR="003A15D9" w:rsidRPr="000D3432" w:rsidRDefault="003A15D9" w:rsidP="00A95498">
      <w:pPr>
        <w:rPr>
          <w:rFonts w:asciiTheme="minorHAnsi" w:hAnsiTheme="minorHAnsi"/>
          <w:color w:val="000000"/>
          <w:szCs w:val="24"/>
        </w:rPr>
      </w:pPr>
    </w:p>
    <w:p w14:paraId="0BEEE00F"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El derecho no se puede subsumir, excusar ante la realidad; y el nuevo requisito para la aplicación o no de la ley deberá ser su contraste con la Realidad como condición. Así la teorización sobre la Relación jurídica se pone en alto relieve, pues la simple existencia de dos personas en relación produciría una relación jurídica.</w:t>
      </w:r>
    </w:p>
    <w:p w14:paraId="6616643B" w14:textId="77777777" w:rsidR="003A15D9" w:rsidRPr="000D3432" w:rsidRDefault="003A15D9" w:rsidP="00A95498">
      <w:pPr>
        <w:rPr>
          <w:rFonts w:asciiTheme="minorHAnsi" w:hAnsiTheme="minorHAnsi"/>
          <w:color w:val="000000"/>
          <w:szCs w:val="24"/>
        </w:rPr>
      </w:pPr>
    </w:p>
    <w:p w14:paraId="041021E6"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 xml:space="preserve">g.- CRÍTICA AL PRINCIPIO MODERNO DE UNIVERSALIZACIÓN DE LAS NORMAS, E ILEGITIMIDAD DE LAS CONCEPCIONES SOBRE LA RAZÓN ESPECULATIVA O TEÓRICA </w:t>
      </w:r>
    </w:p>
    <w:p w14:paraId="79F12EB2" w14:textId="77777777" w:rsidR="003A15D9" w:rsidRPr="000D3432" w:rsidRDefault="003A15D9" w:rsidP="00A95498">
      <w:pPr>
        <w:numPr>
          <w:ilvl w:val="12"/>
          <w:numId w:val="0"/>
        </w:numPr>
        <w:rPr>
          <w:rFonts w:asciiTheme="minorHAnsi" w:hAnsiTheme="minorHAnsi"/>
          <w:color w:val="000000"/>
          <w:szCs w:val="24"/>
        </w:rPr>
      </w:pPr>
    </w:p>
    <w:p w14:paraId="34996112"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Este nuevo Derecho Postmoderno renuncia al principio moderno de universalización de las normas y por lo tanto del Derecho. Hay una revelación más sobre el Estado de Derecho, pues debe hablarse ahora antes de un Estado de Justicia, donde exista Seguridad Jurídica. Esto producido por que se camina más bien al cambio constante de todo, sin regla superior permanente alguna, salvo la del constante cambio o variación.</w:t>
      </w:r>
    </w:p>
    <w:p w14:paraId="7B2DB37F" w14:textId="77777777" w:rsidR="003A15D9" w:rsidRPr="000D3432" w:rsidRDefault="003A15D9" w:rsidP="00A95498">
      <w:pPr>
        <w:rPr>
          <w:rFonts w:asciiTheme="minorHAnsi" w:hAnsiTheme="minorHAnsi"/>
          <w:color w:val="000000"/>
          <w:szCs w:val="24"/>
        </w:rPr>
      </w:pPr>
    </w:p>
    <w:p w14:paraId="234C05AD"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h.- SEGURIDAD DINÁMICA VS. SEGURIDAD ESTÁTICA EN EL ORDENAMIENTO JURÍDICO</w:t>
      </w:r>
    </w:p>
    <w:p w14:paraId="36827F1C" w14:textId="77777777" w:rsidR="003A15D9" w:rsidRPr="000D3432" w:rsidRDefault="003A15D9" w:rsidP="00A95498">
      <w:pPr>
        <w:rPr>
          <w:rFonts w:asciiTheme="minorHAnsi" w:hAnsiTheme="minorHAnsi"/>
          <w:color w:val="000000"/>
          <w:szCs w:val="24"/>
        </w:rPr>
      </w:pPr>
    </w:p>
    <w:p w14:paraId="47533707"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Otra realidad del Derecho Postmoderno es afianzar la Seguridad Jurídica Dinámica, frente a la Seguridad Jurídica Estática, ésta última pedía que las normas sean estables y no cambiantes, con las cuales se podría predecir el futuro de sus actos jurídicos; sin embargo, con los cambios sociales, se requiere cierta flexibilidad, cierto reamoldamiento; esto revela que un Derecho rígido no es adecuado a las necesidades y entonces el hombre exige que este derecho se adecue a sus necesidades; así incluso el nuevo arte del abogado sería el arte de </w:t>
      </w:r>
      <w:r w:rsidRPr="000D3432">
        <w:rPr>
          <w:rFonts w:asciiTheme="minorHAnsi" w:hAnsiTheme="minorHAnsi"/>
          <w:color w:val="000000"/>
          <w:szCs w:val="24"/>
        </w:rPr>
        <w:lastRenderedPageBreak/>
        <w:t>las modificaciones legales; y la Seguridad Estática  (preservación de los antiguos derechos establecidos) se confrontaría con la Seguridad Dinámica (protección de personas comprometidas en nuevas actividades).</w:t>
      </w:r>
    </w:p>
    <w:p w14:paraId="5E72E9EC" w14:textId="77777777" w:rsidR="003A15D9" w:rsidRPr="000D3432" w:rsidRDefault="003A15D9" w:rsidP="00A95498">
      <w:pPr>
        <w:rPr>
          <w:rFonts w:asciiTheme="minorHAnsi" w:hAnsiTheme="minorHAnsi"/>
          <w:color w:val="000000"/>
          <w:szCs w:val="24"/>
        </w:rPr>
      </w:pPr>
    </w:p>
    <w:p w14:paraId="7984EF87" w14:textId="77777777" w:rsidR="003A15D9" w:rsidRPr="000D3432" w:rsidRDefault="003A15D9" w:rsidP="00A95498">
      <w:pPr>
        <w:jc w:val="both"/>
        <w:rPr>
          <w:rFonts w:asciiTheme="minorHAnsi" w:hAnsiTheme="minorHAnsi"/>
          <w:b/>
          <w:color w:val="000000"/>
          <w:szCs w:val="24"/>
        </w:rPr>
      </w:pPr>
      <w:r w:rsidRPr="000D3432">
        <w:rPr>
          <w:rFonts w:asciiTheme="minorHAnsi" w:hAnsiTheme="minorHAnsi"/>
          <w:b/>
          <w:color w:val="000000"/>
          <w:szCs w:val="24"/>
        </w:rPr>
        <w:t>i.- CIENCIA, MÉTODO CIENTÍFICO Y CIENTIFICISMO EN EL DERECHO</w:t>
      </w:r>
    </w:p>
    <w:p w14:paraId="7BE6045A" w14:textId="77777777" w:rsidR="003A15D9" w:rsidRPr="000D3432" w:rsidRDefault="003A15D9" w:rsidP="00A95498">
      <w:pPr>
        <w:rPr>
          <w:rFonts w:asciiTheme="minorHAnsi" w:hAnsiTheme="minorHAnsi"/>
          <w:b/>
          <w:color w:val="000000"/>
          <w:szCs w:val="24"/>
        </w:rPr>
      </w:pPr>
    </w:p>
    <w:p w14:paraId="4241E9B4"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Ciencia debe ser diferenciada del método científico y del cientificismo, para construir un nuevo derecho. El cientificismo supuso querer incluir, a toda costa, cualquier dimensión cultural, como el derecho, por ejemplo, dentro de las categorías de la ciencia, quitándole independencia y autonomía.  </w:t>
      </w:r>
    </w:p>
    <w:p w14:paraId="75AF85B7" w14:textId="77777777" w:rsidR="003A15D9" w:rsidRPr="000D3432" w:rsidRDefault="003A15D9" w:rsidP="00A95498">
      <w:pPr>
        <w:rPr>
          <w:rFonts w:asciiTheme="minorHAnsi" w:hAnsiTheme="minorHAnsi"/>
          <w:b/>
          <w:color w:val="000000"/>
          <w:szCs w:val="24"/>
        </w:rPr>
      </w:pPr>
    </w:p>
    <w:p w14:paraId="69A9A9D3" w14:textId="77777777" w:rsidR="003A15D9" w:rsidRPr="000D3432" w:rsidRDefault="003A15D9" w:rsidP="00A95498">
      <w:pPr>
        <w:rPr>
          <w:rFonts w:asciiTheme="minorHAnsi" w:hAnsiTheme="minorHAnsi"/>
          <w:b/>
          <w:color w:val="000000"/>
          <w:szCs w:val="24"/>
        </w:rPr>
      </w:pPr>
      <w:r w:rsidRPr="000D3432">
        <w:rPr>
          <w:rFonts w:asciiTheme="minorHAnsi" w:hAnsiTheme="minorHAnsi"/>
          <w:b/>
          <w:color w:val="000000"/>
          <w:szCs w:val="24"/>
        </w:rPr>
        <w:t xml:space="preserve">j.- GLOBALIZACIÓN Y LA NUEVA CONSTRUCCIÓN DEL DERECHO COMO DERECHO INTERNACIONAL </w:t>
      </w:r>
    </w:p>
    <w:p w14:paraId="2CE4F6AB" w14:textId="77777777" w:rsidR="003A15D9" w:rsidRPr="000D3432" w:rsidRDefault="003A15D9" w:rsidP="00A95498">
      <w:pPr>
        <w:rPr>
          <w:rFonts w:asciiTheme="minorHAnsi" w:hAnsiTheme="minorHAnsi"/>
          <w:color w:val="000000"/>
          <w:szCs w:val="24"/>
        </w:rPr>
      </w:pPr>
    </w:p>
    <w:p w14:paraId="66D7D0FD" w14:textId="77777777" w:rsidR="003A15D9" w:rsidRPr="000D3432" w:rsidRDefault="003A15D9" w:rsidP="00A95498">
      <w:pPr>
        <w:jc w:val="both"/>
        <w:rPr>
          <w:rFonts w:asciiTheme="minorHAnsi" w:hAnsiTheme="minorHAnsi"/>
          <w:color w:val="000000"/>
          <w:szCs w:val="24"/>
        </w:rPr>
      </w:pPr>
      <w:r w:rsidRPr="000D3432">
        <w:rPr>
          <w:rFonts w:asciiTheme="minorHAnsi" w:hAnsiTheme="minorHAnsi"/>
          <w:color w:val="000000"/>
          <w:szCs w:val="24"/>
        </w:rPr>
        <w:t xml:space="preserve">La Globalización implica la presencia del capital internacional, del ingreso en el mercado global, la internacionalización de la producción, el desplazamiento de la soberanía desde el Estado nación a las agencias internacionales de capital; el reconocimiento de nuestra existencia como aldea global; y la implicación que supone todo esto en el Derecho. </w:t>
      </w:r>
    </w:p>
    <w:p w14:paraId="00797612" w14:textId="77777777" w:rsidR="003A15D9" w:rsidRPr="000D3432" w:rsidRDefault="003A15D9" w:rsidP="00A95498">
      <w:pPr>
        <w:tabs>
          <w:tab w:val="right" w:pos="8505"/>
        </w:tabs>
        <w:rPr>
          <w:rFonts w:asciiTheme="minorHAnsi" w:hAnsiTheme="minorHAnsi"/>
          <w:color w:val="000000"/>
          <w:szCs w:val="24"/>
        </w:rPr>
      </w:pPr>
    </w:p>
    <w:p w14:paraId="4EB34331" w14:textId="77777777" w:rsidR="003A15D9" w:rsidRPr="000D3432" w:rsidRDefault="003A15D9" w:rsidP="00A95498">
      <w:pPr>
        <w:jc w:val="center"/>
        <w:rPr>
          <w:rFonts w:asciiTheme="minorHAnsi" w:hAnsiTheme="minorHAnsi"/>
          <w:bCs/>
          <w:color w:val="000000"/>
          <w:szCs w:val="24"/>
        </w:rPr>
      </w:pPr>
      <w:r w:rsidRPr="000D3432">
        <w:rPr>
          <w:rFonts w:asciiTheme="minorHAnsi" w:hAnsiTheme="minorHAnsi"/>
          <w:bCs/>
          <w:color w:val="000000"/>
          <w:szCs w:val="24"/>
        </w:rPr>
        <w:t>--- 000 ---</w:t>
      </w:r>
    </w:p>
    <w:p w14:paraId="4E25808C" w14:textId="77777777" w:rsidR="003A15D9" w:rsidRPr="000D3432" w:rsidRDefault="003A15D9" w:rsidP="00A95498">
      <w:pPr>
        <w:rPr>
          <w:rFonts w:asciiTheme="minorHAnsi" w:hAnsiTheme="minorHAnsi"/>
          <w:bCs/>
          <w:color w:val="000000"/>
          <w:szCs w:val="24"/>
        </w:rPr>
      </w:pPr>
    </w:p>
    <w:p w14:paraId="0FC166AF" w14:textId="77777777" w:rsidR="003A15D9" w:rsidRPr="000D3432" w:rsidRDefault="003A15D9" w:rsidP="00A95498">
      <w:pPr>
        <w:jc w:val="both"/>
        <w:rPr>
          <w:rFonts w:asciiTheme="minorHAnsi" w:hAnsiTheme="minorHAnsi"/>
          <w:szCs w:val="24"/>
        </w:rPr>
      </w:pPr>
      <w:r w:rsidRPr="000D3432">
        <w:rPr>
          <w:rFonts w:asciiTheme="minorHAnsi" w:hAnsiTheme="minorHAnsi"/>
          <w:bCs/>
          <w:color w:val="000000"/>
          <w:szCs w:val="24"/>
        </w:rPr>
        <w:t xml:space="preserve">La historia de nuestra mente normativa, jurídica, se sigue construyendo e irá irremediablemente despejando complejos y teorías que antaño se creían ciertas, como aquellas que indican la certeza de la separación de la razón y los sentimientos, de que existe un pensamiento racional y un sentimiento distinto y diferente. El pensamiento se construye de razonamientos pero también de sentimientos, la separación es sólo teórica, por aquello de pensar que se puede actuar racionalmente, que el Derecho tiene que ser racional para indicar y excluir a las pasiones, a las sensaciones, emociones, sentimientos de la conducta –incluso mental- del ser humano, es una falacia que el nuevo Derecho Postmoderno descifrará, entre otros temas que sintéticamente se han expuesto en el anterior texto. </w:t>
      </w:r>
    </w:p>
    <w:p w14:paraId="098D09AA" w14:textId="77777777" w:rsidR="003A15D9" w:rsidRPr="000D3432" w:rsidRDefault="003A15D9" w:rsidP="00A95498">
      <w:pPr>
        <w:jc w:val="both"/>
        <w:rPr>
          <w:rFonts w:asciiTheme="minorHAnsi" w:hAnsiTheme="minorHAnsi" w:cs="Times"/>
          <w:szCs w:val="24"/>
        </w:rPr>
      </w:pPr>
    </w:p>
    <w:p w14:paraId="02B87A2E" w14:textId="77777777" w:rsidR="003A15D9" w:rsidRPr="000D3432" w:rsidRDefault="003A15D9" w:rsidP="00A95498">
      <w:pPr>
        <w:jc w:val="both"/>
        <w:rPr>
          <w:rFonts w:asciiTheme="minorHAnsi" w:hAnsiTheme="minorHAnsi" w:cs="Arial"/>
          <w:szCs w:val="24"/>
        </w:rPr>
      </w:pPr>
    </w:p>
    <w:p w14:paraId="7A33EBC2" w14:textId="77777777" w:rsidR="003A15D9" w:rsidRPr="000D3432" w:rsidRDefault="003A15D9" w:rsidP="00A95498">
      <w:pPr>
        <w:jc w:val="both"/>
        <w:rPr>
          <w:rFonts w:asciiTheme="minorHAnsi" w:hAnsiTheme="minorHAnsi" w:cs="Arial"/>
          <w:szCs w:val="24"/>
        </w:rPr>
      </w:pPr>
    </w:p>
    <w:p w14:paraId="34E86266" w14:textId="77777777" w:rsidR="003A15D9" w:rsidRPr="000D3432" w:rsidRDefault="003A15D9" w:rsidP="00A95498">
      <w:pPr>
        <w:jc w:val="both"/>
        <w:rPr>
          <w:rFonts w:asciiTheme="minorHAnsi" w:hAnsiTheme="minorHAnsi" w:cs="Arial"/>
          <w:szCs w:val="24"/>
        </w:rPr>
      </w:pPr>
    </w:p>
    <w:p w14:paraId="5213A344" w14:textId="77777777" w:rsidR="003A15D9" w:rsidRPr="000D3432" w:rsidRDefault="003A15D9" w:rsidP="00A95498">
      <w:pPr>
        <w:jc w:val="both"/>
        <w:rPr>
          <w:rFonts w:asciiTheme="minorHAnsi" w:hAnsiTheme="minorHAnsi" w:cs="Arial"/>
          <w:szCs w:val="24"/>
        </w:rPr>
      </w:pPr>
    </w:p>
    <w:p w14:paraId="566B5B17" w14:textId="77777777" w:rsidR="003A15D9" w:rsidRPr="000D3432" w:rsidRDefault="003A15D9" w:rsidP="00A95498">
      <w:pPr>
        <w:jc w:val="both"/>
        <w:rPr>
          <w:rFonts w:asciiTheme="minorHAnsi" w:hAnsiTheme="minorHAnsi" w:cs="Arial"/>
          <w:szCs w:val="24"/>
        </w:rPr>
      </w:pPr>
    </w:p>
    <w:p w14:paraId="6F927711" w14:textId="77777777" w:rsidR="003A15D9" w:rsidRPr="000D3432" w:rsidRDefault="003A15D9" w:rsidP="00A95498">
      <w:pPr>
        <w:jc w:val="both"/>
        <w:rPr>
          <w:rFonts w:asciiTheme="minorHAnsi" w:hAnsiTheme="minorHAnsi" w:cs="Arial"/>
          <w:szCs w:val="24"/>
        </w:rPr>
      </w:pPr>
    </w:p>
    <w:p w14:paraId="60EEAEBA" w14:textId="77777777" w:rsidR="003A15D9" w:rsidRPr="000D3432" w:rsidRDefault="003A15D9" w:rsidP="00A95498">
      <w:pPr>
        <w:rPr>
          <w:rFonts w:asciiTheme="minorHAnsi" w:hAnsiTheme="minorHAnsi"/>
          <w:szCs w:val="24"/>
        </w:rPr>
      </w:pPr>
    </w:p>
    <w:p w14:paraId="3FB1F09C" w14:textId="77777777" w:rsidR="003A15D9" w:rsidRPr="000D3432" w:rsidRDefault="003A15D9" w:rsidP="00A95498">
      <w:pPr>
        <w:ind w:left="1416" w:right="567"/>
        <w:jc w:val="both"/>
        <w:rPr>
          <w:rFonts w:asciiTheme="minorHAnsi" w:hAnsiTheme="minorHAnsi" w:cs="Andalus"/>
          <w:i/>
          <w:szCs w:val="24"/>
          <w:u w:val="single"/>
        </w:rPr>
      </w:pPr>
    </w:p>
    <w:p w14:paraId="28685EC0" w14:textId="77777777" w:rsidR="003A15D9" w:rsidRPr="000D3432" w:rsidRDefault="003A15D9" w:rsidP="00A95498">
      <w:pPr>
        <w:ind w:left="1416" w:right="567"/>
        <w:jc w:val="both"/>
        <w:rPr>
          <w:rFonts w:asciiTheme="minorHAnsi" w:hAnsiTheme="minorHAnsi" w:cs="Andalus"/>
          <w:i/>
          <w:szCs w:val="24"/>
          <w:u w:val="single"/>
        </w:rPr>
      </w:pPr>
    </w:p>
    <w:p w14:paraId="4707A991" w14:textId="77777777" w:rsidR="003A15D9" w:rsidRPr="000D3432" w:rsidRDefault="003A15D9" w:rsidP="00A95498">
      <w:pPr>
        <w:ind w:left="1416" w:right="567"/>
        <w:jc w:val="both"/>
        <w:rPr>
          <w:rFonts w:asciiTheme="minorHAnsi" w:hAnsiTheme="minorHAnsi" w:cs="Andalus"/>
          <w:i/>
          <w:szCs w:val="24"/>
          <w:u w:val="single"/>
        </w:rPr>
      </w:pPr>
    </w:p>
    <w:p w14:paraId="0C00F3E6" w14:textId="77777777" w:rsidR="003A15D9" w:rsidRPr="000D3432" w:rsidRDefault="003A15D9" w:rsidP="00A95498">
      <w:pPr>
        <w:rPr>
          <w:rFonts w:asciiTheme="minorHAnsi" w:hAnsiTheme="minorHAnsi" w:cs="Andalus"/>
          <w:i/>
          <w:szCs w:val="24"/>
          <w:u w:val="single"/>
        </w:rPr>
      </w:pPr>
    </w:p>
    <w:p w14:paraId="1B997854" w14:textId="77777777" w:rsidR="001C71FE" w:rsidRPr="000D3432" w:rsidRDefault="001C71FE"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69A9E3B6" w14:textId="77777777" w:rsidR="001B03E0" w:rsidRPr="000D3432" w:rsidRDefault="001B03E0" w:rsidP="00A95498">
      <w:pPr>
        <w:rPr>
          <w:rFonts w:asciiTheme="minorHAnsi" w:hAnsiTheme="minorHAnsi"/>
          <w:szCs w:val="24"/>
        </w:rPr>
      </w:pPr>
    </w:p>
    <w:p w14:paraId="3591BBF9" w14:textId="77777777" w:rsidR="001C71FE" w:rsidRPr="000D3432" w:rsidRDefault="001C71FE" w:rsidP="00A95498">
      <w:pPr>
        <w:rPr>
          <w:rFonts w:asciiTheme="minorHAnsi" w:hAnsiTheme="minorHAnsi"/>
          <w:szCs w:val="24"/>
        </w:rPr>
      </w:pPr>
    </w:p>
    <w:p w14:paraId="32E506CA" w14:textId="77777777" w:rsidR="001C71FE" w:rsidRPr="000D3432" w:rsidRDefault="001C71FE" w:rsidP="00A95498">
      <w:pPr>
        <w:rPr>
          <w:rFonts w:asciiTheme="minorHAnsi" w:hAnsiTheme="minorHAnsi"/>
          <w:szCs w:val="24"/>
        </w:rPr>
      </w:pPr>
    </w:p>
    <w:p w14:paraId="4D15BC92" w14:textId="77777777" w:rsidR="00C1101F" w:rsidRPr="000D3432" w:rsidRDefault="00C1101F" w:rsidP="00A95498">
      <w:pPr>
        <w:rPr>
          <w:rFonts w:asciiTheme="minorHAnsi" w:hAnsiTheme="minorHAnsi"/>
          <w:szCs w:val="24"/>
        </w:rPr>
      </w:pPr>
    </w:p>
    <w:p w14:paraId="55F01AA8" w14:textId="77777777" w:rsidR="00C1101F" w:rsidRPr="000D3432" w:rsidRDefault="00C1101F" w:rsidP="00A95498">
      <w:pPr>
        <w:rPr>
          <w:rFonts w:asciiTheme="minorHAnsi" w:hAnsiTheme="minorHAnsi"/>
          <w:szCs w:val="24"/>
        </w:rPr>
      </w:pPr>
    </w:p>
    <w:p w14:paraId="773B9544" w14:textId="77777777" w:rsidR="00C1101F" w:rsidRPr="000D3432" w:rsidRDefault="00C1101F" w:rsidP="00A95498">
      <w:pPr>
        <w:rPr>
          <w:rFonts w:asciiTheme="minorHAnsi" w:hAnsiTheme="minorHAnsi"/>
          <w:szCs w:val="24"/>
        </w:rPr>
      </w:pPr>
    </w:p>
    <w:p w14:paraId="43DA43AB" w14:textId="77777777" w:rsidR="00C1101F" w:rsidRPr="000D3432" w:rsidRDefault="00C1101F" w:rsidP="00A95498">
      <w:pPr>
        <w:rPr>
          <w:rFonts w:asciiTheme="minorHAnsi" w:hAnsiTheme="minorHAnsi"/>
          <w:szCs w:val="24"/>
        </w:rPr>
      </w:pPr>
    </w:p>
    <w:p w14:paraId="2762DB9A" w14:textId="77777777" w:rsidR="00C1101F" w:rsidRPr="000D3432" w:rsidRDefault="00C1101F" w:rsidP="00A95498">
      <w:pPr>
        <w:rPr>
          <w:rFonts w:asciiTheme="minorHAnsi" w:hAnsiTheme="minorHAnsi"/>
          <w:szCs w:val="24"/>
        </w:rPr>
      </w:pPr>
    </w:p>
    <w:p w14:paraId="168F6CAD" w14:textId="77777777" w:rsidR="00C1101F" w:rsidRPr="000D3432" w:rsidRDefault="00C1101F" w:rsidP="00A95498">
      <w:pPr>
        <w:rPr>
          <w:rFonts w:asciiTheme="minorHAnsi" w:hAnsiTheme="minorHAnsi"/>
          <w:szCs w:val="24"/>
        </w:rPr>
      </w:pPr>
    </w:p>
    <w:p w14:paraId="1748F880" w14:textId="77777777" w:rsidR="00C1101F" w:rsidRPr="000D3432" w:rsidRDefault="00C1101F" w:rsidP="00A95498">
      <w:pPr>
        <w:rPr>
          <w:rFonts w:asciiTheme="minorHAnsi" w:hAnsiTheme="minorHAnsi"/>
          <w:szCs w:val="24"/>
        </w:rPr>
      </w:pPr>
    </w:p>
    <w:p w14:paraId="660510BA" w14:textId="77777777" w:rsidR="00C1101F" w:rsidRPr="000D3432" w:rsidRDefault="00C1101F" w:rsidP="00C1101F">
      <w:pPr>
        <w:jc w:val="center"/>
        <w:rPr>
          <w:rFonts w:asciiTheme="minorHAnsi" w:hAnsiTheme="minorHAnsi"/>
          <w:b/>
          <w:szCs w:val="24"/>
        </w:rPr>
      </w:pPr>
      <w:r w:rsidRPr="000D3432">
        <w:rPr>
          <w:rFonts w:asciiTheme="minorHAnsi" w:hAnsiTheme="minorHAnsi"/>
          <w:b/>
          <w:szCs w:val="24"/>
        </w:rPr>
        <w:t xml:space="preserve">DE OTROS AUTORES </w:t>
      </w:r>
    </w:p>
    <w:p w14:paraId="17424A3A" w14:textId="6B5F964B" w:rsidR="001C71FE" w:rsidRPr="000D3432" w:rsidRDefault="00C1101F" w:rsidP="00C1101F">
      <w:pPr>
        <w:jc w:val="center"/>
        <w:rPr>
          <w:rFonts w:asciiTheme="minorHAnsi" w:hAnsiTheme="minorHAnsi"/>
          <w:b/>
          <w:szCs w:val="24"/>
        </w:rPr>
      </w:pPr>
      <w:r w:rsidRPr="000D3432">
        <w:rPr>
          <w:rFonts w:asciiTheme="minorHAnsi" w:hAnsiTheme="minorHAnsi"/>
          <w:b/>
          <w:szCs w:val="24"/>
        </w:rPr>
        <w:t>PERVERSOS</w:t>
      </w:r>
    </w:p>
    <w:p w14:paraId="65265A8D" w14:textId="77777777" w:rsidR="001C71FE" w:rsidRPr="000D3432" w:rsidRDefault="001C71FE" w:rsidP="00A95498">
      <w:pPr>
        <w:rPr>
          <w:rFonts w:asciiTheme="minorHAnsi" w:hAnsiTheme="minorHAnsi"/>
          <w:szCs w:val="24"/>
        </w:rPr>
      </w:pPr>
    </w:p>
    <w:p w14:paraId="0B6CB801" w14:textId="77777777" w:rsidR="001C71FE" w:rsidRPr="000D3432" w:rsidRDefault="001C71FE" w:rsidP="00A95498">
      <w:pPr>
        <w:rPr>
          <w:rFonts w:asciiTheme="minorHAnsi" w:hAnsiTheme="minorHAnsi"/>
          <w:szCs w:val="24"/>
        </w:rPr>
      </w:pPr>
    </w:p>
    <w:p w14:paraId="64DBBD9A" w14:textId="6571FD32" w:rsidR="00C1101F" w:rsidRPr="000D3432" w:rsidRDefault="00C1101F">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610B57EE" w14:textId="77777777" w:rsidR="001C71FE" w:rsidRPr="000D3432" w:rsidRDefault="001C71FE" w:rsidP="00A95498">
      <w:pPr>
        <w:rPr>
          <w:rFonts w:asciiTheme="minorHAnsi" w:hAnsiTheme="minorHAnsi"/>
          <w:szCs w:val="24"/>
        </w:rPr>
      </w:pPr>
    </w:p>
    <w:p w14:paraId="5D05A279" w14:textId="77777777" w:rsidR="001C71FE" w:rsidRPr="000D3432" w:rsidRDefault="001C71FE" w:rsidP="00A95498">
      <w:pPr>
        <w:rPr>
          <w:rFonts w:asciiTheme="minorHAnsi" w:hAnsiTheme="minorHAnsi"/>
          <w:szCs w:val="24"/>
        </w:rPr>
      </w:pPr>
    </w:p>
    <w:p w14:paraId="3C36DA84" w14:textId="77777777" w:rsidR="001C71FE" w:rsidRPr="000D3432" w:rsidRDefault="001C71FE" w:rsidP="00A95498">
      <w:pPr>
        <w:rPr>
          <w:rFonts w:asciiTheme="minorHAnsi" w:hAnsiTheme="minorHAnsi"/>
          <w:szCs w:val="24"/>
        </w:rPr>
      </w:pPr>
    </w:p>
    <w:p w14:paraId="1F69DCA3" w14:textId="77777777" w:rsidR="001C71FE" w:rsidRPr="000D3432" w:rsidRDefault="001C71FE" w:rsidP="00A95498">
      <w:pPr>
        <w:rPr>
          <w:rFonts w:asciiTheme="minorHAnsi" w:hAnsiTheme="minorHAnsi"/>
          <w:szCs w:val="24"/>
        </w:rPr>
      </w:pPr>
    </w:p>
    <w:p w14:paraId="3B421528" w14:textId="77777777" w:rsidR="001C71FE" w:rsidRPr="000D3432" w:rsidRDefault="001C71FE" w:rsidP="00A95498">
      <w:pPr>
        <w:jc w:val="both"/>
        <w:rPr>
          <w:rFonts w:asciiTheme="minorHAnsi" w:hAnsiTheme="minorHAnsi"/>
          <w:b/>
          <w:szCs w:val="24"/>
          <w:lang w:val="es-ES_tradnl"/>
        </w:rPr>
      </w:pPr>
    </w:p>
    <w:p w14:paraId="7132855B" w14:textId="77777777" w:rsidR="001C71FE" w:rsidRPr="000D3432" w:rsidRDefault="001C71FE" w:rsidP="00A95498">
      <w:pPr>
        <w:jc w:val="center"/>
        <w:rPr>
          <w:rFonts w:asciiTheme="minorHAnsi" w:hAnsiTheme="minorHAnsi"/>
          <w:b/>
          <w:color w:val="C0504D" w:themeColor="accent2"/>
          <w:szCs w:val="24"/>
          <w:u w:val="single"/>
          <w:lang w:val="es-ES_tradnl"/>
        </w:rPr>
      </w:pPr>
      <w:r w:rsidRPr="000D3432">
        <w:rPr>
          <w:rFonts w:asciiTheme="minorHAnsi" w:hAnsiTheme="minorHAnsi"/>
          <w:b/>
          <w:color w:val="C0504D" w:themeColor="accent2"/>
          <w:szCs w:val="24"/>
          <w:u w:val="single"/>
          <w:lang w:val="es-ES_tradnl"/>
        </w:rPr>
        <w:t>CIORAN</w:t>
      </w:r>
    </w:p>
    <w:p w14:paraId="3A32EE7E" w14:textId="77777777" w:rsidR="001C71FE" w:rsidRPr="000D3432" w:rsidRDefault="001C71FE" w:rsidP="00A95498">
      <w:pPr>
        <w:jc w:val="center"/>
        <w:rPr>
          <w:rFonts w:asciiTheme="minorHAnsi" w:hAnsiTheme="minorHAnsi"/>
          <w:szCs w:val="24"/>
          <w:lang w:val="es-ES_tradnl"/>
        </w:rPr>
      </w:pPr>
      <w:r w:rsidRPr="000D3432">
        <w:rPr>
          <w:rFonts w:asciiTheme="minorHAnsi" w:hAnsiTheme="minorHAnsi"/>
          <w:b/>
          <w:szCs w:val="24"/>
          <w:lang w:val="es-ES_tradnl"/>
        </w:rPr>
        <w:t>EL DEMOLEDOR DE LA CULTURA</w:t>
      </w:r>
    </w:p>
    <w:p w14:paraId="4EF42A1E" w14:textId="77777777" w:rsidR="001C71FE" w:rsidRPr="000D3432" w:rsidRDefault="001C71FE" w:rsidP="00A95498">
      <w:pPr>
        <w:jc w:val="both"/>
        <w:rPr>
          <w:rFonts w:asciiTheme="minorHAnsi" w:hAnsiTheme="minorHAnsi"/>
          <w:szCs w:val="24"/>
          <w:lang w:val="es-ES_tradnl"/>
        </w:rPr>
      </w:pPr>
    </w:p>
    <w:p w14:paraId="0800B2A5"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He de empezar haciendo un desagravio.  Un amigo me dijo un día que yo era un filósofo de alcantarilla. Traduzco, lo que quiso decirme es que yo era una rata. Pues bien, no soy ni una ni otra cosa, pero sí me gusta la filosofía (aunque no te de comer, y aunque sea inútil para las cosas realmente esenciales, estéril. Solo un dolor de muelas bastaría para confirmar la inutilidad de la filosofía. En ese momento, cuando te duele las muelas, ¿para qué te serviría ser crítico, pensar? Si quieres puedes pensar que no te va a doler, pero eso no es así, el cuerpo manda más incluso que el pensamiento. Pensamiento es agregado del sufrimiento. Además de que te duele el dolor, lo sabes, y eso te encoleriza, te enferma. ¿Ven que tan bueno es saber pensar?</w:t>
      </w:r>
    </w:p>
    <w:p w14:paraId="1DD20D14" w14:textId="77777777" w:rsidR="001C71FE" w:rsidRPr="000D3432" w:rsidRDefault="001C71FE" w:rsidP="00A95498">
      <w:pPr>
        <w:ind w:firstLine="708"/>
        <w:jc w:val="both"/>
        <w:rPr>
          <w:rFonts w:asciiTheme="minorHAnsi" w:hAnsiTheme="minorHAnsi"/>
          <w:szCs w:val="24"/>
          <w:lang w:val="es-ES_tradnl"/>
        </w:rPr>
      </w:pPr>
    </w:p>
    <w:p w14:paraId="1E4C8764"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Bueno, como iba diciendo, yo como los roedores, soy un entrometido, un buscador de carroña,  o mejor, prefiero ver aquello que se esconde detrás de tanta limpieza, aquello que se esconde detrás de tanta camisa y corbata.  Presiento que allí siempre está lo más sublime, lo más fantástico, lo más sincero del hombre, detrás de máscara.. Esa cara que no se quiere mostrar es precisamente la que determina sus actos. Un hombre con saco y corbata, sólo quiere demostrar que es limpio y de cierto nivel, yo siempre me he preguntado ¿cómo estará su espíritu? Yo me respondo: Formateado. Se viste así porque el formato de gente de bien, gente de clase es ese. Vestirse de terno y corbata a mi parecer, es generalmente una tradición, y tradición es dejar de pensar en porqué lo haces,  pero eso si, en seguir el canon del consenso. Es dejar que el resto piense, resignarse a que el resto elija por ti. Decida por tí qué es el buen vestir. Y como ven estoy yo también atrapado en eso.</w:t>
      </w:r>
    </w:p>
    <w:p w14:paraId="78F2D9F9" w14:textId="77777777" w:rsidR="001C71FE" w:rsidRPr="000D3432" w:rsidRDefault="001C71FE" w:rsidP="00A95498">
      <w:pPr>
        <w:jc w:val="both"/>
        <w:rPr>
          <w:rFonts w:asciiTheme="minorHAnsi" w:hAnsiTheme="minorHAnsi"/>
          <w:szCs w:val="24"/>
          <w:lang w:val="es-ES_tradnl"/>
        </w:rPr>
      </w:pPr>
    </w:p>
    <w:p w14:paraId="17A10CB6"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Vayamos al tema. Cioran. La primera cosa que se me viene a la mente cuando alguien habla de Cioran es la palabra MALDITO,  luego viene un sinfin de sinónimos, hereje, impío, blasfemo, pesimista, iconoclasta, heterodoxo, marginal, cínico, nihilista, pero también un gran farsante, El mismo lo dice, cuando escribe que “Somos todos unos farsantes: sobrevivimos a nuestros problemas”, es decir, a pesar de nuestros problemas. Si Cioran para mi es un gran tipo un “charlatán de calidad, un charlatan superior” como diría el de los poetas.</w:t>
      </w:r>
    </w:p>
    <w:p w14:paraId="18716149" w14:textId="77777777" w:rsidR="001C71FE" w:rsidRPr="000D3432" w:rsidRDefault="001C71FE" w:rsidP="00A95498">
      <w:pPr>
        <w:ind w:firstLine="708"/>
        <w:jc w:val="both"/>
        <w:rPr>
          <w:rFonts w:asciiTheme="minorHAnsi" w:hAnsiTheme="minorHAnsi"/>
          <w:szCs w:val="24"/>
          <w:lang w:val="es-ES_tradnl"/>
        </w:rPr>
      </w:pPr>
    </w:p>
    <w:p w14:paraId="50ADE5B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lastRenderedPageBreak/>
        <w:t xml:space="preserve">Es entonces un tipo endiabladamente lúcido. Su lucidez consiste en haberse atrevido a pensar por sí mismo, sin prejuicios ni ataduras morales y menos autocensuras mentales, gráficas, </w:t>
      </w:r>
    </w:p>
    <w:p w14:paraId="3A528029" w14:textId="77777777" w:rsidR="001C71FE" w:rsidRPr="000D3432" w:rsidRDefault="001C71FE" w:rsidP="00A95498">
      <w:pPr>
        <w:ind w:firstLine="708"/>
        <w:jc w:val="both"/>
        <w:rPr>
          <w:rFonts w:asciiTheme="minorHAnsi" w:hAnsiTheme="minorHAnsi"/>
          <w:szCs w:val="24"/>
          <w:lang w:val="es-ES_tradnl"/>
        </w:rPr>
      </w:pPr>
    </w:p>
    <w:p w14:paraId="0A0B8734"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Cioran es un gran charlatán. Si no lo fuera -un estafador- no hubiera escrito. Todo el que escribe quiere trascender, quiere cambiar algo, quiere que se le escuche, quiere que el resto se de cuenta de algo que uno se ha dado cuenta. Todo el que escribe tiene, en el fondo, un alma de esclavizador. </w:t>
      </w:r>
    </w:p>
    <w:p w14:paraId="774E955A" w14:textId="77777777" w:rsidR="001C71FE" w:rsidRPr="000D3432" w:rsidRDefault="001C71FE" w:rsidP="00A95498">
      <w:pPr>
        <w:jc w:val="both"/>
        <w:rPr>
          <w:rFonts w:asciiTheme="minorHAnsi" w:hAnsiTheme="minorHAnsi"/>
          <w:szCs w:val="24"/>
          <w:lang w:val="es-ES_tradnl"/>
        </w:rPr>
      </w:pPr>
    </w:p>
    <w:p w14:paraId="1CC4982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Pero no es un gran charlatán, un gran estafador cualquiera, sino un tipo que te dice sinceramente lo que está pasando con el mundo, o mejor, con el hombre.</w:t>
      </w:r>
    </w:p>
    <w:p w14:paraId="3D0CFC56" w14:textId="77777777" w:rsidR="001C71FE" w:rsidRPr="000D3432" w:rsidRDefault="001C71FE" w:rsidP="00A95498">
      <w:pPr>
        <w:jc w:val="both"/>
        <w:rPr>
          <w:rFonts w:asciiTheme="minorHAnsi" w:hAnsiTheme="minorHAnsi"/>
          <w:szCs w:val="24"/>
          <w:lang w:val="es-ES_tradnl"/>
        </w:rPr>
      </w:pPr>
    </w:p>
    <w:p w14:paraId="36393A9F"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Lo que te dice,  en realidad es graficar o hacer una radiografía mental del hombre de todos los tiempos. Quitarte la máscara que te han puesto la sociedad, con esos eslogan de cultura, y que luego, incrustado por si mismo, uno ya no se quiere, o no puede sacar, porque tiene un costo muy alto pensar por sí mismo, ser uno mismo. </w:t>
      </w:r>
    </w:p>
    <w:p w14:paraId="4C8AB543" w14:textId="77777777" w:rsidR="001C71FE" w:rsidRPr="000D3432" w:rsidRDefault="001C71FE" w:rsidP="00A95498">
      <w:pPr>
        <w:jc w:val="both"/>
        <w:rPr>
          <w:rFonts w:asciiTheme="minorHAnsi" w:hAnsiTheme="minorHAnsi"/>
          <w:szCs w:val="24"/>
          <w:lang w:val="es-ES_tradnl"/>
        </w:rPr>
      </w:pPr>
    </w:p>
    <w:p w14:paraId="00589A78"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Como Maquiavelo, Cioran, desmitifica esos consejos nulos y interesadamente errados que te ponen en la escuela, en la iglesia, en las instituciones, etc. Nada es tan mortal para el alma como dejarse atrapar por convicciones que ni siquiera son tuyas. De pronto te vez defendiendo a la moral sin saber realmente porqué haces eso.</w:t>
      </w:r>
    </w:p>
    <w:p w14:paraId="622A99E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Cioran es extremadamente sincero, hasta llegar a la grosería. Toda verdad es en realidad una grosería a nuestros hipócritas oídos edulcorados, educados en el error.</w:t>
      </w:r>
    </w:p>
    <w:p w14:paraId="175E0DA1" w14:textId="77777777" w:rsidR="001C71FE" w:rsidRPr="000D3432" w:rsidRDefault="001C71FE" w:rsidP="00A95498">
      <w:pPr>
        <w:jc w:val="both"/>
        <w:rPr>
          <w:rFonts w:asciiTheme="minorHAnsi" w:hAnsiTheme="minorHAnsi"/>
          <w:szCs w:val="24"/>
          <w:lang w:val="es-ES_tradnl"/>
        </w:rPr>
      </w:pPr>
    </w:p>
    <w:p w14:paraId="0E3DA6E4"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Toda palabra suave, bonita, es siempre un intento de opacamiento de nuestra voluntad de poderío, de nuestra intrínseca y oculta voluntad de poder.</w:t>
      </w:r>
    </w:p>
    <w:p w14:paraId="6E3844A7" w14:textId="77777777" w:rsidR="001C71FE" w:rsidRPr="000D3432" w:rsidRDefault="001C71FE" w:rsidP="00A95498">
      <w:pPr>
        <w:ind w:firstLine="708"/>
        <w:jc w:val="both"/>
        <w:rPr>
          <w:rFonts w:asciiTheme="minorHAnsi" w:hAnsiTheme="minorHAnsi"/>
          <w:szCs w:val="24"/>
          <w:lang w:val="es-ES_tradnl"/>
        </w:rPr>
      </w:pPr>
    </w:p>
    <w:p w14:paraId="7FAEB3F9"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Cioran es un lúcido, un profeta. Cuando se supone que todo está ya resuelto, cuando creemos que ya sabemos cuales son los factores, elementos para llegar al progreso, cuando sabemos el fin de los hombres, (el progreso, la felicidad, la educación, la civilización, el progreso, la ciencia, la verdad, la justicia, la igualdad, la democracia, el amor, la moral, la vida, la cultura, el trabajo, el orden, la patria, Dios, la paz, etc) de pronto viene un atrevido, un impío, un blasfemo y nos dice que no, que todo lo que nos han dicho es falso,  que nos han metido un gran cuentazo, que hemos sido terrible y masivamente embaucados, estafados, engañados,  que la cultura que nos han metido no sirve que debemos protegernos contra ella</w:t>
      </w:r>
    </w:p>
    <w:p w14:paraId="6C3B5AA7" w14:textId="77777777" w:rsidR="001C71FE" w:rsidRPr="000D3432" w:rsidRDefault="001C71FE" w:rsidP="00A95498">
      <w:pPr>
        <w:jc w:val="both"/>
        <w:rPr>
          <w:rFonts w:asciiTheme="minorHAnsi" w:hAnsiTheme="minorHAnsi"/>
          <w:szCs w:val="24"/>
          <w:lang w:val="es-ES_tradnl"/>
        </w:rPr>
      </w:pPr>
    </w:p>
    <w:p w14:paraId="3C11BAF8"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El primer acto de huachafería sobre los libros: mis libros son unos hijos que he mandado a la guerra.</w:t>
      </w:r>
    </w:p>
    <w:p w14:paraId="0F3E9124" w14:textId="77777777" w:rsidR="001C71FE" w:rsidRPr="000D3432" w:rsidRDefault="001C71FE" w:rsidP="00A95498">
      <w:pPr>
        <w:jc w:val="both"/>
        <w:rPr>
          <w:rFonts w:asciiTheme="minorHAnsi" w:hAnsiTheme="minorHAnsi"/>
          <w:szCs w:val="24"/>
          <w:lang w:val="es-ES_tradnl"/>
        </w:rPr>
      </w:pPr>
    </w:p>
    <w:p w14:paraId="6E52CBC5"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El conocimiento es poder. La cultura eleva el nivel del hombre. </w:t>
      </w:r>
    </w:p>
    <w:p w14:paraId="79603F85" w14:textId="77777777" w:rsidR="001C71FE" w:rsidRPr="000D3432" w:rsidRDefault="001C71FE" w:rsidP="00A95498">
      <w:pPr>
        <w:jc w:val="both"/>
        <w:rPr>
          <w:rFonts w:asciiTheme="minorHAnsi" w:hAnsiTheme="minorHAnsi"/>
          <w:szCs w:val="24"/>
          <w:lang w:val="es-ES_tradnl"/>
        </w:rPr>
      </w:pPr>
    </w:p>
    <w:p w14:paraId="7C71D45D"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Que hay que protegernos de la cultura y contra todos los valores e items e instituciones aceptadas como verdaderas, como verdaderas, como las únicas </w:t>
      </w:r>
      <w:r w:rsidRPr="000D3432">
        <w:rPr>
          <w:rFonts w:asciiTheme="minorHAnsi" w:hAnsiTheme="minorHAnsi"/>
          <w:szCs w:val="24"/>
          <w:lang w:val="es-ES_tradnl"/>
        </w:rPr>
        <w:lastRenderedPageBreak/>
        <w:t>para lograr la felicidad.</w:t>
      </w:r>
    </w:p>
    <w:p w14:paraId="35ECE826" w14:textId="77777777" w:rsidR="001C71FE" w:rsidRPr="000D3432" w:rsidRDefault="001C71FE" w:rsidP="00A95498">
      <w:pPr>
        <w:jc w:val="both"/>
        <w:rPr>
          <w:rFonts w:asciiTheme="minorHAnsi" w:hAnsiTheme="minorHAnsi"/>
          <w:szCs w:val="24"/>
          <w:lang w:val="es-ES_tradnl"/>
        </w:rPr>
      </w:pPr>
    </w:p>
    <w:p w14:paraId="5C92D71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Cioran se convierte por puño y letra propia en UN GRAN AGUAFIESTAS. Nos vuelve a cero, a re encontrarnos con nosotros mismos.</w:t>
      </w:r>
    </w:p>
    <w:p w14:paraId="08526CAB" w14:textId="77777777" w:rsidR="001C71FE" w:rsidRPr="000D3432" w:rsidRDefault="001C71FE" w:rsidP="00A95498">
      <w:pPr>
        <w:jc w:val="both"/>
        <w:rPr>
          <w:rFonts w:asciiTheme="minorHAnsi" w:hAnsiTheme="minorHAnsi"/>
          <w:szCs w:val="24"/>
          <w:lang w:val="es-ES_tradnl"/>
        </w:rPr>
      </w:pPr>
    </w:p>
    <w:p w14:paraId="5D1F9165"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Nos dice que todo el conocimiento incrustado en nuestra mente a lo largo de siglos y siglos desde Sócrates, Platón, Aristóteles, pasando por Santo Tomás de Aquino, etc., ha sido utilizado para  ADIESTRARNOS a no pensar.</w:t>
      </w:r>
    </w:p>
    <w:p w14:paraId="1F19AF2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La libertad, la igualdad, el bien común sólo han servido para confundirnos, </w:t>
      </w:r>
    </w:p>
    <w:p w14:paraId="37612E61" w14:textId="77777777" w:rsidR="001C71FE" w:rsidRPr="000D3432" w:rsidRDefault="001C71FE" w:rsidP="00A95498">
      <w:pPr>
        <w:jc w:val="both"/>
        <w:rPr>
          <w:rFonts w:asciiTheme="minorHAnsi" w:hAnsiTheme="minorHAnsi"/>
          <w:szCs w:val="24"/>
          <w:lang w:val="es-ES_tradnl"/>
        </w:rPr>
      </w:pPr>
    </w:p>
    <w:p w14:paraId="263D1675"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Por eso quiero hablar hoy de Cioran, Voy a hablar de él. No como un historiador, lleno de datos (buscar ) y memoria (memoria es también sistema), no como un cuentista, porque él busca fascinar, encantar con sus historias, dejando de lado lo real, para convertirse en pura ficción, no como un gran fomentador de la cultura (la mayoría de ustedes están aquí para obtener el certificado de estas exposiciones a nombre de la Universidad, es curriculum, para sacarse 10 horas en internet, para sacarse en sorteo unos libros, etc. Y si estoy equivocado, mucho mejor.  No como un fomentador de la cultura, ingenioso y atrevido propulsor. Sino como un caprichoso y arbitrariamente y también fragmentariamente.</w:t>
      </w:r>
    </w:p>
    <w:p w14:paraId="10934A78" w14:textId="77777777" w:rsidR="001C71FE" w:rsidRPr="000D3432" w:rsidRDefault="001C71FE" w:rsidP="00A95498">
      <w:pPr>
        <w:jc w:val="both"/>
        <w:rPr>
          <w:rFonts w:asciiTheme="minorHAnsi" w:hAnsiTheme="minorHAnsi"/>
          <w:szCs w:val="24"/>
          <w:lang w:val="es-ES_tradnl"/>
        </w:rPr>
      </w:pPr>
    </w:p>
    <w:p w14:paraId="7D9C8766"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A continuación algunos de sus textos citados:</w:t>
      </w:r>
    </w:p>
    <w:p w14:paraId="790361E4" w14:textId="77777777" w:rsidR="001C71FE" w:rsidRPr="000D3432" w:rsidRDefault="001C71FE" w:rsidP="00A95498">
      <w:pPr>
        <w:jc w:val="both"/>
        <w:rPr>
          <w:rFonts w:asciiTheme="minorHAnsi" w:hAnsiTheme="minorHAnsi"/>
          <w:szCs w:val="24"/>
          <w:lang w:val="es-ES_tradnl"/>
        </w:rPr>
      </w:pPr>
    </w:p>
    <w:p w14:paraId="11CF6230" w14:textId="77777777" w:rsidR="001C71FE" w:rsidRPr="000D3432" w:rsidRDefault="001C71FE" w:rsidP="00A95498">
      <w:pPr>
        <w:jc w:val="both"/>
        <w:rPr>
          <w:rFonts w:asciiTheme="minorHAnsi" w:hAnsiTheme="minorHAnsi"/>
          <w:szCs w:val="24"/>
          <w:u w:val="single"/>
          <w:lang w:val="es-ES_tradnl"/>
        </w:rPr>
      </w:pPr>
      <w:r w:rsidRPr="000D3432">
        <w:rPr>
          <w:rFonts w:asciiTheme="minorHAnsi" w:hAnsiTheme="minorHAnsi"/>
          <w:b/>
          <w:szCs w:val="24"/>
          <w:u w:val="single"/>
          <w:lang w:val="es-ES_tradnl"/>
        </w:rPr>
        <w:t>1.- Cioran el Gran Aguafiestas:</w:t>
      </w:r>
    </w:p>
    <w:p w14:paraId="5BF696BD"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“Debemos defendernos contra quienes nos curan”</w:t>
      </w:r>
    </w:p>
    <w:p w14:paraId="1E01BF8E" w14:textId="77777777" w:rsidR="001C71FE" w:rsidRPr="000D3432" w:rsidRDefault="001C71FE" w:rsidP="00A95498">
      <w:pPr>
        <w:jc w:val="both"/>
        <w:rPr>
          <w:rFonts w:asciiTheme="minorHAnsi" w:hAnsiTheme="minorHAnsi"/>
          <w:szCs w:val="24"/>
          <w:lang w:val="es-ES_tradnl"/>
        </w:rPr>
      </w:pPr>
    </w:p>
    <w:p w14:paraId="441E7DD5" w14:textId="77777777" w:rsidR="001C71FE" w:rsidRPr="000D3432" w:rsidRDefault="001C71FE" w:rsidP="009E6E2E">
      <w:pPr>
        <w:widowControl/>
        <w:numPr>
          <w:ilvl w:val="0"/>
          <w:numId w:val="36"/>
        </w:numPr>
        <w:jc w:val="both"/>
        <w:rPr>
          <w:rFonts w:asciiTheme="minorHAnsi" w:hAnsiTheme="minorHAnsi"/>
          <w:szCs w:val="24"/>
          <w:u w:val="single"/>
          <w:lang w:val="es-ES_tradnl"/>
        </w:rPr>
      </w:pPr>
      <w:r w:rsidRPr="000D3432">
        <w:rPr>
          <w:rFonts w:asciiTheme="minorHAnsi" w:hAnsiTheme="minorHAnsi"/>
          <w:b/>
          <w:szCs w:val="24"/>
          <w:u w:val="single"/>
          <w:lang w:val="es-ES_tradnl"/>
        </w:rPr>
        <w:t>Desenmascarando a la civilización</w:t>
      </w:r>
    </w:p>
    <w:p w14:paraId="60CE26A6"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“El entusiasmo por la civilización debe ser barrido, lo mismo que la superstición de la Historia”, Cioran.</w:t>
      </w:r>
    </w:p>
    <w:p w14:paraId="5FAD9913" w14:textId="77777777" w:rsidR="001C71FE" w:rsidRPr="000D3432" w:rsidRDefault="001C71FE" w:rsidP="00A95498">
      <w:pPr>
        <w:numPr>
          <w:ilvl w:val="12"/>
          <w:numId w:val="0"/>
        </w:numPr>
        <w:jc w:val="both"/>
        <w:rPr>
          <w:rFonts w:asciiTheme="minorHAnsi" w:hAnsiTheme="minorHAnsi"/>
          <w:szCs w:val="24"/>
          <w:lang w:val="es-ES_tradnl"/>
        </w:rPr>
      </w:pPr>
    </w:p>
    <w:p w14:paraId="21D667E3"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 xml:space="preserve">Rafael Rattia, : “este dandy de la filosofía siempre me pareció un sepulturero de la civilización. </w:t>
      </w:r>
    </w:p>
    <w:p w14:paraId="395C3E37" w14:textId="77777777" w:rsidR="001C71FE" w:rsidRPr="000D3432" w:rsidRDefault="001C71FE" w:rsidP="00A95498">
      <w:pPr>
        <w:numPr>
          <w:ilvl w:val="12"/>
          <w:numId w:val="0"/>
        </w:numPr>
        <w:jc w:val="both"/>
        <w:rPr>
          <w:rFonts w:asciiTheme="minorHAnsi" w:hAnsiTheme="minorHAnsi"/>
          <w:szCs w:val="24"/>
          <w:lang w:val="es-ES_tradnl"/>
        </w:rPr>
      </w:pPr>
    </w:p>
    <w:p w14:paraId="22CB9A26"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 xml:space="preserve">“El interés que el civilizado siente por los llamados pueblos atrasados es de lo más sospechoso. Incapaz de soportarse más, se esfuerza por descargar sobre ellos el exceso de males que lo abruman, los incita a probar sus miserias, los conjura a afrontar un destino que ya no puede arrostrar solo. A fuerza de examinar la suerte que tienen por no habare “evolucionado”, experimenta hacia ellos los resentimientos de un temerario confuso y descentrado. ¿Con qué derecho permaneces aparte, fuera del proceso de degradación que tanto tiempo lleva soportando él y al que no logra substraerse? La civilización, su obra, su locura, le parece un castigo que se ha infligido y que quisiera a su vez, hacer sufrir a quienes hasta ahora se han librado de él. “ Cioran, </w:t>
      </w:r>
      <w:r w:rsidRPr="000D3432">
        <w:rPr>
          <w:rFonts w:asciiTheme="minorHAnsi" w:hAnsiTheme="minorHAnsi"/>
          <w:i/>
          <w:szCs w:val="24"/>
          <w:lang w:val="es-ES_tradnl"/>
        </w:rPr>
        <w:t>La caída en el tiempo,</w:t>
      </w:r>
      <w:r w:rsidRPr="000D3432">
        <w:rPr>
          <w:rFonts w:asciiTheme="minorHAnsi" w:hAnsiTheme="minorHAnsi"/>
          <w:szCs w:val="24"/>
          <w:lang w:val="es-ES_tradnl"/>
        </w:rPr>
        <w:t xml:space="preserve"> pág. 34.</w:t>
      </w:r>
    </w:p>
    <w:p w14:paraId="77E5794B" w14:textId="77777777" w:rsidR="001C71FE" w:rsidRPr="000D3432" w:rsidRDefault="001C71FE" w:rsidP="00A95498">
      <w:pPr>
        <w:jc w:val="both"/>
        <w:rPr>
          <w:rFonts w:asciiTheme="minorHAnsi" w:hAnsiTheme="minorHAnsi"/>
          <w:szCs w:val="24"/>
          <w:lang w:val="es-ES_tradnl"/>
        </w:rPr>
      </w:pPr>
    </w:p>
    <w:p w14:paraId="396B3C1D"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Si trabajas en pro de la conversión de otro, nunca será para aportarle la salvación, sino para obligarlo a sufrir como tú, para que se vea expuesto a las mismas adversidades y pase por ellas con la misma impaciencia.</w:t>
      </w:r>
    </w:p>
    <w:p w14:paraId="61EE06C4" w14:textId="77777777" w:rsidR="001C71FE" w:rsidRPr="000D3432" w:rsidRDefault="001C71FE" w:rsidP="00A95498">
      <w:pPr>
        <w:jc w:val="both"/>
        <w:rPr>
          <w:rFonts w:asciiTheme="minorHAnsi" w:hAnsiTheme="minorHAnsi"/>
          <w:szCs w:val="24"/>
          <w:lang w:val="es-ES_tradnl"/>
        </w:rPr>
      </w:pPr>
    </w:p>
    <w:p w14:paraId="03866C1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La venganza se abre camino bajo el brazo del misionero y del apóstol. No es para librar, sin ara encadenar, para lo que se hace el esfuerzo de convertir.</w:t>
      </w:r>
    </w:p>
    <w:p w14:paraId="56EC7A01" w14:textId="77777777" w:rsidR="001C71FE" w:rsidRPr="000D3432" w:rsidRDefault="001C71FE" w:rsidP="00A95498">
      <w:pPr>
        <w:jc w:val="both"/>
        <w:rPr>
          <w:rFonts w:asciiTheme="minorHAnsi" w:hAnsiTheme="minorHAnsi"/>
          <w:szCs w:val="24"/>
          <w:lang w:val="es-ES_tradnl"/>
        </w:rPr>
      </w:pPr>
    </w:p>
    <w:p w14:paraId="49114A2F"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En cuanto alguien se deja apresar por una certidumbre, envidia tus opiniones fluctuantes, tu resistencia a los dogmas y a los lemas, tu bienaventurada incapacidad para enfeudarte a ellos. Ruborizado en secreto de pertenecer a una secta o aun partido, avergonzado de poseer una verdad y de haberse dejado dominar por ella, no sentirá resentimiento contra sus enemigos declarados, contra quienes poseen otra, sino contra ti, contra el Indiferente, culpable de no perseguir ninguna.</w:t>
      </w:r>
    </w:p>
    <w:p w14:paraId="3757D467" w14:textId="77777777" w:rsidR="001C71FE" w:rsidRPr="000D3432" w:rsidRDefault="001C71FE" w:rsidP="00A95498">
      <w:pPr>
        <w:jc w:val="both"/>
        <w:rPr>
          <w:rFonts w:asciiTheme="minorHAnsi" w:hAnsiTheme="minorHAnsi"/>
          <w:szCs w:val="24"/>
          <w:lang w:val="es-ES_tradnl"/>
        </w:rPr>
      </w:pPr>
    </w:p>
    <w:p w14:paraId="3F7C396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Si hasta entonces eran inofensivos y bonachones, en adelante querrán ser fuertes y amenazadores</w:t>
      </w:r>
    </w:p>
    <w:p w14:paraId="1BB2F0EC" w14:textId="77777777" w:rsidR="001C71FE" w:rsidRPr="000D3432" w:rsidRDefault="001C71FE" w:rsidP="00A95498">
      <w:pPr>
        <w:jc w:val="both"/>
        <w:rPr>
          <w:rFonts w:asciiTheme="minorHAnsi" w:hAnsiTheme="minorHAnsi"/>
          <w:szCs w:val="24"/>
          <w:lang w:val="es-ES_tradnl"/>
        </w:rPr>
      </w:pPr>
    </w:p>
    <w:p w14:paraId="3AD152AB"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El “progreso” es el equivalente moderno de la Caída, la versión profana de la perdición. </w:t>
      </w:r>
    </w:p>
    <w:p w14:paraId="0B5D4829" w14:textId="77777777" w:rsidR="001C71FE" w:rsidRPr="000D3432" w:rsidRDefault="001C71FE" w:rsidP="00A95498">
      <w:pPr>
        <w:jc w:val="both"/>
        <w:rPr>
          <w:rFonts w:asciiTheme="minorHAnsi" w:hAnsiTheme="minorHAnsi"/>
          <w:szCs w:val="24"/>
          <w:lang w:val="es-ES_tradnl"/>
        </w:rPr>
      </w:pPr>
    </w:p>
    <w:p w14:paraId="14A5FECD"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“No se “perfecciona” uno ni avanza impunemente. Sabemos que el movimiento es una herejía y precisamente por elo nos tienta, nos lanzamos a él y, como irremediablemente depravados que somos, lo preferimos a la ortodoxia de la quietud. “</w:t>
      </w:r>
    </w:p>
    <w:p w14:paraId="3F2CB0E6" w14:textId="77777777" w:rsidR="001C71FE" w:rsidRPr="000D3432" w:rsidRDefault="001C71FE" w:rsidP="00A95498">
      <w:pPr>
        <w:jc w:val="center"/>
        <w:rPr>
          <w:rFonts w:asciiTheme="minorHAnsi" w:hAnsiTheme="minorHAnsi"/>
          <w:szCs w:val="24"/>
          <w:lang w:val="es-ES_tradnl"/>
        </w:rPr>
      </w:pPr>
      <w:r w:rsidRPr="000D3432">
        <w:rPr>
          <w:rFonts w:asciiTheme="minorHAnsi" w:hAnsiTheme="minorHAnsi"/>
          <w:szCs w:val="24"/>
          <w:lang w:val="es-ES_tradnl"/>
        </w:rPr>
        <w:t>* * *</w:t>
      </w:r>
    </w:p>
    <w:p w14:paraId="308B4AC3"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“Somos todos ridículamente prudentes y tímidos; el cinismo no se aprende en la escuela. “Cioran.</w:t>
      </w:r>
    </w:p>
    <w:p w14:paraId="6ABFE132" w14:textId="77777777" w:rsidR="001C71FE" w:rsidRPr="000D3432" w:rsidRDefault="001C71FE" w:rsidP="00A95498">
      <w:pPr>
        <w:jc w:val="both"/>
        <w:rPr>
          <w:rFonts w:asciiTheme="minorHAnsi" w:hAnsiTheme="minorHAnsi"/>
          <w:szCs w:val="24"/>
          <w:lang w:val="es-ES_tradnl"/>
        </w:rPr>
      </w:pPr>
    </w:p>
    <w:p w14:paraId="5E2F2A82" w14:textId="77777777" w:rsidR="001C71FE" w:rsidRPr="000D3432" w:rsidRDefault="001C71FE" w:rsidP="00A95498">
      <w:pPr>
        <w:jc w:val="both"/>
        <w:rPr>
          <w:rFonts w:asciiTheme="minorHAnsi" w:hAnsiTheme="minorHAnsi"/>
          <w:szCs w:val="24"/>
          <w:lang w:val="es-ES_tradnl"/>
        </w:rPr>
      </w:pPr>
    </w:p>
    <w:p w14:paraId="527E93EB"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“Si queremos conservar cierta decencia intelectual, el entusiasmo por la civilización debe ser barrido, lo mismo que la superstición por la Historia”. Cioran. 138, El decorado del Saber.</w:t>
      </w:r>
    </w:p>
    <w:p w14:paraId="5CFD7E47" w14:textId="77777777" w:rsidR="001C71FE" w:rsidRPr="000D3432" w:rsidRDefault="001C71FE" w:rsidP="00A95498">
      <w:pPr>
        <w:jc w:val="both"/>
        <w:rPr>
          <w:rFonts w:asciiTheme="minorHAnsi" w:hAnsiTheme="minorHAnsi"/>
          <w:szCs w:val="24"/>
          <w:lang w:val="es-ES_tradnl"/>
        </w:rPr>
      </w:pPr>
    </w:p>
    <w:p w14:paraId="03E256D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“En la Antigüedad, el filósofo que no escribía, pero pensaba, no se exponía al desprecio; desde que nos postramos ante la eficacia, la obra se ha convertido en el absoluto del vulgo; a quienes no producen se los considera “fracasados”. Sin embargo, esos “fracasados” habrían sido los de otros tiempos: ellos rehabilitarán nuestra época por no haber dejado trazas en ella.” Cioran.</w:t>
      </w:r>
    </w:p>
    <w:p w14:paraId="1D294E6B" w14:textId="77777777" w:rsidR="001C71FE" w:rsidRPr="000D3432" w:rsidRDefault="001C71FE" w:rsidP="00A95498">
      <w:pPr>
        <w:jc w:val="both"/>
        <w:rPr>
          <w:rFonts w:asciiTheme="minorHAnsi" w:hAnsiTheme="minorHAnsi"/>
          <w:szCs w:val="24"/>
          <w:lang w:val="es-ES_tradnl"/>
        </w:rPr>
      </w:pPr>
    </w:p>
    <w:p w14:paraId="54B22514"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“Oblíguese a la gente a acostarse durante días y días: los colchones lograrían lo que ni las guerras ni los eslóganes han conseguido. Pues las maniobras del Tedio superan en eficacia a las de las armas y a las de las ideologías.” Cioran.</w:t>
      </w:r>
    </w:p>
    <w:p w14:paraId="514551AC" w14:textId="77777777" w:rsidR="001C71FE" w:rsidRPr="000D3432" w:rsidRDefault="001C71FE" w:rsidP="00A95498">
      <w:pPr>
        <w:jc w:val="both"/>
        <w:rPr>
          <w:rFonts w:asciiTheme="minorHAnsi" w:hAnsiTheme="minorHAnsi"/>
          <w:szCs w:val="24"/>
          <w:lang w:val="es-ES_tradnl"/>
        </w:rPr>
      </w:pPr>
    </w:p>
    <w:p w14:paraId="6B5B126B"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“El intelectual representa la mayor desgracia, el fracaso culminante del homo sapiens.” Cioran.</w:t>
      </w:r>
    </w:p>
    <w:p w14:paraId="1FDE7208" w14:textId="77777777" w:rsidR="001C71FE" w:rsidRPr="000D3432" w:rsidRDefault="001C71FE" w:rsidP="00A95498">
      <w:pPr>
        <w:jc w:val="both"/>
        <w:rPr>
          <w:rFonts w:asciiTheme="minorHAnsi" w:hAnsiTheme="minorHAnsi"/>
          <w:szCs w:val="24"/>
          <w:lang w:val="es-ES_tradnl"/>
        </w:rPr>
      </w:pPr>
    </w:p>
    <w:p w14:paraId="33C96AC2" w14:textId="77777777" w:rsidR="001C71FE" w:rsidRPr="000D3432" w:rsidRDefault="001C71FE" w:rsidP="009E6E2E">
      <w:pPr>
        <w:widowControl/>
        <w:numPr>
          <w:ilvl w:val="0"/>
          <w:numId w:val="37"/>
        </w:numPr>
        <w:jc w:val="both"/>
        <w:rPr>
          <w:rFonts w:asciiTheme="minorHAnsi" w:hAnsiTheme="minorHAnsi"/>
          <w:szCs w:val="24"/>
          <w:lang w:val="es-ES_tradnl"/>
        </w:rPr>
      </w:pPr>
      <w:r w:rsidRPr="000D3432">
        <w:rPr>
          <w:rFonts w:asciiTheme="minorHAnsi" w:hAnsiTheme="minorHAnsi"/>
          <w:b/>
          <w:szCs w:val="24"/>
          <w:u w:val="single"/>
          <w:lang w:val="es-ES_tradnl"/>
        </w:rPr>
        <w:t>Contra el pensamiento crítico</w:t>
      </w:r>
    </w:p>
    <w:p w14:paraId="511163C0"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“Pensar es comenzar a minar el sentimiento”.</w:t>
      </w:r>
    </w:p>
    <w:p w14:paraId="232C9D56" w14:textId="77777777" w:rsidR="001C71FE" w:rsidRPr="000D3432" w:rsidRDefault="001C71FE" w:rsidP="00A95498">
      <w:pPr>
        <w:numPr>
          <w:ilvl w:val="12"/>
          <w:numId w:val="0"/>
        </w:numPr>
        <w:jc w:val="both"/>
        <w:rPr>
          <w:rFonts w:asciiTheme="minorHAnsi" w:hAnsiTheme="minorHAnsi"/>
          <w:szCs w:val="24"/>
          <w:lang w:val="es-ES_tradnl"/>
        </w:rPr>
      </w:pPr>
    </w:p>
    <w:p w14:paraId="019CA4E4"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 xml:space="preserve">“No es bueno que el hombre se examine” es un acto degenerativo es ver el </w:t>
      </w:r>
      <w:r w:rsidRPr="000D3432">
        <w:rPr>
          <w:rFonts w:asciiTheme="minorHAnsi" w:hAnsiTheme="minorHAnsi"/>
          <w:szCs w:val="24"/>
          <w:lang w:val="es-ES_tradnl"/>
        </w:rPr>
        <w:lastRenderedPageBreak/>
        <w:t>monstruo que uno tiene dentro, no digo que le han metido, sino algo con lo que nació.”</w:t>
      </w:r>
    </w:p>
    <w:p w14:paraId="716E7E97" w14:textId="77777777" w:rsidR="001C71FE" w:rsidRPr="000D3432" w:rsidRDefault="001C71FE" w:rsidP="00A95498">
      <w:pPr>
        <w:numPr>
          <w:ilvl w:val="12"/>
          <w:numId w:val="0"/>
        </w:numPr>
        <w:jc w:val="both"/>
        <w:rPr>
          <w:rFonts w:asciiTheme="minorHAnsi" w:hAnsiTheme="minorHAnsi"/>
          <w:szCs w:val="24"/>
          <w:lang w:val="es-ES_tradnl"/>
        </w:rPr>
      </w:pPr>
    </w:p>
    <w:p w14:paraId="36FB56CD"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Habría renegado desde el momento mismo desde que el hombre pensó, y cuando comenzó a pensar el hombre. Desde el mismo momento en que comenzó a serlo, y cuando comenzó a serlo, según la versión Bíblica desde  Adán (el hermafrodita) cuando comió del fruto del árbol de la ciencia del bien y del mal.</w:t>
      </w:r>
    </w:p>
    <w:p w14:paraId="633DC3B9" w14:textId="77777777" w:rsidR="001C71FE" w:rsidRPr="000D3432" w:rsidRDefault="001C71FE" w:rsidP="00A95498">
      <w:pPr>
        <w:numPr>
          <w:ilvl w:val="12"/>
          <w:numId w:val="0"/>
        </w:numPr>
        <w:jc w:val="both"/>
        <w:rPr>
          <w:rFonts w:asciiTheme="minorHAnsi" w:hAnsiTheme="minorHAnsi"/>
          <w:szCs w:val="24"/>
          <w:lang w:val="es-ES_tradnl"/>
        </w:rPr>
      </w:pPr>
    </w:p>
    <w:p w14:paraId="538A7476"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Según versión mitológica que narra Cioran, desde que hubo una batalla allá en el cielo, entre los ángeles de Gabriel y los ángeles de Lucifer, los que no se decidían por uno de los bandos, fueron enviados a la tierra a que decidieran, a que pensaran, solo que se olvidaron a que habían venido.</w:t>
      </w:r>
    </w:p>
    <w:p w14:paraId="01A2AE0F"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Según Darwin, desde que se convirtió de homo erectus a homo sapiens</w:t>
      </w:r>
    </w:p>
    <w:p w14:paraId="58FC2B19" w14:textId="77777777" w:rsidR="001C71FE" w:rsidRPr="000D3432" w:rsidRDefault="001C71FE" w:rsidP="00A95498">
      <w:pPr>
        <w:numPr>
          <w:ilvl w:val="12"/>
          <w:numId w:val="0"/>
        </w:numPr>
        <w:jc w:val="both"/>
        <w:rPr>
          <w:rFonts w:asciiTheme="minorHAnsi" w:hAnsiTheme="minorHAnsi"/>
          <w:szCs w:val="24"/>
          <w:lang w:val="es-ES_tradnl"/>
        </w:rPr>
      </w:pPr>
    </w:p>
    <w:p w14:paraId="5D0E3A05"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Según Chimo Fernández, el hombre comenzó a pensar, y a ser inteligente, desde que se irguió “Nuestro antepasado liberó las manos del suelo y con ello pudo asir un arma o una herramienta hasta convertirse, por interacción “manocerebro”, en un hábil artesano”.</w:t>
      </w:r>
    </w:p>
    <w:p w14:paraId="05D4B241" w14:textId="77777777" w:rsidR="001C71FE" w:rsidRPr="000D3432" w:rsidRDefault="001C71FE" w:rsidP="00A95498">
      <w:pPr>
        <w:numPr>
          <w:ilvl w:val="12"/>
          <w:numId w:val="0"/>
        </w:numPr>
        <w:jc w:val="both"/>
        <w:rPr>
          <w:rFonts w:asciiTheme="minorHAnsi" w:hAnsiTheme="minorHAnsi"/>
          <w:szCs w:val="24"/>
          <w:lang w:val="es-ES_tradnl"/>
        </w:rPr>
      </w:pPr>
    </w:p>
    <w:p w14:paraId="4BC71252"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b/>
          <w:szCs w:val="24"/>
          <w:lang w:val="es-ES_tradnl"/>
        </w:rPr>
        <w:t>Pensamiento crítico</w:t>
      </w:r>
    </w:p>
    <w:p w14:paraId="2F16C229"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“Negar: no hay nada como eso para emancipar el espíritu. Pero la negación no es fecunda más ue el tiempo en que nos esforzamos en conquistarla y apropiárnosla; una vez adquirida, nos aprisiona; una cadena como otra cualquiera. Esclavitud por esclavitud…”</w:t>
      </w:r>
    </w:p>
    <w:p w14:paraId="172367BA" w14:textId="77777777" w:rsidR="001C71FE" w:rsidRPr="000D3432" w:rsidRDefault="001C71FE" w:rsidP="00A95498">
      <w:pPr>
        <w:numPr>
          <w:ilvl w:val="12"/>
          <w:numId w:val="0"/>
        </w:numPr>
        <w:jc w:val="both"/>
        <w:rPr>
          <w:rFonts w:asciiTheme="minorHAnsi" w:hAnsiTheme="minorHAnsi"/>
          <w:szCs w:val="24"/>
          <w:lang w:val="es-ES_tradnl"/>
        </w:rPr>
      </w:pPr>
    </w:p>
    <w:p w14:paraId="444F1353"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b/>
          <w:szCs w:val="24"/>
          <w:lang w:val="es-ES_tradnl"/>
        </w:rPr>
        <w:t>Memoria</w:t>
      </w:r>
    </w:p>
    <w:p w14:paraId="28A53F4E"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“Nosotros olvidamos al cuerpo, pero el cuerpo no nos olvida a nosotros. ¡Maldita memoria de los órganos!  170 Desgarradura</w:t>
      </w:r>
    </w:p>
    <w:p w14:paraId="667A593E" w14:textId="77777777" w:rsidR="001C71FE" w:rsidRPr="000D3432" w:rsidRDefault="001C71FE" w:rsidP="00A95498">
      <w:pPr>
        <w:numPr>
          <w:ilvl w:val="12"/>
          <w:numId w:val="0"/>
        </w:numPr>
        <w:jc w:val="both"/>
        <w:rPr>
          <w:rFonts w:asciiTheme="minorHAnsi" w:hAnsiTheme="minorHAnsi"/>
          <w:szCs w:val="24"/>
          <w:lang w:val="es-ES_tradnl"/>
        </w:rPr>
      </w:pPr>
    </w:p>
    <w:p w14:paraId="7EBE8B6B"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b/>
          <w:szCs w:val="24"/>
          <w:lang w:val="es-ES_tradnl"/>
        </w:rPr>
        <w:t>Objetivos o progreso</w:t>
      </w:r>
      <w:r w:rsidRPr="000D3432">
        <w:rPr>
          <w:rFonts w:asciiTheme="minorHAnsi" w:hAnsiTheme="minorHAnsi"/>
          <w:szCs w:val="24"/>
          <w:lang w:val="es-ES_tradnl"/>
        </w:rPr>
        <w:t>:</w:t>
      </w:r>
    </w:p>
    <w:p w14:paraId="6EF77749"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“Si las olas reflexionaran, creerían que avanzan, que tienen un objetivo, que progresan, que trabajan para el bien del Mar, y llegarían a elaborar una filosofía tan necia como su obstinación”. Desgarradura 160.</w:t>
      </w:r>
    </w:p>
    <w:p w14:paraId="26A82F9F" w14:textId="77777777" w:rsidR="001C71FE" w:rsidRPr="000D3432" w:rsidRDefault="001C71FE" w:rsidP="00A95498">
      <w:pPr>
        <w:numPr>
          <w:ilvl w:val="12"/>
          <w:numId w:val="0"/>
        </w:numPr>
        <w:jc w:val="both"/>
        <w:rPr>
          <w:rFonts w:asciiTheme="minorHAnsi" w:hAnsiTheme="minorHAnsi"/>
          <w:szCs w:val="24"/>
          <w:lang w:val="es-ES_tradnl"/>
        </w:rPr>
      </w:pPr>
    </w:p>
    <w:p w14:paraId="1D37A33B" w14:textId="77777777" w:rsidR="001C71FE" w:rsidRPr="000D3432" w:rsidRDefault="001C71FE" w:rsidP="009E6E2E">
      <w:pPr>
        <w:widowControl/>
        <w:numPr>
          <w:ilvl w:val="0"/>
          <w:numId w:val="38"/>
        </w:numPr>
        <w:jc w:val="both"/>
        <w:rPr>
          <w:rFonts w:asciiTheme="minorHAnsi" w:hAnsiTheme="minorHAnsi"/>
          <w:szCs w:val="24"/>
          <w:lang w:val="es-ES_tradnl"/>
        </w:rPr>
      </w:pPr>
      <w:r w:rsidRPr="000D3432">
        <w:rPr>
          <w:rFonts w:asciiTheme="minorHAnsi" w:hAnsiTheme="minorHAnsi"/>
          <w:b/>
          <w:szCs w:val="24"/>
          <w:lang w:val="es-ES_tradnl"/>
        </w:rPr>
        <w:t>No aferrarse a nada, no tener objetivos</w:t>
      </w:r>
    </w:p>
    <w:p w14:paraId="7A7DD84F" w14:textId="77777777" w:rsidR="001C71FE" w:rsidRPr="000D3432" w:rsidRDefault="001C71FE" w:rsidP="00A95498">
      <w:pPr>
        <w:numPr>
          <w:ilvl w:val="12"/>
          <w:numId w:val="0"/>
        </w:numPr>
        <w:jc w:val="both"/>
        <w:rPr>
          <w:rFonts w:asciiTheme="minorHAnsi" w:hAnsiTheme="minorHAnsi"/>
          <w:szCs w:val="24"/>
          <w:lang w:val="es-ES_tradnl"/>
        </w:rPr>
      </w:pPr>
    </w:p>
    <w:p w14:paraId="48E052A6"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“Que el hombre no ame nada y será invulnerable” (“Chuang-tzé). Máxima profunda como inoperante. ¿Cómo alcanzar el apogeo de la indiferencia, cuando nuestra misma apatía es tensión, conflicto, agresividad?</w:t>
      </w:r>
    </w:p>
    <w:p w14:paraId="60CF7F32"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Nietzsche.</w:t>
      </w:r>
    </w:p>
    <w:p w14:paraId="134F99A7" w14:textId="77777777" w:rsidR="001C71FE" w:rsidRPr="000D3432" w:rsidRDefault="001C71FE" w:rsidP="00A95498">
      <w:pPr>
        <w:numPr>
          <w:ilvl w:val="12"/>
          <w:numId w:val="0"/>
        </w:numPr>
        <w:jc w:val="both"/>
        <w:rPr>
          <w:rFonts w:asciiTheme="minorHAnsi" w:hAnsiTheme="minorHAnsi"/>
          <w:szCs w:val="24"/>
          <w:lang w:val="es-ES_tradnl"/>
        </w:rPr>
      </w:pPr>
    </w:p>
    <w:p w14:paraId="6FC65223"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Me parece que amó de alguna manera a los grandes Indiferentes a Diógenes, por ejemplo, del cual escribió con el subtítulo “El perro celestial”, de cual dijo que  “ha traducido en actos sus pensamientos más íntimos con una insolencia sobrenatural como lo haría un dios del conocimiento, a la vez libidinoso y puro. Nadie fue más franco; caso límite de sinceridad y lucidez al mismo tiempo, de ejemplo de loq ue podríamos llegar a ser si la educación y la hipocresía no refrenasen nuestros deseos y nuestros gestos.</w:t>
      </w:r>
    </w:p>
    <w:p w14:paraId="264A0AF1" w14:textId="77777777" w:rsidR="001C71FE" w:rsidRPr="000D3432" w:rsidRDefault="001C71FE" w:rsidP="00A95498">
      <w:pPr>
        <w:numPr>
          <w:ilvl w:val="12"/>
          <w:numId w:val="0"/>
        </w:numPr>
        <w:jc w:val="both"/>
        <w:rPr>
          <w:rFonts w:asciiTheme="minorHAnsi" w:hAnsiTheme="minorHAnsi"/>
          <w:szCs w:val="24"/>
          <w:lang w:val="es-ES_tradnl"/>
        </w:rPr>
      </w:pPr>
    </w:p>
    <w:p w14:paraId="01928DB5"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Sólo Diógenes no propone nada; el fondo de su actitud y la esencia del cinismo, está determinado por un horror testicular del ridículo de ser hombre”.</w:t>
      </w:r>
    </w:p>
    <w:p w14:paraId="6E52F72C" w14:textId="77777777" w:rsidR="001C71FE" w:rsidRPr="000D3432" w:rsidRDefault="001C71FE" w:rsidP="00A95498">
      <w:pPr>
        <w:numPr>
          <w:ilvl w:val="12"/>
          <w:numId w:val="0"/>
        </w:numPr>
        <w:jc w:val="both"/>
        <w:rPr>
          <w:rFonts w:asciiTheme="minorHAnsi" w:hAnsiTheme="minorHAnsi"/>
          <w:szCs w:val="24"/>
          <w:lang w:val="es-ES_tradnl"/>
        </w:rPr>
      </w:pPr>
    </w:p>
    <w:p w14:paraId="7FE14972"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Diógenes “él, el ser más profundamente normal, porque estaba alejado de toda enseñanza y toda doctrina. Fue el único que nos reveló el rostro repugnante del hombre.”</w:t>
      </w:r>
    </w:p>
    <w:p w14:paraId="00CB868A" w14:textId="77777777" w:rsidR="001C71FE" w:rsidRPr="000D3432" w:rsidRDefault="001C71FE" w:rsidP="00A95498">
      <w:pPr>
        <w:numPr>
          <w:ilvl w:val="12"/>
          <w:numId w:val="0"/>
        </w:numPr>
        <w:jc w:val="both"/>
        <w:rPr>
          <w:rFonts w:asciiTheme="minorHAnsi" w:hAnsiTheme="minorHAnsi"/>
          <w:szCs w:val="24"/>
          <w:lang w:val="es-ES_tradnl"/>
        </w:rPr>
      </w:pPr>
    </w:p>
    <w:p w14:paraId="1AF513CF"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“Misterio, palabra de la que nos servimos para engañar a los demás, para hacerles creer que somos más profundos que ellos.” Cioran.</w:t>
      </w:r>
    </w:p>
    <w:p w14:paraId="47059E1A" w14:textId="77777777" w:rsidR="001C71FE" w:rsidRPr="000D3432" w:rsidRDefault="001C71FE" w:rsidP="00A95498">
      <w:pPr>
        <w:numPr>
          <w:ilvl w:val="12"/>
          <w:numId w:val="0"/>
        </w:numPr>
        <w:jc w:val="both"/>
        <w:rPr>
          <w:rFonts w:asciiTheme="minorHAnsi" w:hAnsiTheme="minorHAnsi"/>
          <w:szCs w:val="24"/>
          <w:lang w:val="es-ES_tradnl"/>
        </w:rPr>
      </w:pPr>
    </w:p>
    <w:p w14:paraId="3D8F2FBD"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“Nunca tuve una meta, nunca busqué ningún resultado. Creo que no puede haberlos, ni en general ni en lo personal. Todo es no sin sentido -la palabra me disgusta un poco- sino sin necesidad”</w:t>
      </w:r>
    </w:p>
    <w:p w14:paraId="39273130" w14:textId="77777777" w:rsidR="001C71FE" w:rsidRPr="000D3432" w:rsidRDefault="001C71FE" w:rsidP="00A95498">
      <w:pPr>
        <w:numPr>
          <w:ilvl w:val="12"/>
          <w:numId w:val="0"/>
        </w:numPr>
        <w:jc w:val="both"/>
        <w:rPr>
          <w:rFonts w:asciiTheme="minorHAnsi" w:hAnsiTheme="minorHAnsi"/>
          <w:szCs w:val="24"/>
          <w:lang w:val="es-ES_tradnl"/>
        </w:rPr>
      </w:pPr>
    </w:p>
    <w:p w14:paraId="2F96DBE0" w14:textId="77777777" w:rsidR="001C71FE" w:rsidRPr="000D3432" w:rsidRDefault="001C71FE" w:rsidP="009E6E2E">
      <w:pPr>
        <w:widowControl/>
        <w:numPr>
          <w:ilvl w:val="0"/>
          <w:numId w:val="38"/>
        </w:numPr>
        <w:jc w:val="both"/>
        <w:rPr>
          <w:rFonts w:asciiTheme="minorHAnsi" w:hAnsiTheme="minorHAnsi"/>
          <w:szCs w:val="24"/>
          <w:lang w:val="es-ES_tradnl"/>
        </w:rPr>
      </w:pPr>
      <w:r w:rsidRPr="000D3432">
        <w:rPr>
          <w:rFonts w:asciiTheme="minorHAnsi" w:hAnsiTheme="minorHAnsi"/>
          <w:b/>
          <w:szCs w:val="24"/>
          <w:lang w:val="es-ES_tradnl"/>
        </w:rPr>
        <w:t>Ser padre, el peor de los pecados</w:t>
      </w:r>
    </w:p>
    <w:p w14:paraId="497DE742"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“Interesado por los Bogomiles, esos maniquesos de los Balcanes, y por su idea de que el nacimiento es una catástrofe.</w:t>
      </w:r>
    </w:p>
    <w:p w14:paraId="7E1DA25E" w14:textId="77777777" w:rsidR="001C71FE" w:rsidRPr="000D3432" w:rsidRDefault="001C71FE" w:rsidP="00A95498">
      <w:pPr>
        <w:numPr>
          <w:ilvl w:val="12"/>
          <w:numId w:val="0"/>
        </w:numPr>
        <w:jc w:val="both"/>
        <w:rPr>
          <w:rFonts w:asciiTheme="minorHAnsi" w:hAnsiTheme="minorHAnsi"/>
          <w:szCs w:val="24"/>
          <w:lang w:val="es-ES_tradnl"/>
        </w:rPr>
      </w:pPr>
    </w:p>
    <w:p w14:paraId="51EAF6B8" w14:textId="77777777" w:rsidR="001C71FE" w:rsidRPr="000D3432" w:rsidRDefault="001C71FE" w:rsidP="009E6E2E">
      <w:pPr>
        <w:widowControl/>
        <w:numPr>
          <w:ilvl w:val="0"/>
          <w:numId w:val="38"/>
        </w:numPr>
        <w:jc w:val="both"/>
        <w:rPr>
          <w:rFonts w:asciiTheme="minorHAnsi" w:hAnsiTheme="minorHAnsi"/>
          <w:szCs w:val="24"/>
          <w:lang w:val="es-ES_tradnl"/>
        </w:rPr>
      </w:pPr>
      <w:r w:rsidRPr="000D3432">
        <w:rPr>
          <w:rFonts w:asciiTheme="minorHAnsi" w:hAnsiTheme="minorHAnsi"/>
          <w:b/>
          <w:szCs w:val="24"/>
          <w:lang w:val="es-ES_tradnl"/>
        </w:rPr>
        <w:t>La Verdad</w:t>
      </w:r>
    </w:p>
    <w:p w14:paraId="3E07D360" w14:textId="77777777" w:rsidR="001C71FE" w:rsidRPr="000D3432" w:rsidRDefault="001C71FE" w:rsidP="00A95498">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“¿Qué es la verdad¿” es una cuestión fundamental. Pero ínfima comparada con: “¿Cómo soportar la vida?” La cual palidece al lado de ésta: “¿Cómo soportarse?” -Esa es la pregunta capital a la que nadie puede responder.</w:t>
      </w:r>
    </w:p>
    <w:p w14:paraId="4D44DE3E" w14:textId="77777777" w:rsidR="001C71FE" w:rsidRPr="000D3432" w:rsidRDefault="001C71FE" w:rsidP="00A95498">
      <w:pPr>
        <w:numPr>
          <w:ilvl w:val="12"/>
          <w:numId w:val="0"/>
        </w:numPr>
        <w:jc w:val="both"/>
        <w:rPr>
          <w:rFonts w:asciiTheme="minorHAnsi" w:hAnsiTheme="minorHAnsi"/>
          <w:szCs w:val="24"/>
          <w:lang w:val="es-ES_tradnl"/>
        </w:rPr>
      </w:pPr>
    </w:p>
    <w:p w14:paraId="660EDE9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“Nuestras verdades no valen más que las de nuestros antepasados. Tras haber sustituido sus mitos y sus símbolos por conceptos, nos creemos más “avanzados”, pero esos mitos y esos símbolos no expresan menos que nuestros conceptos. El Arbol de la vida la Serpiente, Eva y el Paraíso, significan tanto como Vida, Conocimiento, Tentación, Inconsciente. .. El Saber -en lo que tiene de profundo- no cambia nunca: sólo su decorado varía. Prosigue el amor sin Venus, la güera sin marte, </w:t>
      </w:r>
    </w:p>
    <w:p w14:paraId="637E408A" w14:textId="77777777" w:rsidR="001C71FE" w:rsidRPr="000D3432" w:rsidRDefault="001C71FE" w:rsidP="00A95498">
      <w:pPr>
        <w:jc w:val="both"/>
        <w:rPr>
          <w:rFonts w:asciiTheme="minorHAnsi" w:hAnsiTheme="minorHAnsi"/>
          <w:szCs w:val="24"/>
          <w:lang w:val="es-ES_tradnl"/>
        </w:rPr>
      </w:pPr>
    </w:p>
    <w:p w14:paraId="7D7EC75E"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“Todas las vías, todos los procedimientos de conocer son válidos: razonamientos, intuición, repugnancia, entusiasmo, gemido. “ Cioran.</w:t>
      </w:r>
    </w:p>
    <w:p w14:paraId="03B36E2B" w14:textId="77777777" w:rsidR="001C71FE" w:rsidRPr="000D3432" w:rsidRDefault="001C71FE" w:rsidP="00A95498">
      <w:pPr>
        <w:jc w:val="both"/>
        <w:rPr>
          <w:rFonts w:asciiTheme="minorHAnsi" w:hAnsiTheme="minorHAnsi"/>
          <w:szCs w:val="24"/>
          <w:lang w:val="es-ES_tradnl"/>
        </w:rPr>
      </w:pPr>
    </w:p>
    <w:p w14:paraId="15961568"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b/>
          <w:szCs w:val="24"/>
          <w:lang w:val="es-ES_tradnl"/>
        </w:rPr>
        <w:t>¿QUÉ COSA ES ESO QUE LLAMAMOS CIORAN?</w:t>
      </w:r>
    </w:p>
    <w:p w14:paraId="39BFE995" w14:textId="77777777" w:rsidR="001C71FE" w:rsidRPr="000D3432" w:rsidRDefault="001C71FE" w:rsidP="00A95498">
      <w:pPr>
        <w:jc w:val="both"/>
        <w:rPr>
          <w:rFonts w:asciiTheme="minorHAnsi" w:hAnsiTheme="minorHAnsi"/>
          <w:szCs w:val="24"/>
          <w:lang w:val="es-ES_tradnl"/>
        </w:rPr>
      </w:pPr>
    </w:p>
    <w:p w14:paraId="1270D8D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Si tuviéramos que dar credibilidad a los libros, diríamos que ha existido un hombre que los escribió. Aún así, ¿podemos afirmar que Cioran, ese desencantado, existió? Realmente no importa mucho. Cioran es un descontento, un desencantado</w:t>
      </w:r>
    </w:p>
    <w:p w14:paraId="0E3A7BAE" w14:textId="77777777" w:rsidR="001C71FE" w:rsidRPr="000D3432" w:rsidRDefault="001C71FE" w:rsidP="00A95498">
      <w:pPr>
        <w:jc w:val="both"/>
        <w:rPr>
          <w:rFonts w:asciiTheme="minorHAnsi" w:hAnsiTheme="minorHAnsi"/>
          <w:szCs w:val="24"/>
          <w:lang w:val="es-ES_tradnl"/>
        </w:rPr>
      </w:pPr>
    </w:p>
    <w:p w14:paraId="74A78D1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Cursó estudios de filosofía en Bucarest y escribió una tesis sobre el filósofo francés Henri Bergson que le valió obtener en 1937 una beca del instituto Francés y se trasladó a Francia.</w:t>
      </w:r>
    </w:p>
    <w:p w14:paraId="5ADB8A42" w14:textId="77777777" w:rsidR="001C71FE" w:rsidRPr="000D3432" w:rsidRDefault="001C71FE" w:rsidP="00A95498">
      <w:pPr>
        <w:jc w:val="both"/>
        <w:rPr>
          <w:rFonts w:asciiTheme="minorHAnsi" w:hAnsiTheme="minorHAnsi"/>
          <w:szCs w:val="24"/>
          <w:lang w:val="es-ES_tradnl"/>
        </w:rPr>
      </w:pPr>
    </w:p>
    <w:p w14:paraId="3353F219"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t>- Nacimiento:</w:t>
      </w:r>
    </w:p>
    <w:p w14:paraId="367B870B"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Nació en Rumania. Estudio y ejerció la cátedra  de filosofía en su tierra natural. </w:t>
      </w:r>
      <w:r w:rsidRPr="000D3432">
        <w:rPr>
          <w:rFonts w:asciiTheme="minorHAnsi" w:hAnsiTheme="minorHAnsi"/>
          <w:szCs w:val="24"/>
          <w:lang w:val="es-ES_tradnl"/>
        </w:rPr>
        <w:lastRenderedPageBreak/>
        <w:t>Nace el 8 de abril de 1911</w:t>
      </w:r>
    </w:p>
    <w:p w14:paraId="3BF8824B" w14:textId="77777777" w:rsidR="001C71FE" w:rsidRPr="000D3432" w:rsidRDefault="001C71FE" w:rsidP="00A95498">
      <w:pPr>
        <w:jc w:val="both"/>
        <w:rPr>
          <w:rFonts w:asciiTheme="minorHAnsi" w:hAnsiTheme="minorHAnsi"/>
          <w:b/>
          <w:szCs w:val="24"/>
          <w:lang w:val="es-ES_tradnl"/>
        </w:rPr>
      </w:pPr>
    </w:p>
    <w:p w14:paraId="47AB5428"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El nacimiento es uno de los actos más indecorosos del hombre, la primera negación que hace el hombre. Su primera tentación existencial, de afirmarse como existencia. Su insana manía de querer ser inmortal.</w:t>
      </w:r>
    </w:p>
    <w:p w14:paraId="12C8655D" w14:textId="77777777" w:rsidR="001C71FE" w:rsidRPr="000D3432" w:rsidRDefault="001C71FE" w:rsidP="00A95498">
      <w:pPr>
        <w:jc w:val="both"/>
        <w:rPr>
          <w:rFonts w:asciiTheme="minorHAnsi" w:hAnsiTheme="minorHAnsi"/>
          <w:szCs w:val="24"/>
          <w:lang w:val="es-ES_tradnl"/>
        </w:rPr>
      </w:pPr>
    </w:p>
    <w:p w14:paraId="2CE56AAA"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“Su vida ha sido considerada por algunos como miserable. Vivió como parásito universitario en París, recorrió kilómetros y años en bicicleta, y sufrió de un severo insomnio. </w:t>
      </w:r>
    </w:p>
    <w:p w14:paraId="7839D95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Sus escritos revelan distancia de la miseria.</w:t>
      </w:r>
    </w:p>
    <w:p w14:paraId="5E53D9C9" w14:textId="77777777" w:rsidR="001C71FE" w:rsidRPr="000D3432" w:rsidRDefault="001C71FE" w:rsidP="00A95498">
      <w:pPr>
        <w:jc w:val="both"/>
        <w:rPr>
          <w:rFonts w:asciiTheme="minorHAnsi" w:hAnsiTheme="minorHAnsi"/>
          <w:szCs w:val="24"/>
          <w:lang w:val="es-ES_tradnl"/>
        </w:rPr>
      </w:pPr>
    </w:p>
    <w:p w14:paraId="51D6E589"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t>- Muerte</w:t>
      </w:r>
    </w:p>
    <w:p w14:paraId="3C3099BA"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Cioran muere oportunamente -toda muerte es oportuna, al menos para la demografía</w:t>
      </w:r>
    </w:p>
    <w:p w14:paraId="2F86500F" w14:textId="77777777" w:rsidR="001C71FE" w:rsidRPr="000D3432" w:rsidRDefault="001C71FE" w:rsidP="00A95498">
      <w:pPr>
        <w:jc w:val="both"/>
        <w:rPr>
          <w:rFonts w:asciiTheme="minorHAnsi" w:hAnsiTheme="minorHAnsi"/>
          <w:szCs w:val="24"/>
          <w:lang w:val="es-ES_tradnl"/>
        </w:rPr>
      </w:pPr>
    </w:p>
    <w:p w14:paraId="4EBA20F8"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“Morir a los sesenta o a los ochenta es menos duro que a los diez o a los treinta. Ser adicto a la vida, ese es el quid; pues la vida es el mayor vicio que existe. Lo cual explica el trabajo que cuesta deshacerse de ella.” Desgarradura 154.</w:t>
      </w:r>
    </w:p>
    <w:p w14:paraId="558FBBE9" w14:textId="77777777" w:rsidR="001C71FE" w:rsidRPr="000D3432" w:rsidRDefault="001C71FE" w:rsidP="00A95498">
      <w:pPr>
        <w:jc w:val="both"/>
        <w:rPr>
          <w:rFonts w:asciiTheme="minorHAnsi" w:hAnsiTheme="minorHAnsi"/>
          <w:szCs w:val="24"/>
          <w:lang w:val="es-ES_tradnl"/>
        </w:rPr>
      </w:pPr>
    </w:p>
    <w:p w14:paraId="0628B01E"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“Si yo muriera en este instante sería el más feliz d ellos hombres.</w:t>
      </w:r>
    </w:p>
    <w:p w14:paraId="61F91389" w14:textId="77777777" w:rsidR="001C71FE" w:rsidRPr="000D3432" w:rsidRDefault="001C71FE" w:rsidP="00A95498">
      <w:pPr>
        <w:jc w:val="both"/>
        <w:rPr>
          <w:rFonts w:asciiTheme="minorHAnsi" w:hAnsiTheme="minorHAnsi"/>
          <w:szCs w:val="24"/>
          <w:lang w:val="es-ES_tradnl"/>
        </w:rPr>
      </w:pPr>
    </w:p>
    <w:p w14:paraId="2B6F6828"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Muere a los 84 años, el 20 de junio de 1995</w:t>
      </w:r>
    </w:p>
    <w:p w14:paraId="6BFB83E5" w14:textId="77777777" w:rsidR="001C71FE" w:rsidRPr="000D3432" w:rsidRDefault="001C71FE" w:rsidP="00A95498">
      <w:pPr>
        <w:jc w:val="both"/>
        <w:rPr>
          <w:rFonts w:asciiTheme="minorHAnsi" w:hAnsiTheme="minorHAnsi"/>
          <w:b/>
          <w:szCs w:val="24"/>
          <w:lang w:val="es-ES_tradnl"/>
        </w:rPr>
      </w:pPr>
    </w:p>
    <w:p w14:paraId="2AFFDF54"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szCs w:val="24"/>
          <w:lang w:val="es-ES_tradnl"/>
        </w:rPr>
        <w:t>“Sólo se suicidan los optimistas, los optimistas que ya no logran serlo. Los demás, no teniendo ninguna razón para vivir, ¿por qué la tendrían para morir? Cioran. Pr eso nose mató.</w:t>
      </w:r>
    </w:p>
    <w:p w14:paraId="35276C2A" w14:textId="77777777" w:rsidR="001C71FE" w:rsidRPr="000D3432" w:rsidRDefault="001C71FE" w:rsidP="00A95498">
      <w:pPr>
        <w:jc w:val="both"/>
        <w:rPr>
          <w:rFonts w:asciiTheme="minorHAnsi" w:hAnsiTheme="minorHAnsi"/>
          <w:b/>
          <w:szCs w:val="24"/>
          <w:lang w:val="es-ES_tradnl"/>
        </w:rPr>
      </w:pPr>
    </w:p>
    <w:p w14:paraId="446D4825"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Cioran, muere el 20 de junio de 1955 a los 86 años, después de soportar un largo período de padecimiento del Alzheimer.</w:t>
      </w:r>
    </w:p>
    <w:p w14:paraId="2F7598D2" w14:textId="77777777" w:rsidR="001C71FE" w:rsidRPr="000D3432" w:rsidRDefault="001C71FE" w:rsidP="00A95498">
      <w:pPr>
        <w:jc w:val="both"/>
        <w:rPr>
          <w:rFonts w:asciiTheme="minorHAnsi" w:hAnsiTheme="minorHAnsi"/>
          <w:szCs w:val="24"/>
          <w:lang w:val="es-ES_tradnl"/>
        </w:rPr>
      </w:pPr>
    </w:p>
    <w:p w14:paraId="4D7480E9"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t>Hijo de:</w:t>
      </w:r>
    </w:p>
    <w:p w14:paraId="09825592"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hijode una mujer Elvieri Comaniciu propensa a la depresión. Condición de ser larvario.</w:t>
      </w:r>
    </w:p>
    <w:p w14:paraId="68197D3B" w14:textId="77777777" w:rsidR="001C71FE" w:rsidRPr="000D3432" w:rsidRDefault="001C71FE" w:rsidP="00A95498">
      <w:pPr>
        <w:jc w:val="both"/>
        <w:rPr>
          <w:rFonts w:asciiTheme="minorHAnsi" w:hAnsiTheme="minorHAnsi"/>
          <w:b/>
          <w:szCs w:val="24"/>
          <w:lang w:val="es-ES_tradnl"/>
        </w:rPr>
      </w:pPr>
    </w:p>
    <w:p w14:paraId="34E62D4E"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t>- Estudios</w:t>
      </w:r>
      <w:r w:rsidRPr="000D3432">
        <w:rPr>
          <w:rFonts w:asciiTheme="minorHAnsi" w:hAnsiTheme="minorHAnsi"/>
          <w:szCs w:val="24"/>
          <w:lang w:val="es-ES_tradnl"/>
        </w:rPr>
        <w:t xml:space="preserve"> </w:t>
      </w:r>
    </w:p>
    <w:p w14:paraId="7D64E04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De eso podemos decir su idea del ocio</w:t>
      </w:r>
    </w:p>
    <w:p w14:paraId="21FBEC11" w14:textId="77777777" w:rsidR="001C71FE" w:rsidRPr="000D3432" w:rsidRDefault="001C71FE" w:rsidP="00A95498">
      <w:pPr>
        <w:jc w:val="both"/>
        <w:rPr>
          <w:rFonts w:asciiTheme="minorHAnsi" w:hAnsiTheme="minorHAnsi"/>
          <w:szCs w:val="24"/>
          <w:lang w:val="es-ES_tradnl"/>
        </w:rPr>
      </w:pPr>
    </w:p>
    <w:p w14:paraId="589C028B"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b/>
          <w:szCs w:val="24"/>
          <w:lang w:val="es-ES_tradnl"/>
        </w:rPr>
        <w:t>El frances y francia</w:t>
      </w:r>
    </w:p>
    <w:p w14:paraId="741A7B7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Radicado en Francia a partir de 1937, adopta la lengua francesa desde 1944 cuando tenía 33 años.</w:t>
      </w:r>
    </w:p>
    <w:p w14:paraId="36FE7BF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Viaja a París para doctorarse</w:t>
      </w:r>
    </w:p>
    <w:p w14:paraId="5BE57097"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szCs w:val="24"/>
          <w:lang w:val="es-ES_tradnl"/>
        </w:rPr>
        <w:t>escribe en francés desde 1947</w:t>
      </w:r>
    </w:p>
    <w:p w14:paraId="0C1D38DC" w14:textId="77777777" w:rsidR="001C71FE" w:rsidRPr="000D3432" w:rsidRDefault="001C71FE" w:rsidP="00A95498">
      <w:pPr>
        <w:jc w:val="both"/>
        <w:rPr>
          <w:rFonts w:asciiTheme="minorHAnsi" w:hAnsiTheme="minorHAnsi"/>
          <w:b/>
          <w:szCs w:val="24"/>
          <w:lang w:val="es-ES_tradnl"/>
        </w:rPr>
      </w:pPr>
    </w:p>
    <w:p w14:paraId="581B07E4"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szCs w:val="24"/>
          <w:lang w:val="es-ES_tradnl"/>
        </w:rPr>
        <w:t>“Lo interesante en París, creo, es que uno pude vivir ahí como extranjero radical, de manera que no se pertecence a una nación, sino solamente a una ciudad. Yo me siento de algún modo parisiense, pero no francés -sobrte todo no francés.” El París de hombres solos y de putas.</w:t>
      </w:r>
    </w:p>
    <w:p w14:paraId="200AA9F8" w14:textId="77777777" w:rsidR="001C71FE" w:rsidRPr="000D3432" w:rsidRDefault="001C71FE" w:rsidP="00A95498">
      <w:pPr>
        <w:jc w:val="both"/>
        <w:rPr>
          <w:rFonts w:asciiTheme="minorHAnsi" w:hAnsiTheme="minorHAnsi"/>
          <w:b/>
          <w:szCs w:val="24"/>
          <w:lang w:val="es-ES_tradnl"/>
        </w:rPr>
      </w:pPr>
    </w:p>
    <w:p w14:paraId="54275766"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lastRenderedPageBreak/>
        <w:t>El trabajo:</w:t>
      </w:r>
    </w:p>
    <w:p w14:paraId="0450C8C3"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Rafael Rattia “En una entrevista casi olvidada que concediera el padre del psicoanálisis Sigmud reud, éste afirmaba que los requisitos que debe reunir un ser humano para ser considerado más o menos “noral” son: ser capaz de amar y trabajar. Pues bien, Cioran volvió añicos esta consideración freudiana, porque a decir verdad nunca trabajó y, al parecer, me temo que nunca amó los ssuficiente como para cesar de blasfemar al mundo y a la vida. </w:t>
      </w:r>
    </w:p>
    <w:p w14:paraId="2A32991D" w14:textId="77777777" w:rsidR="001C71FE" w:rsidRPr="000D3432" w:rsidRDefault="001C71FE" w:rsidP="00A95498">
      <w:pPr>
        <w:jc w:val="both"/>
        <w:rPr>
          <w:rFonts w:asciiTheme="minorHAnsi" w:hAnsiTheme="minorHAnsi"/>
          <w:b/>
          <w:szCs w:val="24"/>
          <w:lang w:val="es-ES_tradnl"/>
        </w:rPr>
      </w:pPr>
    </w:p>
    <w:p w14:paraId="7228B0D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t>“</w:t>
      </w:r>
      <w:r w:rsidRPr="000D3432">
        <w:rPr>
          <w:rFonts w:asciiTheme="minorHAnsi" w:hAnsiTheme="minorHAnsi"/>
          <w:szCs w:val="24"/>
          <w:lang w:val="es-ES_tradnl"/>
        </w:rPr>
        <w:t xml:space="preserve">Cuando llegué a París, inmediatamente comprendía que el interés de la ciudad era la posibildidad que me orecía de vivir rodeado de gente ociosa. Yo mismo soy un ejemplo de ocioso: nunca he tragajado en mi vida, nunc tuve un oficio. Sólo una vez, en Rmania, cuando enseñe un años filosofía en Brasov. Era insoportable. Y fue también la razón por la que vine a a París. Ensu propio país, uno tiene el deber de hacer algo -pero eso no es necesario cuando se vive en el extranjero.  Tuve la formtua de vivir más de cuarenta años en la ociosidad y, ¿c´´omo podría decirlo, sin Estado. “ Cioran en una entrevista con Hans-Jürgen Heinrichs, tradución del francés de Dulce María Zúñiga.  Enrevista en París en 1983, se publicó en 1999 en el nro. 373 de la revista francesa Le Magazine Litteraire. </w:t>
      </w:r>
    </w:p>
    <w:p w14:paraId="1E14467A" w14:textId="77777777" w:rsidR="001C71FE" w:rsidRPr="000D3432" w:rsidRDefault="001C71FE" w:rsidP="00A95498">
      <w:pPr>
        <w:jc w:val="both"/>
        <w:rPr>
          <w:rFonts w:asciiTheme="minorHAnsi" w:hAnsiTheme="minorHAnsi"/>
          <w:b/>
          <w:szCs w:val="24"/>
          <w:lang w:val="es-ES_tradnl"/>
        </w:rPr>
      </w:pPr>
    </w:p>
    <w:p w14:paraId="0AE0763D"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szCs w:val="24"/>
          <w:lang w:val="es-ES_tradnl"/>
        </w:rPr>
        <w:t>“Un día me preguntaron cómo había podido vivir sin ejercer un “oficio”, respondí: “porque era un padrote”. Es una broma, pero hay algo de verdad en esa afirmación. Para mí, “padrote” es un concepto muy universal. Quiero decir que cuando un escritor vive con una muer que se encarga de los gastos de los dos, ese escritor es un padrote. Muchos escritores respetables que conozco en País han vivido como parásitos de su mujer. En ese sentido, auqneue nunca me he casado, también he sido un padrote”.</w:t>
      </w:r>
    </w:p>
    <w:p w14:paraId="6024B350" w14:textId="77777777" w:rsidR="001C71FE" w:rsidRPr="000D3432" w:rsidRDefault="001C71FE" w:rsidP="00A95498">
      <w:pPr>
        <w:jc w:val="both"/>
        <w:rPr>
          <w:rFonts w:asciiTheme="minorHAnsi" w:hAnsiTheme="minorHAnsi"/>
          <w:b/>
          <w:szCs w:val="24"/>
          <w:lang w:val="es-ES_tradnl"/>
        </w:rPr>
      </w:pPr>
    </w:p>
    <w:p w14:paraId="7AFFE3E4"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b/>
          <w:szCs w:val="24"/>
          <w:lang w:val="es-ES_tradnl"/>
        </w:rPr>
        <w:t>Las mujeres</w:t>
      </w:r>
    </w:p>
    <w:p w14:paraId="45D6AE3E"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szCs w:val="24"/>
          <w:lang w:val="es-ES_tradnl"/>
        </w:rPr>
        <w:t>“Tengo algo en común con Sartre. Sartre dijo, poco antes de su muerte, que siempre se entendió mejor con las mujeres que con los hombres. Y es tambien mi caso: prefiero a las mujeres que a a los hmbres ¿Sabe por qué? Porque la mujer es más desequlibrada que el hombre. Es un ser infinitamente más mórbido y enfermo que el hombre. Resiente más, incluso cosas que un hombre no pude sentir. Noté que las mujeres estaban en general más cercanas a mi manera de escribir que los hombes. Me impresioné mcho cuando leí que Sartre había dicho que prefería la conversación de las mujeres a la de los hombres.”</w:t>
      </w:r>
    </w:p>
    <w:p w14:paraId="57E769A6" w14:textId="77777777" w:rsidR="001C71FE" w:rsidRPr="000D3432" w:rsidRDefault="001C71FE" w:rsidP="00A95498">
      <w:pPr>
        <w:jc w:val="both"/>
        <w:rPr>
          <w:rFonts w:asciiTheme="minorHAnsi" w:hAnsiTheme="minorHAnsi"/>
          <w:b/>
          <w:szCs w:val="24"/>
          <w:lang w:val="es-ES_tradnl"/>
        </w:rPr>
      </w:pPr>
    </w:p>
    <w:p w14:paraId="63CCD913"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b/>
          <w:szCs w:val="24"/>
          <w:lang w:val="es-ES_tradnl"/>
        </w:rPr>
        <w:t>Nietzsche</w:t>
      </w:r>
    </w:p>
    <w:p w14:paraId="44B08A9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“Lo mejor de mí mismo, este poco de luz que me aleja de todo, se lo debo a mis raras conversaciones con algunos canallas amargos, canallas inconsolables que, víctimas del rigor de su cinismo, no podían dedicarse ya a ningún vicio.” Cioran.</w:t>
      </w:r>
    </w:p>
    <w:p w14:paraId="43C190C8" w14:textId="77777777" w:rsidR="001C71FE" w:rsidRPr="000D3432" w:rsidRDefault="001C71FE" w:rsidP="00A95498">
      <w:pPr>
        <w:jc w:val="both"/>
        <w:rPr>
          <w:rFonts w:asciiTheme="minorHAnsi" w:hAnsiTheme="minorHAnsi"/>
          <w:szCs w:val="24"/>
          <w:lang w:val="es-ES_tradnl"/>
        </w:rPr>
      </w:pPr>
    </w:p>
    <w:p w14:paraId="73DC1EE5"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“Nietzsche ejerció una gran influencia sobre mí en mi juventud. Pero, hoy, estoy muy lejos de él. ¿Por qué? Porque construyó su teoría. Nietazsche tiene un ideal, una idea de los hombres, del valor, en función de los cuales escribió, dio forma y elaboró toda su obra. Y así, progresivamente, me llegó la impresión de que todo eso era un tanto falso. Como profeta o analista -porque, incluso cuandco se </w:t>
      </w:r>
      <w:r w:rsidRPr="000D3432">
        <w:rPr>
          <w:rFonts w:asciiTheme="minorHAnsi" w:hAnsiTheme="minorHAnsi"/>
          <w:szCs w:val="24"/>
          <w:lang w:val="es-ES_tradnl"/>
        </w:rPr>
        <w:lastRenderedPageBreak/>
        <w:t xml:space="preserve">siente analista sigue siendo profeta-, Nietzsche quiere ‘aportar’ algo absoluto, crear algo, jugar un papel en la cultura, etc. Eso provocó que ahora yo no puede leer con gusto m´s que sus cartas, porque en sus cartas aparece como el contrario de loq ue es en sus escritos. En sus cartas, vemos a Nietzsche tal como era: un pobre tipo. </w:t>
      </w:r>
    </w:p>
    <w:p w14:paraId="5E9A3A04" w14:textId="77777777" w:rsidR="001C71FE" w:rsidRPr="000D3432" w:rsidRDefault="001C71FE" w:rsidP="00A95498">
      <w:pPr>
        <w:jc w:val="both"/>
        <w:rPr>
          <w:rFonts w:asciiTheme="minorHAnsi" w:hAnsiTheme="minorHAnsi"/>
          <w:szCs w:val="24"/>
          <w:lang w:val="es-ES_tradnl"/>
        </w:rPr>
      </w:pPr>
    </w:p>
    <w:p w14:paraId="5DB08AFC"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Nietzsche- escribe Cioran “no se liberó de sus ideas y de sus proyectos, siguió depndietne de ellos, como esclavo. Para mí, no se volvió  un hombre libor, al menos en sus libros.</w:t>
      </w:r>
    </w:p>
    <w:p w14:paraId="58D0D617" w14:textId="77777777" w:rsidR="001C71FE" w:rsidRPr="000D3432" w:rsidRDefault="001C71FE" w:rsidP="00A95498">
      <w:pPr>
        <w:jc w:val="both"/>
        <w:rPr>
          <w:rFonts w:asciiTheme="minorHAnsi" w:hAnsiTheme="minorHAnsi"/>
          <w:szCs w:val="24"/>
          <w:lang w:val="es-ES_tradnl"/>
        </w:rPr>
      </w:pPr>
    </w:p>
    <w:p w14:paraId="5EB20373"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“Nietzsche era mi héroe de la juventud; ya no lo es hoy, aunque sea genialmente mordaz y cínico, lo encuentro sin embargo demasiado juvenil para mi, demasiado cándido…”</w:t>
      </w:r>
    </w:p>
    <w:p w14:paraId="6E3B3D79" w14:textId="77777777" w:rsidR="001C71FE" w:rsidRPr="000D3432" w:rsidRDefault="001C71FE" w:rsidP="00A95498">
      <w:pPr>
        <w:jc w:val="both"/>
        <w:rPr>
          <w:rFonts w:asciiTheme="minorHAnsi" w:hAnsiTheme="minorHAnsi"/>
          <w:szCs w:val="24"/>
          <w:lang w:val="es-ES_tradnl"/>
        </w:rPr>
      </w:pPr>
    </w:p>
    <w:p w14:paraId="71B23DF8" w14:textId="77777777" w:rsidR="001C71FE" w:rsidRPr="000D3432" w:rsidRDefault="001C71FE" w:rsidP="00A95498">
      <w:pPr>
        <w:jc w:val="both"/>
        <w:rPr>
          <w:rFonts w:asciiTheme="minorHAnsi" w:hAnsiTheme="minorHAnsi"/>
          <w:b/>
          <w:szCs w:val="24"/>
          <w:lang w:val="es-ES_tradnl"/>
        </w:rPr>
      </w:pPr>
      <w:r w:rsidRPr="000D3432">
        <w:rPr>
          <w:rFonts w:asciiTheme="minorHAnsi" w:hAnsiTheme="minorHAnsi"/>
          <w:b/>
          <w:szCs w:val="24"/>
          <w:lang w:val="es-ES_tradnl"/>
        </w:rPr>
        <w:t xml:space="preserve">El escritor </w:t>
      </w:r>
    </w:p>
    <w:p w14:paraId="5E004C6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un fragmentario, un secretario de sus sensaciones.</w:t>
      </w:r>
    </w:p>
    <w:p w14:paraId="4C7FE841" w14:textId="77777777" w:rsidR="001C71FE" w:rsidRPr="000D3432" w:rsidRDefault="001C71FE" w:rsidP="00A95498">
      <w:pPr>
        <w:jc w:val="both"/>
        <w:rPr>
          <w:rFonts w:asciiTheme="minorHAnsi" w:hAnsiTheme="minorHAnsi"/>
          <w:szCs w:val="24"/>
          <w:lang w:val="es-ES_tradnl"/>
        </w:rPr>
      </w:pPr>
    </w:p>
    <w:p w14:paraId="61FDE179"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“Solo cultivan el aforismo quienes han conocido el miedo en medio de las palabras, ese miedo a derrumbarse con todas las palabras”. Cioran.</w:t>
      </w:r>
    </w:p>
    <w:p w14:paraId="63BFD352" w14:textId="77777777" w:rsidR="001C71FE" w:rsidRPr="000D3432" w:rsidRDefault="001C71FE" w:rsidP="00A95498">
      <w:pPr>
        <w:jc w:val="both"/>
        <w:rPr>
          <w:rFonts w:asciiTheme="minorHAnsi" w:hAnsiTheme="minorHAnsi"/>
          <w:szCs w:val="24"/>
          <w:lang w:val="es-ES_tradnl"/>
        </w:rPr>
      </w:pPr>
    </w:p>
    <w:p w14:paraId="511ACE0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Su excentricidad lloogró alcanzar dimensiones verdaderamente exasperantes pese a su reticencia reiterada a recibir premios y condecoradcones.  No soportaba tanto exece de razón. </w:t>
      </w:r>
    </w:p>
    <w:p w14:paraId="0C5DAE58" w14:textId="77777777" w:rsidR="001C71FE" w:rsidRPr="000D3432" w:rsidRDefault="001C71FE" w:rsidP="00A95498">
      <w:pPr>
        <w:jc w:val="both"/>
        <w:rPr>
          <w:rFonts w:asciiTheme="minorHAnsi" w:hAnsiTheme="minorHAnsi"/>
          <w:szCs w:val="24"/>
          <w:lang w:val="es-ES_tradnl"/>
        </w:rPr>
      </w:pPr>
    </w:p>
    <w:p w14:paraId="00F61F5E"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Se autodefinía como un “esteta de la desesperación” o un “cortesano del vaío” o como un “sepulturero con un barniz de metafísica”, “un triste por decreto divino”, “un mortinato de clarividencia”.</w:t>
      </w:r>
    </w:p>
    <w:p w14:paraId="7D1E11DE" w14:textId="77777777" w:rsidR="001C71FE" w:rsidRPr="000D3432" w:rsidRDefault="001C71FE" w:rsidP="00A95498">
      <w:pPr>
        <w:jc w:val="both"/>
        <w:rPr>
          <w:rFonts w:asciiTheme="minorHAnsi" w:hAnsiTheme="minorHAnsi"/>
          <w:szCs w:val="24"/>
          <w:lang w:val="es-ES_tradnl"/>
        </w:rPr>
      </w:pPr>
    </w:p>
    <w:p w14:paraId="05A05EC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Tenía algo así como una biológica ironía.</w:t>
      </w:r>
    </w:p>
    <w:p w14:paraId="745F9662" w14:textId="77777777" w:rsidR="001C71FE" w:rsidRPr="000D3432" w:rsidRDefault="001C71FE" w:rsidP="00A95498">
      <w:pPr>
        <w:jc w:val="both"/>
        <w:rPr>
          <w:rFonts w:asciiTheme="minorHAnsi" w:hAnsiTheme="minorHAnsi"/>
          <w:b/>
          <w:szCs w:val="24"/>
          <w:lang w:val="es-ES_tradnl"/>
        </w:rPr>
      </w:pPr>
    </w:p>
    <w:p w14:paraId="1219150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“Todo lo que escribí es resultado de la casalidad. Por eemplo: en principo, no escribo los aforismo como tales: escribo una página…luego tiro todo y vuelvo a empezar. (…) Es por eso que no soy un escritor, soy …no sé… un hombre de fragmentos..”</w:t>
      </w:r>
    </w:p>
    <w:p w14:paraId="67479450" w14:textId="77777777" w:rsidR="001C71FE" w:rsidRPr="000D3432" w:rsidRDefault="001C71FE" w:rsidP="00A95498">
      <w:pPr>
        <w:jc w:val="both"/>
        <w:rPr>
          <w:rFonts w:asciiTheme="minorHAnsi" w:hAnsiTheme="minorHAnsi"/>
          <w:b/>
          <w:szCs w:val="24"/>
          <w:lang w:val="es-ES_tradnl"/>
        </w:rPr>
      </w:pPr>
    </w:p>
    <w:p w14:paraId="4011AFCF"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b/>
          <w:szCs w:val="24"/>
          <w:lang w:val="es-ES_tradnl"/>
        </w:rPr>
        <w:t>SUS OBRAS:</w:t>
      </w:r>
    </w:p>
    <w:p w14:paraId="01925D83" w14:textId="77777777" w:rsidR="001C71FE" w:rsidRPr="000D3432" w:rsidRDefault="001C71FE" w:rsidP="00A95498">
      <w:pPr>
        <w:jc w:val="both"/>
        <w:rPr>
          <w:rFonts w:asciiTheme="minorHAnsi" w:hAnsiTheme="minorHAnsi"/>
          <w:szCs w:val="24"/>
          <w:lang w:val="es-ES_tradnl"/>
        </w:rPr>
      </w:pPr>
    </w:p>
    <w:p w14:paraId="671A1EBD"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 “Si Nietzsche, Proust, Baudelaire y Rimbaud sobreviven a las fluctaciones de la moda, se lo deben a la gratuidad de su crueldad, a su cirugía demoníaca, a la generosidad de su hiel. Lo que le permite durar a una obra, lo que le impide envejecer, es su ferocidad. ¿Afirmación gratuita? Considérese el prestigio del Evangelio, libro agresivo, libro venenosos entre todos.” Cioran</w:t>
      </w:r>
    </w:p>
    <w:p w14:paraId="701A22AF"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br/>
        <w:t>“Escribir es un acto de agresión”</w:t>
      </w:r>
    </w:p>
    <w:p w14:paraId="35B179B4" w14:textId="77777777" w:rsidR="001C71FE" w:rsidRPr="000D3432" w:rsidRDefault="001C71FE" w:rsidP="00A95498">
      <w:pPr>
        <w:jc w:val="both"/>
        <w:rPr>
          <w:rFonts w:asciiTheme="minorHAnsi" w:hAnsiTheme="minorHAnsi"/>
          <w:szCs w:val="24"/>
          <w:lang w:val="es-ES_tradnl"/>
        </w:rPr>
      </w:pPr>
    </w:p>
    <w:p w14:paraId="7496B80B"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“Escribir libros no deja de tener alguna relación con el pecado original. Pues ¿qué es un libro, sino una pérdida de inocencia, un acto de agresión, una repetición de nuestra caída? ¡Publicar sus taras para divertir o exasperar! Una </w:t>
      </w:r>
      <w:r w:rsidRPr="000D3432">
        <w:rPr>
          <w:rFonts w:asciiTheme="minorHAnsi" w:hAnsiTheme="minorHAnsi"/>
          <w:szCs w:val="24"/>
          <w:lang w:val="es-ES_tradnl"/>
        </w:rPr>
        <w:lastRenderedPageBreak/>
        <w:t>barbaridad para con nuestra intimidad, una profanación, una mancilla. Y una tentación. Le hablo con conocimiento de causa. Por lo menos, tengo la excusa de odiar mis actos, de ejecutarlos sin creer en ellos. Usted es más honrado: usted escribirá libros y creerá en ellos, creerá en realidad e las palabras, en esas ficciones pueriles e indecentes</w:t>
      </w:r>
    </w:p>
    <w:p w14:paraId="551F6D0A" w14:textId="77777777" w:rsidR="001C71FE" w:rsidRPr="000D3432" w:rsidRDefault="001C71FE" w:rsidP="00A95498">
      <w:pPr>
        <w:jc w:val="both"/>
        <w:rPr>
          <w:rFonts w:asciiTheme="minorHAnsi" w:hAnsiTheme="minorHAnsi"/>
          <w:szCs w:val="24"/>
          <w:lang w:val="es-ES_tradnl"/>
        </w:rPr>
      </w:pPr>
    </w:p>
    <w:p w14:paraId="31A6F9F7"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Escribir, leer libros debe tener algo de ética, en el sentido del paganismo, es decir como remedio, como medicina, no como conocimiento, sino como medicina.</w:t>
      </w:r>
    </w:p>
    <w:p w14:paraId="6DD050B2" w14:textId="77777777" w:rsidR="001C71FE" w:rsidRPr="000D3432" w:rsidRDefault="001C71FE" w:rsidP="00A95498">
      <w:pPr>
        <w:jc w:val="both"/>
        <w:rPr>
          <w:rFonts w:asciiTheme="minorHAnsi" w:hAnsiTheme="minorHAnsi"/>
          <w:szCs w:val="24"/>
          <w:lang w:val="es-ES_tradnl"/>
        </w:rPr>
      </w:pPr>
    </w:p>
    <w:p w14:paraId="6BB49FF1"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“La ética se ocupa del sentido de la vida y de las mejores condiciones para realizar ese sentido: La búsqueda de la salud, el aumento de poder. Y si la ética implica búsqueda de salud, no puede limitarse al “espíritu”. Por eso con Spinoza la filosofía inicia la reflexión sobre el cuerpo. La ética vuelve a ser como en el Paganismo, medicina</w:t>
      </w:r>
      <w:r w:rsidRPr="000D3432">
        <w:rPr>
          <w:rFonts w:asciiTheme="minorHAnsi" w:hAnsiTheme="minorHAnsi"/>
          <w:b/>
          <w:szCs w:val="24"/>
          <w:lang w:val="es-ES_tradnl"/>
        </w:rPr>
        <w:t xml:space="preserve">. </w:t>
      </w:r>
      <w:r w:rsidRPr="000D3432">
        <w:rPr>
          <w:rFonts w:asciiTheme="minorHAnsi" w:hAnsiTheme="minorHAnsi"/>
          <w:szCs w:val="24"/>
          <w:lang w:val="es-ES_tradnl"/>
        </w:rPr>
        <w:t>Juan Carlos Valdivia</w:t>
      </w:r>
    </w:p>
    <w:p w14:paraId="0B68D452" w14:textId="77777777" w:rsidR="001C71FE" w:rsidRPr="000D3432" w:rsidRDefault="001C71FE" w:rsidP="00A95498">
      <w:pPr>
        <w:jc w:val="both"/>
        <w:rPr>
          <w:rFonts w:asciiTheme="minorHAnsi" w:hAnsiTheme="minorHAnsi"/>
          <w:szCs w:val="24"/>
          <w:lang w:val="es-ES_tradnl"/>
        </w:rPr>
      </w:pPr>
    </w:p>
    <w:p w14:paraId="4FA5F354"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“Más que con Sócrates, es con Epicuro con quien la filosofía se deslizó hacia la terapéutica. Curar y, sobre todo, curarse, tal era su ambición” Cioran </w:t>
      </w:r>
    </w:p>
    <w:p w14:paraId="2C74B76E" w14:textId="77777777" w:rsidR="001C71FE" w:rsidRPr="000D3432" w:rsidRDefault="001C71FE" w:rsidP="00A95498">
      <w:pPr>
        <w:jc w:val="both"/>
        <w:rPr>
          <w:rFonts w:asciiTheme="minorHAnsi" w:hAnsiTheme="minorHAnsi"/>
          <w:szCs w:val="24"/>
          <w:lang w:val="es-ES_tradnl"/>
        </w:rPr>
      </w:pPr>
    </w:p>
    <w:p w14:paraId="14ADCF9B"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Hay que tomarnos las cosas en serio hasta el límite en que comience a destruirnos, ahí es el momento de parar, pero ¿cuál es el límite?</w:t>
      </w:r>
    </w:p>
    <w:p w14:paraId="6B021C36" w14:textId="77777777" w:rsidR="001C71FE" w:rsidRPr="000D3432" w:rsidRDefault="001C71FE" w:rsidP="00A95498">
      <w:pPr>
        <w:jc w:val="both"/>
        <w:rPr>
          <w:rFonts w:asciiTheme="minorHAnsi" w:hAnsiTheme="minorHAnsi"/>
          <w:szCs w:val="24"/>
          <w:lang w:val="es-ES_tradnl"/>
        </w:rPr>
      </w:pPr>
    </w:p>
    <w:p w14:paraId="4B013894"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Cioran escribió seis libros en Rumano:</w:t>
      </w:r>
    </w:p>
    <w:p w14:paraId="08E4747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1934, </w:t>
      </w:r>
      <w:r w:rsidRPr="000D3432">
        <w:rPr>
          <w:rFonts w:asciiTheme="minorHAnsi" w:hAnsiTheme="minorHAnsi"/>
          <w:i/>
          <w:szCs w:val="24"/>
          <w:lang w:val="es-ES_tradnl"/>
        </w:rPr>
        <w:t>En la cima de la desesperación</w:t>
      </w:r>
      <w:r w:rsidRPr="000D3432">
        <w:rPr>
          <w:rFonts w:asciiTheme="minorHAnsi" w:hAnsiTheme="minorHAnsi"/>
          <w:szCs w:val="24"/>
          <w:lang w:val="es-ES_tradnl"/>
        </w:rPr>
        <w:t xml:space="preserve">. </w:t>
      </w:r>
    </w:p>
    <w:p w14:paraId="3F53AB07" w14:textId="77777777" w:rsidR="001C71FE" w:rsidRPr="000D3432" w:rsidRDefault="001C71FE" w:rsidP="00A95498">
      <w:pPr>
        <w:jc w:val="both"/>
        <w:rPr>
          <w:rFonts w:asciiTheme="minorHAnsi" w:hAnsiTheme="minorHAnsi"/>
          <w:i/>
          <w:szCs w:val="24"/>
          <w:lang w:val="es-ES_tradnl"/>
        </w:rPr>
      </w:pPr>
      <w:r w:rsidRPr="000D3432">
        <w:rPr>
          <w:rFonts w:asciiTheme="minorHAnsi" w:hAnsiTheme="minorHAnsi"/>
          <w:szCs w:val="24"/>
          <w:lang w:val="es-ES_tradnl"/>
        </w:rPr>
        <w:t xml:space="preserve">1936 </w:t>
      </w:r>
      <w:r w:rsidRPr="000D3432">
        <w:rPr>
          <w:rFonts w:asciiTheme="minorHAnsi" w:hAnsiTheme="minorHAnsi"/>
          <w:i/>
          <w:szCs w:val="24"/>
          <w:lang w:val="es-ES_tradnl"/>
        </w:rPr>
        <w:t>El libro de desesperaciones.</w:t>
      </w:r>
    </w:p>
    <w:p w14:paraId="07D50A2E"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1957 </w:t>
      </w:r>
      <w:r w:rsidRPr="000D3432">
        <w:rPr>
          <w:rFonts w:asciiTheme="minorHAnsi" w:hAnsiTheme="minorHAnsi"/>
          <w:i/>
          <w:szCs w:val="24"/>
          <w:lang w:val="es-ES_tradnl"/>
        </w:rPr>
        <w:t>La transfiguración de Rumania</w:t>
      </w:r>
    </w:p>
    <w:p w14:paraId="12F44A00"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szCs w:val="24"/>
          <w:lang w:val="es-ES_tradnl"/>
        </w:rPr>
        <w:t xml:space="preserve">1937, </w:t>
      </w:r>
      <w:r w:rsidRPr="000D3432">
        <w:rPr>
          <w:rFonts w:asciiTheme="minorHAnsi" w:hAnsiTheme="minorHAnsi"/>
          <w:i/>
          <w:szCs w:val="24"/>
          <w:lang w:val="es-ES_tradnl"/>
        </w:rPr>
        <w:t>De lágrimas y de Santos</w:t>
      </w:r>
      <w:r w:rsidRPr="000D3432">
        <w:rPr>
          <w:rFonts w:asciiTheme="minorHAnsi" w:hAnsiTheme="minorHAnsi"/>
          <w:szCs w:val="24"/>
          <w:lang w:val="es-ES_tradnl"/>
        </w:rPr>
        <w:t>,</w:t>
      </w:r>
    </w:p>
    <w:p w14:paraId="40C799D2" w14:textId="77777777" w:rsidR="001C71FE" w:rsidRPr="000D3432" w:rsidRDefault="001C71FE" w:rsidP="00A95498">
      <w:pPr>
        <w:jc w:val="both"/>
        <w:rPr>
          <w:rFonts w:asciiTheme="minorHAnsi" w:hAnsiTheme="minorHAnsi"/>
          <w:i/>
          <w:szCs w:val="24"/>
          <w:lang w:val="es-ES_tradnl"/>
        </w:rPr>
      </w:pPr>
      <w:r w:rsidRPr="000D3432">
        <w:rPr>
          <w:rFonts w:asciiTheme="minorHAnsi" w:hAnsiTheme="minorHAnsi"/>
          <w:szCs w:val="24"/>
          <w:lang w:val="es-ES_tradnl"/>
        </w:rPr>
        <w:t xml:space="preserve">1938, </w:t>
      </w:r>
      <w:r w:rsidRPr="000D3432">
        <w:rPr>
          <w:rFonts w:asciiTheme="minorHAnsi" w:hAnsiTheme="minorHAnsi"/>
          <w:i/>
          <w:szCs w:val="24"/>
          <w:lang w:val="es-ES_tradnl"/>
        </w:rPr>
        <w:t>El ocaso del pensamiento,</w:t>
      </w:r>
    </w:p>
    <w:p w14:paraId="4464F37E" w14:textId="77777777" w:rsidR="001C71FE" w:rsidRPr="000D3432" w:rsidRDefault="001C71FE" w:rsidP="00A95498">
      <w:pPr>
        <w:jc w:val="both"/>
        <w:rPr>
          <w:rFonts w:asciiTheme="minorHAnsi" w:hAnsiTheme="minorHAnsi"/>
          <w:i/>
          <w:szCs w:val="24"/>
          <w:lang w:val="es-ES_tradnl"/>
        </w:rPr>
      </w:pPr>
      <w:r w:rsidRPr="000D3432">
        <w:rPr>
          <w:rFonts w:asciiTheme="minorHAnsi" w:hAnsiTheme="minorHAnsi"/>
          <w:szCs w:val="24"/>
          <w:lang w:val="es-ES_tradnl"/>
        </w:rPr>
        <w:t xml:space="preserve">1944 </w:t>
      </w:r>
      <w:r w:rsidRPr="000D3432">
        <w:rPr>
          <w:rFonts w:asciiTheme="minorHAnsi" w:hAnsiTheme="minorHAnsi"/>
          <w:i/>
          <w:szCs w:val="24"/>
          <w:lang w:val="es-ES_tradnl"/>
        </w:rPr>
        <w:t>Breviario de los vencidos.</w:t>
      </w:r>
    </w:p>
    <w:p w14:paraId="6FDDF952" w14:textId="77777777" w:rsidR="001C71FE" w:rsidRPr="000D3432" w:rsidRDefault="001C71FE" w:rsidP="00A95498">
      <w:pPr>
        <w:jc w:val="both"/>
        <w:rPr>
          <w:rFonts w:asciiTheme="minorHAnsi" w:hAnsiTheme="minorHAnsi"/>
          <w:szCs w:val="24"/>
          <w:lang w:val="es-ES_tradnl"/>
        </w:rPr>
      </w:pPr>
      <w:r w:rsidRPr="000D3432">
        <w:rPr>
          <w:rFonts w:asciiTheme="minorHAnsi" w:hAnsiTheme="minorHAnsi"/>
          <w:i/>
          <w:szCs w:val="24"/>
          <w:lang w:val="es-ES_tradnl"/>
        </w:rPr>
        <w:t>Otros.</w:t>
      </w:r>
    </w:p>
    <w:p w14:paraId="31B2A2BF" w14:textId="77777777" w:rsidR="001C71FE" w:rsidRPr="000D3432" w:rsidRDefault="001C71FE" w:rsidP="00A95498">
      <w:pPr>
        <w:jc w:val="both"/>
        <w:rPr>
          <w:rFonts w:asciiTheme="minorHAnsi" w:hAnsiTheme="minorHAnsi"/>
          <w:szCs w:val="24"/>
          <w:lang w:val="es-ES_tradnl"/>
        </w:rPr>
      </w:pPr>
    </w:p>
    <w:p w14:paraId="2D1A38DA" w14:textId="77777777" w:rsidR="001C71FE" w:rsidRPr="000D3432" w:rsidRDefault="001C71FE" w:rsidP="00A95498">
      <w:pPr>
        <w:rPr>
          <w:rFonts w:asciiTheme="minorHAnsi" w:hAnsiTheme="minorHAnsi"/>
          <w:szCs w:val="24"/>
        </w:rPr>
      </w:pPr>
    </w:p>
    <w:p w14:paraId="6203D743" w14:textId="77777777" w:rsidR="004A636D" w:rsidRPr="000D3432" w:rsidRDefault="004A636D" w:rsidP="00A95498">
      <w:pPr>
        <w:rPr>
          <w:rFonts w:asciiTheme="minorHAnsi" w:hAnsiTheme="minorHAnsi"/>
          <w:szCs w:val="24"/>
        </w:rPr>
      </w:pPr>
    </w:p>
    <w:p w14:paraId="48661DE6" w14:textId="77777777" w:rsidR="004A636D" w:rsidRPr="000D3432" w:rsidRDefault="004A636D" w:rsidP="00A95498">
      <w:pPr>
        <w:rPr>
          <w:rFonts w:asciiTheme="minorHAnsi" w:hAnsiTheme="minorHAnsi"/>
          <w:szCs w:val="24"/>
        </w:rPr>
      </w:pPr>
    </w:p>
    <w:p w14:paraId="1095E45D" w14:textId="77777777" w:rsidR="004A636D" w:rsidRPr="000D3432" w:rsidRDefault="004A636D" w:rsidP="00A95498">
      <w:pPr>
        <w:rPr>
          <w:rFonts w:asciiTheme="minorHAnsi" w:hAnsiTheme="minorHAnsi"/>
          <w:szCs w:val="24"/>
        </w:rPr>
      </w:pPr>
    </w:p>
    <w:p w14:paraId="61667529" w14:textId="77777777" w:rsidR="003279D3" w:rsidRPr="000D3432" w:rsidRDefault="003279D3" w:rsidP="00A95498">
      <w:pPr>
        <w:rPr>
          <w:rFonts w:asciiTheme="minorHAnsi" w:hAnsiTheme="minorHAnsi"/>
          <w:szCs w:val="24"/>
        </w:rPr>
      </w:pPr>
    </w:p>
    <w:p w14:paraId="32A99AA2" w14:textId="77777777" w:rsidR="005D54AE" w:rsidRPr="000D3432" w:rsidRDefault="005D54AE"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18830F25" w14:textId="77777777" w:rsidR="005D54AE" w:rsidRPr="000D3432" w:rsidRDefault="005D54AE" w:rsidP="00A95498">
      <w:pPr>
        <w:rPr>
          <w:rFonts w:asciiTheme="minorHAnsi" w:hAnsiTheme="minorHAnsi"/>
          <w:szCs w:val="24"/>
        </w:rPr>
      </w:pPr>
    </w:p>
    <w:p w14:paraId="76E8AB3F" w14:textId="77777777" w:rsidR="005D54AE" w:rsidRPr="000D3432" w:rsidRDefault="005D54AE" w:rsidP="00A95498">
      <w:pPr>
        <w:rPr>
          <w:rFonts w:asciiTheme="minorHAnsi" w:hAnsiTheme="minorHAnsi"/>
          <w:szCs w:val="24"/>
        </w:rPr>
      </w:pPr>
    </w:p>
    <w:p w14:paraId="56FE818D" w14:textId="77777777" w:rsidR="005D54AE" w:rsidRPr="000D3432" w:rsidRDefault="005D54AE" w:rsidP="00A95498">
      <w:pPr>
        <w:rPr>
          <w:rFonts w:asciiTheme="minorHAnsi" w:hAnsiTheme="minorHAnsi"/>
          <w:szCs w:val="24"/>
        </w:rPr>
      </w:pPr>
    </w:p>
    <w:p w14:paraId="7CBCED30" w14:textId="77777777" w:rsidR="005D54AE" w:rsidRPr="000D3432" w:rsidRDefault="005D54AE" w:rsidP="00A95498">
      <w:pPr>
        <w:rPr>
          <w:rFonts w:asciiTheme="minorHAnsi" w:hAnsiTheme="minorHAnsi"/>
          <w:szCs w:val="24"/>
        </w:rPr>
      </w:pPr>
    </w:p>
    <w:p w14:paraId="76E44B03" w14:textId="77777777" w:rsidR="005D54AE" w:rsidRPr="000D3432" w:rsidRDefault="005D54AE" w:rsidP="00A95498">
      <w:pPr>
        <w:rPr>
          <w:rFonts w:asciiTheme="minorHAnsi" w:hAnsiTheme="minorHAnsi"/>
          <w:szCs w:val="24"/>
        </w:rPr>
      </w:pPr>
    </w:p>
    <w:p w14:paraId="2F1EA69B" w14:textId="77777777" w:rsidR="005D54AE" w:rsidRPr="000D3432" w:rsidRDefault="005D54AE" w:rsidP="00A95498">
      <w:pPr>
        <w:rPr>
          <w:rFonts w:asciiTheme="minorHAnsi" w:hAnsiTheme="minorHAnsi"/>
          <w:szCs w:val="24"/>
        </w:rPr>
      </w:pPr>
    </w:p>
    <w:p w14:paraId="45EA4D2B" w14:textId="77777777" w:rsidR="005D54AE" w:rsidRPr="000D3432" w:rsidRDefault="005D54AE" w:rsidP="00A95498">
      <w:pPr>
        <w:rPr>
          <w:rFonts w:asciiTheme="minorHAnsi" w:hAnsiTheme="minorHAnsi"/>
          <w:szCs w:val="24"/>
        </w:rPr>
      </w:pPr>
    </w:p>
    <w:p w14:paraId="489F41B0" w14:textId="77777777" w:rsidR="005D54AE" w:rsidRPr="000D3432" w:rsidRDefault="005D54AE" w:rsidP="00A95498">
      <w:pPr>
        <w:rPr>
          <w:rFonts w:asciiTheme="minorHAnsi" w:hAnsiTheme="minorHAnsi"/>
          <w:szCs w:val="24"/>
        </w:rPr>
      </w:pPr>
    </w:p>
    <w:p w14:paraId="20A7D954" w14:textId="77777777" w:rsidR="005D54AE" w:rsidRPr="000D3432" w:rsidRDefault="005D54AE" w:rsidP="00A95498">
      <w:pPr>
        <w:jc w:val="right"/>
        <w:outlineLvl w:val="1"/>
        <w:rPr>
          <w:rFonts w:asciiTheme="minorHAnsi" w:hAnsiTheme="minorHAnsi" w:cs="Arial"/>
          <w:szCs w:val="24"/>
          <w:lang w:val="es-ES_tradnl"/>
        </w:rPr>
      </w:pPr>
    </w:p>
    <w:p w14:paraId="2BAD5745" w14:textId="77777777" w:rsidR="005D54AE" w:rsidRPr="000D3432" w:rsidRDefault="005D54AE" w:rsidP="00A95498">
      <w:pPr>
        <w:tabs>
          <w:tab w:val="left" w:pos="1130"/>
          <w:tab w:val="right" w:pos="8505"/>
        </w:tabs>
        <w:jc w:val="center"/>
        <w:outlineLvl w:val="1"/>
        <w:rPr>
          <w:rFonts w:asciiTheme="minorHAnsi" w:hAnsiTheme="minorHAnsi" w:cs="Arial"/>
          <w:b/>
          <w:bCs/>
          <w:szCs w:val="24"/>
          <w:lang w:val="es-ES_tradnl"/>
        </w:rPr>
      </w:pPr>
    </w:p>
    <w:p w14:paraId="33F9C1F1" w14:textId="77777777" w:rsidR="005D54AE" w:rsidRPr="000D3432" w:rsidRDefault="005D54AE" w:rsidP="00A95498">
      <w:pPr>
        <w:tabs>
          <w:tab w:val="left" w:pos="1130"/>
          <w:tab w:val="right" w:pos="8505"/>
        </w:tabs>
        <w:jc w:val="center"/>
        <w:outlineLvl w:val="1"/>
        <w:rPr>
          <w:rFonts w:asciiTheme="minorHAnsi" w:hAnsiTheme="minorHAnsi" w:cs="Arial"/>
          <w:b/>
          <w:bCs/>
          <w:color w:val="1F497D" w:themeColor="text2"/>
          <w:szCs w:val="24"/>
          <w:u w:val="single"/>
          <w:lang w:val="es-ES_tradnl"/>
        </w:rPr>
      </w:pPr>
      <w:r w:rsidRPr="000D3432">
        <w:rPr>
          <w:rFonts w:asciiTheme="minorHAnsi" w:hAnsiTheme="minorHAnsi" w:cs="Arial"/>
          <w:b/>
          <w:bCs/>
          <w:color w:val="1F497D" w:themeColor="text2"/>
          <w:szCs w:val="24"/>
          <w:u w:val="single"/>
          <w:lang w:val="es-ES_tradnl"/>
        </w:rPr>
        <w:t xml:space="preserve">EN BOCA CERRADA </w:t>
      </w:r>
    </w:p>
    <w:p w14:paraId="0F920628" w14:textId="77777777" w:rsidR="005D54AE" w:rsidRPr="000D3432" w:rsidRDefault="005D54AE" w:rsidP="00A95498">
      <w:pPr>
        <w:tabs>
          <w:tab w:val="left" w:pos="1130"/>
          <w:tab w:val="right" w:pos="8505"/>
        </w:tabs>
        <w:jc w:val="center"/>
        <w:outlineLvl w:val="1"/>
        <w:rPr>
          <w:rFonts w:asciiTheme="minorHAnsi" w:hAnsiTheme="minorHAnsi" w:cs="Arial"/>
          <w:b/>
          <w:bCs/>
          <w:color w:val="1F497D" w:themeColor="text2"/>
          <w:szCs w:val="24"/>
          <w:lang w:val="es-ES_tradnl"/>
        </w:rPr>
      </w:pPr>
      <w:r w:rsidRPr="000D3432">
        <w:rPr>
          <w:rFonts w:asciiTheme="minorHAnsi" w:hAnsiTheme="minorHAnsi" w:cs="Arial"/>
          <w:b/>
          <w:bCs/>
          <w:color w:val="1F497D" w:themeColor="text2"/>
          <w:szCs w:val="24"/>
          <w:lang w:val="es-ES_tradnl"/>
        </w:rPr>
        <w:t>NO ENTRAN MOSCAS</w:t>
      </w:r>
    </w:p>
    <w:p w14:paraId="7002EA92" w14:textId="77777777" w:rsidR="005D54AE" w:rsidRPr="000D3432" w:rsidRDefault="005D54AE" w:rsidP="00A95498">
      <w:pPr>
        <w:tabs>
          <w:tab w:val="left" w:pos="1130"/>
          <w:tab w:val="right" w:pos="8505"/>
        </w:tabs>
        <w:jc w:val="center"/>
        <w:outlineLvl w:val="1"/>
        <w:rPr>
          <w:rFonts w:asciiTheme="minorHAnsi" w:hAnsiTheme="minorHAnsi" w:cs="Arial"/>
          <w:b/>
          <w:bCs/>
          <w:szCs w:val="24"/>
          <w:lang w:val="es-ES_tradnl"/>
        </w:rPr>
      </w:pPr>
      <w:r w:rsidRPr="000D3432">
        <w:rPr>
          <w:rFonts w:asciiTheme="minorHAnsi" w:hAnsiTheme="minorHAnsi" w:cs="Arial"/>
          <w:b/>
          <w:bCs/>
          <w:szCs w:val="24"/>
          <w:lang w:val="es-ES_tradnl"/>
        </w:rPr>
        <w:t xml:space="preserve">Derecho a la Privacidad vs. </w:t>
      </w:r>
    </w:p>
    <w:p w14:paraId="3AEDCC2A" w14:textId="77777777" w:rsidR="005D54AE" w:rsidRPr="000D3432" w:rsidRDefault="005D54AE" w:rsidP="00A95498">
      <w:pPr>
        <w:tabs>
          <w:tab w:val="left" w:pos="1130"/>
          <w:tab w:val="right" w:pos="8505"/>
        </w:tabs>
        <w:jc w:val="center"/>
        <w:outlineLvl w:val="1"/>
        <w:rPr>
          <w:rFonts w:asciiTheme="minorHAnsi" w:hAnsiTheme="minorHAnsi" w:cs="Arial"/>
          <w:b/>
          <w:bCs/>
          <w:szCs w:val="24"/>
          <w:lang w:val="es-ES_tradnl"/>
        </w:rPr>
      </w:pPr>
      <w:r w:rsidRPr="000D3432">
        <w:rPr>
          <w:rFonts w:asciiTheme="minorHAnsi" w:hAnsiTheme="minorHAnsi" w:cs="Arial"/>
          <w:b/>
          <w:bCs/>
          <w:szCs w:val="24"/>
          <w:lang w:val="es-ES_tradnl"/>
        </w:rPr>
        <w:t>Derecho a la Libertad de Expresión</w:t>
      </w:r>
    </w:p>
    <w:p w14:paraId="4FBE3B1A" w14:textId="77777777" w:rsidR="005D54AE" w:rsidRPr="000D3432" w:rsidRDefault="005D54AE" w:rsidP="00A95498">
      <w:pPr>
        <w:rPr>
          <w:rFonts w:asciiTheme="minorHAnsi" w:hAnsiTheme="minorHAnsi" w:cs="Arial"/>
          <w:szCs w:val="24"/>
          <w:lang w:val="es-ES_tradnl" w:eastAsia="es-PE"/>
        </w:rPr>
      </w:pPr>
    </w:p>
    <w:p w14:paraId="30512BE3" w14:textId="77777777" w:rsidR="005D54AE" w:rsidRPr="000D3432" w:rsidRDefault="005D54AE" w:rsidP="00A95498">
      <w:pPr>
        <w:rPr>
          <w:rFonts w:asciiTheme="minorHAnsi" w:hAnsiTheme="minorHAnsi" w:cs="Arial"/>
          <w:b/>
          <w:bCs/>
          <w:color w:val="1F497D"/>
          <w:szCs w:val="24"/>
          <w:u w:val="single"/>
          <w:lang w:val="es-ES_tradnl"/>
        </w:rPr>
      </w:pPr>
    </w:p>
    <w:p w14:paraId="350D707E" w14:textId="77777777" w:rsidR="005D54AE" w:rsidRPr="000D3432" w:rsidRDefault="005D54AE" w:rsidP="00A95498">
      <w:pPr>
        <w:ind w:left="708"/>
        <w:rPr>
          <w:rFonts w:asciiTheme="minorHAnsi" w:hAnsiTheme="minorHAnsi"/>
          <w:szCs w:val="24"/>
          <w:lang w:val="es-ES_tradnl"/>
        </w:rPr>
      </w:pPr>
    </w:p>
    <w:p w14:paraId="5FA1611F" w14:textId="77777777" w:rsidR="005D54AE" w:rsidRPr="000D3432" w:rsidRDefault="005D54AE" w:rsidP="00A95498">
      <w:pPr>
        <w:ind w:left="708"/>
        <w:rPr>
          <w:rFonts w:asciiTheme="minorHAnsi" w:hAnsiTheme="minorHAnsi"/>
          <w:szCs w:val="24"/>
          <w:lang w:val="es-ES_tradnl"/>
        </w:rPr>
      </w:pPr>
    </w:p>
    <w:p w14:paraId="4D17C9D0" w14:textId="2B91E634" w:rsidR="00C1101F" w:rsidRPr="000D3432" w:rsidRDefault="00C1101F">
      <w:pPr>
        <w:widowControl/>
        <w:overflowPunct/>
        <w:autoSpaceDE/>
        <w:autoSpaceDN/>
        <w:adjustRightInd/>
        <w:textAlignment w:val="auto"/>
        <w:rPr>
          <w:rFonts w:asciiTheme="minorHAnsi" w:hAnsiTheme="minorHAnsi"/>
          <w:szCs w:val="24"/>
          <w:lang w:val="es-ES_tradnl"/>
        </w:rPr>
      </w:pPr>
      <w:r w:rsidRPr="000D3432">
        <w:rPr>
          <w:rFonts w:asciiTheme="minorHAnsi" w:hAnsiTheme="minorHAnsi"/>
          <w:szCs w:val="24"/>
          <w:lang w:val="es-ES_tradnl"/>
        </w:rPr>
        <w:br w:type="page"/>
      </w:r>
    </w:p>
    <w:p w14:paraId="173926AB" w14:textId="77777777" w:rsidR="005D54AE" w:rsidRPr="000D3432" w:rsidRDefault="005D54AE" w:rsidP="00A95498">
      <w:pPr>
        <w:ind w:left="708"/>
        <w:rPr>
          <w:rFonts w:asciiTheme="minorHAnsi" w:hAnsiTheme="minorHAnsi"/>
          <w:szCs w:val="24"/>
          <w:lang w:val="es-ES_tradnl"/>
        </w:rPr>
      </w:pPr>
    </w:p>
    <w:p w14:paraId="24A60B74" w14:textId="77777777" w:rsidR="005D54AE" w:rsidRPr="000D3432" w:rsidRDefault="005D54AE" w:rsidP="00A95498">
      <w:pPr>
        <w:ind w:left="708"/>
        <w:rPr>
          <w:rFonts w:asciiTheme="minorHAnsi" w:hAnsiTheme="minorHAnsi"/>
          <w:szCs w:val="24"/>
          <w:lang w:val="es-ES_tradnl"/>
        </w:rPr>
      </w:pPr>
    </w:p>
    <w:p w14:paraId="11122148" w14:textId="77777777" w:rsidR="005D54AE" w:rsidRPr="000D3432" w:rsidRDefault="005D54AE" w:rsidP="00A95498">
      <w:pPr>
        <w:ind w:left="708"/>
        <w:rPr>
          <w:rFonts w:asciiTheme="minorHAnsi" w:hAnsiTheme="minorHAnsi"/>
          <w:szCs w:val="24"/>
          <w:lang w:val="es-ES_tradnl"/>
        </w:rPr>
      </w:pPr>
    </w:p>
    <w:p w14:paraId="7F938D36" w14:textId="77777777" w:rsidR="005D54AE" w:rsidRPr="000D3432" w:rsidRDefault="005D54AE" w:rsidP="00A95498">
      <w:pPr>
        <w:ind w:left="708"/>
        <w:rPr>
          <w:rFonts w:asciiTheme="minorHAnsi" w:hAnsiTheme="minorHAnsi"/>
          <w:szCs w:val="24"/>
          <w:lang w:val="es-ES_tradnl"/>
        </w:rPr>
      </w:pPr>
    </w:p>
    <w:p w14:paraId="5A9D4A73" w14:textId="77777777" w:rsidR="005D54AE" w:rsidRPr="000D3432" w:rsidRDefault="005D54AE" w:rsidP="00A95498">
      <w:pPr>
        <w:ind w:left="708"/>
        <w:rPr>
          <w:rFonts w:asciiTheme="minorHAnsi" w:hAnsiTheme="minorHAnsi"/>
          <w:szCs w:val="24"/>
          <w:lang w:val="es-ES_tradnl"/>
        </w:rPr>
      </w:pPr>
    </w:p>
    <w:p w14:paraId="5F3E051A" w14:textId="77777777" w:rsidR="005D54AE" w:rsidRPr="000D3432" w:rsidRDefault="005D54AE" w:rsidP="00A95498">
      <w:pPr>
        <w:ind w:left="708"/>
        <w:rPr>
          <w:rFonts w:asciiTheme="minorHAnsi" w:hAnsiTheme="minorHAnsi"/>
          <w:szCs w:val="24"/>
          <w:lang w:val="es-ES_tradnl"/>
        </w:rPr>
      </w:pPr>
    </w:p>
    <w:p w14:paraId="6956A2CA" w14:textId="77777777" w:rsidR="005D54AE" w:rsidRPr="000D3432" w:rsidRDefault="005D54AE" w:rsidP="00A95498">
      <w:pPr>
        <w:jc w:val="both"/>
        <w:rPr>
          <w:rFonts w:asciiTheme="minorHAnsi" w:hAnsiTheme="minorHAnsi" w:cs="Arial"/>
          <w:color w:val="000000"/>
          <w:szCs w:val="24"/>
          <w:lang w:val="es-ES_tradnl"/>
        </w:rPr>
      </w:pPr>
    </w:p>
    <w:p w14:paraId="3BB01240" w14:textId="77777777" w:rsidR="005D54AE" w:rsidRPr="000D3432" w:rsidRDefault="005D54AE" w:rsidP="00A95498">
      <w:pPr>
        <w:jc w:val="center"/>
        <w:rPr>
          <w:rFonts w:asciiTheme="minorHAnsi" w:eastAsia="Batang" w:hAnsiTheme="minorHAnsi" w:cs="Arial"/>
          <w:b/>
          <w:smallCaps/>
          <w:szCs w:val="24"/>
          <w:lang w:val="es-ES_tradnl"/>
        </w:rPr>
      </w:pPr>
      <w:r w:rsidRPr="000D3432">
        <w:rPr>
          <w:rFonts w:asciiTheme="minorHAnsi" w:hAnsiTheme="minorHAnsi" w:cs="Arial"/>
          <w:b/>
          <w:smallCaps/>
          <w:color w:val="365F91" w:themeColor="accent1" w:themeShade="BF"/>
          <w:szCs w:val="24"/>
          <w:u w:val="single"/>
          <w:lang w:val="es-ES_tradnl"/>
        </w:rPr>
        <w:t>En boca cerrada no entran moscas</w:t>
      </w:r>
    </w:p>
    <w:p w14:paraId="6CB8E62E" w14:textId="77777777" w:rsidR="005D54AE" w:rsidRPr="000D3432" w:rsidRDefault="005D54AE" w:rsidP="00A95498">
      <w:pPr>
        <w:jc w:val="center"/>
        <w:rPr>
          <w:rFonts w:asciiTheme="minorHAnsi" w:eastAsia="Batang" w:hAnsiTheme="minorHAnsi" w:cs="Arial"/>
          <w:szCs w:val="24"/>
          <w:lang w:val="es-ES_tradnl"/>
        </w:rPr>
      </w:pPr>
      <w:r w:rsidRPr="000D3432">
        <w:rPr>
          <w:rFonts w:asciiTheme="minorHAnsi" w:eastAsia="Batang" w:hAnsiTheme="minorHAnsi" w:cs="Arial"/>
          <w:szCs w:val="24"/>
          <w:lang w:val="es-ES_tradnl"/>
        </w:rPr>
        <w:t>(Derecho a la Privacidad vs.</w:t>
      </w:r>
    </w:p>
    <w:p w14:paraId="0C63771D" w14:textId="77777777" w:rsidR="005D54AE" w:rsidRPr="000D3432" w:rsidRDefault="005D54AE" w:rsidP="00A95498">
      <w:pPr>
        <w:jc w:val="center"/>
        <w:rPr>
          <w:rFonts w:asciiTheme="minorHAnsi" w:eastAsia="Batang" w:hAnsiTheme="minorHAnsi" w:cs="Arial"/>
          <w:szCs w:val="24"/>
          <w:lang w:val="es-ES_tradnl"/>
        </w:rPr>
      </w:pPr>
      <w:r w:rsidRPr="000D3432">
        <w:rPr>
          <w:rFonts w:asciiTheme="minorHAnsi" w:eastAsia="Batang" w:hAnsiTheme="minorHAnsi" w:cs="Arial"/>
          <w:szCs w:val="24"/>
          <w:lang w:val="es-ES_tradnl"/>
        </w:rPr>
        <w:t>Derecho a la Libertad de Expresión</w:t>
      </w:r>
    </w:p>
    <w:p w14:paraId="5EDD4583" w14:textId="77777777" w:rsidR="005D54AE" w:rsidRPr="000D3432" w:rsidRDefault="005D54AE" w:rsidP="00A95498">
      <w:pPr>
        <w:ind w:left="360"/>
        <w:jc w:val="both"/>
        <w:rPr>
          <w:rFonts w:asciiTheme="minorHAnsi" w:eastAsia="Batang" w:hAnsiTheme="minorHAnsi" w:cs="Arial"/>
          <w:szCs w:val="24"/>
          <w:lang w:val="es-ES_tradnl"/>
        </w:rPr>
      </w:pPr>
    </w:p>
    <w:p w14:paraId="1BBB3F6B" w14:textId="77777777" w:rsidR="005D54AE" w:rsidRPr="000D3432" w:rsidRDefault="005D54AE" w:rsidP="00A95498">
      <w:pPr>
        <w:ind w:left="696"/>
        <w:jc w:val="both"/>
        <w:rPr>
          <w:rFonts w:asciiTheme="minorHAnsi" w:eastAsia="Batang" w:hAnsiTheme="minorHAnsi" w:cs="Arial"/>
          <w:szCs w:val="24"/>
          <w:lang w:val="es-ES_tradnl"/>
        </w:rPr>
      </w:pPr>
    </w:p>
    <w:p w14:paraId="797CB29A" w14:textId="77777777" w:rsidR="005D54AE" w:rsidRPr="000D3432" w:rsidRDefault="005D54AE" w:rsidP="00A95498">
      <w:pPr>
        <w:ind w:left="696"/>
        <w:jc w:val="both"/>
        <w:rPr>
          <w:rFonts w:asciiTheme="minorHAnsi" w:eastAsia="Batang" w:hAnsiTheme="minorHAnsi" w:cs="Arial"/>
          <w:szCs w:val="24"/>
          <w:lang w:val="es-ES_tradnl"/>
        </w:rPr>
      </w:pPr>
    </w:p>
    <w:p w14:paraId="3FDCA9C4" w14:textId="77777777" w:rsidR="005D54AE" w:rsidRPr="000D3432" w:rsidRDefault="005D54AE" w:rsidP="00A95498">
      <w:pPr>
        <w:ind w:left="696"/>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“La insolencia y la necedad es uno de los males de moda de nuestro tiempo: personas que no entienden ni por las buenas ni por las malas, que se inflan creyendo que ser testarudos es una virtud, que se desubican imponiendo sus malas conductas, sus gestos agresivos, sus actitudes insolentes, ridículas, y hasta huachafas, enmascaradas de virtud pacata y estéril. ¡Quién puede librarnos de ellos! Sólo nos queda comprender que no podemos ser de otra manera porque no nos hemos superado a nosotros mismos, porque no hemos dejado de ser humanos, demasiado humanos. Y así, mientras seguimos creyendo que la majadería, la insolencia y el mobbing, pan de cada día, es normal, insignificante, e inmerecido de contrarrestar, y no nos demos cuenta que somos víctimas y victimarios inconscientes de dichos actos, nos hundiremos cada vez más en la decadencia, y perdemos lo único que nos hace diferentes a los demás seres animados: nuestra capacidad de decidir “ser o no ser derecho”, y olvidamos que, a veces, lo mejor es callar porque en “boca cerrada no entran moscas”. Hanks Bandini.</w:t>
      </w:r>
    </w:p>
    <w:p w14:paraId="0F69ACBB" w14:textId="77777777" w:rsidR="005D54AE" w:rsidRPr="000D3432" w:rsidRDefault="005D54AE" w:rsidP="00A95498">
      <w:pPr>
        <w:jc w:val="both"/>
        <w:rPr>
          <w:rFonts w:asciiTheme="minorHAnsi" w:eastAsia="Batang" w:hAnsiTheme="minorHAnsi" w:cs="Arial"/>
          <w:b/>
          <w:szCs w:val="24"/>
          <w:lang w:val="es-ES_tradnl"/>
        </w:rPr>
      </w:pPr>
    </w:p>
    <w:p w14:paraId="2B296C99" w14:textId="77777777" w:rsidR="005D54AE" w:rsidRPr="000D3432" w:rsidRDefault="005D54AE" w:rsidP="00A95498">
      <w:pPr>
        <w:jc w:val="both"/>
        <w:rPr>
          <w:rFonts w:asciiTheme="minorHAnsi" w:eastAsia="Batang" w:hAnsiTheme="minorHAnsi" w:cs="Arial"/>
          <w:b/>
          <w:szCs w:val="24"/>
          <w:lang w:val="es-ES_tradnl"/>
        </w:rPr>
      </w:pPr>
    </w:p>
    <w:p w14:paraId="6F37F675"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 xml:space="preserve">¿Porqué “lo que diga o piense la gente” nos importa tanto, si son sólo pareceres, palabras? Compleja “constitución” es la del ser humano que puede ser trastocado por los “rumores, chismes, pareceres y opiniones” de los demás. Tal es la trascendencia de este fenómeno que, sobre la base de proteger la dignidad (que no se hable a la ligera y/o ofensivamente de la persona) la Constitución ha incluido al honor y la buena reputación como derechos fundamentales, es decir, como derecho irrefutable, inviolable. Siendo el fenómeno más complejo aún por ser tratado no sólo por el Derecho Constitucional, sino resguardado por el Derecho Penal, con la tipificación del delito de injuria, calumnia y difamación, como consecuencias y responsabilidades de la ligereza o mal intencionalidad de las opiniones, rumores, chismes, opiniones, etc. Darle el tratamiento de un delito a este tipo de actos (“el decir de los demás”) revela la potencia o fuerza de los efectos que pueden causar en nosotros la opinión de los demás. Claro que para que estos “rumores”, “decires”, etc., de la gente se configuren como delitos tienen que cumplirse con ciertos requisitos. En la difamación es necesario el “animus injuriando”, es decir “la voluntad específica de lesionar el honor de una persona”. En la calumnia, la falsa atribución de un delito a un sujeto. En la difamación, perjudicar el honor o reputación. El fenómeno se torna más complejo aún, cuando se anteponen derechos, como el derecho a la libertad de expresión, opinión y prensa frente al derecho a la privacidad. En este fenómeno jurídico “hablar” se convierte en una conducta jurídica que puede ser valorada también jurídicamente. </w:t>
      </w:r>
    </w:p>
    <w:p w14:paraId="50F6CE47" w14:textId="77777777" w:rsidR="005D54AE" w:rsidRPr="000D3432" w:rsidRDefault="005D54AE" w:rsidP="00A95498">
      <w:pPr>
        <w:jc w:val="both"/>
        <w:rPr>
          <w:rFonts w:asciiTheme="minorHAnsi" w:eastAsia="Batang" w:hAnsiTheme="minorHAnsi" w:cs="Arial"/>
          <w:szCs w:val="24"/>
          <w:lang w:val="es-ES_tradnl"/>
        </w:rPr>
      </w:pPr>
    </w:p>
    <w:p w14:paraId="275469AA"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 xml:space="preserve">El presente texto es sólo un breve punto de reflexión constitucional de este problema, pero visto,  antojadizamente, desde la concepción del Derecho empresarial porque como problema social y jurídico afecta la capacidad productiva y desvía el sentido de las relaciones humanas hacia un ángulo estéril e improductivo. En principio el problema de las “opiniones de los demás” está en los efectos que causan estas opiniones (que nos miren con cierto recelo, que nos traten con cierta discriminación, que se predisponga la conducta de los demás frente a nosotros, etc.). En fin, el asunto no está sólo en lo que pueden o no pensar los demás de nosotros, sino en el tipo de relación intersubjetiva que se crea. Por eso este fenómeno y/o problema se tiene que tornar jurídico, porque se requiere de regulación de las relaciones que pueden suceder como consecuencia del parecer de los demás. </w:t>
      </w:r>
    </w:p>
    <w:p w14:paraId="6C665980" w14:textId="77777777" w:rsidR="005D54AE" w:rsidRPr="000D3432" w:rsidRDefault="005D54AE" w:rsidP="00A95498">
      <w:pPr>
        <w:jc w:val="both"/>
        <w:rPr>
          <w:rFonts w:asciiTheme="minorHAnsi" w:eastAsia="Batang" w:hAnsiTheme="minorHAnsi" w:cs="Arial"/>
          <w:szCs w:val="24"/>
          <w:lang w:val="es-ES_tradnl"/>
        </w:rPr>
      </w:pPr>
    </w:p>
    <w:p w14:paraId="2D846CED"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 xml:space="preserve">Por ello, es obvio que se encuentran entrelazados cuatro factores: a) El Derecho a la Privacidad, b) el Derecho a la Información, c) El Derecho al libre acceso a la información pública, y d) El Derecho a la libertad de expresión, opinión y prensa. Considerando que tienen todos que ver unos con otros, puesto que se relacionan necesariamente de alguna forma, y observando en forma analítica la contradicción que existe entre ellos. En primer término desarrollaremos el derecho a la privacidad versus el derecho a la libertad de expresión. En consecuencia debemos limitar nuestra concepción sobre el derecho a la privacidad, que no es más que el derecho a “gozar de la soledad: el derecho que tiene cada persona a no ser objeto de una publicidad ilegal; el derecho de vivir sin interferencias ilegales del público en lo concerniente a asuntos en los cuales </w:t>
      </w:r>
      <w:r w:rsidRPr="000D3432">
        <w:rPr>
          <w:rFonts w:asciiTheme="minorHAnsi" w:eastAsia="Batang" w:hAnsiTheme="minorHAnsi" w:cs="Arial"/>
          <w:szCs w:val="24"/>
          <w:lang w:val="es-ES_tradnl"/>
        </w:rPr>
        <w:lastRenderedPageBreak/>
        <w:t>ese público no tiene un interés legítimo”</w:t>
      </w:r>
      <w:r w:rsidRPr="000D3432">
        <w:rPr>
          <w:rStyle w:val="Refdenotaalpie"/>
          <w:rFonts w:asciiTheme="minorHAnsi" w:eastAsia="Batang" w:hAnsiTheme="minorHAnsi" w:cs="Arial"/>
          <w:sz w:val="24"/>
          <w:szCs w:val="24"/>
          <w:lang w:val="es-ES_tradnl"/>
        </w:rPr>
        <w:footnoteReference w:id="664"/>
      </w:r>
      <w:r w:rsidRPr="000D3432">
        <w:rPr>
          <w:rFonts w:asciiTheme="minorHAnsi" w:eastAsia="Batang" w:hAnsiTheme="minorHAnsi" w:cs="Arial"/>
          <w:szCs w:val="24"/>
          <w:lang w:val="es-ES_tradnl"/>
        </w:rPr>
        <w:t>. O  “En su sentido más general el derecho a la intimidad puede ser definido como aquel derecho humano por virtud del cual la persona -bien individual, bien colectiva-, tiene el poder</w:t>
      </w:r>
      <w:r w:rsidRPr="000D3432">
        <w:rPr>
          <w:rFonts w:asciiTheme="minorHAnsi" w:eastAsia="Batang" w:hAnsiTheme="minorHAnsi" w:cs="Arial"/>
          <w:b/>
          <w:szCs w:val="24"/>
          <w:lang w:val="es-ES_tradnl"/>
        </w:rPr>
        <w:t xml:space="preserve"> </w:t>
      </w:r>
      <w:r w:rsidRPr="000D3432">
        <w:rPr>
          <w:rFonts w:asciiTheme="minorHAnsi" w:eastAsia="Batang" w:hAnsiTheme="minorHAnsi" w:cs="Arial"/>
          <w:szCs w:val="24"/>
          <w:lang w:val="es-ES_tradnl"/>
        </w:rPr>
        <w:t>de excluir a las demás personas del conocimiento de su vida personal -sentimientos, emociones, datos biográficos y personales e imagen-, y tiene, además, la facultad de determinar en qué medida esas dimensiones de la vida personal pueden ser legítimamente comunicados a otros.”</w:t>
      </w:r>
      <w:r w:rsidRPr="000D3432">
        <w:rPr>
          <w:rStyle w:val="Refdenotaalpie"/>
          <w:rFonts w:asciiTheme="minorHAnsi" w:eastAsia="Batang" w:hAnsiTheme="minorHAnsi" w:cs="Arial"/>
          <w:sz w:val="24"/>
          <w:szCs w:val="24"/>
          <w:lang w:val="es-ES_tradnl"/>
        </w:rPr>
        <w:footnoteReference w:id="665"/>
      </w:r>
      <w:r w:rsidRPr="000D3432">
        <w:rPr>
          <w:rFonts w:asciiTheme="minorHAnsi" w:eastAsia="Batang" w:hAnsiTheme="minorHAnsi" w:cs="Arial"/>
          <w:szCs w:val="24"/>
          <w:lang w:val="es-ES_tradnl"/>
        </w:rPr>
        <w:t>. Este derecho, pues, lo tiene la persona, que según Marcial Rubio Correa: “La persona es el ser humano entre su nacimiento y su muerte, con  personalidad jurídica, es decir, con capacidad de tener deberes y derechos”</w:t>
      </w:r>
      <w:r w:rsidRPr="000D3432">
        <w:rPr>
          <w:rStyle w:val="Refdenotaalpie"/>
          <w:rFonts w:asciiTheme="minorHAnsi" w:eastAsia="Batang" w:hAnsiTheme="minorHAnsi" w:cs="Arial"/>
          <w:sz w:val="24"/>
          <w:szCs w:val="24"/>
          <w:lang w:val="es-ES_tradnl"/>
        </w:rPr>
        <w:footnoteReference w:id="666"/>
      </w:r>
      <w:r w:rsidRPr="000D3432">
        <w:rPr>
          <w:rFonts w:asciiTheme="minorHAnsi" w:eastAsia="Batang" w:hAnsiTheme="minorHAnsi" w:cs="Arial"/>
          <w:szCs w:val="24"/>
          <w:lang w:val="es-ES_tradnl"/>
        </w:rPr>
        <w:t xml:space="preserve">. La persona, pues, es una “entidad jurídica capaz de ser sujeto de derechos y deberes”, un “eje de imputación jurídica de deberes y derechos”  Así, se configuran los derechos de la personalidad en dos grupos: 1) Los del sector físico, como el derecho a la vida, a la integridad física, etc.; y 2) Los derechos del sector incorporal de la personalidad, como son: la individualidad, imagen, intimidad, honor, etc.  </w:t>
      </w:r>
    </w:p>
    <w:p w14:paraId="4C538974" w14:textId="77777777" w:rsidR="005D54AE" w:rsidRPr="000D3432" w:rsidRDefault="005D54AE" w:rsidP="00A95498">
      <w:pPr>
        <w:jc w:val="both"/>
        <w:rPr>
          <w:rFonts w:asciiTheme="minorHAnsi" w:eastAsia="Batang" w:hAnsiTheme="minorHAnsi" w:cs="Arial"/>
          <w:szCs w:val="24"/>
          <w:lang w:val="es-ES_tradnl"/>
        </w:rPr>
      </w:pPr>
    </w:p>
    <w:p w14:paraId="3BCCFA50"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b/>
          <w:sz w:val="24"/>
          <w:szCs w:val="24"/>
          <w:lang w:val="es-ES_tradnl"/>
        </w:rPr>
        <w:t xml:space="preserve">Personalidad Jurídica: </w:t>
      </w:r>
      <w:r w:rsidRPr="000D3432">
        <w:rPr>
          <w:rFonts w:asciiTheme="minorHAnsi" w:eastAsia="Batang" w:hAnsiTheme="minorHAnsi" w:cs="Arial"/>
          <w:sz w:val="24"/>
          <w:szCs w:val="24"/>
          <w:lang w:val="es-ES_tradnl"/>
        </w:rPr>
        <w:t>Por ese rumbo llegamos al hecho que la persona es aquella que tiene personalidad jurídica, y esta tiene dentro sus atribuciones o propiedades las del sector incorporal de la persona, como el honor, y para que exista esta última hay necesidad que la persona tenga también “capacidad de ejercicio”. Así, por medio de esta se delimita el área de su privacidad, puesto que “La capacidad de ejercicio tiene que ver con las dimensiones privadas de la persona humana.”. Lo privado prescribe la exclusividad del contorno íntimo de la persona, y su derecho a excluir de esta área a los demás. Puede decirse también que lo privado no tiene que ver con lo público, lo contradice o se muestra como una barrera a esta. Lo privado es algo que pertenece sólo a la persona, a su esfera singular, íntima exclusiva y excluyente de los demás, mediante la cual la persona “se reserva el derecho de ingreso” en su vida privada. La capacidad de ejercicio, sin embargo, requiere de una condición fundamental: el discernimiento, que es aquella facultad selectiva y ecléctica para tener libre arbitrio, “El discernimiento parece ser la capacidad humana de distinguir el bien del mal y, al mismo tiempo, de desarrollar el pensamiento abstracto. Es el momento en el que el ser humano deja su ego y su mundo propio y concreto para proyectarse más allá, a un mundo complejo, de muchas y variadas interrelaciones, que no sólo tiene presente sino también sentido de previsión y de futuro.”</w:t>
      </w:r>
      <w:r w:rsidRPr="000D3432">
        <w:rPr>
          <w:rStyle w:val="Refdenotaalpie"/>
          <w:rFonts w:asciiTheme="minorHAnsi" w:eastAsia="Batang" w:hAnsiTheme="minorHAnsi" w:cs="Arial"/>
          <w:sz w:val="24"/>
          <w:szCs w:val="24"/>
          <w:lang w:val="es-ES_tradnl"/>
        </w:rPr>
        <w:footnoteReference w:id="667"/>
      </w:r>
      <w:r w:rsidRPr="000D3432">
        <w:rPr>
          <w:rFonts w:asciiTheme="minorHAnsi" w:eastAsia="Batang" w:hAnsiTheme="minorHAnsi" w:cs="Arial"/>
          <w:sz w:val="24"/>
          <w:szCs w:val="24"/>
          <w:lang w:val="es-ES_tradnl"/>
        </w:rPr>
        <w:t xml:space="preserve">. Expuesto así, queda el asunto de determinar cómo y en qué momento aparece el Discernimiento. Según criterios biológicos, y temporales, se estima que éste aparece a los diez años de edad, en el que el individuo logra una formación conceptual suficiente y necesaria para poder diferenciar, seleccionar, decidir, prever el futuro, determinar las consecuencias, </w:t>
      </w:r>
      <w:r w:rsidRPr="000D3432">
        <w:rPr>
          <w:rFonts w:asciiTheme="minorHAnsi" w:eastAsia="Batang" w:hAnsiTheme="minorHAnsi" w:cs="Arial"/>
          <w:sz w:val="24"/>
          <w:szCs w:val="24"/>
          <w:lang w:val="es-ES_tradnl"/>
        </w:rPr>
        <w:lastRenderedPageBreak/>
        <w:t xml:space="preserve">etc. </w:t>
      </w:r>
    </w:p>
    <w:p w14:paraId="41AB9A5E"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6F4DD0AD"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En este entendido, Rubio escribe al respecto  “…consideramos que confluyen la psicología moderna y las normas legislativas peruanas en considerar que el discernimiento puede aparecer aproximadamente a los diez años, y que ya estaría en pleno proceso de formación y consolidación hacia los 14 años …” cada ser humano alcanza el discernimiento en distinto momento de su desarrollo…”</w:t>
      </w:r>
      <w:r w:rsidRPr="000D3432">
        <w:rPr>
          <w:rStyle w:val="Refdenotaalpie"/>
          <w:rFonts w:asciiTheme="minorHAnsi" w:eastAsia="Batang" w:hAnsiTheme="minorHAnsi" w:cs="Arial"/>
          <w:sz w:val="24"/>
          <w:szCs w:val="24"/>
          <w:lang w:val="es-ES_tradnl"/>
        </w:rPr>
        <w:footnoteReference w:id="668"/>
      </w:r>
      <w:r w:rsidRPr="000D3432">
        <w:rPr>
          <w:rFonts w:asciiTheme="minorHAnsi" w:eastAsia="Batang" w:hAnsiTheme="minorHAnsi" w:cs="Arial"/>
          <w:sz w:val="24"/>
          <w:szCs w:val="24"/>
          <w:lang w:val="es-ES_tradnl"/>
        </w:rPr>
        <w:t>. Pero esta concepción sólo puede plantearse como hipótesis general y no única, porque el proceso para la formación de un intelecto –conjunto de conocimientos que nos permiten a su vez conocer y reconocer los datos, a través del cual procesamos la información recibida y “valoramos” su uso, disponibilidad o desechamos los mismos. Por eso pueden haber casos en los cuales el discernimiento pueda aparecer o bien después, o antes de la edad reseñada. Mas si el discernimiento es producto de un proceso cultura (de lo que nos enseñan en la sociedad), de comprensión y aprehensión de los saberes dominantes que se nos imponen a través de la familia, la escuela, la religión, etc. Y debemos saber además que incluso “…el cociente intelectual; es no sólo una estipulación biológica, sino una ficción jurídica, científica que determina la autocomposición de  o la correspondencia del hombre con su entorno, medir en que grado el hombre se corresponde con la sociedad que la está evaluando, por eso la “mención del cociente intelectual está condicionada culturalmente”</w:t>
      </w:r>
      <w:r w:rsidRPr="000D3432">
        <w:rPr>
          <w:rStyle w:val="Refdenotaalpie"/>
          <w:rFonts w:asciiTheme="minorHAnsi" w:eastAsia="Batang" w:hAnsiTheme="minorHAnsi" w:cs="Arial"/>
          <w:sz w:val="24"/>
          <w:szCs w:val="24"/>
          <w:lang w:val="es-ES_tradnl"/>
        </w:rPr>
        <w:footnoteReference w:id="669"/>
      </w:r>
      <w:r w:rsidRPr="000D3432">
        <w:rPr>
          <w:rFonts w:asciiTheme="minorHAnsi" w:eastAsia="Batang" w:hAnsiTheme="minorHAnsi" w:cs="Arial"/>
          <w:sz w:val="24"/>
          <w:szCs w:val="24"/>
          <w:lang w:val="es-ES_tradnl"/>
        </w:rPr>
        <w:t>. Son bajo estas perspectivas que el discernimiento se plantea, como un proceso de socialización del ser humano. Dentro de esta área queda insertada la concepción de lo que se entiende luego por privado, por íntimo, excluyente de los ojos de los demás.</w:t>
      </w:r>
    </w:p>
    <w:p w14:paraId="174B7676"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450C38DA"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b/>
          <w:sz w:val="24"/>
          <w:szCs w:val="24"/>
          <w:lang w:val="es-ES_tradnl"/>
        </w:rPr>
        <w:t>Publicidad:</w:t>
      </w:r>
      <w:r w:rsidRPr="000D3432">
        <w:rPr>
          <w:rFonts w:asciiTheme="minorHAnsi" w:eastAsia="Batang" w:hAnsiTheme="minorHAnsi" w:cs="Arial"/>
          <w:sz w:val="24"/>
          <w:szCs w:val="24"/>
          <w:lang w:val="es-ES_tradnl"/>
        </w:rPr>
        <w:t xml:space="preserve"> Desde otro ángulo, hablar del Derecho a la privacidad, implica que no exista “publicidad ilegal”, es decir, que no se diga sobre nadie cosas que puedan constituirse como “publicidad ilegal”, que es “aquella no permitida expresamente por la ley”. Esta última fórmula contiene un contingente grupo de mecanismos de seguridad jurídica, como la capacidad y técnica de asegurar y garantizar el derecho a la privacidad a través de insertarlo como derecho subjetivo, es decir, como “capacidad y poder” que a partir del texto normativo (derecho a la privacidad) se activen los mecanismos de defensa, protección, restauración, penalización, etc., del derecho en referencia, y en determinado hecho o circunstancia que amerite. </w:t>
      </w:r>
    </w:p>
    <w:p w14:paraId="00EDCE94"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3E1AACE7"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 xml:space="preserve">Si bien cuando hablamos de publicidad de los hechos, o de actos públicos, o de saberes públicos, tenemos que delimitar a qué nos estamos refiriendo. En efecto, la publicidad consiste en hacer de público conocimiento un dato, hecho, noticia, información, etc. Puesto que lo público significa “lo que es sabido por todos”, o al menos se presume que todos pueden y tienen derecho a saber. El </w:t>
      </w:r>
      <w:r w:rsidRPr="000D3432">
        <w:rPr>
          <w:rFonts w:asciiTheme="minorHAnsi" w:eastAsia="Batang" w:hAnsiTheme="minorHAnsi" w:cs="Arial"/>
          <w:sz w:val="24"/>
          <w:szCs w:val="24"/>
          <w:lang w:val="es-ES_tradnl"/>
        </w:rPr>
        <w:lastRenderedPageBreak/>
        <w:t xml:space="preserve">punto está en este “saber”. El saber ¿es necesario, posible y legítimo que todos o muchos sepan? Proceso cognoscitivo. Este saber público puede ser “de general uso o aprovechamiento” (Cabanellas) Este saber, que ha caído en la esfera de todos o de muchos, puede por tal razón ser usado o aprovechado libremente. Son los efectos de este saber lo que importa (la libertad del uso y disfrute del saber público). No el saber por sí mismo. El saber usado y aprovechado, el saber que constituye una imagen o figura del individuo. No es el saber por si mismo, sino  lo que determina este saber en el hombre, o colectividad, lo que afecta su relación “normal”, con los demás. Allí está el punto clave, otra vez: los efectos de la relación con los demás, y la disposición del sujeto para consigo mismo y para con los demás; pero ¿cómo afecta este saber en el ser humano, en su conducta individual y social?, puede suceder que se utilice este saber con fines ilícitos, ilegales, por eso, para que ello no suceda debe ser regulado o normado jurídicamente, construyendo el concepto y o principio de publicidad.  </w:t>
      </w:r>
    </w:p>
    <w:p w14:paraId="2067E90C"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4D64291B"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Así normado el fenómeno o hecho, el sentido que le da Luis Diez Picazo a la norma “como un mandato con eficacia social de organización. Se trata, pues, de normar las conductas humanas que puedan atentar contra la paz social, contra la propia organización social, o las reglas de convivencia. Por eso que se traspase los límites del saber público se ha configurado como “publicidad ilegal”, que en esencia significa darle a la sociedad la posibilidad d convivencia, coexistencia, de paz, o límite al poder de intromisión del público en la esfera privada del ser humano. La publicidad ilegal es, entonces, aquella información perturbadora del equilibrio de la vida en sociedad, afectando el libre desenvolvimiento y relación de los seres humanos.</w:t>
      </w:r>
    </w:p>
    <w:p w14:paraId="1689D00C"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3FFF0AAA"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b/>
          <w:sz w:val="24"/>
          <w:szCs w:val="24"/>
          <w:lang w:val="es-ES_tradnl"/>
        </w:rPr>
        <w:t xml:space="preserve">Interés Legítimo: </w:t>
      </w:r>
      <w:r w:rsidRPr="000D3432">
        <w:rPr>
          <w:rFonts w:asciiTheme="minorHAnsi" w:eastAsia="Batang" w:hAnsiTheme="minorHAnsi" w:cs="Arial"/>
          <w:sz w:val="24"/>
          <w:szCs w:val="24"/>
          <w:lang w:val="es-ES_tradnl"/>
        </w:rPr>
        <w:t xml:space="preserve">Por otro lado, analizando el concepto del derecho a la privacidad, encontramos también otra institución o elemento, la del “interés legítimo” para introducirse en la vida de los demás. Usando a Francesco Carnelutti, sabemos que interés es una posición estratégica, un “la posición favorable para la satisfacción de una necesidad”. Con ello Carnelutti explica que el interés no es más que una postura estratégica, que tiene relación directa con nuestras necesidades; por lo tanto, el interés es un centro al cual nos dirigimos, una fuerza que motiva nuestra conducta, hacia un bien. Este bien, esta posición favorable para obtener este bien tiene que ser legítimo, es decir reconocido y aceptado socialmente. Un interés legítimo tiene pues coincidencia en una postura o posición favorable a la satisfacción de una necesidad, pero esta posición estratégica tiene que ser legítima es decir efectiva, necesaria, aceptada y reconocida. Entonces, podemos preguntarnos si ¿el Derecho a la intimidad tiene carácter excluyente?, ¿el público no tiene interés legítimo en la vida privada de la persona, en informarse de la vida privada e íntima de los individuos?  Esta vida íntima sólo puede ser conocida y divulgada en caso involucre un interés social, afecte a la colectividad, o a otro individuo. Es decir cuando entra en relación directa con el conjunto social. Cuando está dentro de esta esfera de acción recién se constituye como derecho, y éste último es una fuerza que se impone, pero para imponerse, necesita de la aceptación, lo que le da legitimidad; sin esta aceptación y reconocimiento el derecho no es tal, sino simple fuerza bruta, y no fuerza legítima y componedora de problemas </w:t>
      </w:r>
      <w:r w:rsidRPr="000D3432">
        <w:rPr>
          <w:rFonts w:asciiTheme="minorHAnsi" w:eastAsia="Batang" w:hAnsiTheme="minorHAnsi" w:cs="Arial"/>
          <w:sz w:val="24"/>
          <w:szCs w:val="24"/>
          <w:lang w:val="es-ES_tradnl"/>
        </w:rPr>
        <w:lastRenderedPageBreak/>
        <w:t>socialmente aceptada y autorizada (derecho).</w:t>
      </w:r>
    </w:p>
    <w:p w14:paraId="3648FF57"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29786F71"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Y frente al cualquier intromisión a la vida privada existe lo que se denomina “el Poder de exclusión”, que no es más que la capacidad y poder de la persona para repudiar, o refutar cualquier intromisión en su vida privada. El derecho a la privacidad tiene como elemento fundamental la “facultad y el poder de excluir” al resto de conocer y actuar en nuestro radio de acción privado. Se trata luego de “hacer algo prohibido a los demás”, y este algo prohibido es nuestra vida privada; aquella que no tiene nada que ver con la vida en sociedad, o al menos que de su desenvolvimiento no resulte ningún efecto social directo o distorsionador del colectivo. Este derecho de exclusión no ha nacido de la nada, es más bien producto de ciertos fenómenos sociales de colisión  y confrontación. No olvidemos que en la antigüedad este derecho no era general sino exclusivo de unos cuantos. La existencia de la esclavitud prueba nuestra afirmación. Los esclavos, como objetos de producción y servicio no tenían derechos, y menos derecho de exclusión del resto. No tenían vida privada jurídicamente protegida. La privacidad, y su protección o tutela jurídica aparecen luego, con el confluir de varios derechos más, como el derecho a la libertad, a la igualdad, a la no discriminación, etc. Por ello el derecho a la exclusión, constituido ya históricamente es un fenómeno tan trascendental, que se muestra como eje del derecho a la intimidad. Y se van construyendo, a la vez, dimensiones de la vida privada. Así las dimensiones a las que nos referimos son sólo los niveles, esferas, categorías, que agrupan, clasifican un determinado fenómeno, dato, conocimiento, etc.., por ello cuando se habla de las dimensiones de la vida privada en el derecho a la intimidad, se está hablando de los marcos y perímetros de acción y operación de los derechos de la persona, de autonomía de esta, es decir, de conductas y acciones permitidas por el ordenamiento jurídico y por el Derecho en su conjunto. Las dimensiones no son más que el radio de acción y las posibilidades de acción y ejecución del ser humano.</w:t>
      </w:r>
    </w:p>
    <w:p w14:paraId="0C581CCB" w14:textId="77777777" w:rsidR="005D54AE" w:rsidRPr="000D3432" w:rsidRDefault="005D54AE" w:rsidP="00A95498">
      <w:pPr>
        <w:jc w:val="both"/>
        <w:rPr>
          <w:rFonts w:asciiTheme="minorHAnsi" w:eastAsia="Batang" w:hAnsiTheme="minorHAnsi" w:cs="Arial"/>
          <w:b/>
          <w:szCs w:val="24"/>
          <w:lang w:val="es-ES_tradnl"/>
        </w:rPr>
      </w:pPr>
    </w:p>
    <w:p w14:paraId="2B5549F3"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 xml:space="preserve">Todo el antecedente discurso ha sido tratado ya desde una esfera internacional, garantizado por la normatividad mundial. Por lo que el derecho muestra, como en el presente caso, su universalización; es decir el derecho y sus efectos se desenvuelven conteniendo ya mecanismos internacionales de garantía, resolución y ejecución de instituciones jurídicas (derecho a privacidad, al honor, etc.). Estar a un nivel internacional no es simple coincidencia, sino es traspasar las esferas del derecho local y nacional; no se inquiere a nivel microscópico, sino a nivel macroscópico; por lo mismo supera y se confunde con la visión jurídicamente pluricultural. Es más, que los Estados internacionales haya coincidido en la protección de este derecho, significa una garantía valiosísima y grandiosa para la individualidad y su respeto. Teniendo en cuenta, también, que los rasgos primarios, o antecedentes del derecho a la intimidad se presume aparecen ya en la Edad Media, como manifestaciones primarias, insipientes aún, pero suficientemente solventes para constituirse luego como un derecho internacional en la actualidad. Estableciéndose en esta normatividad internacional ideas fundamentales como la no injerencia arbitraria en la esfera individual, la capacidad de exclusión de la totalidad o parcialidad de la sociedad de la esfera personal e individual, la capacidad o facultad tomada como derecho </w:t>
      </w:r>
      <w:r w:rsidRPr="000D3432">
        <w:rPr>
          <w:rFonts w:asciiTheme="minorHAnsi" w:eastAsia="Batang" w:hAnsiTheme="minorHAnsi" w:cs="Arial"/>
          <w:sz w:val="24"/>
          <w:szCs w:val="24"/>
          <w:lang w:val="es-ES_tradnl"/>
        </w:rPr>
        <w:lastRenderedPageBreak/>
        <w:t>“cuando lo exija el interés de la vida privada”, el respeto a la vida privada, la inviolabilidad de este derecho, la posibilidad de rechazar las injerencias arbitrarias o abusivas en la vida privada, la protección de la ley contra las injerencias o ataques a la vida íntima, la conciencia de la dimensión moral y física protegida.</w:t>
      </w:r>
    </w:p>
    <w:p w14:paraId="0202BD95"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3E2FA97D"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 xml:space="preserve">La norma pretende ser aquel marco por donde deben circular las conductas humanas (incluido el derecho a la privacidad, a la intimidad, y el derecho a la información); pretende establecer el orden, contraponiéndose al caos, pretende decirnos lo que podemos hacer o no, pretende dar líneas de tránsito en donde todo funcione según un orden, regulado, controlado, y adecuado para el mejor vivir de los ciudadanos que forman parte de esa sociedad. La norma (derecho a la privacidad) es, entonces, la contradicción al caos, es una aseveración de que el mundo puede y debe ordenarse; sólo que el control es una ficción social, económica, jurídica, como la ficción puede ser también la historia o la política, pero, “Me parece que existe la posibilidad de hacer funcionar la ficción en la verdad; de inducir efectos de verdad con un discurso de ficción, y hacer de tal suerte que el discurso de verdad suscite, "fabrique" algo que no existe todavía, es decir, "ficcione". Por eso, hay que ficcionar un orden, unos límites al derecho de información frente al derecho a la intimidad. Así, el orden  (derecho a la privacidad) es sólo una estrategia mediante la cual se intenta interconectar a los individuos sin que estos se destruyan y por el contrario puedan convivir. </w:t>
      </w:r>
    </w:p>
    <w:p w14:paraId="4585E845" w14:textId="77777777" w:rsidR="005D54AE" w:rsidRPr="000D3432" w:rsidRDefault="005D54AE" w:rsidP="00A95498">
      <w:pPr>
        <w:jc w:val="both"/>
        <w:rPr>
          <w:rFonts w:asciiTheme="minorHAnsi" w:eastAsia="Batang" w:hAnsiTheme="minorHAnsi" w:cs="Arial"/>
          <w:szCs w:val="24"/>
          <w:lang w:val="es-ES_tradnl"/>
        </w:rPr>
      </w:pPr>
    </w:p>
    <w:p w14:paraId="3D2C70F7"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 xml:space="preserve">El orden es ficcionar el control para preservarnos, garantizarnos un futuro cierto, seguro. Por el contrario el caos producto del azar refuta la teoría matemática del orden. Todo lo ordenado, todo lo planeado puede no funcionar por cuestiones del azar, de lo humano, etc., pero en el asunto planteado -la contradicción entre el derecho a la privacidad y el derecho a la información- los hechos no suceden por azar, sino por interés, legítimo algunas veces, e ilegítimo muchas más. El problema se puede enfocar desde la perspectiva de la condición sociable del hombre, de su condición de ser en relación, así, usando a Juan Morales Godo, quien parafrasea a Carlos Fernández Sessarego, y Sartre, habla de que “el hombre es un ser de relación”. La vida privada sería así “necesaria e indispensable para el equilibrio y desarrollo de su personalidad”. La misma que permitirá “la proyección social del hombre”. Pero ¿tiene naturaleza social el hombre? Podría decirse, en una primera instancia que si alguna naturaleza tiene el hombre es la de su condición social; eso es al menos lo que parece decir Cossio, pero ¿puede esta condición de ser el ser humano (“relación”) imponérsele sobre su existencia? ¿Puede por lo tanto el derecho a la información, como relación intersubjetiva, imponérsele, a costa de la existencia tranquila del individuo relacionado? El derecho a la privacidad es la respuesta: sólo si hay interés legítimo y social; sino no puede haber intromisión en la vida privada. </w:t>
      </w:r>
    </w:p>
    <w:p w14:paraId="6CF67BA9" w14:textId="77777777" w:rsidR="005D54AE" w:rsidRPr="000D3432" w:rsidRDefault="005D54AE" w:rsidP="00A95498">
      <w:pPr>
        <w:jc w:val="both"/>
        <w:rPr>
          <w:rFonts w:asciiTheme="minorHAnsi" w:eastAsia="Batang" w:hAnsiTheme="minorHAnsi" w:cs="Arial"/>
          <w:szCs w:val="24"/>
          <w:lang w:val="es-ES_tradnl"/>
        </w:rPr>
      </w:pPr>
    </w:p>
    <w:p w14:paraId="46F2EA9F"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 xml:space="preserve">Es pertinente, pues, hacerse otras preguntas; como ¿si al derecho sólo le importara el ser humano en relación, dónde quedaría la otra parte del individuo, que precisamente no quiere relacionarse, sino aislarse, privar al resto de su existencia y relación?. Si el hombre es sólo relación, ello implica que cuando el </w:t>
      </w:r>
      <w:r w:rsidRPr="000D3432">
        <w:rPr>
          <w:rFonts w:asciiTheme="minorHAnsi" w:eastAsia="Batang" w:hAnsiTheme="minorHAnsi" w:cs="Arial"/>
          <w:szCs w:val="24"/>
          <w:lang w:val="es-ES_tradnl"/>
        </w:rPr>
        <w:lastRenderedPageBreak/>
        <w:t xml:space="preserve">hombre no se relaciona no hay derecho, ¿puede ser eso así? Recordemos, un ejemplo, expuesto, con la historia de Robinson Crusoe. Antes de que Viernes apareciera, no había derecho, porque no había relación, no había regulación de la conducta en referencia a otras conductas (levantarse a tal hora, comer a tal hora, etc.), pero estas conductas adoptadas (aún si fueran sistemáticas, ordenadas) no tienen que ver con los demás y si con uno mismo. </w:t>
      </w:r>
    </w:p>
    <w:p w14:paraId="701FA2B6" w14:textId="77777777" w:rsidR="005D54AE" w:rsidRPr="000D3432" w:rsidRDefault="005D54AE" w:rsidP="00A95498">
      <w:pPr>
        <w:jc w:val="both"/>
        <w:rPr>
          <w:rFonts w:asciiTheme="minorHAnsi" w:eastAsia="Batang" w:hAnsiTheme="minorHAnsi" w:cs="Arial"/>
          <w:szCs w:val="24"/>
          <w:lang w:val="es-ES_tradnl"/>
        </w:rPr>
      </w:pPr>
    </w:p>
    <w:p w14:paraId="08B20EDD" w14:textId="77777777" w:rsidR="005D54AE" w:rsidRPr="000D3432" w:rsidRDefault="005D54AE" w:rsidP="00A95498">
      <w:pPr>
        <w:jc w:val="both"/>
        <w:rPr>
          <w:rFonts w:asciiTheme="minorHAnsi" w:eastAsia="Batang" w:hAnsiTheme="minorHAnsi" w:cs="Arial"/>
          <w:szCs w:val="24"/>
          <w:lang w:val="es-ES_tradnl"/>
        </w:rPr>
      </w:pPr>
      <w:r w:rsidRPr="000D3432">
        <w:rPr>
          <w:rFonts w:asciiTheme="minorHAnsi" w:eastAsia="Batang" w:hAnsiTheme="minorHAnsi" w:cs="Arial"/>
          <w:szCs w:val="24"/>
          <w:lang w:val="es-ES_tradnl"/>
        </w:rPr>
        <w:t>El eje principal es el propio individuo y no el resto, la sociedad. Sin embargo el derecho sólo aparece cuando hay más de una persona. ¿porqué? Porque es “regulación de la conducta intersubjetiva” diría Cossio, parafraseado por Morales Godo</w:t>
      </w:r>
      <w:r w:rsidRPr="000D3432">
        <w:rPr>
          <w:rStyle w:val="Refdenotaalpie"/>
          <w:rFonts w:asciiTheme="minorHAnsi" w:eastAsia="Batang" w:hAnsiTheme="minorHAnsi" w:cs="Arial"/>
          <w:sz w:val="24"/>
          <w:szCs w:val="24"/>
          <w:lang w:val="es-ES_tradnl"/>
        </w:rPr>
        <w:footnoteReference w:id="670"/>
      </w:r>
      <w:r w:rsidRPr="000D3432">
        <w:rPr>
          <w:rFonts w:asciiTheme="minorHAnsi" w:eastAsia="Batang" w:hAnsiTheme="minorHAnsi" w:cs="Arial"/>
          <w:szCs w:val="24"/>
          <w:lang w:val="es-ES_tradnl"/>
        </w:rPr>
        <w:t>. Pero el derecho a la intimidad, a la vida privada es un derecho porque precisamente se halla en sociedad, no habría necesidad de derecho privado si no existiera sociedad. El fenómeno es, entonces, causal. Son los efectos lo que le preocupa al derecho. Los efectos, o conductas de los hombres, provistos de libertad que quieren privacidad.</w:t>
      </w:r>
    </w:p>
    <w:p w14:paraId="31F0F9BF"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04A9D67A"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Consta que la condición social del hombre, que el derecho sea la “regulación de las relaciones intersubjetivas, no niega para nada el derecho a la privacidad, esto último tiene que ver con el derecho, porque de sus efectos se desprende el desarrollo de la sociedad. Aquí sí existe la lógica de Adam Smith y los individualistas. El individuo es el centro, y la sociedad lo complementario. Por una simple razón: todos somos personas, “entes ideales de naturaleza racional”, “ejes o centros de imputaciones de derechos y deberes”, seres irrepetibles, únicos y distintos, y por lo tanto con derecho a esa singularidad que se manifiesta o desarrolla dentro del derecho a la privacidad. Y aunque el ser humano tiene naturaleza social, como explica Aristóteles con su “zoom politicon”, ello no significa que el hombre es un político, sino que es social, que su ser es la sociedad, y el movimiento dentro de esta sociedad; y por lo tanto debe medirse dentro de los marcos de lo social, por lo cual su derecho a la privacidad está también dentro de lo social, pero con ciertas características, como la de exclusión de su esfera individual, íntima. Sin embargo ser social significa que ¿todo es de todos?, Juan Morales Godo</w:t>
      </w:r>
      <w:r w:rsidRPr="000D3432">
        <w:rPr>
          <w:rStyle w:val="Refdenotaalpie"/>
          <w:rFonts w:asciiTheme="minorHAnsi" w:eastAsia="Batang" w:hAnsiTheme="minorHAnsi" w:cs="Arial"/>
          <w:sz w:val="24"/>
          <w:szCs w:val="24"/>
          <w:lang w:val="es-ES_tradnl"/>
        </w:rPr>
        <w:footnoteReference w:id="671"/>
      </w:r>
      <w:r w:rsidRPr="000D3432">
        <w:rPr>
          <w:rFonts w:asciiTheme="minorHAnsi" w:eastAsia="Batang" w:hAnsiTheme="minorHAnsi" w:cs="Arial"/>
          <w:sz w:val="24"/>
          <w:szCs w:val="24"/>
          <w:lang w:val="es-ES_tradnl"/>
        </w:rPr>
        <w:t xml:space="preserve"> escribe, hablando de Hobbes, que “la naturaleza concedió a todos los hombres derecho a todo”, “la naturaleza lo ha dado todo a todos”, pero al ser el hombre social, es decir creativo, no natural sino inventivo, ha creado su mundo privado dentro del mundo social. </w:t>
      </w:r>
    </w:p>
    <w:p w14:paraId="0295C1BE"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46364B13"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 xml:space="preserve">Por lo tanto, para que el resto pueda intervenir en la esfera individual debe haber aceptación, voluntad. Así la voluntad es un elemento importante que choca con el derecho a la información, al menos a informarse y divulgar la vida del otro. El derecho a la vida privada implica, sin embargo, voluntad consensuada. Si quieres vivir en paz deja a los demás en paz. Hay sin embargo un fenómeno curioso, que contradice, o confunde este fenómeno. La libertad, la libertad es el fundamento que se utiliza para inmiscuirse en el fenómeno </w:t>
      </w:r>
      <w:r w:rsidRPr="000D3432">
        <w:rPr>
          <w:rFonts w:asciiTheme="minorHAnsi" w:eastAsia="Batang" w:hAnsiTheme="minorHAnsi" w:cs="Arial"/>
          <w:sz w:val="24"/>
          <w:szCs w:val="24"/>
          <w:lang w:val="es-ES_tradnl"/>
        </w:rPr>
        <w:lastRenderedPageBreak/>
        <w:t xml:space="preserve">tratado. La pregunta sería: qué es la libertad. “conciencia de nuestra necesidad”, “conciencia o saber lo que necesitamos”. Esta parece ser una concepción recogida de los estoicos, pero no aclara mucho el asunto. El problema del derecho a la privacidad suele contrarrestarse con el derecho a la libertad de información. Así, si la libertad es “saber lo que necesitamos” y dirigirnos hacia esa necesidad, puede ser que necesitemos saber la vida del otro, su vida privada, porque esto nos da, por ejemplo, la posibilidad de -al difundir la vida privada del otro- darnos mercado,  raiting -en el caso de los periodistas; nos inmiscuimos en la vida privada, entonces, para lograr mercado, audiencia, y funcionamos ya no con metas teleológicas sino como funciona el mercado, es decir como simples transacciones comerciales de información y difusión de esta información. </w:t>
      </w:r>
    </w:p>
    <w:p w14:paraId="2BEAE276"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6CFE8914"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No obstante, para que haya legitimidad en el acceso de la vida privada de los demás es necesario que haya voluntad, sin embargo, no siempre la voluntad es plena, sino que se puede distorsionar, así “No hay voluntad cuando hay afectación de la conciencia, y esta es la relación entre el yo y los demás, o en el yo y el yo de los demás”. Es más, no hay voluntad cuando el hombre no decide, sino son sus circunstancias quienes deciden, aunque Ortega dijera que el hombre es él y sus circunstancias. Por ejemplo, el derecho penal, restringe la voluntad, la voluntad ya no es suya sino de los demás, de “todos”, en su conjunto.</w:t>
      </w:r>
    </w:p>
    <w:p w14:paraId="7BDDB7A7"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03DB7762"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Por último, debemos determinar muchos criterios, como por ejemplo, ¿qué valor le damos al derecho a la intimidad y qué valor al derecho a la información? Para aclararlo debemos entrar en el sistema político en el cual estamos históricamente ubicados, determinación temporal y espacial. Así podemos ubicarnos dentro de un sistema político democrático -aparentemente-, y por lo tanto la libertad de estos derechos en contradicción puede darse a través de la democracia, y ésta es sintéticamente expuesto como la “organización política de la libertad”</w:t>
      </w:r>
      <w:r w:rsidRPr="000D3432">
        <w:rPr>
          <w:rStyle w:val="Refdenotaalpie"/>
          <w:rFonts w:asciiTheme="minorHAnsi" w:eastAsia="Batang" w:hAnsiTheme="minorHAnsi" w:cs="Arial"/>
          <w:sz w:val="24"/>
          <w:szCs w:val="24"/>
          <w:lang w:val="es-ES_tradnl"/>
        </w:rPr>
        <w:footnoteReference w:id="672"/>
      </w:r>
      <w:r w:rsidRPr="000D3432">
        <w:rPr>
          <w:rFonts w:asciiTheme="minorHAnsi" w:eastAsia="Batang" w:hAnsiTheme="minorHAnsi" w:cs="Arial"/>
          <w:sz w:val="24"/>
          <w:szCs w:val="24"/>
          <w:lang w:val="es-ES_tradnl"/>
        </w:rPr>
        <w:t>, lo que supone un nuevo contexto de apreciación del fenómeno investigado. Anotaremos, entonces, con Fernando de Trazegnies que “Vivir en Democracia no significa que cada uno haga lo que le dé la gana sino que supone sujetarse a ciertas reglas de juego, a fin de que la libertad de cada uno pueda ser eficaz; donde no hay reglas, las libertades individuales se expresan caóticamente y terminan entrampándonos en situaciones poco productivas”</w:t>
      </w:r>
      <w:r w:rsidRPr="000D3432">
        <w:rPr>
          <w:rStyle w:val="Refdenotaalpie"/>
          <w:rFonts w:asciiTheme="minorHAnsi" w:eastAsia="Batang" w:hAnsiTheme="minorHAnsi" w:cs="Arial"/>
          <w:sz w:val="24"/>
          <w:szCs w:val="24"/>
          <w:lang w:val="es-ES_tradnl"/>
        </w:rPr>
        <w:footnoteReference w:id="673"/>
      </w:r>
      <w:r w:rsidRPr="000D3432">
        <w:rPr>
          <w:rFonts w:asciiTheme="minorHAnsi" w:eastAsia="Batang" w:hAnsiTheme="minorHAnsi" w:cs="Arial"/>
          <w:sz w:val="24"/>
          <w:szCs w:val="24"/>
          <w:lang w:val="es-ES_tradnl"/>
        </w:rPr>
        <w:t xml:space="preserve">. Ceder parte de mi libertad para tener libertad, sería el mensaje final. Así para que el derecho a la intimidad y el derecho a la información entre en la esfera política de la democracia es necesario ciertas condiciones de coexistencia, ciertos márgenes; estos son los márgenes del derecho al honor y a la buena reputación, consagrados en nuestra Constitución y demás sistematización jurídica.  Y explicando el asunto Marcial Rubio Correa hace una inteligente diferenciación  entre honor y buena reputación, y dice que “El honor es la auto estima de la persona y es lesionado cuando se agravia dicha autoimagen”. El honor no es el concepto que tienen los demás de la persona, eso </w:t>
      </w:r>
      <w:r w:rsidRPr="000D3432">
        <w:rPr>
          <w:rFonts w:asciiTheme="minorHAnsi" w:eastAsia="Batang" w:hAnsiTheme="minorHAnsi" w:cs="Arial"/>
          <w:sz w:val="24"/>
          <w:szCs w:val="24"/>
          <w:lang w:val="es-ES_tradnl"/>
        </w:rPr>
        <w:lastRenderedPageBreak/>
        <w:t>es buena reputación en derecho</w:t>
      </w:r>
      <w:r w:rsidRPr="000D3432">
        <w:rPr>
          <w:rStyle w:val="Refdenotaalpie"/>
          <w:rFonts w:asciiTheme="minorHAnsi" w:eastAsia="Batang" w:hAnsiTheme="minorHAnsi" w:cs="Arial"/>
          <w:sz w:val="24"/>
          <w:szCs w:val="24"/>
          <w:lang w:val="es-ES_tradnl"/>
        </w:rPr>
        <w:footnoteReference w:id="674"/>
      </w:r>
      <w:r w:rsidRPr="000D3432">
        <w:rPr>
          <w:rFonts w:asciiTheme="minorHAnsi" w:eastAsia="Batang" w:hAnsiTheme="minorHAnsi" w:cs="Arial"/>
          <w:sz w:val="24"/>
          <w:szCs w:val="24"/>
          <w:lang w:val="es-ES_tradnl"/>
        </w:rPr>
        <w:t xml:space="preserve">. </w:t>
      </w:r>
    </w:p>
    <w:p w14:paraId="157FABDE"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5DF11F24"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 xml:space="preserve">El honor es autoestima, y la buena reputación es moral, es estima de los demás, es relación directa con los demás, con el parecer de los demás sobre uno. Lo trascendental del análisis hecho por Rubio es su afirmación que, en estos casos, la verdad no importa en el derecho a la buena reputación; sino la “imagen” positiva que los demás tienen de cada ser humano, “la buena reputación es agraviada aún cuando los hechos que se divulguen sean ciertos”, afirmaría Rubio Correa. Lo que caería en el ámbito del chisme o la difamación. Y surge un atentado contra la dignidad además, “La dignidad viene muy cosida a la indignación y esta es la “percepción de la injusticia”. </w:t>
      </w:r>
    </w:p>
    <w:p w14:paraId="06448A76"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0E80974E"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Cuando se viola el derecho a la privacidad se está también atentando contra los derechos de la personalidad, que “son derechos humanos que pertenecen a la esfera individual de la persona y se centran en ella misma. Son privativos del individuo, intransmisibles e imposibles de compartir”</w:t>
      </w:r>
      <w:r w:rsidRPr="000D3432">
        <w:rPr>
          <w:rStyle w:val="Refdenotaalpie"/>
          <w:rFonts w:asciiTheme="minorHAnsi" w:eastAsia="Batang" w:hAnsiTheme="minorHAnsi" w:cs="Arial"/>
          <w:sz w:val="24"/>
          <w:szCs w:val="24"/>
          <w:lang w:val="es-ES_tradnl"/>
        </w:rPr>
        <w:footnoteReference w:id="675"/>
      </w:r>
      <w:r w:rsidRPr="000D3432">
        <w:rPr>
          <w:rFonts w:asciiTheme="minorHAnsi" w:eastAsia="Batang" w:hAnsiTheme="minorHAnsi" w:cs="Arial"/>
          <w:sz w:val="24"/>
          <w:szCs w:val="24"/>
          <w:lang w:val="es-ES_tradnl"/>
        </w:rPr>
        <w:t>, y por lo tanto, si son mancillados, se centran en el individuo y se esparce en la esfera amical o familiar. Porque el hombre vive en sociedad, y es poco probable cambiar esta circunstancia. No existiría derecho si no hay sociedad, “…no hay derechos que no sean sociales pues, ahí donde no hay sociedad sino un sólo humano sin contacto con los demás de su especie no hay sociedad ni tampoco hay Derecho”.</w:t>
      </w:r>
      <w:r w:rsidRPr="000D3432">
        <w:rPr>
          <w:rStyle w:val="Refdenotaalpie"/>
          <w:rFonts w:asciiTheme="minorHAnsi" w:eastAsia="Batang" w:hAnsiTheme="minorHAnsi" w:cs="Arial"/>
          <w:sz w:val="24"/>
          <w:szCs w:val="24"/>
          <w:lang w:val="es-ES_tradnl"/>
        </w:rPr>
        <w:footnoteReference w:id="676"/>
      </w:r>
      <w:r w:rsidRPr="000D3432">
        <w:rPr>
          <w:rFonts w:asciiTheme="minorHAnsi" w:eastAsia="Batang" w:hAnsiTheme="minorHAnsi" w:cs="Arial"/>
          <w:sz w:val="24"/>
          <w:szCs w:val="24"/>
          <w:lang w:val="es-ES_tradnl"/>
        </w:rPr>
        <w:t>. El derecho al honor y a la buena reputación confluyen necesariamente con el derecho a la intimidad, puesto que son derechos que atañen a la personalidad, así “mientras ciertos derechos sólo pueden verificarse al actuar en conjunto con otros (reunión, asociación, contratación, etc.) es connatural a los derechos de la personalidad centrarse en el individuo mismo”.</w:t>
      </w:r>
      <w:r w:rsidRPr="000D3432">
        <w:rPr>
          <w:rStyle w:val="Refdenotaalpie"/>
          <w:rFonts w:asciiTheme="minorHAnsi" w:eastAsia="Batang" w:hAnsiTheme="minorHAnsi" w:cs="Arial"/>
          <w:sz w:val="24"/>
          <w:szCs w:val="24"/>
          <w:lang w:val="es-ES_tradnl"/>
        </w:rPr>
        <w:footnoteReference w:id="677"/>
      </w:r>
      <w:r w:rsidRPr="000D3432">
        <w:rPr>
          <w:rFonts w:asciiTheme="minorHAnsi" w:eastAsia="Batang" w:hAnsiTheme="minorHAnsi" w:cs="Arial"/>
          <w:sz w:val="24"/>
          <w:szCs w:val="24"/>
          <w:lang w:val="es-ES_tradnl"/>
        </w:rPr>
        <w:t xml:space="preserve"> El conflicto que se suscita, por lo tanto entre el Derecho a la intimidad y el Derecho a la información no está en la “intrusión, sino en la “divulgación de cierta información que “pertenecen, son propios del individuo”. Y que por lo tanto afectan otros derechos. </w:t>
      </w:r>
    </w:p>
    <w:p w14:paraId="763934EB"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p>
    <w:p w14:paraId="0BB0144F" w14:textId="77777777" w:rsidR="005D54AE" w:rsidRPr="000D3432" w:rsidRDefault="005D54AE" w:rsidP="00A95498">
      <w:pPr>
        <w:pStyle w:val="Textodecuerpo"/>
        <w:spacing w:line="240" w:lineRule="auto"/>
        <w:rPr>
          <w:rFonts w:asciiTheme="minorHAnsi" w:eastAsia="Batang" w:hAnsiTheme="minorHAnsi" w:cs="Arial"/>
          <w:sz w:val="24"/>
          <w:szCs w:val="24"/>
          <w:lang w:val="es-ES_tradnl"/>
        </w:rPr>
      </w:pPr>
      <w:r w:rsidRPr="000D3432">
        <w:rPr>
          <w:rFonts w:asciiTheme="minorHAnsi" w:eastAsia="Batang" w:hAnsiTheme="minorHAnsi" w:cs="Arial"/>
          <w:sz w:val="24"/>
          <w:szCs w:val="24"/>
          <w:lang w:val="es-ES_tradnl"/>
        </w:rPr>
        <w:t>Por eso lo que hace falta es delimitar el radio de acción u operación de cada derecho, y este sólo es producto de la estimativa, de los efectos que produce, de las posibilidades que permite. Podemos decir, entonces que el Derecho a la vida privada es autonomía, y ésta última es el poder jurídico de gobernar nuestras propios intereses privados.</w:t>
      </w:r>
      <w:r w:rsidRPr="000D3432">
        <w:rPr>
          <w:rStyle w:val="Refdenotaalpie"/>
          <w:rFonts w:asciiTheme="minorHAnsi" w:eastAsia="Batang" w:hAnsiTheme="minorHAnsi" w:cs="Arial"/>
          <w:sz w:val="24"/>
          <w:szCs w:val="24"/>
          <w:lang w:val="es-ES_tradnl"/>
        </w:rPr>
        <w:footnoteReference w:id="678"/>
      </w:r>
      <w:r w:rsidRPr="000D3432">
        <w:rPr>
          <w:rFonts w:asciiTheme="minorHAnsi" w:eastAsia="Batang" w:hAnsiTheme="minorHAnsi" w:cs="Arial"/>
          <w:sz w:val="24"/>
          <w:szCs w:val="24"/>
          <w:lang w:val="es-ES_tradnl"/>
        </w:rPr>
        <w:t xml:space="preserve">, y el derecho a la información es más bien una facultad para conocer y hacer conocer, que tiene que cuidarse de no caer en la manipulación, puesto que la información, los saberes inciden, influyen en la </w:t>
      </w:r>
      <w:r w:rsidRPr="000D3432">
        <w:rPr>
          <w:rFonts w:asciiTheme="minorHAnsi" w:eastAsia="Batang" w:hAnsiTheme="minorHAnsi" w:cs="Arial"/>
          <w:sz w:val="24"/>
          <w:szCs w:val="24"/>
          <w:lang w:val="es-ES_tradnl"/>
        </w:rPr>
        <w:lastRenderedPageBreak/>
        <w:t>formación del ser humano y en el desarrollo de valor, que complicarán el mecanismo de regulación y ordenamiento colectivo. Además podemos decir que el derecho a la intimidad o privacidad, y el derecho a la información pueden encontrarse dentro de los derechos fundamentales del ser humano. Pero esto sólo tiene relevancia para nuestro estudio si sabemos porqué son fundamentales, y qué categoría o nivel adquieren al ser tales. Veamos primero que son derechos fundamentales. Según esta escrito, los derechos fundamentales “Son los derechos básicos que norman la convivencia social y que nacen como concepción de los gobernantes o como acuerdo entre la sociedad y el Estado. Se les llama así a los derechos humanos positivados jurídicamente en los que se incluyen las exigencias de dignidad, de libertad y de igualdad entre todos los ciudadanos.”</w:t>
      </w:r>
      <w:r w:rsidRPr="000D3432">
        <w:rPr>
          <w:rStyle w:val="Refdenotaalpie"/>
          <w:rFonts w:asciiTheme="minorHAnsi" w:eastAsia="Batang" w:hAnsiTheme="minorHAnsi" w:cs="Arial"/>
          <w:sz w:val="24"/>
          <w:szCs w:val="24"/>
          <w:lang w:val="es-ES_tradnl"/>
        </w:rPr>
        <w:footnoteReference w:id="679"/>
      </w:r>
      <w:r w:rsidRPr="000D3432">
        <w:rPr>
          <w:rFonts w:asciiTheme="minorHAnsi" w:eastAsia="Batang" w:hAnsiTheme="minorHAnsi" w:cs="Arial"/>
          <w:sz w:val="24"/>
          <w:szCs w:val="24"/>
          <w:lang w:val="es-ES_tradnl"/>
        </w:rPr>
        <w:t>. Los derechos fundamentales son fuerzas irresistibles y últimas, como por ejemplo, la libertad, que es derecho que no se discute; lo que si entra en la esfera de la discusión es más bien el radio de acción u operación de este derecho de libertad. Por el mismo lado, “los derechos fundamentales tienen una dimensión axiológica (pues afirma el valor supremo de la dignidad humana), poseen una concepción histórica (fruto de la evolución social), representa una tendencia doctrinaria en expansión (pues su comprensión tiende a expandirse en sus alcances normativos) y son universales (pues traspasa los entornos locales y/o nacionales).”</w:t>
      </w:r>
      <w:r w:rsidRPr="000D3432">
        <w:rPr>
          <w:rStyle w:val="Refdenotaalpie"/>
          <w:rFonts w:asciiTheme="minorHAnsi" w:eastAsia="Batang" w:hAnsiTheme="minorHAnsi" w:cs="Arial"/>
          <w:sz w:val="24"/>
          <w:szCs w:val="24"/>
          <w:lang w:val="es-ES_tradnl"/>
        </w:rPr>
        <w:footnoteReference w:id="680"/>
      </w:r>
      <w:r w:rsidRPr="000D3432">
        <w:rPr>
          <w:rFonts w:asciiTheme="minorHAnsi" w:eastAsia="Batang" w:hAnsiTheme="minorHAnsi" w:cs="Arial"/>
          <w:sz w:val="24"/>
          <w:szCs w:val="24"/>
          <w:lang w:val="es-ES_tradnl"/>
        </w:rPr>
        <w:t>. Lo axiológico es una categoría social, cultural que se prescribe como directivas o matrices de dirección.  La contradicción del derecho a la privacidad con el derecho a la libertad de información, es un tema muy recurrente, y que no se resuelve por esa imposibilidad de enfrentarse a los medios de comunicación masiva, y por la falta de permanencia en solidez de las afirmaciones doctrinarias que pretenden limitar cualquier abuso del derecho.</w:t>
      </w:r>
    </w:p>
    <w:p w14:paraId="7D07D4C4" w14:textId="77777777" w:rsidR="005D54AE" w:rsidRPr="000D3432" w:rsidRDefault="005D54AE" w:rsidP="00A95498">
      <w:pPr>
        <w:jc w:val="both"/>
        <w:rPr>
          <w:rFonts w:asciiTheme="minorHAnsi" w:eastAsia="Batang" w:hAnsiTheme="minorHAnsi" w:cs="Arial"/>
          <w:szCs w:val="24"/>
          <w:lang w:val="es-ES_tradnl" w:eastAsia="es-PE"/>
        </w:rPr>
      </w:pPr>
    </w:p>
    <w:p w14:paraId="307A5AA4" w14:textId="77777777" w:rsidR="005D54AE" w:rsidRPr="000D3432" w:rsidRDefault="005D54AE" w:rsidP="00A95498">
      <w:pPr>
        <w:rPr>
          <w:rFonts w:asciiTheme="minorHAnsi" w:hAnsiTheme="minorHAnsi"/>
          <w:szCs w:val="24"/>
          <w:lang w:val="es-ES_tradnl"/>
        </w:rPr>
      </w:pPr>
      <w:r w:rsidRPr="000D3432">
        <w:rPr>
          <w:rFonts w:asciiTheme="minorHAnsi" w:hAnsiTheme="minorHAnsi"/>
          <w:szCs w:val="24"/>
          <w:lang w:val="es-ES_tradnl"/>
        </w:rPr>
        <w:br w:type="page"/>
      </w:r>
    </w:p>
    <w:p w14:paraId="60F40DBB" w14:textId="77777777" w:rsidR="005D54AE" w:rsidRPr="000D3432" w:rsidRDefault="005D54AE" w:rsidP="00A95498">
      <w:pPr>
        <w:jc w:val="both"/>
        <w:rPr>
          <w:rFonts w:asciiTheme="minorHAnsi" w:hAnsiTheme="minorHAnsi"/>
          <w:szCs w:val="24"/>
          <w:lang w:val="es-ES_tradnl"/>
        </w:rPr>
      </w:pPr>
    </w:p>
    <w:p w14:paraId="0DBFBC11" w14:textId="77777777" w:rsidR="005D54AE" w:rsidRPr="000D3432" w:rsidRDefault="005D54AE" w:rsidP="00A95498">
      <w:pPr>
        <w:jc w:val="both"/>
        <w:rPr>
          <w:rFonts w:asciiTheme="minorHAnsi" w:hAnsiTheme="minorHAnsi"/>
          <w:szCs w:val="24"/>
          <w:lang w:val="es-ES_tradnl"/>
        </w:rPr>
      </w:pPr>
    </w:p>
    <w:p w14:paraId="0F9E98B1" w14:textId="77777777" w:rsidR="005D54AE" w:rsidRPr="000D3432" w:rsidRDefault="005D54AE" w:rsidP="00A95498">
      <w:pPr>
        <w:jc w:val="both"/>
        <w:rPr>
          <w:rFonts w:asciiTheme="minorHAnsi" w:hAnsiTheme="minorHAnsi"/>
          <w:szCs w:val="24"/>
          <w:lang w:val="es-ES_tradnl"/>
        </w:rPr>
      </w:pPr>
    </w:p>
    <w:p w14:paraId="525480D6" w14:textId="77777777" w:rsidR="005D54AE" w:rsidRPr="000D3432" w:rsidRDefault="005D54AE" w:rsidP="00A95498">
      <w:pPr>
        <w:jc w:val="both"/>
        <w:rPr>
          <w:rFonts w:asciiTheme="minorHAnsi" w:hAnsiTheme="minorHAnsi"/>
          <w:szCs w:val="24"/>
          <w:lang w:val="es-ES_tradnl"/>
        </w:rPr>
      </w:pPr>
    </w:p>
    <w:p w14:paraId="0EDF76F9" w14:textId="77777777" w:rsidR="005D54AE" w:rsidRPr="000D3432" w:rsidRDefault="005D54AE" w:rsidP="00A95498">
      <w:pPr>
        <w:jc w:val="both"/>
        <w:rPr>
          <w:rFonts w:asciiTheme="minorHAnsi" w:hAnsiTheme="minorHAnsi"/>
          <w:szCs w:val="24"/>
          <w:lang w:val="es-ES_tradnl"/>
        </w:rPr>
      </w:pPr>
    </w:p>
    <w:p w14:paraId="2DE3F125" w14:textId="77777777" w:rsidR="005D54AE" w:rsidRPr="000D3432" w:rsidRDefault="005D54AE" w:rsidP="00A95498">
      <w:pPr>
        <w:jc w:val="both"/>
        <w:rPr>
          <w:rFonts w:asciiTheme="minorHAnsi" w:hAnsiTheme="minorHAnsi"/>
          <w:szCs w:val="24"/>
          <w:lang w:val="es-ES_tradnl"/>
        </w:rPr>
      </w:pPr>
    </w:p>
    <w:p w14:paraId="1CA6E53F" w14:textId="77777777" w:rsidR="005D54AE" w:rsidRPr="000D3432" w:rsidRDefault="005D54AE" w:rsidP="00A95498">
      <w:pPr>
        <w:jc w:val="both"/>
        <w:rPr>
          <w:rFonts w:asciiTheme="minorHAnsi" w:hAnsiTheme="minorHAnsi"/>
          <w:szCs w:val="24"/>
          <w:lang w:val="es-ES_tradnl"/>
        </w:rPr>
      </w:pPr>
    </w:p>
    <w:p w14:paraId="49B55C55" w14:textId="77777777" w:rsidR="005D54AE" w:rsidRPr="000D3432" w:rsidRDefault="005D54AE" w:rsidP="00A95498">
      <w:pPr>
        <w:jc w:val="both"/>
        <w:rPr>
          <w:rFonts w:asciiTheme="minorHAnsi" w:hAnsiTheme="minorHAnsi"/>
          <w:szCs w:val="24"/>
          <w:lang w:val="es-ES_tradnl"/>
        </w:rPr>
      </w:pPr>
    </w:p>
    <w:p w14:paraId="10273C16" w14:textId="77777777" w:rsidR="00D06C42" w:rsidRPr="000D3432" w:rsidRDefault="00D06C42" w:rsidP="00A95498">
      <w:pPr>
        <w:jc w:val="right"/>
        <w:outlineLvl w:val="1"/>
        <w:rPr>
          <w:rFonts w:asciiTheme="minorHAnsi" w:hAnsiTheme="minorHAnsi" w:cs="Arial"/>
          <w:b/>
          <w:bCs/>
          <w:color w:val="1F497D" w:themeColor="text2"/>
          <w:szCs w:val="24"/>
          <w:lang w:val="es-ES_tradnl"/>
        </w:rPr>
      </w:pPr>
    </w:p>
    <w:p w14:paraId="4C38D68F" w14:textId="77777777" w:rsidR="00D06C42" w:rsidRPr="000D3432" w:rsidRDefault="00D06C42" w:rsidP="00A95498">
      <w:pPr>
        <w:jc w:val="center"/>
        <w:outlineLvl w:val="1"/>
        <w:rPr>
          <w:rFonts w:asciiTheme="minorHAnsi" w:hAnsiTheme="minorHAnsi" w:cs="Arial"/>
          <w:b/>
          <w:bCs/>
          <w:color w:val="1F497D" w:themeColor="text2"/>
          <w:szCs w:val="24"/>
          <w:lang w:val="es-ES_tradnl"/>
        </w:rPr>
      </w:pPr>
    </w:p>
    <w:p w14:paraId="3B8BF920" w14:textId="77777777" w:rsidR="00D06C42" w:rsidRPr="000D3432" w:rsidRDefault="00D06C42" w:rsidP="00A95498">
      <w:pPr>
        <w:jc w:val="center"/>
        <w:outlineLvl w:val="1"/>
        <w:rPr>
          <w:rFonts w:asciiTheme="minorHAnsi" w:hAnsiTheme="minorHAnsi" w:cs="Arial"/>
          <w:b/>
          <w:bCs/>
          <w:color w:val="1F497D" w:themeColor="text2"/>
          <w:szCs w:val="24"/>
          <w:lang w:val="es-ES_tradnl"/>
        </w:rPr>
      </w:pPr>
    </w:p>
    <w:p w14:paraId="03E11DEA" w14:textId="77777777" w:rsidR="00D06C42" w:rsidRPr="000D3432" w:rsidRDefault="00D06C42" w:rsidP="00A95498">
      <w:pPr>
        <w:tabs>
          <w:tab w:val="left" w:pos="1130"/>
          <w:tab w:val="right" w:pos="8505"/>
        </w:tabs>
        <w:jc w:val="center"/>
        <w:outlineLvl w:val="1"/>
        <w:rPr>
          <w:rFonts w:asciiTheme="minorHAnsi" w:hAnsiTheme="minorHAnsi" w:cs="Arial"/>
          <w:b/>
          <w:bCs/>
          <w:szCs w:val="24"/>
          <w:lang w:val="es-ES_tradnl"/>
        </w:rPr>
      </w:pPr>
    </w:p>
    <w:p w14:paraId="6E4552F3" w14:textId="77777777" w:rsidR="00D06C42" w:rsidRPr="000D3432" w:rsidRDefault="00D06C42" w:rsidP="00A95498">
      <w:pPr>
        <w:tabs>
          <w:tab w:val="left" w:pos="1130"/>
          <w:tab w:val="right" w:pos="8505"/>
        </w:tabs>
        <w:jc w:val="center"/>
        <w:outlineLvl w:val="1"/>
        <w:rPr>
          <w:rFonts w:asciiTheme="minorHAnsi" w:eastAsia="Batang" w:hAnsiTheme="minorHAnsi" w:cs="Arial"/>
          <w:b/>
          <w:smallCaps/>
          <w:szCs w:val="24"/>
          <w:lang w:val="es-ES_tradnl"/>
        </w:rPr>
      </w:pPr>
      <w:r w:rsidRPr="000D3432">
        <w:rPr>
          <w:rFonts w:asciiTheme="minorHAnsi" w:hAnsiTheme="minorHAnsi" w:cs="Arial"/>
          <w:b/>
          <w:bCs/>
          <w:color w:val="1F497D" w:themeColor="text2"/>
          <w:szCs w:val="24"/>
          <w:u w:val="single"/>
          <w:lang w:val="es-ES_tradnl"/>
        </w:rPr>
        <w:t>INTUICIONES SOBRE EL DERECHO</w:t>
      </w:r>
    </w:p>
    <w:p w14:paraId="748C3646" w14:textId="77777777" w:rsidR="00D06C42" w:rsidRPr="000D3432" w:rsidRDefault="00D06C42" w:rsidP="00A95498">
      <w:pPr>
        <w:jc w:val="center"/>
        <w:rPr>
          <w:rFonts w:asciiTheme="minorHAnsi" w:eastAsia="Batang" w:hAnsiTheme="minorHAnsi" w:cs="Arial"/>
          <w:szCs w:val="24"/>
          <w:lang w:val="es-ES_tradnl"/>
        </w:rPr>
      </w:pPr>
      <w:r w:rsidRPr="000D3432">
        <w:rPr>
          <w:rFonts w:asciiTheme="minorHAnsi" w:eastAsia="Batang" w:hAnsiTheme="minorHAnsi" w:cs="Arial"/>
          <w:szCs w:val="24"/>
          <w:lang w:val="es-ES_tradnl"/>
        </w:rPr>
        <w:t>Kelsen, San Agustín, Goldschmidt, Carnelutti, Basadre</w:t>
      </w:r>
    </w:p>
    <w:p w14:paraId="420B2154" w14:textId="77777777" w:rsidR="00D06C42" w:rsidRPr="000D3432" w:rsidRDefault="00D06C42" w:rsidP="00A95498">
      <w:pPr>
        <w:rPr>
          <w:rFonts w:asciiTheme="minorHAnsi" w:hAnsiTheme="minorHAnsi" w:cs="Arial"/>
          <w:b/>
          <w:bCs/>
          <w:szCs w:val="24"/>
          <w:lang w:val="es-ES_tradnl"/>
        </w:rPr>
      </w:pPr>
    </w:p>
    <w:p w14:paraId="400A5DC5" w14:textId="77777777" w:rsidR="00D06C42" w:rsidRPr="000D3432" w:rsidRDefault="00D06C42" w:rsidP="00A95498">
      <w:pPr>
        <w:rPr>
          <w:rFonts w:asciiTheme="minorHAnsi" w:hAnsiTheme="minorHAnsi" w:cs="Arial"/>
          <w:szCs w:val="24"/>
          <w:lang w:val="es-ES_tradnl" w:eastAsia="es-PE"/>
        </w:rPr>
      </w:pPr>
    </w:p>
    <w:p w14:paraId="53BCF90B" w14:textId="77777777" w:rsidR="00D06C42" w:rsidRPr="000D3432" w:rsidRDefault="00D06C42" w:rsidP="00A95498">
      <w:pPr>
        <w:ind w:left="708"/>
        <w:rPr>
          <w:rFonts w:asciiTheme="minorHAnsi" w:hAnsiTheme="minorHAnsi"/>
          <w:szCs w:val="24"/>
          <w:lang w:val="es-ES_tradnl"/>
        </w:rPr>
      </w:pPr>
    </w:p>
    <w:p w14:paraId="13AAFE21" w14:textId="77777777" w:rsidR="00D06C42" w:rsidRPr="000D3432" w:rsidRDefault="00D06C42" w:rsidP="00A95498">
      <w:pPr>
        <w:ind w:left="708"/>
        <w:rPr>
          <w:rFonts w:asciiTheme="minorHAnsi" w:hAnsiTheme="minorHAnsi"/>
          <w:szCs w:val="24"/>
          <w:lang w:val="es-ES_tradnl"/>
        </w:rPr>
      </w:pPr>
    </w:p>
    <w:p w14:paraId="21E3F761" w14:textId="77777777" w:rsidR="00D06C42" w:rsidRPr="000D3432" w:rsidRDefault="00D06C42" w:rsidP="00A95498">
      <w:pPr>
        <w:jc w:val="center"/>
        <w:rPr>
          <w:rFonts w:asciiTheme="minorHAnsi" w:hAnsiTheme="minorHAnsi" w:cs="Arial"/>
          <w:color w:val="000000"/>
          <w:szCs w:val="24"/>
          <w:lang w:val="es-ES_tradnl"/>
        </w:rPr>
      </w:pPr>
    </w:p>
    <w:p w14:paraId="41961157" w14:textId="77777777" w:rsidR="00D06C42" w:rsidRPr="000D3432" w:rsidRDefault="00D06C42" w:rsidP="00A95498">
      <w:pPr>
        <w:ind w:left="1044" w:firstLine="12"/>
        <w:jc w:val="both"/>
        <w:rPr>
          <w:rFonts w:asciiTheme="minorHAnsi" w:eastAsia="Batang" w:hAnsiTheme="minorHAnsi" w:cs="Arial"/>
          <w:b/>
          <w:szCs w:val="24"/>
          <w:u w:val="single"/>
          <w:lang w:val="es-ES_tradnl"/>
        </w:rPr>
      </w:pPr>
      <w:r w:rsidRPr="000D3432">
        <w:rPr>
          <w:rFonts w:asciiTheme="minorHAnsi" w:eastAsia="Batang" w:hAnsiTheme="minorHAnsi" w:cs="Arial"/>
          <w:b/>
          <w:color w:val="C0504D" w:themeColor="accent2"/>
          <w:szCs w:val="24"/>
          <w:u w:val="single"/>
          <w:lang w:val="es-ES_tradnl"/>
        </w:rPr>
        <w:t>SUMARIO</w:t>
      </w:r>
      <w:r w:rsidRPr="000D3432">
        <w:rPr>
          <w:rFonts w:asciiTheme="minorHAnsi" w:eastAsia="Batang" w:hAnsiTheme="minorHAnsi" w:cs="Arial"/>
          <w:b/>
          <w:szCs w:val="24"/>
          <w:u w:val="single"/>
          <w:lang w:val="es-ES_tradnl"/>
        </w:rPr>
        <w:t xml:space="preserve">: </w:t>
      </w:r>
    </w:p>
    <w:p w14:paraId="35240CED" w14:textId="77777777" w:rsidR="00D06C42" w:rsidRPr="000D3432" w:rsidRDefault="00D06C42" w:rsidP="009E6E2E">
      <w:pPr>
        <w:pStyle w:val="Prrafodelista"/>
        <w:numPr>
          <w:ilvl w:val="0"/>
          <w:numId w:val="39"/>
        </w:numPr>
        <w:spacing w:after="0" w:line="240" w:lineRule="auto"/>
        <w:contextualSpacing w:val="0"/>
        <w:jc w:val="both"/>
        <w:rPr>
          <w:rFonts w:eastAsia="Batang" w:cs="Arial"/>
          <w:sz w:val="24"/>
          <w:szCs w:val="24"/>
          <w:lang w:val="es-ES_tradnl"/>
        </w:rPr>
      </w:pPr>
      <w:r w:rsidRPr="000D3432">
        <w:rPr>
          <w:rFonts w:eastAsia="Batang" w:cs="Arial"/>
          <w:sz w:val="24"/>
          <w:szCs w:val="24"/>
          <w:lang w:val="es-ES_tradnl"/>
        </w:rPr>
        <w:t>Hans Kelsen: Causalidad e imputación</w:t>
      </w:r>
    </w:p>
    <w:p w14:paraId="43109D2A" w14:textId="77777777" w:rsidR="00D06C42" w:rsidRPr="000D3432" w:rsidRDefault="00D06C42" w:rsidP="009E6E2E">
      <w:pPr>
        <w:pStyle w:val="Prrafodelista"/>
        <w:numPr>
          <w:ilvl w:val="0"/>
          <w:numId w:val="39"/>
        </w:numPr>
        <w:spacing w:after="0" w:line="240" w:lineRule="auto"/>
        <w:contextualSpacing w:val="0"/>
        <w:jc w:val="both"/>
        <w:rPr>
          <w:rFonts w:eastAsia="Batang" w:cs="Arial"/>
          <w:sz w:val="24"/>
          <w:szCs w:val="24"/>
          <w:lang w:val="es-ES_tradnl"/>
        </w:rPr>
      </w:pPr>
      <w:r w:rsidRPr="000D3432">
        <w:rPr>
          <w:rFonts w:eastAsia="Batang" w:cs="Arial"/>
          <w:sz w:val="24"/>
          <w:szCs w:val="24"/>
          <w:lang w:val="es-ES_tradnl"/>
        </w:rPr>
        <w:t>San Agustín: El concepto de justicia</w:t>
      </w:r>
    </w:p>
    <w:p w14:paraId="6F6A2F85" w14:textId="77777777" w:rsidR="00D06C42" w:rsidRPr="000D3432" w:rsidRDefault="00D06C42" w:rsidP="009E6E2E">
      <w:pPr>
        <w:pStyle w:val="Prrafodelista"/>
        <w:numPr>
          <w:ilvl w:val="0"/>
          <w:numId w:val="39"/>
        </w:numPr>
        <w:spacing w:after="0" w:line="240" w:lineRule="auto"/>
        <w:contextualSpacing w:val="0"/>
        <w:jc w:val="both"/>
        <w:rPr>
          <w:rFonts w:eastAsia="Batang" w:cs="Arial"/>
          <w:sz w:val="24"/>
          <w:szCs w:val="24"/>
          <w:lang w:val="es-ES_tradnl"/>
        </w:rPr>
      </w:pPr>
      <w:r w:rsidRPr="000D3432">
        <w:rPr>
          <w:rFonts w:eastAsia="Batang" w:cs="Arial"/>
          <w:sz w:val="24"/>
          <w:szCs w:val="24"/>
          <w:lang w:val="es-ES_tradnl"/>
        </w:rPr>
        <w:t>James Goldschmidt: Método, Tutela Jurídica y Tribunales</w:t>
      </w:r>
    </w:p>
    <w:p w14:paraId="57ADE44C" w14:textId="77777777" w:rsidR="00D06C42" w:rsidRPr="000D3432" w:rsidRDefault="00D06C42" w:rsidP="009E6E2E">
      <w:pPr>
        <w:pStyle w:val="Prrafodelista"/>
        <w:numPr>
          <w:ilvl w:val="0"/>
          <w:numId w:val="39"/>
        </w:numPr>
        <w:spacing w:after="0" w:line="240" w:lineRule="auto"/>
        <w:contextualSpacing w:val="0"/>
        <w:jc w:val="both"/>
        <w:rPr>
          <w:rFonts w:eastAsia="Batang" w:cs="Arial"/>
          <w:sz w:val="24"/>
          <w:szCs w:val="24"/>
          <w:lang w:val="es-ES_tradnl"/>
        </w:rPr>
      </w:pPr>
      <w:r w:rsidRPr="000D3432">
        <w:rPr>
          <w:rFonts w:eastAsia="Batang" w:cs="Arial"/>
          <w:sz w:val="24"/>
          <w:szCs w:val="24"/>
          <w:lang w:val="es-ES_tradnl"/>
        </w:rPr>
        <w:t>Francesco Carnelutti: El Arte del Derecho</w:t>
      </w:r>
    </w:p>
    <w:p w14:paraId="451C0F80" w14:textId="77777777" w:rsidR="00D06C42" w:rsidRPr="000D3432" w:rsidRDefault="00D06C42" w:rsidP="009E6E2E">
      <w:pPr>
        <w:pStyle w:val="Prrafodelista"/>
        <w:numPr>
          <w:ilvl w:val="0"/>
          <w:numId w:val="39"/>
        </w:numPr>
        <w:spacing w:after="0" w:line="240" w:lineRule="auto"/>
        <w:contextualSpacing w:val="0"/>
        <w:jc w:val="both"/>
        <w:rPr>
          <w:rFonts w:eastAsia="Batang" w:cs="Arial"/>
          <w:sz w:val="24"/>
          <w:szCs w:val="24"/>
          <w:lang w:val="es-ES_tradnl"/>
        </w:rPr>
      </w:pPr>
      <w:r w:rsidRPr="000D3432">
        <w:rPr>
          <w:rFonts w:eastAsia="Batang" w:cs="Arial"/>
          <w:sz w:val="24"/>
          <w:szCs w:val="24"/>
          <w:lang w:val="es-ES_tradnl"/>
        </w:rPr>
        <w:t>Jorge Basadre: Las razones freudianas de la Historia</w:t>
      </w:r>
    </w:p>
    <w:p w14:paraId="608B7DCF" w14:textId="77777777" w:rsidR="00D06C42" w:rsidRPr="000D3432" w:rsidRDefault="00D06C42" w:rsidP="00A95498">
      <w:pPr>
        <w:ind w:left="696"/>
        <w:jc w:val="center"/>
        <w:rPr>
          <w:rFonts w:asciiTheme="minorHAnsi" w:eastAsia="Batang" w:hAnsiTheme="minorHAnsi" w:cs="Arial"/>
          <w:szCs w:val="24"/>
          <w:lang w:val="es-ES_tradnl"/>
        </w:rPr>
      </w:pPr>
    </w:p>
    <w:p w14:paraId="62666602" w14:textId="77777777" w:rsidR="00D06C42" w:rsidRPr="000D3432" w:rsidRDefault="00D06C42" w:rsidP="00A95498">
      <w:pPr>
        <w:ind w:left="696"/>
        <w:jc w:val="both"/>
        <w:rPr>
          <w:rFonts w:asciiTheme="minorHAnsi" w:eastAsia="Batang" w:hAnsiTheme="minorHAnsi" w:cs="Arial"/>
          <w:szCs w:val="24"/>
          <w:lang w:val="es-ES_tradnl"/>
        </w:rPr>
      </w:pPr>
    </w:p>
    <w:p w14:paraId="0D64459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5ACDF2FD"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29EFC4E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6E61A87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338888D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17F66F2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64131D3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4C5465A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5CCB902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0865162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290EEF8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3D077AA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p>
    <w:p w14:paraId="62F8975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aps/>
          <w:szCs w:val="24"/>
          <w:lang w:val="es-ES_tradnl"/>
        </w:rPr>
      </w:pPr>
      <w:r w:rsidRPr="000D3432">
        <w:rPr>
          <w:rFonts w:asciiTheme="minorHAnsi" w:hAnsiTheme="minorHAnsi"/>
          <w:b/>
          <w:caps/>
          <w:szCs w:val="24"/>
          <w:lang w:val="es-ES_tradnl"/>
        </w:rPr>
        <w:br w:type="page"/>
      </w:r>
    </w:p>
    <w:p w14:paraId="75D262B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3228B6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F49F45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53304B6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EC8C00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67C773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FF606FF" w14:textId="77777777" w:rsidR="00D06C42" w:rsidRPr="000D3432" w:rsidRDefault="00D06C42"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KELSEN:</w:t>
      </w:r>
    </w:p>
    <w:p w14:paraId="3C7716EA" w14:textId="77777777" w:rsidR="00D06C42" w:rsidRPr="000D3432" w:rsidRDefault="00D06C42" w:rsidP="00A95498">
      <w:pPr>
        <w:jc w:val="center"/>
        <w:rPr>
          <w:rFonts w:asciiTheme="minorHAnsi" w:hAnsiTheme="minorHAnsi"/>
          <w:b/>
          <w:szCs w:val="24"/>
          <w:lang w:val="es-ES_tradnl"/>
        </w:rPr>
      </w:pPr>
      <w:r w:rsidRPr="000D3432">
        <w:rPr>
          <w:rFonts w:asciiTheme="minorHAnsi" w:hAnsiTheme="minorHAnsi"/>
          <w:b/>
          <w:szCs w:val="24"/>
          <w:lang w:val="es-ES_tradnl"/>
        </w:rPr>
        <w:t>Causalidad e Imputación</w:t>
      </w:r>
    </w:p>
    <w:p w14:paraId="3FB6E447" w14:textId="77777777" w:rsidR="00D06C42" w:rsidRPr="000D3432" w:rsidRDefault="00D06C42" w:rsidP="00A95498">
      <w:pPr>
        <w:jc w:val="center"/>
        <w:rPr>
          <w:rFonts w:asciiTheme="minorHAnsi" w:hAnsiTheme="minorHAnsi"/>
          <w:b/>
          <w:szCs w:val="24"/>
          <w:lang w:val="es-ES_tradnl"/>
        </w:rPr>
      </w:pPr>
    </w:p>
    <w:p w14:paraId="66604664" w14:textId="77777777" w:rsidR="00D06C42" w:rsidRPr="000D3432" w:rsidRDefault="00D06C42" w:rsidP="00A95498">
      <w:pPr>
        <w:rPr>
          <w:rFonts w:asciiTheme="minorHAnsi" w:hAnsiTheme="minorHAnsi"/>
          <w:b/>
          <w:szCs w:val="24"/>
          <w:lang w:val="es-ES_tradnl"/>
        </w:rPr>
      </w:pPr>
    </w:p>
    <w:p w14:paraId="167958ED" w14:textId="77777777" w:rsidR="00D06C42" w:rsidRPr="000D3432" w:rsidRDefault="00D06C42"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Kelsen nació en Praga, era de raza judía. Estudia y se doctora en Derecho. Fue redactor de la Constitución Federal Austriaca de 1920. Es objeto de persecución racista por los nazis en 1933. Llega a los Estados Unidos de Norteamérica en 1940 donde fue profesor.</w:t>
      </w:r>
      <w:r w:rsidRPr="000D3432">
        <w:rPr>
          <w:rStyle w:val="Refdenotaalpie"/>
          <w:rFonts w:asciiTheme="minorHAnsi" w:hAnsiTheme="minorHAnsi"/>
          <w:sz w:val="24"/>
          <w:szCs w:val="24"/>
          <w:lang w:val="es-ES_tradnl"/>
        </w:rPr>
        <w:footnoteReference w:id="681"/>
      </w:r>
    </w:p>
    <w:p w14:paraId="48553378" w14:textId="77777777" w:rsidR="00D06C42" w:rsidRPr="000D3432" w:rsidRDefault="00D06C42" w:rsidP="00A95498">
      <w:pPr>
        <w:tabs>
          <w:tab w:val="left" w:pos="-1440"/>
        </w:tabs>
        <w:jc w:val="both"/>
        <w:rPr>
          <w:rFonts w:asciiTheme="minorHAnsi" w:hAnsiTheme="minorHAnsi"/>
          <w:szCs w:val="24"/>
          <w:lang w:val="es-ES_tradnl"/>
        </w:rPr>
      </w:pPr>
    </w:p>
    <w:p w14:paraId="07A4655A" w14:textId="77777777" w:rsidR="00D06C42" w:rsidRPr="000D3432" w:rsidRDefault="00D06C42"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Kelsen escribe, entre otras obras, la Teoría Pura del Derecho, desarrollando tres presupuestos a partir de esto: el primer presupuesto es “constituir una ciencia que tenga por único objeto al Derecho e ignore todo lo que no responda estrictamente a su definición”</w:t>
      </w:r>
      <w:r w:rsidRPr="000D3432">
        <w:rPr>
          <w:rStyle w:val="Refdenotaalpie"/>
          <w:rFonts w:asciiTheme="minorHAnsi" w:hAnsiTheme="minorHAnsi"/>
          <w:sz w:val="24"/>
          <w:szCs w:val="24"/>
          <w:lang w:val="es-ES_tradnl"/>
        </w:rPr>
        <w:footnoteReference w:id="682"/>
      </w:r>
      <w:r w:rsidRPr="000D3432">
        <w:rPr>
          <w:rFonts w:asciiTheme="minorHAnsi" w:hAnsiTheme="minorHAnsi"/>
          <w:szCs w:val="24"/>
          <w:lang w:val="es-ES_tradnl"/>
        </w:rPr>
        <w:t>. Esto explica la separación del Derecho de todo objeto y método de conocimiento que no sea el mismo Derecho, es decir, de la Moral, de la Psicología, etc. El segundo presupuesto es que por “Derecho hay que entender exclusivamente el Derecho Positivo”. El tercer presupuesto se expone cuando “se propone estudiar tan sólo las normas jurídicas.” “Con estos tres presupuestos, arrastrado por el temor de las contaminaciones, Kelsen reduce el Derecho a una lógica formal jurídica, centrada toda ella en el estudio de la norma jurídica.”</w:t>
      </w:r>
      <w:r w:rsidRPr="000D3432">
        <w:rPr>
          <w:rStyle w:val="Refdenotaalpie"/>
          <w:rFonts w:asciiTheme="minorHAnsi" w:hAnsiTheme="minorHAnsi"/>
          <w:sz w:val="24"/>
          <w:szCs w:val="24"/>
          <w:lang w:val="es-ES_tradnl"/>
        </w:rPr>
        <w:footnoteReference w:id="683"/>
      </w:r>
    </w:p>
    <w:p w14:paraId="48D0F09B" w14:textId="77777777" w:rsidR="00D06C42" w:rsidRPr="000D3432" w:rsidRDefault="00D06C42" w:rsidP="00A95498">
      <w:pPr>
        <w:tabs>
          <w:tab w:val="left" w:pos="-1440"/>
        </w:tabs>
        <w:jc w:val="both"/>
        <w:rPr>
          <w:rFonts w:asciiTheme="minorHAnsi" w:hAnsiTheme="minorHAnsi"/>
          <w:szCs w:val="24"/>
          <w:lang w:val="es-ES_tradnl"/>
        </w:rPr>
      </w:pPr>
    </w:p>
    <w:p w14:paraId="12AB4C05" w14:textId="77777777" w:rsidR="00D06C42" w:rsidRPr="000D3432" w:rsidRDefault="00D06C42"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 xml:space="preserve">El objeto fundamental del estudio del Derecho serán, por lo tanto las normas, todo lo demás sería metajurídico. </w:t>
      </w:r>
    </w:p>
    <w:p w14:paraId="509009E6" w14:textId="77777777" w:rsidR="00D06C42" w:rsidRPr="000D3432" w:rsidRDefault="00D06C42" w:rsidP="00A95498">
      <w:pPr>
        <w:tabs>
          <w:tab w:val="left" w:pos="-1440"/>
        </w:tabs>
        <w:jc w:val="both"/>
        <w:rPr>
          <w:rFonts w:asciiTheme="minorHAnsi" w:hAnsiTheme="minorHAnsi"/>
          <w:szCs w:val="24"/>
          <w:lang w:val="es-ES_tradnl"/>
        </w:rPr>
      </w:pPr>
    </w:p>
    <w:p w14:paraId="40D88B3B" w14:textId="77777777" w:rsidR="00D06C42" w:rsidRPr="000D3432" w:rsidRDefault="00D06C42"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La clarificación de que el Derecho sería una ciencia normativa y no una ciencia de la naturaleza, sería otro de las aspectos fundamentales del pensamiento jurídico de Kelsen, “La ciencia del Derecho es una ciencia normativa y no una ciencia de la naturaleza”. Esto significa que no se interesa por la conducta humana en sí misma, sino únicamente por el orden normativo que la regula. Estudiará la norma -la relación lógica- que atribuye a un presupuesto jurídico un efecto jurídico, pero el “contenido” de esa norma será “metajurídico”.”</w:t>
      </w:r>
      <w:r w:rsidRPr="000D3432">
        <w:rPr>
          <w:rStyle w:val="Refdenotaalpie"/>
          <w:rFonts w:asciiTheme="minorHAnsi" w:hAnsiTheme="minorHAnsi"/>
          <w:sz w:val="24"/>
          <w:szCs w:val="24"/>
          <w:lang w:val="es-ES_tradnl"/>
        </w:rPr>
        <w:footnoteReference w:id="684"/>
      </w:r>
    </w:p>
    <w:p w14:paraId="4E6225A2" w14:textId="77777777" w:rsidR="00D06C42" w:rsidRPr="000D3432" w:rsidRDefault="00D06C42" w:rsidP="00A95498">
      <w:pPr>
        <w:tabs>
          <w:tab w:val="left" w:pos="-1440"/>
        </w:tabs>
        <w:jc w:val="both"/>
        <w:rPr>
          <w:rFonts w:asciiTheme="minorHAnsi" w:hAnsiTheme="minorHAnsi"/>
          <w:szCs w:val="24"/>
          <w:lang w:val="es-ES_tradnl"/>
        </w:rPr>
      </w:pPr>
    </w:p>
    <w:p w14:paraId="264A9178" w14:textId="77777777" w:rsidR="00D06C42" w:rsidRPr="000D3432" w:rsidRDefault="00D06C42"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t>El método Kelseniano se preocupa más por la relación lógica, que por el acto en sí. “Al jurista sólo le corresponde comprobar si se han realizado los presupuestos jurídico del mencionado artículo..”</w:t>
      </w:r>
      <w:r w:rsidRPr="000D3432">
        <w:rPr>
          <w:rStyle w:val="Refdenotaalpie"/>
          <w:rFonts w:asciiTheme="minorHAnsi" w:hAnsiTheme="minorHAnsi"/>
          <w:sz w:val="24"/>
          <w:szCs w:val="24"/>
          <w:lang w:val="es-ES_tradnl"/>
        </w:rPr>
        <w:footnoteReference w:id="685"/>
      </w:r>
      <w:r w:rsidRPr="000D3432">
        <w:rPr>
          <w:rFonts w:asciiTheme="minorHAnsi" w:hAnsiTheme="minorHAnsi"/>
          <w:szCs w:val="24"/>
          <w:lang w:val="es-ES_tradnl"/>
        </w:rPr>
        <w:t xml:space="preserve"> Todo interesa sólo en relación con la expresión o configuración de un presupuesto lógico. </w:t>
      </w:r>
    </w:p>
    <w:p w14:paraId="15BB655D" w14:textId="77777777" w:rsidR="00D06C42" w:rsidRPr="000D3432" w:rsidRDefault="00D06C42" w:rsidP="00A95498">
      <w:pPr>
        <w:tabs>
          <w:tab w:val="left" w:pos="-1440"/>
        </w:tabs>
        <w:jc w:val="both"/>
        <w:rPr>
          <w:rFonts w:asciiTheme="minorHAnsi" w:hAnsiTheme="minorHAnsi"/>
          <w:szCs w:val="24"/>
          <w:lang w:val="es-ES_tradnl"/>
        </w:rPr>
      </w:pPr>
    </w:p>
    <w:p w14:paraId="512C602C" w14:textId="77777777" w:rsidR="00D06C42" w:rsidRPr="000D3432" w:rsidRDefault="00D06C42" w:rsidP="00A95498">
      <w:pPr>
        <w:tabs>
          <w:tab w:val="left" w:pos="-1440"/>
        </w:tabs>
        <w:jc w:val="both"/>
        <w:rPr>
          <w:rFonts w:asciiTheme="minorHAnsi" w:hAnsiTheme="minorHAnsi"/>
          <w:szCs w:val="24"/>
          <w:lang w:val="es-ES_tradnl"/>
        </w:rPr>
      </w:pPr>
      <w:r w:rsidRPr="000D3432">
        <w:rPr>
          <w:rFonts w:asciiTheme="minorHAnsi" w:hAnsiTheme="minorHAnsi"/>
          <w:szCs w:val="24"/>
          <w:lang w:val="es-ES_tradnl"/>
        </w:rPr>
        <w:lastRenderedPageBreak/>
        <w:t xml:space="preserve">El Derecho tiene como finalidad provocar conductas humanas socialmente deseables, que obtendrá mediante la coacción. </w:t>
      </w:r>
    </w:p>
    <w:p w14:paraId="2E726B73" w14:textId="77777777" w:rsidR="00D06C42" w:rsidRPr="000D3432" w:rsidRDefault="00D06C42" w:rsidP="00A95498">
      <w:pPr>
        <w:pStyle w:val="Parafffo"/>
        <w:spacing w:line="240" w:lineRule="auto"/>
        <w:rPr>
          <w:rFonts w:asciiTheme="minorHAnsi" w:hAnsiTheme="minorHAnsi"/>
          <w:sz w:val="24"/>
          <w:szCs w:val="24"/>
          <w:lang w:val="es-ES_tradnl"/>
        </w:rPr>
      </w:pPr>
      <w:r w:rsidRPr="000D3432">
        <w:rPr>
          <w:rFonts w:asciiTheme="minorHAnsi" w:hAnsiTheme="minorHAnsi"/>
          <w:sz w:val="24"/>
          <w:szCs w:val="24"/>
          <w:lang w:val="es-ES_tradnl"/>
        </w:rPr>
        <w:t>“El Derecho no es sino una específica técnica social, por medio de la cual es posible obtener una conducta humana deseable. (...) El fin, el contenido, están al margen de la esencia del Derecho, son metajurídico. (...) Derecho,... es ciencia de medios (...), el Derecho es solamente un sistema de normas a las cuales los hombres prestan o no conformidad. (...) El Derecho no se pronuncia sobre el valor moral, sociológico o político ... Es un orden lógico formal, “un conjunto de normas” (...) El Derecho será entonces un sistema coactivo de normas escalonadas en graduación jerárquica, en la que cada una funda su validez en la anterior hasta llegar a una ley suprema o norma fundamental, la Constitución, que sirve de base de juridicidad a todo el edificio.”</w:t>
      </w:r>
      <w:r w:rsidRPr="000D3432">
        <w:rPr>
          <w:rStyle w:val="Refdenotaalpie"/>
          <w:rFonts w:asciiTheme="minorHAnsi" w:hAnsiTheme="minorHAnsi"/>
          <w:sz w:val="24"/>
          <w:szCs w:val="24"/>
          <w:lang w:val="es-ES_tradnl"/>
        </w:rPr>
        <w:footnoteReference w:id="686"/>
      </w:r>
      <w:r w:rsidRPr="000D3432">
        <w:rPr>
          <w:rFonts w:asciiTheme="minorHAnsi" w:hAnsiTheme="minorHAnsi"/>
          <w:sz w:val="24"/>
          <w:szCs w:val="24"/>
          <w:lang w:val="es-ES_tradnl"/>
        </w:rPr>
        <w:t xml:space="preserve"> </w:t>
      </w:r>
    </w:p>
    <w:p w14:paraId="7690F117" w14:textId="77777777" w:rsidR="00D06C42" w:rsidRPr="000D3432" w:rsidRDefault="00D06C42" w:rsidP="00A95498">
      <w:pPr>
        <w:jc w:val="both"/>
        <w:rPr>
          <w:rFonts w:asciiTheme="minorHAnsi" w:hAnsiTheme="minorHAnsi"/>
          <w:szCs w:val="24"/>
          <w:lang w:val="es-ES_tradnl"/>
        </w:rPr>
      </w:pPr>
    </w:p>
    <w:p w14:paraId="317E0926"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Bien, Kelsen</w:t>
      </w:r>
      <w:r w:rsidRPr="000D3432">
        <w:rPr>
          <w:rStyle w:val="Refdenotaalpie"/>
          <w:rFonts w:asciiTheme="minorHAnsi" w:hAnsiTheme="minorHAnsi"/>
          <w:sz w:val="24"/>
          <w:szCs w:val="24"/>
          <w:lang w:val="es-ES_tradnl"/>
        </w:rPr>
        <w:footnoteReference w:id="687"/>
      </w:r>
      <w:r w:rsidRPr="000D3432">
        <w:rPr>
          <w:rFonts w:asciiTheme="minorHAnsi" w:hAnsiTheme="minorHAnsi"/>
          <w:szCs w:val="24"/>
          <w:lang w:val="es-ES_tradnl"/>
        </w:rPr>
        <w:t xml:space="preserve"> explica y describe dos principios por los cuales se explica funcionan las cosas en este mundo. Hace así una clara diferenciación de lo natural y de lo humano. Estos principios por los cuales se rige el mundo son: el principio de causalidad y el principio de imputación. Explicaremos muy brevemente estos.</w:t>
      </w:r>
    </w:p>
    <w:p w14:paraId="4B31D224" w14:textId="77777777" w:rsidR="00D06C42" w:rsidRPr="000D3432" w:rsidRDefault="00D06C42" w:rsidP="00A95498">
      <w:pPr>
        <w:jc w:val="both"/>
        <w:rPr>
          <w:rFonts w:asciiTheme="minorHAnsi" w:hAnsiTheme="minorHAnsi"/>
          <w:szCs w:val="24"/>
          <w:lang w:val="es-ES_tradnl"/>
        </w:rPr>
      </w:pPr>
    </w:p>
    <w:p w14:paraId="51579907" w14:textId="77777777" w:rsidR="00D06C42" w:rsidRPr="000D3432" w:rsidRDefault="00D06C42" w:rsidP="00A95498">
      <w:pPr>
        <w:jc w:val="both"/>
        <w:rPr>
          <w:rFonts w:asciiTheme="minorHAnsi" w:hAnsiTheme="minorHAnsi"/>
          <w:b/>
          <w:szCs w:val="24"/>
          <w:lang w:val="es-ES_tradnl"/>
        </w:rPr>
      </w:pPr>
      <w:r w:rsidRPr="000D3432">
        <w:rPr>
          <w:rFonts w:asciiTheme="minorHAnsi" w:hAnsiTheme="minorHAnsi"/>
          <w:b/>
          <w:szCs w:val="24"/>
          <w:lang w:val="es-ES_tradnl"/>
        </w:rPr>
        <w:t>1.- Principio de Causalidad</w:t>
      </w:r>
    </w:p>
    <w:p w14:paraId="2896753D" w14:textId="77777777" w:rsidR="00D06C42" w:rsidRPr="000D3432" w:rsidRDefault="00D06C42" w:rsidP="00A95498">
      <w:pPr>
        <w:jc w:val="both"/>
        <w:rPr>
          <w:rFonts w:asciiTheme="minorHAnsi" w:hAnsiTheme="minorHAnsi"/>
          <w:b/>
          <w:szCs w:val="24"/>
          <w:lang w:val="es-ES_tradnl"/>
        </w:rPr>
      </w:pPr>
    </w:p>
    <w:p w14:paraId="2F1C7AE1" w14:textId="77777777" w:rsidR="00D06C42" w:rsidRPr="000D3432" w:rsidRDefault="00D06C42" w:rsidP="00A95498">
      <w:pPr>
        <w:jc w:val="both"/>
        <w:rPr>
          <w:rFonts w:asciiTheme="minorHAnsi" w:hAnsiTheme="minorHAnsi"/>
          <w:b/>
          <w:szCs w:val="24"/>
          <w:lang w:val="es-ES_tradnl"/>
        </w:rPr>
      </w:pPr>
      <w:r w:rsidRPr="000D3432">
        <w:rPr>
          <w:rFonts w:asciiTheme="minorHAnsi" w:hAnsiTheme="minorHAnsi"/>
          <w:szCs w:val="24"/>
          <w:lang w:val="es-ES_tradnl"/>
        </w:rPr>
        <w:t>Uno de los grandes principios descubiertos o expuestos por Kelsen es el de causalidad. Kelsen intenta darle cierto orden o establecer cómo es el orden en el mundo, bajo qué parámetros el movimiento se rige. Intenta distinguir entre unos movimientos naturales y otros humanos. Intenta distinguir la trascendencia de unos y de otros. No es un esfuerzo inútil, sino una increible clasificación que permite ordenar el mundo del derecho y oponerlo al mundo natural Kelsen, por ello, propone una fórmula revolucionaria para su tiempo, y para este tiempo, el derecho es construcción humana, se rige bajo las leyes humanas, y no bajo las leyes naturales. El Derecho responde a ciertos principios diferentes a los de la naturaleza. El hombre no se rige por principios de causalidad como la naturaleza, sino por el principio de imputación, por su libre y arbitraria disposición.</w:t>
      </w:r>
    </w:p>
    <w:p w14:paraId="72A2DBC8" w14:textId="77777777" w:rsidR="00D06C42" w:rsidRPr="000D3432" w:rsidRDefault="00D06C42" w:rsidP="00A95498">
      <w:pPr>
        <w:jc w:val="both"/>
        <w:rPr>
          <w:rFonts w:asciiTheme="minorHAnsi" w:hAnsiTheme="minorHAnsi"/>
          <w:b/>
          <w:szCs w:val="24"/>
          <w:lang w:val="es-ES_tradnl"/>
        </w:rPr>
      </w:pPr>
    </w:p>
    <w:p w14:paraId="6CD683E3" w14:textId="77777777" w:rsidR="00D06C42" w:rsidRPr="000D3432" w:rsidRDefault="00D06C42" w:rsidP="00A95498">
      <w:pPr>
        <w:jc w:val="both"/>
        <w:rPr>
          <w:rFonts w:asciiTheme="minorHAnsi" w:hAnsiTheme="minorHAnsi"/>
          <w:b/>
          <w:szCs w:val="24"/>
          <w:lang w:val="es-ES_tradnl"/>
        </w:rPr>
      </w:pPr>
      <w:r w:rsidRPr="000D3432">
        <w:rPr>
          <w:rFonts w:asciiTheme="minorHAnsi" w:hAnsiTheme="minorHAnsi"/>
          <w:szCs w:val="24"/>
          <w:lang w:val="es-ES_tradnl"/>
        </w:rPr>
        <w:t xml:space="preserve">Así Kelsen explica que ha habido siempre un equívoco cuando se ha tratado de hablar de los sucesos en el mundo. Se ha confundido leyes de la naturaleza con leyes humanas. Pues esta confusión se ha venido desarrollando, y trasladando en el tiempo por la tradición, con refranes populares tan arraigados como aquel que dice: “que deberíamos actuar como los animales actúan en la naturaleza; que deberíamos seguir las leyes de la naturaleza, al igual que los animalitos”. Esta es una falta de percepción del modus vivendi del hombre, de su diferencia enorme, extraordinaria y artificial del hombre. Incluso el gran Montesquieu, el autor del Espíritu de las leyes habría caído en este equívoco de planteamiento de la conducta del hombre, “John Stuar Mill alude a Montesquieu, quien en el </w:t>
      </w:r>
      <w:r w:rsidRPr="000D3432">
        <w:rPr>
          <w:rFonts w:asciiTheme="minorHAnsi" w:hAnsiTheme="minorHAnsi"/>
          <w:szCs w:val="24"/>
          <w:lang w:val="es-ES_tradnl"/>
        </w:rPr>
        <w:lastRenderedPageBreak/>
        <w:t>capítulo primero de L’Esprit des Lois pregunta ingenuamente por qué, mientras que las cosas inanimadas, tales como las estrellas y también los animales, obedecen a la ‘ley de su naturaleza’, el hombre no procede así, sino que incurre en pecado. En esto, pensaba Mill, se hace patente la perenne confusión entre las leyes que formulan el curso o las regularidades de la naturaleza, y las leyes que exigen que los hombres se comporten de ciertas maneras. Las primeras, que pueden ser descubiertas mediante la observación y el razonamiento, bien pueden ser denominadas ‘descriptivas’ y corresponde al científico descubrirlas; las últimas no pueden ser establecidas así, porque ellas no son enunciados o descripciones de hechos, sino ‘prescripciones’ o exigencias de que los hombres se comporten de cierta manera. Por lo tanto la respuesta a la pregunta de Montesquieu es simple: las leyes prescriptivas pueden ser transgredidas y no obstante siguen siendo leyes, porque ello significa simplemente que los seres humanos no hacen lo prescripto; pero carece de sentido afirmar que las leyes de la naturaleza, descubiertas por la ciencia, pueden o no pueden ser transgredidas. Si las estrellas se comportan de manera contraria a las leyes científicas que pretenden describir sus movimientos regulares, éstas no son transgredidas, sino que pierden su título a ser llamadas ‘leyes’ y tienen que ser reformuladas.”</w:t>
      </w:r>
      <w:r w:rsidRPr="000D3432">
        <w:rPr>
          <w:rStyle w:val="Refdenotaalpie"/>
          <w:rFonts w:asciiTheme="minorHAnsi" w:hAnsiTheme="minorHAnsi"/>
          <w:sz w:val="24"/>
          <w:szCs w:val="24"/>
          <w:lang w:val="es-ES_tradnl"/>
        </w:rPr>
        <w:footnoteReference w:id="688"/>
      </w:r>
    </w:p>
    <w:p w14:paraId="7C8E7B98" w14:textId="77777777" w:rsidR="00D06C42" w:rsidRPr="000D3432" w:rsidRDefault="00D06C42" w:rsidP="00A95498">
      <w:pPr>
        <w:jc w:val="both"/>
        <w:rPr>
          <w:rFonts w:asciiTheme="minorHAnsi" w:hAnsiTheme="minorHAnsi"/>
          <w:b/>
          <w:szCs w:val="24"/>
          <w:lang w:val="es-ES_tradnl"/>
        </w:rPr>
      </w:pPr>
    </w:p>
    <w:p w14:paraId="01287839" w14:textId="77777777" w:rsidR="00D06C42" w:rsidRPr="000D3432" w:rsidRDefault="00D06C42" w:rsidP="00A95498">
      <w:pPr>
        <w:jc w:val="both"/>
        <w:rPr>
          <w:rFonts w:asciiTheme="minorHAnsi" w:hAnsiTheme="minorHAnsi"/>
          <w:b/>
          <w:szCs w:val="24"/>
          <w:lang w:val="es-ES_tradnl"/>
        </w:rPr>
      </w:pPr>
      <w:r w:rsidRPr="000D3432">
        <w:rPr>
          <w:rFonts w:asciiTheme="minorHAnsi" w:hAnsiTheme="minorHAnsi"/>
          <w:szCs w:val="24"/>
          <w:lang w:val="es-ES_tradnl"/>
        </w:rPr>
        <w:t xml:space="preserve">Pues bien, Kelsen advierte también esto. Y explica que las Ciencias de la naturaleza son distintas a las ciencias humanas, sociales, por lo tanto, los fenómenos de la naturaleza responden al principio de la causalidad, sucede un hecho y como consecuencia de ese hecho sucede una consecuencia. Este fenómeno se presenta como necesario. Siempre va a ser así. Kelsen pone un ejemplo: Un rayo de sol que calienta un metal, éste metal al calentarse se dilatará siempre. </w:t>
      </w:r>
    </w:p>
    <w:p w14:paraId="0898DBE2" w14:textId="77777777" w:rsidR="00D06C42" w:rsidRPr="000D3432" w:rsidRDefault="00D06C42" w:rsidP="00A95498">
      <w:pPr>
        <w:jc w:val="both"/>
        <w:rPr>
          <w:rFonts w:asciiTheme="minorHAnsi" w:hAnsiTheme="minorHAnsi"/>
          <w:b/>
          <w:szCs w:val="24"/>
          <w:lang w:val="es-ES_tradnl"/>
        </w:rPr>
      </w:pPr>
    </w:p>
    <w:p w14:paraId="6B3810EB" w14:textId="77777777" w:rsidR="00D06C42" w:rsidRPr="000D3432" w:rsidRDefault="00D06C42" w:rsidP="00A95498">
      <w:pPr>
        <w:jc w:val="both"/>
        <w:rPr>
          <w:rFonts w:asciiTheme="minorHAnsi" w:hAnsiTheme="minorHAnsi"/>
          <w:b/>
          <w:szCs w:val="24"/>
          <w:lang w:val="es-ES_tradnl"/>
        </w:rPr>
      </w:pPr>
    </w:p>
    <w:p w14:paraId="60EDE5F7" w14:textId="77777777" w:rsidR="00D06C42" w:rsidRPr="000D3432" w:rsidRDefault="00D06C42" w:rsidP="00A95498">
      <w:pPr>
        <w:jc w:val="both"/>
        <w:rPr>
          <w:rFonts w:asciiTheme="minorHAnsi" w:hAnsiTheme="minorHAnsi"/>
          <w:b/>
          <w:szCs w:val="24"/>
          <w:lang w:val="es-ES_tradnl"/>
        </w:rPr>
      </w:pPr>
    </w:p>
    <w:p w14:paraId="219C2E31"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b/>
          <w:szCs w:val="24"/>
          <w:lang w:val="es-ES_tradnl"/>
        </w:rPr>
        <w:t>2.- Principio de Imputación</w:t>
      </w:r>
    </w:p>
    <w:p w14:paraId="7FA4D222" w14:textId="77777777" w:rsidR="00D06C42" w:rsidRPr="000D3432" w:rsidRDefault="00D06C42" w:rsidP="00A95498">
      <w:pPr>
        <w:jc w:val="both"/>
        <w:rPr>
          <w:rFonts w:asciiTheme="minorHAnsi" w:hAnsiTheme="minorHAnsi"/>
          <w:szCs w:val="24"/>
          <w:lang w:val="es-ES_tradnl"/>
        </w:rPr>
      </w:pPr>
    </w:p>
    <w:p w14:paraId="711E555D"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El principio de imputación, como ya lo hubiera advertido también John Stuar Mill</w:t>
      </w:r>
      <w:r w:rsidRPr="000D3432">
        <w:rPr>
          <w:rStyle w:val="Refdenotaalpie"/>
          <w:rFonts w:asciiTheme="minorHAnsi" w:hAnsiTheme="minorHAnsi"/>
          <w:sz w:val="24"/>
          <w:szCs w:val="24"/>
          <w:lang w:val="es-ES_tradnl"/>
        </w:rPr>
        <w:footnoteReference w:id="689"/>
      </w:r>
      <w:r w:rsidRPr="000D3432">
        <w:rPr>
          <w:rFonts w:asciiTheme="minorHAnsi" w:hAnsiTheme="minorHAnsi"/>
          <w:szCs w:val="24"/>
          <w:lang w:val="es-ES_tradnl"/>
        </w:rPr>
        <w:t xml:space="preserve"> es aquel creado por el hombre, para organizarse y vivir. Es decir que a un hecho determinado se le imputa una consecuencia determinada, que no tiene que ser así de todas maneras, sino que la libertad del hombre la ha impuesto, la ha creado. Por ejemplo, la ley, “el que matare sufrirá pena privativa de la libertad….”, esta pena no tiene que suceder necesariamente como en los fenómenos de la naturaleza, sino que sucede por disposición humana. Carnelutti refiriéndose a este principios kelseniano dice que la imputación es más bien un acto arbitrario.  </w:t>
      </w:r>
    </w:p>
    <w:p w14:paraId="33BDCA1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0F3008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56882CD"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456ED60D" w14:textId="77777777" w:rsidR="00D06C42" w:rsidRPr="000D3432" w:rsidRDefault="00D06C42" w:rsidP="00A95498">
      <w:pPr>
        <w:pStyle w:val="Ttulo"/>
        <w:rPr>
          <w:rFonts w:asciiTheme="minorHAnsi" w:hAnsiTheme="minorHAnsi"/>
          <w:b w:val="0"/>
          <w:color w:val="943634" w:themeColor="accent2" w:themeShade="BF"/>
          <w:u w:val="single"/>
        </w:rPr>
      </w:pPr>
      <w:r w:rsidRPr="000D3432">
        <w:rPr>
          <w:rFonts w:asciiTheme="minorHAnsi" w:hAnsiTheme="minorHAnsi"/>
          <w:color w:val="943634" w:themeColor="accent2" w:themeShade="BF"/>
          <w:u w:val="single"/>
        </w:rPr>
        <w:t xml:space="preserve">SAN AGUSTÍN </w:t>
      </w:r>
    </w:p>
    <w:p w14:paraId="481699FF" w14:textId="77777777" w:rsidR="00D06C42" w:rsidRPr="000D3432" w:rsidRDefault="00D06C42" w:rsidP="00A95498">
      <w:pPr>
        <w:pStyle w:val="Ttulo"/>
        <w:rPr>
          <w:rFonts w:asciiTheme="minorHAnsi" w:hAnsiTheme="minorHAnsi"/>
          <w:b w:val="0"/>
        </w:rPr>
      </w:pPr>
      <w:r w:rsidRPr="000D3432">
        <w:rPr>
          <w:rFonts w:asciiTheme="minorHAnsi" w:hAnsiTheme="minorHAnsi"/>
        </w:rPr>
        <w:t>Su concepto de Justicia</w:t>
      </w:r>
    </w:p>
    <w:p w14:paraId="261EAD58" w14:textId="77777777" w:rsidR="00D06C42" w:rsidRPr="000D3432" w:rsidRDefault="00D06C42" w:rsidP="00A95498">
      <w:pPr>
        <w:jc w:val="both"/>
        <w:rPr>
          <w:rFonts w:asciiTheme="minorHAnsi" w:hAnsiTheme="minorHAnsi"/>
          <w:szCs w:val="24"/>
          <w:lang w:val="es-ES_tradnl"/>
        </w:rPr>
      </w:pPr>
    </w:p>
    <w:p w14:paraId="01ECDD6B" w14:textId="77777777" w:rsidR="00D06C42" w:rsidRPr="000D3432" w:rsidRDefault="00D06C42" w:rsidP="00A95498">
      <w:pPr>
        <w:jc w:val="both"/>
        <w:rPr>
          <w:rFonts w:asciiTheme="minorHAnsi" w:hAnsiTheme="minorHAnsi"/>
          <w:szCs w:val="24"/>
          <w:lang w:val="es-ES_tradnl"/>
        </w:rPr>
      </w:pPr>
    </w:p>
    <w:p w14:paraId="76F6FA2E" w14:textId="77777777" w:rsidR="00D06C42" w:rsidRPr="000D3432" w:rsidRDefault="00D06C42" w:rsidP="00A95498">
      <w:pPr>
        <w:jc w:val="both"/>
        <w:rPr>
          <w:rFonts w:asciiTheme="minorHAnsi" w:hAnsiTheme="minorHAnsi"/>
          <w:szCs w:val="24"/>
          <w:lang w:val="es-ES_tradnl"/>
        </w:rPr>
      </w:pPr>
    </w:p>
    <w:p w14:paraId="7BE8AC46"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Es a través de Michel Villey desde donde vamos a analizar la Justicia de San Agustín.</w:t>
      </w:r>
    </w:p>
    <w:p w14:paraId="2825EA0C" w14:textId="77777777" w:rsidR="00D06C42" w:rsidRPr="000D3432" w:rsidRDefault="00D06C42" w:rsidP="00A95498">
      <w:pPr>
        <w:jc w:val="both"/>
        <w:rPr>
          <w:rFonts w:asciiTheme="minorHAnsi" w:hAnsiTheme="minorHAnsi"/>
          <w:szCs w:val="24"/>
          <w:lang w:val="es-ES_tradnl"/>
        </w:rPr>
      </w:pPr>
    </w:p>
    <w:p w14:paraId="5190A87F"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Cuando Michel Villey</w:t>
      </w:r>
      <w:r w:rsidRPr="000D3432">
        <w:rPr>
          <w:rStyle w:val="Refdenotaalpie"/>
          <w:rFonts w:asciiTheme="minorHAnsi" w:hAnsiTheme="minorHAnsi"/>
          <w:sz w:val="24"/>
          <w:szCs w:val="24"/>
          <w:lang w:val="es-ES_tradnl"/>
        </w:rPr>
        <w:footnoteReference w:id="690"/>
      </w:r>
      <w:r w:rsidRPr="000D3432">
        <w:rPr>
          <w:rFonts w:asciiTheme="minorHAnsi" w:hAnsiTheme="minorHAnsi"/>
          <w:szCs w:val="24"/>
          <w:lang w:val="es-ES_tradnl"/>
        </w:rPr>
        <w:t xml:space="preserve"> habla sobre la Justicia, usando como elemento de análisis a la justicia cristiana según San Agustín, lo que pretende es darle cierto contenido a la institución justicia.</w:t>
      </w:r>
    </w:p>
    <w:p w14:paraId="359CFDAF" w14:textId="77777777" w:rsidR="00D06C42" w:rsidRPr="000D3432" w:rsidRDefault="00D06C42" w:rsidP="00A95498">
      <w:pPr>
        <w:jc w:val="both"/>
        <w:rPr>
          <w:rFonts w:asciiTheme="minorHAnsi" w:hAnsiTheme="minorHAnsi"/>
          <w:szCs w:val="24"/>
          <w:lang w:val="es-ES_tradnl"/>
        </w:rPr>
      </w:pPr>
    </w:p>
    <w:p w14:paraId="62BCEB7A"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El análisis de  Michel Vlilley empieza haciendo una diferencia. La diferencia del marco de entendimiento del término justicia. El propósito de San Agustín, dice Villey, es diferenciar la justicia clásica de la justicia divina. La primera no tendría mayor relevancia, o sería indeterminable. Y así el concepto de justicia proclamado por San Agustín empieza con dos fórmulas: “Amarás a Dios y a tu prójimo como a ti mismo”, y “Haz a los demás lo que quieres que te hagan a ti.”.</w:t>
      </w:r>
    </w:p>
    <w:p w14:paraId="04A29D69" w14:textId="77777777" w:rsidR="00D06C42" w:rsidRPr="000D3432" w:rsidRDefault="00D06C42" w:rsidP="00A95498">
      <w:pPr>
        <w:jc w:val="both"/>
        <w:rPr>
          <w:rFonts w:asciiTheme="minorHAnsi" w:hAnsiTheme="minorHAnsi"/>
          <w:szCs w:val="24"/>
          <w:lang w:val="es-ES_tradnl"/>
        </w:rPr>
      </w:pPr>
    </w:p>
    <w:p w14:paraId="6D7D82CF"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La fórmula es perfecta si lo que se quiere es lograr penetrar en el interés del individuo. La justicia no parte de Dios, sino del ser humano en relación con Dios. Decír, amarás a Dios y a tu prójimo como a ti mismo, lo que se está diciendo es que no es Dios el eje de referencia de tu acción sino uno mismo. Ese “como a ti mismo”, que es la causa del actuar del ser humano determina toda la conducta posterior.  Porque no se puede amar a Dios y al prójimo sino en referencia a uno mismo.  Este es el primer bumerang lanzado por el cristianismo, apela no al resto, sino a uno mismo, no el resto es lo importante, sino uno mismo, porque San Agustín sabe que uno no quiere lo mejor para los demás, sino lo mejor para uno mismo, por lo mismo no podrá amar a Dios y al prójimo como si fueran Dios y el prójimo, sino como si ellos –Dios y el prójimo- fueran uno mismo. Ese es el truco. La vuelta a uno mismo. Aunque el principio haya sido corrompido en su interpretación histórica cristiana. </w:t>
      </w:r>
    </w:p>
    <w:p w14:paraId="03102BD9" w14:textId="77777777" w:rsidR="00D06C42" w:rsidRPr="000D3432" w:rsidRDefault="00D06C42" w:rsidP="00A95498">
      <w:pPr>
        <w:jc w:val="both"/>
        <w:rPr>
          <w:rFonts w:asciiTheme="minorHAnsi" w:hAnsiTheme="minorHAnsi"/>
          <w:szCs w:val="24"/>
          <w:lang w:val="es-ES_tradnl"/>
        </w:rPr>
      </w:pPr>
    </w:p>
    <w:p w14:paraId="1E6EE5FF"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La otra fórmula sólo refuerza la primera: “Haz a los demás lo que quieres que te hagan a ti”, similar a la que uso Kant: “Que tu obrar responda a una ley universal”.</w:t>
      </w:r>
    </w:p>
    <w:p w14:paraId="1F7A2A07" w14:textId="77777777" w:rsidR="00D06C42" w:rsidRPr="000D3432" w:rsidRDefault="00D06C42" w:rsidP="00A95498">
      <w:pPr>
        <w:jc w:val="both"/>
        <w:rPr>
          <w:rFonts w:asciiTheme="minorHAnsi" w:hAnsiTheme="minorHAnsi"/>
          <w:szCs w:val="24"/>
          <w:lang w:val="es-ES_tradnl"/>
        </w:rPr>
      </w:pPr>
    </w:p>
    <w:p w14:paraId="2CAB167A"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San Agustín propuso y difundió esta fórmula porque llevaba en si otra vez el </w:t>
      </w:r>
      <w:r w:rsidRPr="000D3432">
        <w:rPr>
          <w:rFonts w:asciiTheme="minorHAnsi" w:hAnsiTheme="minorHAnsi"/>
          <w:szCs w:val="24"/>
          <w:lang w:val="es-ES_tradnl"/>
        </w:rPr>
        <w:lastRenderedPageBreak/>
        <w:t>principio de referencia al individuo. No son los demás lo importante sino uno. Sólo se puede hacer lo que quieres que te hagan a ti, y por supuesto nadie querrá verse mancillado, humillado, violado, etc, etc. La referencia está clara. San Agustín apela al interés individual, parte del individuo y no de la sociedad. Y por eso esta fórmula funciona. Yo no voy a hacer nada que me perjudique, al menos no concientemente, o al menos no si puede evitarlo y sustituirlo por algo más placentero y beneficioso. Lo justo es entonces sólo marcado por nuestra propia visión. No es la fuerza la que intenta normarnos y regular nuestra relación con los demás, nuestra conducta en relación con los demás, sino la persuasión, la persuasión que dice que lo justo es que nadie debe hacer algo que no le gustaría que le hagan. Autorrestricción. El gran arma del cristianismo. La autocensura, la autocomposición (que luego fue llevada a la perversión). Lo justo es entonces hacer lo correcto, y lo correcto es medido por uno mismo, por un no hacer lo que no queremos que nos hagan a nosotros. El principio se plantea negativo, pues se trata en un “no hacer”, “no hagas lo que no quieres que te hagan”.</w:t>
      </w:r>
    </w:p>
    <w:p w14:paraId="3A8A082F" w14:textId="77777777" w:rsidR="00D06C42" w:rsidRPr="000D3432" w:rsidRDefault="00D06C42" w:rsidP="00A95498">
      <w:pPr>
        <w:jc w:val="both"/>
        <w:rPr>
          <w:rFonts w:asciiTheme="minorHAnsi" w:hAnsiTheme="minorHAnsi"/>
          <w:szCs w:val="24"/>
          <w:lang w:val="es-ES_tradnl"/>
        </w:rPr>
      </w:pPr>
    </w:p>
    <w:p w14:paraId="5C68BFF3"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Esta idea va empatada con la idea del pecado. El pecado, en sus inicios no es la trasgresión de las normas religiosas simplemente, es “no equivocar el camino”. Pecar significaba: no equivocar el camino correcto. Pero como nadie sabe cual es el camino correcto, y nadie puede aún determinarlo del todo, lo que el hombre tiene que saber, al menos, es que es lo que no debe hacer, qué camino no recorrer. Y el pecado encierra ese significado, pues indica que quien comete pecado, ha equivocado el camino, el buen camino.</w:t>
      </w:r>
    </w:p>
    <w:p w14:paraId="3998B50E" w14:textId="77777777" w:rsidR="00D06C42" w:rsidRPr="000D3432" w:rsidRDefault="00D06C42" w:rsidP="00A95498">
      <w:pPr>
        <w:jc w:val="both"/>
        <w:rPr>
          <w:rFonts w:asciiTheme="minorHAnsi" w:hAnsiTheme="minorHAnsi"/>
          <w:szCs w:val="24"/>
          <w:lang w:val="es-ES_tradnl"/>
        </w:rPr>
      </w:pPr>
    </w:p>
    <w:p w14:paraId="3266A384"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A lo que quiere llegar San Agustín, para Michel Villey, es a determinar a la justicia, pero esta no se deja aprehender tal fácilmente, puesto que “La justicia, en sus consecuencias concretas, es informulable.”</w:t>
      </w:r>
    </w:p>
    <w:p w14:paraId="269BD918" w14:textId="77777777" w:rsidR="00D06C42" w:rsidRPr="000D3432" w:rsidRDefault="00D06C42" w:rsidP="00A95498">
      <w:pPr>
        <w:jc w:val="both"/>
        <w:rPr>
          <w:rFonts w:asciiTheme="minorHAnsi" w:hAnsiTheme="minorHAnsi"/>
          <w:szCs w:val="24"/>
          <w:lang w:val="es-ES_tradnl"/>
        </w:rPr>
      </w:pPr>
    </w:p>
    <w:p w14:paraId="43E434E7"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Villey hace referencia a las “Confesiones” de San Agustín “..la justicia en sí misma no puede cambiar ni variar...” eso indica que hay algo perseguido por el hombre, hay alguna cosa, o concepto que intenta siempre el hombre, a ese algo que lo coloca en una posición favorable en la vida lo llama justicia, y justicia porque el hombre considera que es justo vivir bien, y mejor en relación al interés del otro.</w:t>
      </w:r>
    </w:p>
    <w:p w14:paraId="24CE4AD3" w14:textId="77777777" w:rsidR="00D06C42" w:rsidRPr="000D3432" w:rsidRDefault="00D06C42" w:rsidP="00A95498">
      <w:pPr>
        <w:jc w:val="both"/>
        <w:rPr>
          <w:rFonts w:asciiTheme="minorHAnsi" w:hAnsiTheme="minorHAnsi"/>
          <w:szCs w:val="24"/>
          <w:lang w:val="es-ES_tradnl"/>
        </w:rPr>
      </w:pPr>
    </w:p>
    <w:p w14:paraId="19195061"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¿Cómo es esta justicia inmutable, y que es en sí misma? ¿Cómo definirla? La justicia no puede ser algo acabado, pero si puede ser una intención, un deseo, una meta, que explica, más que el hecho de haber justicia, la necesidad del hombre para utilizar moldes a los cuales someter su experiencia existencia, su experiencia de vida.  Esta intención y búsqueda del hombre es constante en todos los tiempos, esta forma de medir su vida, su conducta, y su relación con los demás. Pero este interés se ve chocado con dos fenómenos: el tiempo y el interés de los demás.  El tiempo registra las infinitas variaciones o la “Inmensa diversidad de las circunstancias históricas” El tiempo pone en evidencia luego, que el hombre busca ciertos moldes, pero que no son los mismos moldes, porque la urgencia de vivir bien y mejor es diversa en cada tiempo. Cada tiempo engendra sus propias necesidades, cada tiempo decide y determina sus </w:t>
      </w:r>
      <w:r w:rsidRPr="000D3432">
        <w:rPr>
          <w:rFonts w:asciiTheme="minorHAnsi" w:hAnsiTheme="minorHAnsi"/>
          <w:szCs w:val="24"/>
          <w:lang w:val="es-ES_tradnl"/>
        </w:rPr>
        <w:lastRenderedPageBreak/>
        <w:t>requerimientos. La justicia cambia en el efecto, y no en la consecuencia. El hombre sigue buscando justicia, pero llama justicia al logro o necesidad de obtener ciertos efectos. Los efectos siempre son, o por lo general, diversos, diferentes, y hasta a veces –muchas- contrarias y opuestas.</w:t>
      </w:r>
    </w:p>
    <w:p w14:paraId="7B2D56E7" w14:textId="77777777" w:rsidR="00D06C42" w:rsidRPr="000D3432" w:rsidRDefault="00D06C42" w:rsidP="00A95498">
      <w:pPr>
        <w:jc w:val="both"/>
        <w:rPr>
          <w:rFonts w:asciiTheme="minorHAnsi" w:hAnsiTheme="minorHAnsi"/>
          <w:szCs w:val="24"/>
          <w:lang w:val="es-ES_tradnl"/>
        </w:rPr>
      </w:pPr>
    </w:p>
    <w:p w14:paraId="156BC891"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¿Que es lo que hace visualizar esta diversidad de efectos llamados justicia? Pues pueden ser las costumbres. Estas determinan, en parte el efecto buscado con la justicia. Pero no son la justicia (ese deseo ineludible del ser humano de adecuar su vida a ciertos patrones de vida). A eso llega, entonces Michel Villey: “La justicia, en sus consecuencias concretas en informulable”. El tiempo lo demuestra. No hay fórmula que nos diga qué actos o hechos humanos son siempre injustos, porque el hombre en el tiempo cambia su percepción de lo que es justo y lo que no lo es; cambia en sus prioridades, cambia en sus propios criterios de decisión de lo que es o no es válido, legítimo, justo. Pero en lo que no cambia es en esa búsqueda, o en la necesidad de buscar “justicia”.</w:t>
      </w:r>
    </w:p>
    <w:p w14:paraId="62FA24D6" w14:textId="77777777" w:rsidR="00D06C42" w:rsidRPr="000D3432" w:rsidRDefault="00D06C42" w:rsidP="00A95498">
      <w:pPr>
        <w:jc w:val="both"/>
        <w:rPr>
          <w:rFonts w:asciiTheme="minorHAnsi" w:hAnsiTheme="minorHAnsi"/>
          <w:szCs w:val="24"/>
          <w:lang w:val="es-ES_tradnl"/>
        </w:rPr>
      </w:pPr>
    </w:p>
    <w:p w14:paraId="31640E7E"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Villey aclara que San Agustín sabe al formular la justicia cristiana que se está enfrentando a la noción de justo de los filósofos paganos. Y sabe, además, que tiene que trabajar sobre el concepto de la distribución justa de la riqueza, de “esas fórmulas matemáticas de Pitágoras y de Aritóteles en la distribución social de los bienes”</w:t>
      </w:r>
      <w:r w:rsidRPr="000D3432">
        <w:rPr>
          <w:rStyle w:val="Refdenotaalpie"/>
          <w:rFonts w:asciiTheme="minorHAnsi" w:hAnsiTheme="minorHAnsi"/>
          <w:sz w:val="24"/>
          <w:szCs w:val="24"/>
          <w:lang w:val="es-ES_tradnl"/>
        </w:rPr>
        <w:footnoteReference w:id="691"/>
      </w:r>
    </w:p>
    <w:p w14:paraId="668CCF10" w14:textId="77777777" w:rsidR="00D06C42" w:rsidRPr="000D3432" w:rsidRDefault="00D06C42" w:rsidP="00A95498">
      <w:pPr>
        <w:jc w:val="both"/>
        <w:rPr>
          <w:rFonts w:asciiTheme="minorHAnsi" w:hAnsiTheme="minorHAnsi"/>
          <w:szCs w:val="24"/>
          <w:lang w:val="es-ES_tradnl"/>
        </w:rPr>
      </w:pPr>
    </w:p>
    <w:p w14:paraId="42F08A1B"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Michel Villey encuentra ciertos caracteres en la Justicia Cristiana de San Agustín, y las enumera:</w:t>
      </w:r>
    </w:p>
    <w:p w14:paraId="20EEF9DD" w14:textId="77777777" w:rsidR="00D06C42" w:rsidRPr="000D3432" w:rsidRDefault="00D06C42" w:rsidP="00A95498">
      <w:pPr>
        <w:jc w:val="both"/>
        <w:rPr>
          <w:rFonts w:asciiTheme="minorHAnsi" w:hAnsiTheme="minorHAnsi"/>
          <w:szCs w:val="24"/>
          <w:lang w:val="es-ES_tradnl"/>
        </w:rPr>
      </w:pPr>
    </w:p>
    <w:p w14:paraId="0AF454C7"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b/>
          <w:szCs w:val="24"/>
          <w:lang w:val="es-ES_tradnl"/>
        </w:rPr>
        <w:t>a) Imprecisión</w:t>
      </w:r>
    </w:p>
    <w:p w14:paraId="5A650054" w14:textId="77777777" w:rsidR="00D06C42" w:rsidRPr="000D3432" w:rsidRDefault="00D06C42" w:rsidP="00A95498">
      <w:pPr>
        <w:jc w:val="both"/>
        <w:rPr>
          <w:rFonts w:asciiTheme="minorHAnsi" w:hAnsiTheme="minorHAnsi"/>
          <w:szCs w:val="24"/>
          <w:lang w:val="es-ES_tradnl"/>
        </w:rPr>
      </w:pPr>
    </w:p>
    <w:p w14:paraId="6FCA6C88"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La justicia de San Agustín no se formula y justifica en certezas objetivables, u objetivas, y por lo tanto “no hay justicia verdadera sino en la adhesión mítica a Dios”</w:t>
      </w:r>
      <w:r w:rsidRPr="000D3432">
        <w:rPr>
          <w:rStyle w:val="Refdenotaalpie"/>
          <w:rFonts w:asciiTheme="minorHAnsi" w:hAnsiTheme="minorHAnsi"/>
          <w:sz w:val="24"/>
          <w:szCs w:val="24"/>
          <w:lang w:val="es-ES_tradnl"/>
        </w:rPr>
        <w:footnoteReference w:id="692"/>
      </w:r>
      <w:r w:rsidRPr="000D3432">
        <w:rPr>
          <w:rFonts w:asciiTheme="minorHAnsi" w:hAnsiTheme="minorHAnsi"/>
          <w:szCs w:val="24"/>
          <w:lang w:val="es-ES_tradnl"/>
        </w:rPr>
        <w:t>. Entonces la justicia no es objetiva, porque si la justicia se da en relación con Dios, y Dios es espíritu, y todas las manifestaciones divinas se dan a través del espíritu, entonces, la justicia es también “espíritu”, “no puede ser de otra manera debido a que la justicia es un espíritu”.  Por eso mismo, por esa condición divina “la justicia es informulable”, o mejor “la justicia, en sus consecuencias concretas, es informulable”</w:t>
      </w:r>
      <w:r w:rsidRPr="000D3432">
        <w:rPr>
          <w:rStyle w:val="Refdenotaalpie"/>
          <w:rFonts w:asciiTheme="minorHAnsi" w:hAnsiTheme="minorHAnsi"/>
          <w:sz w:val="24"/>
          <w:szCs w:val="24"/>
          <w:lang w:val="es-ES_tradnl"/>
        </w:rPr>
        <w:footnoteReference w:id="693"/>
      </w:r>
      <w:r w:rsidRPr="000D3432">
        <w:rPr>
          <w:rFonts w:asciiTheme="minorHAnsi" w:hAnsiTheme="minorHAnsi"/>
          <w:szCs w:val="24"/>
          <w:lang w:val="es-ES_tradnl"/>
        </w:rPr>
        <w:t xml:space="preserve">, no se puede formular. Porque estas consecuencias son temporales, se manejan y dan en el tiempo, y San Agustín “gusta e mostrar la movilidad de las instituciones jurídicas”, y es la historia quien demuestra la movilidad de las consecuencias, y porque la aplicación de la justicia -sus consecuencias concretas- si son movibles, o variables. Pero esta variabilidad o diversidad de consecuencias en la aplicación de la justicia no niega la existencia de la justicia, porque esta se propone como invariable, pero, otra vez, no sus consecuencias. Aquí el hombre entra en </w:t>
      </w:r>
      <w:r w:rsidRPr="000D3432">
        <w:rPr>
          <w:rFonts w:asciiTheme="minorHAnsi" w:hAnsiTheme="minorHAnsi"/>
          <w:szCs w:val="24"/>
          <w:lang w:val="es-ES_tradnl"/>
        </w:rPr>
        <w:lastRenderedPageBreak/>
        <w:t>conflicto con su entendimiento, porque imagina que las consecuencias variables son lo mimo que la inexistencia de justicia. Aclarando esta visión Villey parafrasea a San Agustín anotando: “Se imaginan, dice, en De Doctrina Cristiana ( III, 7 ), que ´porque la costumbre es diferente según los países y la justicia debe ser inmutable, no existe justicia. No han comprendido que este precepto: ‘quod tibi fieri non vi alii en feceris’ no ha variado con la diversidad de países’. Pero entonces no se puede dar una fórmula precisa.”</w:t>
      </w:r>
      <w:r w:rsidRPr="000D3432">
        <w:rPr>
          <w:rStyle w:val="Refdenotaalpie"/>
          <w:rFonts w:asciiTheme="minorHAnsi" w:hAnsiTheme="minorHAnsi"/>
          <w:sz w:val="24"/>
          <w:szCs w:val="24"/>
          <w:lang w:val="es-ES_tradnl"/>
        </w:rPr>
        <w:footnoteReference w:id="694"/>
      </w:r>
    </w:p>
    <w:p w14:paraId="43B28B53" w14:textId="77777777" w:rsidR="00D06C42" w:rsidRPr="000D3432" w:rsidRDefault="00D06C42" w:rsidP="00A95498">
      <w:pPr>
        <w:jc w:val="both"/>
        <w:rPr>
          <w:rFonts w:asciiTheme="minorHAnsi" w:hAnsiTheme="minorHAnsi"/>
          <w:szCs w:val="24"/>
          <w:lang w:val="es-ES_tradnl"/>
        </w:rPr>
      </w:pPr>
    </w:p>
    <w:p w14:paraId="3397DAFA"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Y no se puede dar una fórmula precisa porque esta justicia proviene del espíritu, es espíritu, y por lo tanto incognoscible por medio de la razón, es decir, no puede ser conocida por la razón, o por nuestros sentidos (vista, olfato, tacto, oido, gusto, o razón). Es algo que escapa a cualquier racionalización u objetivación. Según parece explicar San Agustín.</w:t>
      </w:r>
    </w:p>
    <w:p w14:paraId="63B86AE8" w14:textId="77777777" w:rsidR="00D06C42" w:rsidRPr="000D3432" w:rsidRDefault="00D06C42" w:rsidP="00A95498">
      <w:pPr>
        <w:jc w:val="both"/>
        <w:rPr>
          <w:rFonts w:asciiTheme="minorHAnsi" w:hAnsiTheme="minorHAnsi"/>
          <w:szCs w:val="24"/>
          <w:lang w:val="es-ES_tradnl"/>
        </w:rPr>
      </w:pPr>
    </w:p>
    <w:p w14:paraId="34EA2810" w14:textId="77777777" w:rsidR="00D06C42" w:rsidRPr="000D3432" w:rsidRDefault="00D06C42" w:rsidP="00A95498">
      <w:pPr>
        <w:jc w:val="both"/>
        <w:rPr>
          <w:rFonts w:asciiTheme="minorHAnsi" w:hAnsiTheme="minorHAnsi"/>
          <w:b/>
          <w:szCs w:val="24"/>
          <w:lang w:val="es-ES_tradnl"/>
        </w:rPr>
      </w:pPr>
    </w:p>
    <w:p w14:paraId="160FC93A"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b/>
          <w:szCs w:val="24"/>
          <w:lang w:val="es-ES_tradnl"/>
        </w:rPr>
        <w:t>b) Exigencia de perfección:</w:t>
      </w:r>
    </w:p>
    <w:p w14:paraId="76A7809F" w14:textId="77777777" w:rsidR="00D06C42" w:rsidRPr="000D3432" w:rsidRDefault="00D06C42" w:rsidP="00A95498">
      <w:pPr>
        <w:jc w:val="both"/>
        <w:rPr>
          <w:rFonts w:asciiTheme="minorHAnsi" w:hAnsiTheme="minorHAnsi"/>
          <w:szCs w:val="24"/>
          <w:lang w:val="es-ES_tradnl"/>
        </w:rPr>
      </w:pPr>
    </w:p>
    <w:p w14:paraId="12FE49B4"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Parece, para Villey, que San Agustín busca fundamentar a la justicia en la otra vida, es decir, dejaba a un lado el “interés temporal”, porque, como sabemos, profesaba la otra vida, la otra ciudad, la Ciudad de Dios. Las razones de la justicia estaban en llegar a esa ciudad de Dios. Pero el problema se enfoca, en todo acto de justicia, en toda determinación de la justicia, desde un orden temporal, desde, por ejemplo, la “distribución de los bienes” que hay en la sociedad. San Agustín, sabe, o parece saber, que no podrá lograr hacer entender su justicia Cristiana, “la renuncia total de todo interés temporal” -dice Villey. Si no entrelaza lo corporal y terrenal a su discurso. </w:t>
      </w:r>
    </w:p>
    <w:p w14:paraId="405E2E45" w14:textId="77777777" w:rsidR="00D06C42" w:rsidRPr="000D3432" w:rsidRDefault="00D06C42" w:rsidP="00A95498">
      <w:pPr>
        <w:jc w:val="both"/>
        <w:rPr>
          <w:rFonts w:asciiTheme="minorHAnsi" w:hAnsiTheme="minorHAnsi"/>
          <w:szCs w:val="24"/>
          <w:lang w:val="es-ES_tradnl"/>
        </w:rPr>
      </w:pPr>
    </w:p>
    <w:p w14:paraId="7821E986"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Sin embargo, San Agustín defiende la propiedad privada. ¿por qué? Villey explica que esto no contradecía la concepción de justicia de San Agustín, porque la propiedad privada “procede de las leyes del Estado. Eso no impide que su ideal de justicia sea comunitario.”</w:t>
      </w:r>
      <w:r w:rsidRPr="000D3432">
        <w:rPr>
          <w:rStyle w:val="Refdenotaalpie"/>
          <w:rFonts w:asciiTheme="minorHAnsi" w:hAnsiTheme="minorHAnsi"/>
          <w:sz w:val="24"/>
          <w:szCs w:val="24"/>
          <w:lang w:val="es-ES_tradnl"/>
        </w:rPr>
        <w:footnoteReference w:id="695"/>
      </w:r>
    </w:p>
    <w:p w14:paraId="4808BF6D" w14:textId="77777777" w:rsidR="00D06C42" w:rsidRPr="000D3432" w:rsidRDefault="00D06C42" w:rsidP="00A95498">
      <w:pPr>
        <w:jc w:val="both"/>
        <w:rPr>
          <w:rFonts w:asciiTheme="minorHAnsi" w:hAnsiTheme="minorHAnsi"/>
          <w:szCs w:val="24"/>
          <w:lang w:val="es-ES_tradnl"/>
        </w:rPr>
      </w:pPr>
    </w:p>
    <w:p w14:paraId="12A49B48"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Hay una teoría que más bien espanta, en la concepción de San Agustín. De pronto dice que la propiedad pervierte, porque el poseedor se convierte luego en poseído. Intenta darle vuelta a la naturaleza, y decide que quien es amo será esclavo. Parece una revolución de los pobres, que, mediante el discurso y la argumentación propone o ponen las cosas de cabeza.</w:t>
      </w:r>
    </w:p>
    <w:p w14:paraId="4FE5D519" w14:textId="77777777" w:rsidR="00D06C42" w:rsidRPr="000D3432" w:rsidRDefault="00D06C42" w:rsidP="00A95498">
      <w:pPr>
        <w:jc w:val="both"/>
        <w:rPr>
          <w:rFonts w:asciiTheme="minorHAnsi" w:hAnsiTheme="minorHAnsi"/>
          <w:szCs w:val="24"/>
          <w:lang w:val="es-ES_tradnl"/>
        </w:rPr>
      </w:pPr>
    </w:p>
    <w:p w14:paraId="3F2D05E9"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“Ya que la apropiación privada no tiene raíces en el ‘Derecho Divino’; pervierte a los poseedores que pronto dejan de poseer las cosas para ser poseídos por ellos. Ha de abandonar sus bienes, para dejarle sitio  Dios. Según la justicia cristiana, nada tampoco de sumisión violenta: el verdadero orden divino, el de los orígenes, será que el amo sea esclavo de sus esclavos, que ‘aquellos que mandan </w:t>
      </w:r>
      <w:r w:rsidRPr="000D3432">
        <w:rPr>
          <w:rFonts w:asciiTheme="minorHAnsi" w:hAnsiTheme="minorHAnsi"/>
          <w:szCs w:val="24"/>
          <w:lang w:val="es-ES_tradnl"/>
        </w:rPr>
        <w:lastRenderedPageBreak/>
        <w:t xml:space="preserve">se preocupen de los otros y sirvan a aquellos a quienes parecen mandar’.   </w:t>
      </w:r>
    </w:p>
    <w:p w14:paraId="3D488FB7" w14:textId="77777777" w:rsidR="00D06C42" w:rsidRPr="000D3432" w:rsidRDefault="00D06C42" w:rsidP="00A95498">
      <w:pPr>
        <w:jc w:val="both"/>
        <w:rPr>
          <w:rFonts w:asciiTheme="minorHAnsi" w:hAnsiTheme="minorHAnsi"/>
          <w:szCs w:val="24"/>
          <w:lang w:val="es-ES_tradnl"/>
        </w:rPr>
      </w:pPr>
    </w:p>
    <w:p w14:paraId="23BE31AE"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La justicia es el préstamo gratuito, el perdón de las deudas, la limosna. Es el obrero que llega en el último momento y que, sin embargo, recibe la misma paga que los otros. Es una paradoja permanente. Es incluso misericordia: ‘non enim sic est Deus miseriors tu injustu sit, nec sit justus, tu misericors non sit’. El juez terrenal justo será también aquel que upo tener gracia respecto de las personas a quienes juzga.”</w:t>
      </w:r>
      <w:r w:rsidRPr="000D3432">
        <w:rPr>
          <w:rStyle w:val="Refdenotaalpie"/>
          <w:rFonts w:asciiTheme="minorHAnsi" w:hAnsiTheme="minorHAnsi"/>
          <w:sz w:val="24"/>
          <w:szCs w:val="24"/>
          <w:lang w:val="es-ES_tradnl"/>
        </w:rPr>
        <w:footnoteReference w:id="696"/>
      </w:r>
    </w:p>
    <w:p w14:paraId="52849DA7" w14:textId="77777777" w:rsidR="00D06C42" w:rsidRPr="000D3432" w:rsidRDefault="00D06C42" w:rsidP="00A95498">
      <w:pPr>
        <w:jc w:val="both"/>
        <w:rPr>
          <w:rFonts w:asciiTheme="minorHAnsi" w:hAnsiTheme="minorHAnsi"/>
          <w:szCs w:val="24"/>
          <w:lang w:val="es-ES_tradnl"/>
        </w:rPr>
      </w:pPr>
    </w:p>
    <w:p w14:paraId="44A0E769"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El comentario hecho por Villey es alucinante, propio de un cuento. Recién de leido esto se entiende la transfiguración que se ha hecho del hombre y su relación con el resto. Que más tarde comentaremos, con los ánimos ya calmados. Pero previas preguntas ¿quién era este hombre, San Agustín, que proclamaba esta clase de sociedad, esta clase de justicia, y cuáles eran sus motivos?</w:t>
      </w:r>
    </w:p>
    <w:p w14:paraId="6BDA7584" w14:textId="77777777" w:rsidR="00D06C42" w:rsidRPr="000D3432" w:rsidRDefault="00D06C42" w:rsidP="00A95498">
      <w:pPr>
        <w:jc w:val="both"/>
        <w:rPr>
          <w:rFonts w:asciiTheme="minorHAnsi" w:hAnsiTheme="minorHAnsi"/>
          <w:szCs w:val="24"/>
          <w:lang w:val="es-ES_tradnl"/>
        </w:rPr>
      </w:pPr>
    </w:p>
    <w:p w14:paraId="36DB4902"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b/>
          <w:szCs w:val="24"/>
          <w:lang w:val="es-ES_tradnl"/>
        </w:rPr>
        <w:t>c) Inaptitud de la sanción</w:t>
      </w:r>
    </w:p>
    <w:p w14:paraId="158C958A" w14:textId="77777777" w:rsidR="00D06C42" w:rsidRPr="000D3432" w:rsidRDefault="00D06C42" w:rsidP="00A95498">
      <w:pPr>
        <w:jc w:val="both"/>
        <w:rPr>
          <w:rFonts w:asciiTheme="minorHAnsi" w:hAnsiTheme="minorHAnsi"/>
          <w:szCs w:val="24"/>
          <w:lang w:val="es-ES_tradnl"/>
        </w:rPr>
      </w:pPr>
    </w:p>
    <w:p w14:paraId="4D51915E"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Este es otro carácter que le da Villey a la Justicia propuesta por San Agustín. Lo interesante o más relevante está en que “las sanciones dejan de tener efecto sobre el hombre que renuncia a sus intereses”, porque el nivel no es temporal, es decir, no es terrenal, sino espiritual. Y como tal “la justicia cristiana en principio no utiliza medio de coerción.”</w:t>
      </w:r>
      <w:r w:rsidRPr="000D3432">
        <w:rPr>
          <w:rStyle w:val="Refdenotaalpie"/>
          <w:rFonts w:asciiTheme="minorHAnsi" w:hAnsiTheme="minorHAnsi"/>
          <w:sz w:val="24"/>
          <w:szCs w:val="24"/>
          <w:lang w:val="es-ES_tradnl"/>
        </w:rPr>
        <w:footnoteReference w:id="697"/>
      </w:r>
    </w:p>
    <w:p w14:paraId="3A50148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D2F6F0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FC35B6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JAMES GOLDSCHMIDT</w:t>
      </w:r>
    </w:p>
    <w:p w14:paraId="54963B8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zCs w:val="24"/>
          <w:lang w:val="es-ES_tradnl"/>
        </w:rPr>
      </w:pPr>
      <w:r w:rsidRPr="000D3432">
        <w:rPr>
          <w:rFonts w:asciiTheme="minorHAnsi" w:hAnsiTheme="minorHAnsi"/>
          <w:b/>
          <w:szCs w:val="24"/>
          <w:lang w:val="es-ES_tradnl"/>
        </w:rPr>
        <w:t>Método, Tutela Jurídica y Tribunales</w:t>
      </w:r>
    </w:p>
    <w:p w14:paraId="594A873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mallCaps/>
          <w:szCs w:val="24"/>
          <w:lang w:val="es-ES_tradnl"/>
        </w:rPr>
      </w:pPr>
    </w:p>
    <w:p w14:paraId="1B32B44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mallCaps/>
          <w:szCs w:val="24"/>
          <w:lang w:val="es-ES_tradnl"/>
        </w:rPr>
      </w:pPr>
      <w:r w:rsidRPr="000D3432">
        <w:rPr>
          <w:rFonts w:asciiTheme="minorHAnsi" w:hAnsiTheme="minorHAnsi"/>
          <w:b/>
          <w:smallCaps/>
          <w:szCs w:val="24"/>
          <w:lang w:val="es-ES_tradnl"/>
        </w:rPr>
        <w:t>Tragando el anzuelo</w:t>
      </w:r>
    </w:p>
    <w:p w14:paraId="033A08F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475CB8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Altas horas de la noche. Una noticia infausta. Necesitan un artículo de menos de diez páginas para el lunes. Es jueves. Sé desde ya que mi libertad y ocio están cortadas por un encargo. No tengo ganas de hacer nada, pero digo: “sí”, “por mí no hay problema”. Claro que eso no es cierto; sí hay problema. El problema es sobre qué escribir; además no soy un genio, apenas un aficionado. Pero ya estoy embarcado en el encargo y pienso:  otra vez “el pez muere por su propia boca”. Así que hoy sábado me dispongo a cumplir el vil encargo: escribir algo sobre Derecho. Hubiera querido decir No, y echar al tacho del olvido cualquier sentimiento de solidaridad, pero no puedo, y me resigno a escribir algunas líneas. Cualquier obligación es ya una cadena, algo de lo que me gusta liberarme lo más rápido posible, como quien huye de su suegra.</w:t>
      </w:r>
    </w:p>
    <w:p w14:paraId="160E134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506405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caps/>
          <w:szCs w:val="24"/>
          <w:lang w:val="es-ES_tradnl"/>
        </w:rPr>
      </w:pPr>
      <w:r w:rsidRPr="000D3432">
        <w:rPr>
          <w:rFonts w:asciiTheme="minorHAnsi" w:hAnsiTheme="minorHAnsi"/>
          <w:b/>
          <w:caps/>
          <w:szCs w:val="24"/>
          <w:lang w:val="es-ES_tradnl"/>
        </w:rPr>
        <w:t>James Goldschmidt</w:t>
      </w:r>
    </w:p>
    <w:p w14:paraId="4BE02B1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1E2F6F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2001, mediados del año anotado. Una escalerita de madera me ha llevado a ubicar, en uno de los altos rincones de la Biblioteca de la Facultad de Derecho de la UPT,  un grueso libro de </w:t>
      </w:r>
      <w:r w:rsidRPr="000D3432">
        <w:rPr>
          <w:rFonts w:asciiTheme="minorHAnsi" w:hAnsiTheme="minorHAnsi"/>
          <w:i/>
          <w:szCs w:val="24"/>
          <w:lang w:val="es-ES_tradnl"/>
        </w:rPr>
        <w:t>James Goldschmidt</w:t>
      </w:r>
      <w:r w:rsidRPr="000D3432">
        <w:rPr>
          <w:rFonts w:asciiTheme="minorHAnsi" w:hAnsiTheme="minorHAnsi"/>
          <w:szCs w:val="24"/>
          <w:lang w:val="es-ES_tradnl"/>
        </w:rPr>
        <w:t>. El gran procesalista alemán. En la portada del libro se lee: Prof. James Goldschmidt. Derecho procesal Civil. Traducción de la segunda edición alemana, y del código procesal civil alemán, incluido como apéndice. Por Leonardo Prieto Castro Catedrático de la Universidad de Zaragoza. Con adiciones sobre la Doctrina y la Legislación española . Por Niceto Alcalá-Zamora Castillo Catedrático de la Universidad de Valencia. Editorial Labor, S.A. Barcelona -Madrid - Buenos Aires -Rio de Janeiro. 1936.</w:t>
      </w:r>
    </w:p>
    <w:p w14:paraId="2B2A20A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A32765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Este librazo tiene más de 900 paginas, con letras apretadísimas y pequeñas; sus hojas han sido ya afectadas por el tiempo que les ha dado el matiz amarillo, desgastado, macerado y sin embargo reaccionario, o resistente aún. Sus hojas amarillas prefiguran una verdadera elipsis temporal. </w:t>
      </w:r>
    </w:p>
    <w:p w14:paraId="4CF3984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825314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Leer ese libro en su totalidad es casi imposible. Tiene demasiada información apretadísima y sintética. Así que el mejor método para abordarlo es leer sólo partes de él, e intentar mediante la intuición y el razonamiento hacer una </w:t>
      </w:r>
      <w:r w:rsidRPr="000D3432">
        <w:rPr>
          <w:rFonts w:asciiTheme="minorHAnsi" w:hAnsiTheme="minorHAnsi"/>
          <w:szCs w:val="24"/>
          <w:lang w:val="es-ES_tradnl"/>
        </w:rPr>
        <w:lastRenderedPageBreak/>
        <w:t>sinopsis de la sabiduría contenida en la obra de James Goldschmidt. Esto por supuesto es dificilísimo. Empezaremos pues la faena.</w:t>
      </w:r>
    </w:p>
    <w:p w14:paraId="05E17DE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6A8482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Su libro: </w:t>
      </w:r>
      <w:r w:rsidRPr="000D3432">
        <w:rPr>
          <w:rFonts w:asciiTheme="minorHAnsi" w:hAnsiTheme="minorHAnsi"/>
          <w:i/>
          <w:szCs w:val="24"/>
          <w:lang w:val="es-ES_tradnl"/>
        </w:rPr>
        <w:t>Derecho Procesal Civil</w:t>
      </w:r>
      <w:r w:rsidRPr="000D3432">
        <w:rPr>
          <w:rFonts w:asciiTheme="minorHAnsi" w:hAnsiTheme="minorHAnsi"/>
          <w:szCs w:val="24"/>
          <w:lang w:val="es-ES_tradnl"/>
        </w:rPr>
        <w:t xml:space="preserve">,  consigna en el primer capítulo, página 1, el primer razonamiento procesal. Allí se lee: </w:t>
      </w:r>
      <w:r w:rsidRPr="000D3432">
        <w:rPr>
          <w:rFonts w:asciiTheme="minorHAnsi" w:hAnsiTheme="minorHAnsi"/>
          <w:i/>
          <w:szCs w:val="24"/>
          <w:lang w:val="es-ES_tradnl"/>
        </w:rPr>
        <w:t>Nociones fundamentales. 1. Naturaleza del proceso civil.</w:t>
      </w:r>
      <w:r w:rsidRPr="000D3432">
        <w:rPr>
          <w:rFonts w:asciiTheme="minorHAnsi" w:hAnsiTheme="minorHAnsi"/>
          <w:szCs w:val="24"/>
          <w:lang w:val="es-ES_tradnl"/>
        </w:rPr>
        <w:t xml:space="preserve"> Donde describe, desde ya, lo que significa el “proceso civil”: </w:t>
      </w:r>
    </w:p>
    <w:p w14:paraId="70E511AD"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708" w:right="567"/>
        <w:jc w:val="both"/>
        <w:rPr>
          <w:rFonts w:asciiTheme="minorHAnsi" w:hAnsiTheme="minorHAnsi"/>
          <w:szCs w:val="24"/>
          <w:lang w:val="es-ES_tradnl"/>
        </w:rPr>
      </w:pPr>
      <w:r w:rsidRPr="000D3432">
        <w:rPr>
          <w:rFonts w:asciiTheme="minorHAnsi" w:hAnsiTheme="minorHAnsi"/>
          <w:szCs w:val="24"/>
          <w:lang w:val="es-ES_tradnl"/>
        </w:rPr>
        <w:t xml:space="preserve">“el proceso civil … es el método que siguen los Tribunales para definir la existencia del derecho de la persona que demanda, frente al Estado, a ser tutelada jurídicamente, y para otorgar esta tutela en el caso de que tal derecho exista.” </w:t>
      </w:r>
    </w:p>
    <w:p w14:paraId="1EE4105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E52874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Hay varios conceptos claves en esta definición de proceso civil: “Método”, “Tribunales”, “Definir el Derecho”, “Tutela jurídica”. “Estado”. Intentaremos una primera aproximación.</w:t>
      </w:r>
    </w:p>
    <w:p w14:paraId="2F1CB42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B38956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mallCaps/>
          <w:szCs w:val="24"/>
          <w:lang w:val="es-ES_tradnl"/>
        </w:rPr>
      </w:pPr>
      <w:r w:rsidRPr="000D3432">
        <w:rPr>
          <w:rFonts w:asciiTheme="minorHAnsi" w:hAnsiTheme="minorHAnsi"/>
          <w:b/>
          <w:smallCaps/>
          <w:szCs w:val="24"/>
          <w:lang w:val="es-ES_tradnl"/>
        </w:rPr>
        <w:t>Método:</w:t>
      </w:r>
    </w:p>
    <w:p w14:paraId="44C7C08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ab/>
      </w:r>
    </w:p>
    <w:p w14:paraId="3E327CB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Este es un concepto que alude al orden, como contraposición al caos, al desorden. El significado puede ir desde el dado por José Ferrater Mora, quien define al método como el “orden manifestado en un conjunto de reglas”, hasta los dados por Friedrich Nietzsche: “el método, el cual tiene que ser esencialmente economía de principios”. Hemos de usar más bien el concepto que da Claude Du Pasquier, que entiende al método como el “conjunto de procedimientos intelectuales de que hace uso el jurista para descubrir la verdad jurídica”. Es en este último sentido en el cual parece incidir James Goldschmidt. Lo importante de tener “método” es que ello nos permite “afrontar un determinado problema”, y darle tratamiento; en términos de Umberto Eco, se diría, que el método no es nada más que “adquisición de una capacidad para localizar los problemas, para afrontarlos…, y para exponerlos siguiendo ciertas técnicas de comunicación”. Eso significaría que el proceso civil es un método, cierta capacidad para el tratamiento de los problemas jurídicos y solución, o resolución de los mismos a través de los medios permitidos por ley, o sea a través de técnicas de comunicación (formas). El método en el proceso civil es determinado por las formas, pero los que usan el método no tienen que ser forma (concepción cuadrada y matemática del procedimiento) sino “</w:t>
      </w:r>
      <w:r w:rsidRPr="000D3432">
        <w:rPr>
          <w:rFonts w:asciiTheme="minorHAnsi" w:hAnsiTheme="minorHAnsi"/>
          <w:i/>
          <w:szCs w:val="24"/>
          <w:lang w:val="es-ES_tradnl"/>
        </w:rPr>
        <w:t xml:space="preserve">forma y”; </w:t>
      </w:r>
      <w:r w:rsidRPr="000D3432">
        <w:rPr>
          <w:rFonts w:asciiTheme="minorHAnsi" w:hAnsiTheme="minorHAnsi"/>
          <w:szCs w:val="24"/>
          <w:lang w:val="es-ES_tradnl"/>
        </w:rPr>
        <w:t>este “y” indica el uso de las formas con el matiz humano, con la plasticidad que permiten las relaciones humanas; así el método en el proceso civil se convierte en la “elección ordenada de los medios más adecuados para llegar a las metas”, que son, en esta materia, la solución o resolución de los conflictos de intereses y la eliminación de una incertidumbre jurídica, que lleva necesariamente a establecer o “definir un derecho”, que a su vez integra necesariamente una “tutela jurídica” por parte del Estado. A todo esto se refiere el James Goldschmidt.</w:t>
      </w:r>
    </w:p>
    <w:p w14:paraId="31E7921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BDC176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b/>
          <w:i/>
          <w:szCs w:val="24"/>
          <w:lang w:val="es-ES_tradnl"/>
        </w:rPr>
        <w:t>Tribunales:</w:t>
      </w:r>
    </w:p>
    <w:p w14:paraId="657ABA3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04683C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La alusión que hace Goldschmidt a los Tribunales está clara: La exigencia del ciudadano de recurrir a los Tribunales para que este defina la existencia o no del </w:t>
      </w:r>
      <w:r w:rsidRPr="000D3432">
        <w:rPr>
          <w:rFonts w:asciiTheme="minorHAnsi" w:hAnsiTheme="minorHAnsi"/>
          <w:szCs w:val="24"/>
          <w:lang w:val="es-ES_tradnl"/>
        </w:rPr>
        <w:lastRenderedPageBreak/>
        <w:t xml:space="preserve">derecho reclamado, demandado. Lo curioso es que Goldschmidt cerca al proceso civil como categoría del Derecho Público. Su referencia de que “el proceso civil es el método que siguen los Tribunales”  indica que está tomando un razonamiento  jerárquico procesal y en la cual ubica en la cima los Tribunales y no al individuo. El proceso civil no es ya el uso de los individuos para exigir su derecho, y por consiguiente la tutela jurídica del Estado, sino que son los Tribunales, el todo, los que son tomados como índice de análisis de lo que es el proceso civil. El proceso así es sólo el medio de los Tribunales para configurar su actuación o no. La figura central: Los Tribunales. </w:t>
      </w:r>
    </w:p>
    <w:p w14:paraId="1C3970A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2A3CC4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En la doctrina política esta potestad, poder, de los Tribunales se debe a que el hombre en un determinado momento de su existencia, adoptó también un determinado modo de convivencia, un régimen político, Monarquía, República, Dictadura, etc. El hecho es que esto se produce como consecuencia de la historia política. Luego de haberse puesto de acuerdo, los hombres, que la acción directa, el sistema de autocomposición de solución de conflictos, la ley de la selva, hacerse justicia por cuenta o mano propia, calificar personalmente la pretensión, etc., no les convenía, determinaron pasar a otro sistema político -de organización de la sociedad-  denominado la acción indirecta, el sistema de heterocomposición, el contrato social, etc, por medio de la cual cedían a un tercero la potestad de decidir sobre un determinado conflicto de intereses.  Sucede luego la monopolización del poder en manos de un ente abstracto al cual se le llama Estado,  y como este tiene todo el poder deciden dividirlo en tres, denominados: Poder Ejecutivo (Gobierno), Poder Legislativo (Congreso, Cámaras, etc. Dan leyes), Poder Judicial (Tribunales, Cortes, Juzgados, etc. Administran la Justicia). Este último poder es al que se refiere Goldschmitd</w:t>
      </w:r>
      <w:r w:rsidRPr="000D3432">
        <w:rPr>
          <w:rFonts w:asciiTheme="minorHAnsi" w:hAnsiTheme="minorHAnsi"/>
          <w:position w:val="7"/>
          <w:szCs w:val="24"/>
          <w:lang w:val="es-ES_tradnl"/>
        </w:rPr>
        <w:t>9 </w:t>
      </w:r>
      <w:r w:rsidRPr="000D3432">
        <w:rPr>
          <w:rFonts w:asciiTheme="minorHAnsi" w:hAnsiTheme="minorHAnsi"/>
          <w:szCs w:val="24"/>
          <w:lang w:val="es-ES_tradnl"/>
        </w:rPr>
        <w:t>, para el cual ha sido creado el proceso civil como instrumento de su actuación, como sistema de su operatividad. Ellos -los Tribunales- son a fin de cuentas los que determinarán si existe derecho o no; tienen el poder de “definir la existencia del derecho de la persona que demanda”.</w:t>
      </w:r>
    </w:p>
    <w:p w14:paraId="40E175B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46D11B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74C9FF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1A0EF4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b/>
          <w:i/>
          <w:szCs w:val="24"/>
          <w:lang w:val="es-ES_tradnl"/>
        </w:rPr>
        <w:t>Definiendo el Derecho:</w:t>
      </w:r>
    </w:p>
    <w:p w14:paraId="3608C4B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96EC03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Para Goldschmitd son los Tribunales los que definen, a través del proceso, la existencia o no del derecho del demandante. Por este supuesto. El demandante exige que el Estado lo tutele, o mejor dicho, tutele su pretensión, su derecho; para ello necesita que los Tribunales confirmen su pretensión como derecho existente. </w:t>
      </w:r>
    </w:p>
    <w:p w14:paraId="78D02EB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59CA8D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Así, el proceso civil es un medio, un conjunto ordenado, para llegar a cierta verdad jurídica, con el fin de establecer un derecho o desestimarlo, etc. pero ¿cómo definir el derecho, la existencia de un derecho? El medio es el proceso,  el fin es el derecho, la determinación del derecho y su consecuente tutela. ¿Cómo se hace eso?, ¿cómo se define el derecho? ¿porqué el derecho  tiene que ser definido por un tercero (El Estado) y no por cada individuo?</w:t>
      </w:r>
    </w:p>
    <w:p w14:paraId="4606779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12748E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Para definir el Derecho es necesario establecer primero con qué criterios se va a hacer. Puede, por ejemplo, usarse la corriente jurídica iusnaturalista, la positivista, etc. El Derecho, en el primer caso, sería definido por lo que es “justo”; sólo lo que es justo es Derecho. En la jusfilosofía del positivismo Derecho sería sólo lo que estaría escrito, lo positivo, lo puesto. El Derecho seria la norma escrita, si no hay norma escrita no hay Derecho.</w:t>
      </w:r>
    </w:p>
    <w:p w14:paraId="5B25A13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4DA66AC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La necesidad de todo esto es de dar fijeza a los criterios de decisión, “En el texto de Pomponio, …, se nos decía que las leyes se escribieron en una tablas de bronce y que fueron colocadas en la plaza pública, para que pudieran ser abiertamente conocidas por todos. Se trata de dotar de fijeza a los criterios generales de decisión. De poder pre-decir o pronosticar con alguna dosis de acierto el resultado de los futuros litigios.” (Luis Diez Picazo). </w:t>
      </w:r>
    </w:p>
    <w:p w14:paraId="045B81F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45962F4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El Derecho ha sido siempre muchas cosas. El Derecho era, en el incanato, lo que el Inca, el hijo del sol, decía que era. En las monarquías antiguas el Derecho era también lo que estos monarcas decían que era. Las leyes se dictaban para que las cumpliera el pueblo, no para el Monarca.. </w:t>
      </w:r>
    </w:p>
    <w:p w14:paraId="2DA1BB3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098452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Los antecedentes de establecimiento o definición del Derecho nos lleva incluso a recordar a Justiniano, emperador romano que compiló y codificó el Derecho romano de su tiempo, documento editado en Constantinopla, y que finalmente recibió el nombre de Corpus Juris Civilis. La intención de Justiniano era establecer de una vez por todas lo que era Derecho. El </w:t>
      </w:r>
      <w:r w:rsidRPr="000D3432">
        <w:rPr>
          <w:rFonts w:asciiTheme="minorHAnsi" w:hAnsiTheme="minorHAnsi"/>
          <w:i/>
          <w:szCs w:val="24"/>
          <w:lang w:val="es-ES_tradnl"/>
        </w:rPr>
        <w:t>Corpus Juris Civilis</w:t>
      </w:r>
      <w:r w:rsidRPr="000D3432">
        <w:rPr>
          <w:rFonts w:asciiTheme="minorHAnsi" w:hAnsiTheme="minorHAnsi"/>
          <w:szCs w:val="24"/>
          <w:lang w:val="es-ES_tradnl"/>
        </w:rPr>
        <w:t xml:space="preserve">. Esa preocupación fue tan severa que Justiniano prohibió incluso se hicieran comentarios sobre la compilación editada. No se permitían citas a los anteriores doctrinarios. El Derecho empezaba y terminaba con el </w:t>
      </w:r>
      <w:r w:rsidRPr="000D3432">
        <w:rPr>
          <w:rFonts w:asciiTheme="minorHAnsi" w:hAnsiTheme="minorHAnsi"/>
          <w:i/>
          <w:szCs w:val="24"/>
          <w:lang w:val="es-ES_tradnl"/>
        </w:rPr>
        <w:t>Corpus Juris Civilis</w:t>
      </w:r>
      <w:r w:rsidRPr="000D3432">
        <w:rPr>
          <w:rFonts w:asciiTheme="minorHAnsi" w:hAnsiTheme="minorHAnsi"/>
          <w:szCs w:val="24"/>
          <w:lang w:val="es-ES_tradnl"/>
        </w:rPr>
        <w:t>. Esta tendencia a definir el Derecho en un cuerpo normativo escrito tiene su consecuencia en el Código Napoleónico. Napoleón, hombre sagaz, inteligente, astuto, con genio militar y político, quería también hacer un Derecho universal, definir el Derecho. Sabido es que la codificación fue un intento de universalización. Fue el Código Napoleónico la obra más grande de éste. “no son Austerlitz, Eylau y Valladolid los verdaderos trabajos hercúleos de Napoleón Bonaparte, sino los años en que se vuelve a estructurar la Francia desordenada, desgarrada por los partidos dentro de un Estado con fuerza vital, en el que los asignados desvalorizados son sustituidos por verdaderos valores; en los que el nuevo Código napoleónico da forma, severa y humana al mismo tiempo, al derecho y a las costumbres, a los que este alto genio político impone su acción saludable en todos los terrenos de la administración del Estado, y apacigua a Europa.” (Stefan Zweig).</w:t>
      </w:r>
    </w:p>
    <w:p w14:paraId="5CA20C5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4FC116C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El Derecho, pues, debe ser definido por el Estado porque una simple cuestión. Si se deja calificar y determinar lo que es derecho a cada individuo se entraría en el estado de guerra de todos contra todos. Por eso se le ha dado a un tercero la potestad de decidir, y a las partes la potestad de presentar las pruebas de que su pretensión es justa. “Si cada individuo o cada minoría se otorgara el derecho de definir lo que es justo, ese sectarismo se convertiría pronto en ‘todos contra </w:t>
      </w:r>
      <w:r w:rsidRPr="000D3432">
        <w:rPr>
          <w:rFonts w:asciiTheme="minorHAnsi" w:hAnsiTheme="minorHAnsi"/>
          <w:szCs w:val="24"/>
          <w:lang w:val="es-ES_tradnl"/>
        </w:rPr>
        <w:lastRenderedPageBreak/>
        <w:t xml:space="preserve">todos’ (Régis Debray). Por eso la definición del Derecho está a cargo del Estado, de los Tribunales. La finalidad es de conciliar la libertad del hombre con la necesidad de un orden social. La libertad se extiende hasta donde empieza la libertad del otro. Son razones de convivencia. Una vez planteada o definido el Derecho, el Estado tiene la obligación de tutelar ese derecho. Eso se llama Tutela Jurídica. </w:t>
      </w:r>
    </w:p>
    <w:p w14:paraId="3D94166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52C512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i/>
          <w:szCs w:val="24"/>
          <w:lang w:val="es-ES_tradnl"/>
        </w:rPr>
      </w:pPr>
      <w:r w:rsidRPr="000D3432">
        <w:rPr>
          <w:rFonts w:asciiTheme="minorHAnsi" w:hAnsiTheme="minorHAnsi"/>
          <w:b/>
          <w:i/>
          <w:szCs w:val="24"/>
          <w:lang w:val="es-ES_tradnl"/>
        </w:rPr>
        <w:t>La Tutela Jurídica:</w:t>
      </w:r>
    </w:p>
    <w:p w14:paraId="4031EF9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56C0D36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La Tutela jurídica o jurisdiccional, “el que tiene todo sujeto de derechos -solo por el hecho de serlo- y que lo titula para exigir al Estado haga efectiva su función jurisdiccional.” (Juan Monroy Gálvez). El código parece más claro: Artículo I.- </w:t>
      </w:r>
      <w:r w:rsidRPr="000D3432">
        <w:rPr>
          <w:rFonts w:asciiTheme="minorHAnsi" w:hAnsiTheme="minorHAnsi"/>
          <w:i/>
          <w:szCs w:val="24"/>
          <w:lang w:val="es-ES_tradnl"/>
        </w:rPr>
        <w:t>Derecho a la tutela jurisdiccional efectiva.</w:t>
      </w:r>
      <w:r w:rsidRPr="000D3432">
        <w:rPr>
          <w:rFonts w:asciiTheme="minorHAnsi" w:hAnsiTheme="minorHAnsi"/>
          <w:szCs w:val="24"/>
          <w:lang w:val="es-ES_tradnl"/>
        </w:rPr>
        <w:t xml:space="preserve"> Toda persona tiene derecho a la tutela jurisdiccional efectiva para el ejercicio o defensa de sus derechos o intereses, con sujeción a un debido proceso”.</w:t>
      </w:r>
    </w:p>
    <w:p w14:paraId="3E7B4A6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AE1EA1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Ha de tenerse en cuenta que en el Derecho Procesal el ideal es contradictorio al propuesto por un Filósofo Alemán: Kant. El Derecho procesal es un instrumento para conseguir la tutela del Estado. Kant propugnaba, por el contrario, por todos los medios, la liberación del hombre de su tutela, y define esta condición de liberación en el concepto de Ilustración, “La ilustración es la liberación del hombre de su culpable incapacidad”, incapacidad de hacerse justicia por propia cuenta, “la incapacidad significa la imposibilidad de servirse de su inteligencia sin la guía de otro”. El otro, en este caso, sería el Estado. La culpabilidad de solicitar tutela no está en el poder, sino en la falta de valor, “Esta incapacidad es culpable porque su causa no reside en la falta de inteligencia sino de decisión y de valor para servirse por si mismo de ella, sin la tutela de otro.” Y es precisamente la tutela, y además “jurídica”, la que propone o dispone el Derecho Procesal. Es decir que en el Derecho subjetivo lo inherente es la idea, pero, acaso el Derecho tiene su existencia en el Derecho procesal, es decir, en  aquellas técnicas, formas o modos de solucionar los conflictos de intereses.</w:t>
      </w:r>
    </w:p>
    <w:p w14:paraId="67DD852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szCs w:val="24"/>
          <w:lang w:val="es-ES_tradnl"/>
        </w:rPr>
      </w:pPr>
      <w:r w:rsidRPr="000D3432">
        <w:rPr>
          <w:rFonts w:asciiTheme="minorHAnsi" w:hAnsiTheme="minorHAnsi"/>
          <w:szCs w:val="24"/>
          <w:lang w:val="es-ES_tradnl"/>
        </w:rPr>
        <w:t>*   *</w:t>
      </w:r>
    </w:p>
    <w:p w14:paraId="384A60D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871137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El proceso civil es así nada más que “el método” para “definir” la “existencia del derecho de una persona”. Este método (pasos, secuencias, ordenados) es -dice Goldschmidt- el que “siguen los Tribunales”.</w:t>
      </w:r>
    </w:p>
    <w:p w14:paraId="4505428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5D7188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El Estado estaría así -a través de sus Tribunales- obligado a definir “la existencia o no existencia del derecho demandado”, a (en caso concurra el derecho) declarar este derecho y consecuentemente otorgar “la tutela jurídica”.</w:t>
      </w:r>
    </w:p>
    <w:p w14:paraId="57D3DB5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5916CC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Esto está clarísimo. Existe un método de conocimiento o de definición.</w:t>
      </w:r>
    </w:p>
    <w:p w14:paraId="670794B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8E0285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En este supuesto existe un individuo que exige frente al Estado tutela jurídica, y los Tribunales en atención a este derecho,  “a exigir tutela jurídica” en vista de ser de competencia administrar justicia” por el  monopolio que de este han obtenido.</w:t>
      </w:r>
    </w:p>
    <w:p w14:paraId="3A78438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2C2AB0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lastRenderedPageBreak/>
        <w:t xml:space="preserve">Esto indica que el Estado está en la obligación de administrar justicia. Esta es la concesión hecha por la sociedad, por la cual el hombre acepta y decide que otro, un tercero “el Estado” administre justicia. </w:t>
      </w:r>
    </w:p>
    <w:p w14:paraId="71279BA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78B68C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El proceso civil, entonces, es un método que usan los Tribunales, ¿para qué? Para definir la existencia del derecho de la persona que demanda ante el Estado tutela jurídica.</w:t>
      </w:r>
    </w:p>
    <w:p w14:paraId="5A3E7D2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A54B84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szCs w:val="24"/>
          <w:lang w:val="es-ES_tradnl"/>
        </w:rPr>
      </w:pPr>
      <w:r w:rsidRPr="000D3432">
        <w:rPr>
          <w:rFonts w:asciiTheme="minorHAnsi" w:hAnsiTheme="minorHAnsi"/>
          <w:szCs w:val="24"/>
          <w:lang w:val="es-ES_tradnl"/>
        </w:rPr>
        <w:t>* *</w:t>
      </w:r>
    </w:p>
    <w:p w14:paraId="0F2E7DF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Hay además otros elementos analizados por Goldschmidt, una clasificación del proceso civil: </w:t>
      </w:r>
      <w:r w:rsidRPr="000D3432">
        <w:rPr>
          <w:rFonts w:asciiTheme="minorHAnsi" w:hAnsiTheme="minorHAnsi"/>
          <w:b/>
          <w:szCs w:val="24"/>
          <w:lang w:val="es-ES_tradnl"/>
        </w:rPr>
        <w:t>a)</w:t>
      </w:r>
      <w:r w:rsidRPr="000D3432">
        <w:rPr>
          <w:rFonts w:asciiTheme="minorHAnsi" w:hAnsiTheme="minorHAnsi"/>
          <w:szCs w:val="24"/>
          <w:lang w:val="es-ES_tradnl"/>
        </w:rPr>
        <w:t xml:space="preserve"> El Proceso civil es un procedimiento, un camino concebido para la aplicación del Derecho. Cumple, en tanto algunas funciones. a).1. una función esencialmente lógico-teórica encaminada a determinar en cada caso lo que sea justo. a) 1. Ejecutar lo reconocido como Derecho.</w:t>
      </w:r>
    </w:p>
    <w:p w14:paraId="05A273F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4446EC3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James Goldschmidt, con una clara capacidad metodológica, afirma que “El objeto del proceso civil es el examen del Derecho (pretensión) del actor contra el Estado a obtener la tutela jurídica, mediante sentencia favorable y consiguiente ejecución de la misma (acción penal), si fuera susceptible de ella (es decir, si es una sentencia condenatoria o una prestación o a permitir la ejecución forzosa).</w:t>
      </w:r>
    </w:p>
    <w:p w14:paraId="7698E3E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26C807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778A3E9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i/>
          <w:color w:val="943634" w:themeColor="accent2" w:themeShade="BF"/>
          <w:szCs w:val="24"/>
          <w:u w:val="single"/>
          <w:lang w:val="es-ES_tradnl"/>
        </w:rPr>
      </w:pPr>
      <w:r w:rsidRPr="000D3432">
        <w:rPr>
          <w:rFonts w:asciiTheme="minorHAnsi" w:hAnsiTheme="minorHAnsi"/>
          <w:b/>
          <w:i/>
          <w:color w:val="943634" w:themeColor="accent2" w:themeShade="BF"/>
          <w:szCs w:val="24"/>
          <w:u w:val="single"/>
          <w:lang w:val="es-ES_tradnl"/>
        </w:rPr>
        <w:t>FRANCESCO CARNELUTTI</w:t>
      </w:r>
    </w:p>
    <w:p w14:paraId="0D90C28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szCs w:val="24"/>
          <w:lang w:val="es-ES_tradnl"/>
        </w:rPr>
      </w:pPr>
      <w:r w:rsidRPr="000D3432">
        <w:rPr>
          <w:rFonts w:asciiTheme="minorHAnsi" w:hAnsiTheme="minorHAnsi"/>
          <w:b/>
          <w:i/>
          <w:szCs w:val="24"/>
          <w:lang w:val="es-ES_tradnl"/>
        </w:rPr>
        <w:t>El Arte del Derecho</w:t>
      </w:r>
    </w:p>
    <w:p w14:paraId="0583CFE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mallCaps/>
          <w:szCs w:val="24"/>
          <w:lang w:val="es-ES_tradnl"/>
        </w:rPr>
      </w:pPr>
    </w:p>
    <w:p w14:paraId="2CCC558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mallCaps/>
          <w:szCs w:val="24"/>
          <w:lang w:val="es-ES_tradnl"/>
        </w:rPr>
      </w:pPr>
    </w:p>
    <w:p w14:paraId="35F99F6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smallCaps/>
          <w:szCs w:val="24"/>
          <w:lang w:val="es-ES_tradnl"/>
        </w:rPr>
      </w:pPr>
    </w:p>
    <w:p w14:paraId="4465860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Tenía a la mano el “Sistema de Derecho Procesal Civil” de Carnelutti, y entonces pensé en escribir sobre él. ¡Era perfecto!. Un clásico. Un pensador. Un jurista, y además italiano, o sea romano, de donde proviene el plus del Derecho.</w:t>
      </w:r>
    </w:p>
    <w:p w14:paraId="05D31F7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F6C0F0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Bien, a Carnelutti lo conocí en la biblioteca del INC de Tacna. Los rumores sobre su genialidad en el Derecho habían alertado mi curiosidad, y presto a comprobar tales vientos, con mirada cientificista, busqué al bendito autor en las fichas de la biblioteca. ¡Un hallazgo!, una ficha, rasgada por el tiempo y el uso, pareció ubicarme en el propósito: </w:t>
      </w:r>
      <w:r w:rsidRPr="000D3432">
        <w:rPr>
          <w:rFonts w:asciiTheme="minorHAnsi" w:hAnsiTheme="minorHAnsi"/>
          <w:i/>
          <w:szCs w:val="24"/>
          <w:lang w:val="es-ES_tradnl"/>
        </w:rPr>
        <w:t>Arte del Derecho</w:t>
      </w:r>
      <w:r w:rsidRPr="000D3432">
        <w:rPr>
          <w:rFonts w:asciiTheme="minorHAnsi" w:hAnsiTheme="minorHAnsi"/>
          <w:szCs w:val="24"/>
          <w:lang w:val="es-ES_tradnl"/>
        </w:rPr>
        <w:t>. Francesco Carnelutti. Consignaba la ficha. Saqué el libro. Lo miré hasta con desgano; era chiquito, de letras pequeñas. Le di una mirada mediocre y luego me fui.</w:t>
      </w:r>
    </w:p>
    <w:p w14:paraId="3F89226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AF8F53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Mucho más tarde pude fotocopiarlo, y empecé a leerlo como quien no está muy convencido de la utilidad de ello. No resultó así. El mediocre había sido yo, no el autor. Carnelutti se desplaza en sus páginas con soltura, lucidez y hasta cordialidad. Sus análisis me inquietaron. Sucedía con él lo que no había ocurrido con otros autores: parecía resolverme algunos problemas fundamentales del Derecho. Parecía un gran razonador y no un fantoche. </w:t>
      </w:r>
    </w:p>
    <w:p w14:paraId="0BE3791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0A895A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Lo que primero me impresionó fue su sinceridad y atrevimiento: “Pido indulgencia por el atrevimiento de haber escrito estas páginas en español, aunque casi no conozca el idioma de Don Quijote, …”</w:t>
      </w:r>
      <w:r w:rsidRPr="000D3432">
        <w:rPr>
          <w:rFonts w:asciiTheme="minorHAnsi" w:hAnsiTheme="minorHAnsi"/>
          <w:position w:val="7"/>
          <w:szCs w:val="24"/>
          <w:lang w:val="es-ES_tradnl"/>
        </w:rPr>
        <w:t>10 </w:t>
      </w:r>
      <w:r w:rsidRPr="000D3432">
        <w:rPr>
          <w:rFonts w:asciiTheme="minorHAnsi" w:hAnsiTheme="minorHAnsi"/>
          <w:szCs w:val="24"/>
          <w:lang w:val="es-ES_tradnl"/>
        </w:rPr>
        <w:t xml:space="preserve"> Por que, como dije líneas arriba, Carnelutti era italiano, nacido en Venecia, 1879. Llevaba, entonces, encima la estirpe de la raza latina, por lo tanto hablaba y pensaba en italiano; pero se atrevió además a escribir en Castellano. Tuvo, según cuenta, una razón para atreverse a escribir en español, y era ese deseo traducido en intento, de que el texto escrito por el no sufriera “una pérdida de la fuerza expresiva”</w:t>
      </w:r>
      <w:r w:rsidRPr="000D3432">
        <w:rPr>
          <w:rFonts w:asciiTheme="minorHAnsi" w:hAnsiTheme="minorHAnsi"/>
          <w:position w:val="7"/>
          <w:szCs w:val="24"/>
          <w:lang w:val="es-ES_tradnl"/>
        </w:rPr>
        <w:t>11 </w:t>
      </w:r>
      <w:r w:rsidRPr="000D3432">
        <w:rPr>
          <w:rFonts w:asciiTheme="minorHAnsi" w:hAnsiTheme="minorHAnsi"/>
          <w:szCs w:val="24"/>
          <w:lang w:val="es-ES_tradnl"/>
        </w:rPr>
        <w:t>. Estaba convencido que, a pesar de todos los esfuerzos hechos, la traducción restaba o transformaba la energía inicial de todo texto. Pero había además otra razón, que confiesa más adelante, y es que escribir en otro idioma le provocaba algo así como “una expansión de la personalidad”</w:t>
      </w:r>
      <w:r w:rsidRPr="000D3432">
        <w:rPr>
          <w:rFonts w:asciiTheme="minorHAnsi" w:hAnsiTheme="minorHAnsi"/>
          <w:position w:val="7"/>
          <w:szCs w:val="24"/>
          <w:lang w:val="es-ES_tradnl"/>
        </w:rPr>
        <w:t>12 </w:t>
      </w:r>
      <w:r w:rsidRPr="000D3432">
        <w:rPr>
          <w:rFonts w:asciiTheme="minorHAnsi" w:hAnsiTheme="minorHAnsi"/>
          <w:szCs w:val="24"/>
          <w:lang w:val="es-ES_tradnl"/>
        </w:rPr>
        <w:t xml:space="preserve"> </w:t>
      </w:r>
    </w:p>
    <w:p w14:paraId="4E8334DD"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A8FD768"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Bueno, Carnelutti, habíame inquietado, pues, porque sus primeras líneas no eran petulancias líricas o gramaticales, y además sus razonamientos eran perfectamente adaptables a mi entendimiento. </w:t>
      </w:r>
    </w:p>
    <w:p w14:paraId="1B47717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ED7F2E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Cogí, pues a Carnelutti y encontré en sus textos un montón de ideas, razonamientos, expresiones, tan abundantes como geniales, tan perfectamente ordenadas como elegantes. Había en sus escritos verdaderamente un sistema, o como el dijera, otra vez excusándose, por su producción, “el sistema de sus ideas”.</w:t>
      </w:r>
    </w:p>
    <w:p w14:paraId="5D8DCB7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23C2E49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lang w:val="es-ES_tradnl"/>
        </w:rPr>
      </w:pPr>
      <w:r w:rsidRPr="000D3432">
        <w:rPr>
          <w:rFonts w:asciiTheme="minorHAnsi" w:hAnsiTheme="minorHAnsi"/>
          <w:b/>
          <w:szCs w:val="24"/>
          <w:lang w:val="es-ES_tradnl"/>
        </w:rPr>
        <w:t>Arte del Derecho:</w:t>
      </w:r>
    </w:p>
    <w:p w14:paraId="06C7C78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93E3DA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Este  es el sugestivo título de uno de los libritos más atractivos, generales y esenciales de la obra de Carnelutti. Allí expone, más que datos, ejercicios de razonamiento jurídico. El índice puede darnos una idea del contenido e intención del autor ¿Qué es derecho?, ¿Qué es la ley?, ¿Qué es el hecho?, ¿Qué es el juicio?, ¿Qué es la sanción?, ¿Qué es el deber?. Son conceptos claves, y como tales generales. </w:t>
      </w:r>
    </w:p>
    <w:p w14:paraId="23CF8DE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C82A74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Carnelutti ensaya hipótesis explicativas, pero no para darnos definiciones, conceptos concluyentes y excluyentes, sino para repensar, replantear intuitiva y racionalmente discursos filosóficos sobre esos conceptos.</w:t>
      </w:r>
    </w:p>
    <w:p w14:paraId="6B587E5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CF40CA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Muchas ideas muestra Carneluti. La concatenación armónica con la cual diagrama sus razonamientos sorprende e incluso pueden llevar a un interesante y paradójico fenómeno intelectual: a tomar sus lecciones como ley, dogma. Estoy seguro que los positivistas chicha, pop, habrán hecho eso. Nada más erróneo y contrario a lo que quería Carnelutti, confeso explícito, en varios de sus libros, de sus errores intelectuales y del cambio o modificación, a veces radical, que habría sufrido su pensamiento, y por lo tanto, sus escritos. </w:t>
      </w:r>
    </w:p>
    <w:p w14:paraId="799620E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0F7A487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Carnelutti asocia la idea del Derecho a la idea del Estado. El Estado, profetiza, en sus primeras líneas, es de duración eterna. Estado y Derecho se necesitan. El Derecho sería así, la armadura del Estado y Jurídico el Estado cuando necesita del Derecho.</w:t>
      </w:r>
    </w:p>
    <w:p w14:paraId="613BD15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4EDA6F4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Convencido de las fuerza de ciertos fenómenos extrajurídicos cree haber resuelto el problema de la convivencia y el bien común y la justicia, sin el Derecho -solución teórica, por supuesto. El amor es esta solución. Expone un ejemplo: “¿Por qué el padre y el hijo cristianos, para regular sus relaciones, aun las más importantes relaciones,  no necesitan derecho? Porque, sencillamente, el padre ama al hijo y el hijo ama al padre. Ahora bien, la sabiduría del pueblo traduce </w:t>
      </w:r>
      <w:r w:rsidRPr="000D3432">
        <w:rPr>
          <w:rFonts w:asciiTheme="minorHAnsi" w:hAnsiTheme="minorHAnsi"/>
          <w:i/>
          <w:szCs w:val="24"/>
          <w:lang w:val="es-ES_tradnl"/>
        </w:rPr>
        <w:t>amar</w:t>
      </w:r>
      <w:r w:rsidRPr="000D3432">
        <w:rPr>
          <w:rFonts w:asciiTheme="minorHAnsi" w:hAnsiTheme="minorHAnsi"/>
          <w:szCs w:val="24"/>
          <w:lang w:val="es-ES_tradnl"/>
        </w:rPr>
        <w:t xml:space="preserve"> por </w:t>
      </w:r>
      <w:r w:rsidRPr="000D3432">
        <w:rPr>
          <w:rFonts w:asciiTheme="minorHAnsi" w:hAnsiTheme="minorHAnsi"/>
          <w:i/>
          <w:szCs w:val="24"/>
          <w:lang w:val="es-ES_tradnl"/>
        </w:rPr>
        <w:t>querer bien,</w:t>
      </w:r>
      <w:r w:rsidRPr="000D3432">
        <w:rPr>
          <w:rFonts w:asciiTheme="minorHAnsi" w:hAnsiTheme="minorHAnsi"/>
          <w:szCs w:val="24"/>
          <w:lang w:val="es-ES_tradnl"/>
        </w:rPr>
        <w:t xml:space="preserve"> es decir, </w:t>
      </w:r>
      <w:r w:rsidRPr="000D3432">
        <w:rPr>
          <w:rFonts w:asciiTheme="minorHAnsi" w:hAnsiTheme="minorHAnsi"/>
          <w:i/>
          <w:szCs w:val="24"/>
          <w:lang w:val="es-ES_tradnl"/>
        </w:rPr>
        <w:t>querer el bien del amado,</w:t>
      </w:r>
      <w:r w:rsidRPr="000D3432">
        <w:rPr>
          <w:rFonts w:asciiTheme="minorHAnsi" w:hAnsiTheme="minorHAnsi"/>
          <w:szCs w:val="24"/>
          <w:lang w:val="es-ES_tradnl"/>
        </w:rPr>
        <w:t xml:space="preserve"> lo que no se explica de oro modo que reconociendo que el bien del amado es el bien del amante y recíprocamente. Así el bien del uno y del otro es el bien de la misma persona.” Piensa Carnelutti que si el hombre amara no necesitaría del Derecho. Y el Derecho es una fuerza que une dos puntos, los puntos son los hombres, y esta fuerza que las liga, que los une, o vincula es el Derecho. El hombre no necesitará de los jueces si hay amor -dice, mientras tanto deben ser obligados. No se trata, aclarando, de un planteamiento cursilón y  huachafo del amor. No se trata del amor que debilita los espíritus mediocres. No se trata de ese amor que </w:t>
      </w:r>
      <w:r w:rsidRPr="000D3432">
        <w:rPr>
          <w:rFonts w:asciiTheme="minorHAnsi" w:hAnsiTheme="minorHAnsi"/>
          <w:szCs w:val="24"/>
          <w:lang w:val="es-ES_tradnl"/>
        </w:rPr>
        <w:lastRenderedPageBreak/>
        <w:t xml:space="preserve">vuelve estúpido a los seres humanos. Se trata, en rigor , de la </w:t>
      </w:r>
      <w:r w:rsidRPr="000D3432">
        <w:rPr>
          <w:rFonts w:asciiTheme="minorHAnsi" w:hAnsiTheme="minorHAnsi"/>
          <w:i/>
          <w:szCs w:val="24"/>
          <w:lang w:val="es-ES_tradnl"/>
        </w:rPr>
        <w:t>dunamis</w:t>
      </w:r>
      <w:r w:rsidRPr="000D3432">
        <w:rPr>
          <w:rFonts w:asciiTheme="minorHAnsi" w:hAnsiTheme="minorHAnsi"/>
          <w:szCs w:val="24"/>
          <w:lang w:val="es-ES_tradnl"/>
        </w:rPr>
        <w:t>, la fuerza voluntaria de hacer las cosas por los demás por amor a si mismo. El amor, describe Carnelutti, encierra en sí una condición vinculante, una fuerza que une; pero a diferencia del Derecho, no une, vincula, en referencia a una sanción externa (pena, multa, etc) sino por una condición interna (narcisismo). El sufrimiento del amado daña al amante. La clave está aquí en el término sufrimiento. No en el daño del otro, sino en el daño de uno al ser dañado el otro. Concepción que nos apetece asociar con el término individualismo. En el sentido más digno: capacidad de autogobernarnos, de ver el mundo desde uno. Un acto de libertad que “no es el poder sobre los demás, sino sobre sí mismo: no dominium alterius sino dominium sui”. Tal vez se trata de una descripción de cierta condición humana, su condición económica, lo que el llamaría “</w:t>
      </w:r>
      <w:r w:rsidRPr="000D3432">
        <w:rPr>
          <w:rFonts w:asciiTheme="minorHAnsi" w:hAnsiTheme="minorHAnsi"/>
          <w:i/>
          <w:szCs w:val="24"/>
          <w:lang w:val="es-ES_tradnl"/>
        </w:rPr>
        <w:t>homo oeconomicus</w:t>
      </w:r>
      <w:r w:rsidRPr="000D3432">
        <w:rPr>
          <w:rFonts w:asciiTheme="minorHAnsi" w:hAnsiTheme="minorHAnsi"/>
          <w:szCs w:val="24"/>
          <w:lang w:val="es-ES_tradnl"/>
        </w:rPr>
        <w:t xml:space="preserve"> que no quiere cuidar nada fuera de sus intereses.” Se trata de e economía, al que Carnelutti opone su contrario: </w:t>
      </w:r>
      <w:r w:rsidRPr="000D3432">
        <w:rPr>
          <w:rFonts w:asciiTheme="minorHAnsi" w:hAnsiTheme="minorHAnsi"/>
          <w:i/>
          <w:szCs w:val="24"/>
          <w:lang w:val="es-ES_tradnl"/>
        </w:rPr>
        <w:t>“homo moralis</w:t>
      </w:r>
      <w:r w:rsidRPr="000D3432">
        <w:rPr>
          <w:rFonts w:asciiTheme="minorHAnsi" w:hAnsiTheme="minorHAnsi"/>
          <w:szCs w:val="24"/>
          <w:lang w:val="es-ES_tradnl"/>
        </w:rPr>
        <w:t xml:space="preserve"> que </w:t>
      </w:r>
      <w:r w:rsidRPr="000D3432">
        <w:rPr>
          <w:rFonts w:asciiTheme="minorHAnsi" w:hAnsiTheme="minorHAnsi"/>
          <w:i/>
          <w:szCs w:val="24"/>
          <w:lang w:val="es-ES_tradnl"/>
        </w:rPr>
        <w:t>no puede separar</w:t>
      </w:r>
      <w:r w:rsidRPr="000D3432">
        <w:rPr>
          <w:rFonts w:asciiTheme="minorHAnsi" w:hAnsiTheme="minorHAnsi"/>
          <w:szCs w:val="24"/>
          <w:lang w:val="es-ES_tradnl"/>
        </w:rPr>
        <w:t xml:space="preserve"> el propio del bien de los demás.”. se trata de la moral.</w:t>
      </w:r>
    </w:p>
    <w:p w14:paraId="2CEB3ED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57D5E43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zCs w:val="24"/>
          <w:lang w:val="es-ES_tradnl"/>
        </w:rPr>
      </w:pPr>
      <w:r w:rsidRPr="000D3432">
        <w:rPr>
          <w:rFonts w:asciiTheme="minorHAnsi" w:hAnsiTheme="minorHAnsi"/>
          <w:b/>
          <w:szCs w:val="24"/>
          <w:lang w:val="es-ES_tradnl"/>
        </w:rPr>
        <w:t>La intuición y el instinto en el Derecho:</w:t>
      </w:r>
    </w:p>
    <w:p w14:paraId="43A006D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D33342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Otro de los motivos de comenzar a apreciarlo fue su concepción del Derecho. El Derecho como algo más que una simple teoría. El Derecho como fuerza. Esa, es a mi parecer un buen inicio para entender lo que es el Derecho, o al menos para apreciarlo mejor. Un fenómeno de fuerzas, una relación de fuerzas (en términos de Foucault). El Derecho, diría más adelante, es una fuerza: “Derecho, pues, no consiste en el ordenamiento sino en lo que ordena, es decir que une o, de una manera más realista, que liga; y, por tanto es una fuerza.  … Fuerza, </w:t>
      </w:r>
      <w:r w:rsidRPr="000D3432">
        <w:rPr>
          <w:rFonts w:asciiTheme="minorHAnsi" w:hAnsiTheme="minorHAnsi"/>
          <w:i/>
          <w:szCs w:val="24"/>
          <w:lang w:val="es-ES_tradnl"/>
        </w:rPr>
        <w:t>dunamis,</w:t>
      </w:r>
      <w:r w:rsidRPr="000D3432">
        <w:rPr>
          <w:rFonts w:asciiTheme="minorHAnsi" w:hAnsiTheme="minorHAnsi"/>
          <w:szCs w:val="24"/>
          <w:lang w:val="es-ES_tradnl"/>
        </w:rPr>
        <w:t xml:space="preserve"> decían los griegos. …. Fuerza no significa más que la idoneidad de algo para transformar el mundo. Y el derecho significa a su vez esa idoneidad.”</w:t>
      </w:r>
      <w:r w:rsidRPr="000D3432">
        <w:rPr>
          <w:rFonts w:asciiTheme="minorHAnsi" w:hAnsiTheme="minorHAnsi"/>
          <w:position w:val="7"/>
          <w:szCs w:val="24"/>
          <w:lang w:val="es-ES_tradnl"/>
        </w:rPr>
        <w:t>13 </w:t>
      </w:r>
      <w:r w:rsidRPr="000D3432">
        <w:rPr>
          <w:rFonts w:asciiTheme="minorHAnsi" w:hAnsiTheme="minorHAnsi"/>
          <w:szCs w:val="24"/>
          <w:lang w:val="es-ES_tradnl"/>
        </w:rPr>
        <w:t xml:space="preserve"> . Luego añadiría: El Derecho es la lucha entre el hecho y la ley, “Y si el derecho es lucha, como vimos, entre el hecho y la ley, no se limita a esta lucha, sino que se extiende a su superación.”</w:t>
      </w:r>
      <w:r w:rsidRPr="000D3432">
        <w:rPr>
          <w:rFonts w:asciiTheme="minorHAnsi" w:hAnsiTheme="minorHAnsi"/>
          <w:position w:val="7"/>
          <w:szCs w:val="24"/>
          <w:lang w:val="es-ES_tradnl"/>
        </w:rPr>
        <w:t>14 </w:t>
      </w:r>
      <w:r w:rsidRPr="000D3432">
        <w:rPr>
          <w:rFonts w:asciiTheme="minorHAnsi" w:hAnsiTheme="minorHAnsi"/>
          <w:szCs w:val="24"/>
          <w:lang w:val="es-ES_tradnl"/>
        </w:rPr>
        <w:t xml:space="preserve"> </w:t>
      </w:r>
    </w:p>
    <w:p w14:paraId="6065ACE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37A67B2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Hace algunas predicciones exaltantes “Yo creo en la eternidad del Estado o, más exactamente, en la duración del Estado hasta el fin del mundo;…”</w:t>
      </w:r>
      <w:r w:rsidRPr="000D3432">
        <w:rPr>
          <w:rFonts w:asciiTheme="minorHAnsi" w:hAnsiTheme="minorHAnsi"/>
          <w:position w:val="7"/>
          <w:szCs w:val="24"/>
          <w:lang w:val="es-ES_tradnl"/>
        </w:rPr>
        <w:t>15 </w:t>
      </w:r>
      <w:r w:rsidRPr="000D3432">
        <w:rPr>
          <w:rFonts w:asciiTheme="minorHAnsi" w:hAnsiTheme="minorHAnsi"/>
          <w:szCs w:val="24"/>
          <w:lang w:val="es-ES_tradnl"/>
        </w:rPr>
        <w:t xml:space="preserve"> </w:t>
      </w:r>
    </w:p>
    <w:p w14:paraId="08CE3B5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6AC8363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Se pasea por la historia. Roma, por ejemplo, </w:t>
      </w:r>
    </w:p>
    <w:p w14:paraId="1DD527F0"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“Más bien conviene observar el Estado en sus formas microscópicas, es decir en las formas originarias, de donde sacó su vida. Esta forma microscópica y originaria del Estado se llama familia.”</w:t>
      </w:r>
      <w:r w:rsidRPr="000D3432">
        <w:rPr>
          <w:rFonts w:asciiTheme="minorHAnsi" w:hAnsiTheme="minorHAnsi"/>
          <w:position w:val="7"/>
          <w:szCs w:val="24"/>
          <w:lang w:val="es-ES_tradnl"/>
        </w:rPr>
        <w:t>16 </w:t>
      </w:r>
    </w:p>
    <w:p w14:paraId="1569E62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1AAF0FF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“Y la </w:t>
      </w:r>
      <w:r w:rsidRPr="000D3432">
        <w:rPr>
          <w:rFonts w:asciiTheme="minorHAnsi" w:hAnsiTheme="minorHAnsi"/>
          <w:i/>
          <w:szCs w:val="24"/>
          <w:lang w:val="es-ES_tradnl"/>
        </w:rPr>
        <w:t>familia romana</w:t>
      </w:r>
      <w:r w:rsidRPr="000D3432">
        <w:rPr>
          <w:rFonts w:asciiTheme="minorHAnsi" w:hAnsiTheme="minorHAnsi"/>
          <w:szCs w:val="24"/>
          <w:lang w:val="es-ES_tradnl"/>
        </w:rPr>
        <w:t xml:space="preserve"> era verdaderamente un Estado en miniatura: ¿por qué no decir la semilla del Estado? El </w:t>
      </w:r>
      <w:r w:rsidRPr="000D3432">
        <w:rPr>
          <w:rFonts w:asciiTheme="minorHAnsi" w:hAnsiTheme="minorHAnsi"/>
          <w:i/>
          <w:szCs w:val="24"/>
          <w:lang w:val="es-ES_tradnl"/>
        </w:rPr>
        <w:t>pater familias</w:t>
      </w:r>
      <w:r w:rsidRPr="000D3432">
        <w:rPr>
          <w:rFonts w:asciiTheme="minorHAnsi" w:hAnsiTheme="minorHAnsi"/>
          <w:szCs w:val="24"/>
          <w:lang w:val="es-ES_tradnl"/>
        </w:rPr>
        <w:t xml:space="preserve"> nos presenta la figura, más bien que de un padre, de un jefe; mucho menos el poder generativo que el poder jurídico, en su forma más rigurosa,…”</w:t>
      </w:r>
      <w:r w:rsidRPr="000D3432">
        <w:rPr>
          <w:rFonts w:asciiTheme="minorHAnsi" w:hAnsiTheme="minorHAnsi"/>
          <w:position w:val="7"/>
          <w:szCs w:val="24"/>
          <w:lang w:val="es-ES_tradnl"/>
        </w:rPr>
        <w:t>17 </w:t>
      </w:r>
    </w:p>
    <w:p w14:paraId="4904D14C"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58DE248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 xml:space="preserve">Estos conceptos  me dieron la impresión de que Carnelutti no era un académico, sino un práctico. No era sólo un ratón de biblioteca, sino un experimentador, eso </w:t>
      </w:r>
      <w:r w:rsidRPr="000D3432">
        <w:rPr>
          <w:rFonts w:asciiTheme="minorHAnsi" w:hAnsiTheme="minorHAnsi"/>
          <w:szCs w:val="24"/>
          <w:lang w:val="es-ES_tradnl"/>
        </w:rPr>
        <w:lastRenderedPageBreak/>
        <w:t>pude comprobarlo cuando, adelantándose a los temores de los prejuiciosos lectores, escribió para consolarnos : “Soy uno de ustedes”, es decir un práctico. Pero eso, por supuesto, no era cierto. Carnelutti no era uno de ellos, era mucho más.</w:t>
      </w:r>
    </w:p>
    <w:p w14:paraId="5D2C39A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16"/>
        <w:jc w:val="both"/>
        <w:rPr>
          <w:rFonts w:asciiTheme="minorHAnsi" w:hAnsiTheme="minorHAnsi"/>
          <w:szCs w:val="24"/>
          <w:lang w:val="es-ES_tradnl"/>
        </w:rPr>
      </w:pPr>
    </w:p>
    <w:p w14:paraId="04AD1ACF" w14:textId="77777777" w:rsidR="00D06C42" w:rsidRPr="000D3432" w:rsidRDefault="00D06C42" w:rsidP="00A95498">
      <w:pPr>
        <w:tabs>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jc w:val="both"/>
        <w:rPr>
          <w:rFonts w:asciiTheme="minorHAnsi" w:hAnsiTheme="minorHAnsi"/>
          <w:szCs w:val="24"/>
          <w:lang w:val="es-ES_tradnl"/>
        </w:rPr>
      </w:pPr>
      <w:r w:rsidRPr="000D3432">
        <w:rPr>
          <w:rFonts w:asciiTheme="minorHAnsi" w:hAnsiTheme="minorHAnsi"/>
          <w:szCs w:val="24"/>
          <w:lang w:val="es-ES_tradnl"/>
        </w:rPr>
        <w:t>________________</w:t>
      </w:r>
    </w:p>
    <w:p w14:paraId="7FEA27D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w:t>
      </w:r>
      <w:r w:rsidRPr="000D3432">
        <w:rPr>
          <w:rFonts w:asciiTheme="minorHAnsi" w:hAnsiTheme="minorHAnsi"/>
          <w:szCs w:val="24"/>
          <w:lang w:val="es-ES_tradnl"/>
        </w:rPr>
        <w:t xml:space="preserve"> </w:t>
      </w:r>
      <w:r w:rsidRPr="000D3432">
        <w:rPr>
          <w:rFonts w:asciiTheme="minorHAnsi" w:hAnsiTheme="minorHAnsi"/>
          <w:smallCaps/>
          <w:szCs w:val="24"/>
          <w:lang w:val="es-ES_tradnl"/>
        </w:rPr>
        <w:t>Sade</w:t>
      </w:r>
      <w:r w:rsidRPr="000D3432">
        <w:rPr>
          <w:rFonts w:asciiTheme="minorHAnsi" w:hAnsiTheme="minorHAnsi"/>
          <w:szCs w:val="24"/>
          <w:lang w:val="es-ES_tradnl"/>
        </w:rPr>
        <w:t xml:space="preserve">. </w:t>
      </w:r>
      <w:r w:rsidRPr="000D3432">
        <w:rPr>
          <w:rFonts w:asciiTheme="minorHAnsi" w:hAnsiTheme="minorHAnsi"/>
          <w:i/>
          <w:szCs w:val="24"/>
          <w:lang w:val="es-ES_tradnl"/>
        </w:rPr>
        <w:t>La Filosofía en el tocador.</w:t>
      </w:r>
      <w:r w:rsidRPr="000D3432">
        <w:rPr>
          <w:rFonts w:asciiTheme="minorHAnsi" w:hAnsiTheme="minorHAnsi"/>
          <w:szCs w:val="24"/>
          <w:lang w:val="es-ES_tradnl"/>
        </w:rPr>
        <w:t xml:space="preserve"> Editorial Antigua S.A. pp. 127.</w:t>
      </w:r>
    </w:p>
    <w:p w14:paraId="5506C56F"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2</w:t>
      </w:r>
      <w:r w:rsidRPr="000D3432">
        <w:rPr>
          <w:rFonts w:asciiTheme="minorHAnsi" w:hAnsiTheme="minorHAnsi"/>
          <w:szCs w:val="24"/>
          <w:lang w:val="es-ES_tradnl"/>
        </w:rPr>
        <w:t xml:space="preserve"> Carnelutti, Francesco. Sistema de Derecho Procesal Civil. Pág. 11.</w:t>
      </w:r>
    </w:p>
    <w:p w14:paraId="7FD10FDB"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color w:val="FF0000"/>
          <w:szCs w:val="24"/>
          <w:lang w:val="es-ES_tradnl"/>
        </w:rPr>
      </w:pPr>
      <w:r w:rsidRPr="000D3432">
        <w:rPr>
          <w:rStyle w:val="Refdenotaalpie"/>
          <w:rFonts w:asciiTheme="minorHAnsi" w:hAnsiTheme="minorHAnsi"/>
          <w:sz w:val="24"/>
          <w:szCs w:val="24"/>
          <w:lang w:val="es-ES_tradnl"/>
        </w:rPr>
        <w:t> 3</w:t>
      </w:r>
      <w:r w:rsidRPr="000D3432">
        <w:rPr>
          <w:rFonts w:asciiTheme="minorHAnsi" w:hAnsiTheme="minorHAnsi"/>
          <w:szCs w:val="24"/>
          <w:lang w:val="es-ES_tradnl"/>
        </w:rPr>
        <w:t xml:space="preserve"> Rosental- Iudin, Diccionario Filosófico.</w:t>
      </w:r>
    </w:p>
    <w:p w14:paraId="125A5147"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color w:val="FF0000"/>
          <w:szCs w:val="24"/>
          <w:lang w:val="es-ES_tradnl"/>
        </w:rPr>
      </w:pPr>
      <w:r w:rsidRPr="000D3432">
        <w:rPr>
          <w:rStyle w:val="Refdenotaalpie"/>
          <w:rFonts w:asciiTheme="minorHAnsi" w:hAnsiTheme="minorHAnsi"/>
          <w:sz w:val="24"/>
          <w:szCs w:val="24"/>
          <w:lang w:val="es-ES_tradnl"/>
        </w:rPr>
        <w:t> 4</w:t>
      </w:r>
      <w:r w:rsidRPr="000D3432">
        <w:rPr>
          <w:rFonts w:asciiTheme="minorHAnsi" w:hAnsiTheme="minorHAnsi"/>
          <w:szCs w:val="24"/>
          <w:lang w:val="es-ES_tradnl"/>
        </w:rPr>
        <w:t xml:space="preserve"> </w:t>
      </w:r>
      <w:r w:rsidRPr="000D3432">
        <w:rPr>
          <w:rFonts w:asciiTheme="minorHAnsi" w:hAnsiTheme="minorHAnsi"/>
          <w:b/>
          <w:szCs w:val="24"/>
          <w:lang w:val="es-ES_tradnl"/>
        </w:rPr>
        <w:t>Martinez 6</w:t>
      </w:r>
    </w:p>
    <w:p w14:paraId="2DECC91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5</w:t>
      </w:r>
      <w:r w:rsidRPr="000D3432">
        <w:rPr>
          <w:rFonts w:asciiTheme="minorHAnsi" w:hAnsiTheme="minorHAnsi"/>
          <w:szCs w:val="24"/>
          <w:lang w:val="es-ES_tradnl"/>
        </w:rPr>
        <w:t xml:space="preserve">  Martínez 6</w:t>
      </w:r>
    </w:p>
    <w:p w14:paraId="6FEA547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6</w:t>
      </w:r>
      <w:r w:rsidRPr="000D3432">
        <w:rPr>
          <w:rFonts w:asciiTheme="minorHAnsi" w:hAnsiTheme="minorHAnsi"/>
          <w:szCs w:val="24"/>
          <w:lang w:val="es-ES_tradnl"/>
        </w:rPr>
        <w:t xml:space="preserve"> Savater 15</w:t>
      </w:r>
    </w:p>
    <w:p w14:paraId="0BB7110E"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7</w:t>
      </w:r>
      <w:r w:rsidRPr="000D3432">
        <w:rPr>
          <w:rFonts w:asciiTheme="minorHAnsi" w:hAnsiTheme="minorHAnsi"/>
          <w:szCs w:val="24"/>
          <w:lang w:val="es-ES_tradnl"/>
        </w:rPr>
        <w:t xml:space="preserve"> Ciriaco 15</w:t>
      </w:r>
    </w:p>
    <w:p w14:paraId="09160601"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8</w:t>
      </w:r>
      <w:r w:rsidRPr="000D3432">
        <w:rPr>
          <w:rFonts w:asciiTheme="minorHAnsi" w:hAnsiTheme="minorHAnsi"/>
          <w:szCs w:val="24"/>
          <w:lang w:val="es-ES_tradnl"/>
        </w:rPr>
        <w:t xml:space="preserve"> Peyrano, Jorge W. </w:t>
      </w:r>
      <w:r w:rsidRPr="000D3432">
        <w:rPr>
          <w:rFonts w:asciiTheme="minorHAnsi" w:hAnsiTheme="minorHAnsi"/>
          <w:i/>
          <w:szCs w:val="24"/>
          <w:lang w:val="es-ES_tradnl"/>
        </w:rPr>
        <w:t xml:space="preserve">Derecho Procesal Civil. </w:t>
      </w:r>
      <w:r w:rsidRPr="000D3432">
        <w:rPr>
          <w:rFonts w:asciiTheme="minorHAnsi" w:hAnsiTheme="minorHAnsi"/>
          <w:szCs w:val="24"/>
          <w:lang w:val="es-ES_tradnl"/>
        </w:rPr>
        <w:t xml:space="preserve"> Ediciones jurídicas.</w:t>
      </w:r>
      <w:r w:rsidRPr="000D3432">
        <w:rPr>
          <w:rFonts w:asciiTheme="minorHAnsi" w:hAnsiTheme="minorHAnsi"/>
          <w:i/>
          <w:szCs w:val="24"/>
          <w:lang w:val="es-ES_tradnl"/>
        </w:rPr>
        <w:t xml:space="preserve"> </w:t>
      </w:r>
      <w:r w:rsidRPr="000D3432">
        <w:rPr>
          <w:rFonts w:asciiTheme="minorHAnsi" w:hAnsiTheme="minorHAnsi"/>
          <w:szCs w:val="24"/>
          <w:lang w:val="es-ES_tradnl"/>
        </w:rPr>
        <w:t>Pp. 41</w:t>
      </w:r>
    </w:p>
    <w:p w14:paraId="2CF10585"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9</w:t>
      </w:r>
      <w:r w:rsidRPr="000D3432">
        <w:rPr>
          <w:rFonts w:asciiTheme="minorHAnsi" w:hAnsiTheme="minorHAnsi"/>
          <w:szCs w:val="24"/>
          <w:lang w:val="es-ES_tradnl"/>
        </w:rPr>
        <w:t xml:space="preserve"> Valga la aclaración que la referencia a la división de poderes es la actual y no necesariamente la que imperaba en vida de James Goldschmidt.</w:t>
      </w:r>
    </w:p>
    <w:p w14:paraId="356D78C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10</w:t>
      </w:r>
      <w:r w:rsidRPr="000D3432">
        <w:rPr>
          <w:rFonts w:asciiTheme="minorHAnsi" w:hAnsiTheme="minorHAnsi"/>
          <w:szCs w:val="24"/>
          <w:lang w:val="es-ES_tradnl"/>
        </w:rPr>
        <w:t xml:space="preserve"> Francesco Carnelutti. </w:t>
      </w:r>
      <w:r w:rsidRPr="000D3432">
        <w:rPr>
          <w:rFonts w:asciiTheme="minorHAnsi" w:hAnsiTheme="minorHAnsi"/>
          <w:i/>
          <w:szCs w:val="24"/>
          <w:lang w:val="es-ES_tradnl"/>
        </w:rPr>
        <w:t xml:space="preserve">Arte del Derecho. </w:t>
      </w:r>
      <w:r w:rsidRPr="000D3432">
        <w:rPr>
          <w:rFonts w:asciiTheme="minorHAnsi" w:hAnsiTheme="minorHAnsi"/>
          <w:szCs w:val="24"/>
          <w:lang w:val="es-ES_tradnl"/>
        </w:rPr>
        <w:t>Pág. 9.</w:t>
      </w:r>
    </w:p>
    <w:p w14:paraId="43BF9D12"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11</w:t>
      </w:r>
      <w:r w:rsidRPr="000D3432">
        <w:rPr>
          <w:rFonts w:asciiTheme="minorHAnsi" w:hAnsiTheme="minorHAnsi"/>
          <w:szCs w:val="24"/>
          <w:lang w:val="es-ES_tradnl"/>
        </w:rPr>
        <w:t xml:space="preserve"> Ibidem. </w:t>
      </w:r>
    </w:p>
    <w:p w14:paraId="28F9A48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12</w:t>
      </w:r>
      <w:r w:rsidRPr="000D3432">
        <w:rPr>
          <w:rFonts w:asciiTheme="minorHAnsi" w:hAnsiTheme="minorHAnsi"/>
          <w:szCs w:val="24"/>
          <w:lang w:val="es-ES_tradnl"/>
        </w:rPr>
        <w:t xml:space="preserve"> Ibidem. Pág. 10</w:t>
      </w:r>
    </w:p>
    <w:p w14:paraId="0C2921CA"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13</w:t>
      </w:r>
      <w:r w:rsidRPr="000D3432">
        <w:rPr>
          <w:rFonts w:asciiTheme="minorHAnsi" w:hAnsiTheme="minorHAnsi"/>
          <w:szCs w:val="24"/>
          <w:lang w:val="es-ES_tradnl"/>
        </w:rPr>
        <w:t xml:space="preserve"> Francesco Carnelutti. </w:t>
      </w:r>
      <w:r w:rsidRPr="000D3432">
        <w:rPr>
          <w:rFonts w:asciiTheme="minorHAnsi" w:hAnsiTheme="minorHAnsi"/>
          <w:i/>
          <w:szCs w:val="24"/>
          <w:lang w:val="es-ES_tradnl"/>
        </w:rPr>
        <w:t xml:space="preserve">Arte del Derecho. </w:t>
      </w:r>
      <w:r w:rsidRPr="000D3432">
        <w:rPr>
          <w:rFonts w:asciiTheme="minorHAnsi" w:hAnsiTheme="minorHAnsi"/>
          <w:szCs w:val="24"/>
          <w:lang w:val="es-ES_tradnl"/>
        </w:rPr>
        <w:t>Pág. 22.</w:t>
      </w:r>
    </w:p>
    <w:p w14:paraId="210200F3"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14</w:t>
      </w:r>
      <w:r w:rsidRPr="000D3432">
        <w:rPr>
          <w:rFonts w:asciiTheme="minorHAnsi" w:hAnsiTheme="minorHAnsi"/>
          <w:szCs w:val="24"/>
          <w:lang w:val="es-ES_tradnl"/>
        </w:rPr>
        <w:t xml:space="preserve"> Francesco Carnelutti. </w:t>
      </w:r>
      <w:r w:rsidRPr="000D3432">
        <w:rPr>
          <w:rFonts w:asciiTheme="minorHAnsi" w:hAnsiTheme="minorHAnsi"/>
          <w:i/>
          <w:szCs w:val="24"/>
          <w:lang w:val="es-ES_tradnl"/>
        </w:rPr>
        <w:t xml:space="preserve">Arte del Derecho. </w:t>
      </w:r>
      <w:r w:rsidRPr="000D3432">
        <w:rPr>
          <w:rFonts w:asciiTheme="minorHAnsi" w:hAnsiTheme="minorHAnsi"/>
          <w:szCs w:val="24"/>
          <w:lang w:val="es-ES_tradnl"/>
        </w:rPr>
        <w:t>Pág. 67.</w:t>
      </w:r>
    </w:p>
    <w:p w14:paraId="64EB3774"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15</w:t>
      </w:r>
      <w:r w:rsidRPr="000D3432">
        <w:rPr>
          <w:rFonts w:asciiTheme="minorHAnsi" w:hAnsiTheme="minorHAnsi"/>
          <w:szCs w:val="24"/>
          <w:lang w:val="es-ES_tradnl"/>
        </w:rPr>
        <w:t xml:space="preserve"> Francesco Carnelutti. </w:t>
      </w:r>
      <w:r w:rsidRPr="000D3432">
        <w:rPr>
          <w:rFonts w:asciiTheme="minorHAnsi" w:hAnsiTheme="minorHAnsi"/>
          <w:i/>
          <w:szCs w:val="24"/>
          <w:lang w:val="es-ES_tradnl"/>
        </w:rPr>
        <w:t xml:space="preserve">Arte del Derecho. </w:t>
      </w:r>
      <w:r w:rsidRPr="000D3432">
        <w:rPr>
          <w:rFonts w:asciiTheme="minorHAnsi" w:hAnsiTheme="minorHAnsi"/>
          <w:szCs w:val="24"/>
          <w:lang w:val="es-ES_tradnl"/>
        </w:rPr>
        <w:t>Pág. 16.</w:t>
      </w:r>
    </w:p>
    <w:p w14:paraId="2EBB3A6D"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16</w:t>
      </w:r>
      <w:r w:rsidRPr="000D3432">
        <w:rPr>
          <w:rFonts w:asciiTheme="minorHAnsi" w:hAnsiTheme="minorHAnsi"/>
          <w:szCs w:val="24"/>
          <w:lang w:val="es-ES_tradnl"/>
        </w:rPr>
        <w:t xml:space="preserve"> Francesco Carnelutti. </w:t>
      </w:r>
      <w:r w:rsidRPr="000D3432">
        <w:rPr>
          <w:rFonts w:asciiTheme="minorHAnsi" w:hAnsiTheme="minorHAnsi"/>
          <w:i/>
          <w:szCs w:val="24"/>
          <w:lang w:val="es-ES_tradnl"/>
        </w:rPr>
        <w:t xml:space="preserve">Arte del Derecho. </w:t>
      </w:r>
      <w:r w:rsidRPr="000D3432">
        <w:rPr>
          <w:rFonts w:asciiTheme="minorHAnsi" w:hAnsiTheme="minorHAnsi"/>
          <w:szCs w:val="24"/>
          <w:lang w:val="es-ES_tradnl"/>
        </w:rPr>
        <w:t>Pág. 18.</w:t>
      </w:r>
    </w:p>
    <w:p w14:paraId="2B288409" w14:textId="77777777" w:rsidR="00C1101F"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left="142"/>
        <w:rPr>
          <w:rFonts w:asciiTheme="minorHAnsi" w:hAnsiTheme="minorHAnsi"/>
          <w:szCs w:val="24"/>
          <w:lang w:val="es-ES_tradnl"/>
        </w:rPr>
      </w:pPr>
      <w:r w:rsidRPr="000D3432">
        <w:rPr>
          <w:rStyle w:val="Refdenotaalpie"/>
          <w:rFonts w:asciiTheme="minorHAnsi" w:hAnsiTheme="minorHAnsi"/>
          <w:sz w:val="24"/>
          <w:szCs w:val="24"/>
          <w:lang w:val="es-ES_tradnl"/>
        </w:rPr>
        <w:t> 17</w:t>
      </w:r>
      <w:r w:rsidRPr="000D3432">
        <w:rPr>
          <w:rFonts w:asciiTheme="minorHAnsi" w:hAnsiTheme="minorHAnsi"/>
          <w:szCs w:val="24"/>
          <w:lang w:val="es-ES_tradnl"/>
        </w:rPr>
        <w:t xml:space="preserve"> Francesco Carnelutti. </w:t>
      </w:r>
      <w:r w:rsidRPr="000D3432">
        <w:rPr>
          <w:rFonts w:asciiTheme="minorHAnsi" w:hAnsiTheme="minorHAnsi"/>
          <w:i/>
          <w:szCs w:val="24"/>
          <w:lang w:val="es-ES_tradnl"/>
        </w:rPr>
        <w:t xml:space="preserve">Arte del Derecho. </w:t>
      </w:r>
      <w:r w:rsidRPr="000D3432">
        <w:rPr>
          <w:rFonts w:asciiTheme="minorHAnsi" w:hAnsiTheme="minorHAnsi"/>
          <w:szCs w:val="24"/>
          <w:lang w:val="es-ES_tradnl"/>
        </w:rPr>
        <w:t>Pág. 18.</w:t>
      </w:r>
    </w:p>
    <w:p w14:paraId="390DF4D0" w14:textId="77777777" w:rsidR="00D06C42" w:rsidRPr="000D3432" w:rsidRDefault="00D06C42" w:rsidP="00A95498">
      <w:pPr>
        <w:rPr>
          <w:rFonts w:asciiTheme="minorHAnsi" w:hAnsiTheme="minorHAnsi"/>
          <w:szCs w:val="24"/>
          <w:lang w:val="es-ES_tradnl"/>
        </w:rPr>
      </w:pPr>
    </w:p>
    <w:p w14:paraId="75800537" w14:textId="77777777" w:rsidR="00C1101F" w:rsidRPr="000D3432" w:rsidRDefault="00C1101F" w:rsidP="00A95498">
      <w:pPr>
        <w:rPr>
          <w:rFonts w:asciiTheme="minorHAnsi" w:hAnsiTheme="minorHAnsi"/>
          <w:szCs w:val="24"/>
          <w:lang w:val="es-ES_tradnl"/>
        </w:rPr>
      </w:pPr>
    </w:p>
    <w:p w14:paraId="6775B1A4" w14:textId="77777777" w:rsidR="00D06C42" w:rsidRPr="000D3432" w:rsidRDefault="00D06C42" w:rsidP="00A95498">
      <w:pPr>
        <w:jc w:val="center"/>
        <w:rPr>
          <w:rFonts w:asciiTheme="minorHAnsi" w:hAnsiTheme="minorHAnsi"/>
          <w:b/>
          <w:color w:val="943634" w:themeColor="accent2" w:themeShade="BF"/>
          <w:szCs w:val="24"/>
          <w:u w:val="single"/>
          <w:lang w:val="es-ES_tradnl"/>
        </w:rPr>
      </w:pPr>
      <w:r w:rsidRPr="000D3432">
        <w:rPr>
          <w:rFonts w:asciiTheme="minorHAnsi" w:hAnsiTheme="minorHAnsi"/>
          <w:b/>
          <w:color w:val="943634" w:themeColor="accent2" w:themeShade="BF"/>
          <w:szCs w:val="24"/>
          <w:u w:val="single"/>
          <w:lang w:val="es-ES_tradnl"/>
        </w:rPr>
        <w:t>JORGE BASADRE G.</w:t>
      </w:r>
    </w:p>
    <w:p w14:paraId="292CD7DE" w14:textId="77777777" w:rsidR="00D06C42" w:rsidRPr="000D3432" w:rsidRDefault="00D06C42" w:rsidP="00A95498">
      <w:pPr>
        <w:jc w:val="center"/>
        <w:rPr>
          <w:rFonts w:asciiTheme="minorHAnsi" w:hAnsiTheme="minorHAnsi"/>
          <w:b/>
          <w:szCs w:val="24"/>
          <w:lang w:val="es-ES_tradnl"/>
        </w:rPr>
      </w:pPr>
      <w:r w:rsidRPr="000D3432">
        <w:rPr>
          <w:rFonts w:asciiTheme="minorHAnsi" w:hAnsiTheme="minorHAnsi"/>
          <w:b/>
          <w:szCs w:val="24"/>
          <w:lang w:val="es-ES_tradnl"/>
        </w:rPr>
        <w:t xml:space="preserve">Las razones freudianas de </w:t>
      </w:r>
    </w:p>
    <w:p w14:paraId="268178EB" w14:textId="4B551627" w:rsidR="00D06C42" w:rsidRPr="000D3432" w:rsidRDefault="00D06C42" w:rsidP="00C1101F">
      <w:pPr>
        <w:jc w:val="center"/>
        <w:rPr>
          <w:rFonts w:asciiTheme="minorHAnsi" w:hAnsiTheme="minorHAnsi"/>
          <w:b/>
          <w:szCs w:val="24"/>
          <w:lang w:val="es-ES_tradnl"/>
        </w:rPr>
      </w:pPr>
      <w:r w:rsidRPr="000D3432">
        <w:rPr>
          <w:rFonts w:asciiTheme="minorHAnsi" w:hAnsiTheme="minorHAnsi"/>
          <w:b/>
          <w:szCs w:val="24"/>
          <w:lang w:val="es-ES_tradnl"/>
        </w:rPr>
        <w:t>la Historia del Derecho</w:t>
      </w:r>
    </w:p>
    <w:p w14:paraId="50089760" w14:textId="77777777" w:rsidR="00D06C42" w:rsidRPr="000D3432" w:rsidRDefault="00D06C42" w:rsidP="00A95498">
      <w:pPr>
        <w:jc w:val="both"/>
        <w:rPr>
          <w:rFonts w:asciiTheme="minorHAnsi" w:hAnsiTheme="minorHAnsi"/>
          <w:szCs w:val="24"/>
          <w:lang w:val="es-ES_tradnl"/>
        </w:rPr>
      </w:pPr>
    </w:p>
    <w:p w14:paraId="74A42D11" w14:textId="77777777" w:rsidR="00D06C42" w:rsidRPr="000D3432" w:rsidRDefault="00D06C42" w:rsidP="00A95498">
      <w:pPr>
        <w:jc w:val="both"/>
        <w:rPr>
          <w:rFonts w:asciiTheme="minorHAnsi" w:hAnsiTheme="minorHAnsi"/>
          <w:szCs w:val="24"/>
          <w:lang w:val="es-ES_tradnl"/>
        </w:rPr>
      </w:pPr>
    </w:p>
    <w:p w14:paraId="5961D44B"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Al final del extraño Perú, en su extremo sur, queda dibujado afablemente un pequeño pueblo: Tacna; allí nacería también un extraordinario y prolijo hombre: Jorge Basadre G., del que hoy quiero ocuparme como quien se ocupa de un ídolo. No hay acaso término más apropiado para este personaje (ídolo), a pesar que su corporalidad lingüística suela arbitrariamente refundarse en un vicio, en un obstáculo, como sinónimo de falta de objetividad. Se dice, por ejemplo, “la mejor y real apreciación de algo es la objetiva”. Pero creo, en este caso, que tratar sobre el homo sapiens objetivo es desviarse del subjetivismo necesario para captar al hombre de carne y hueso. No estoy preocupado, por ello, en ser absolutamente objetivo. Puesto que de la objetividad absoluta no está dispuesta contra su corrosión o relatividad ni siquiera la ciencia, “No toda investigación científica procura el conocimiento objetivo. Así, la lógica y las matemáticas -esto es, los diversos sistemas de lógica formal y los diferentes capítulos de la matemática pura- son racionales, sistemáticos y verificables, pero no son objetivos, no nos dan informaciones acerca de la realidad; simplemente, no se ocupan de los hechos. La lógica y la matemática tratan de entes ideales; estos entes, tanto los abstractos como los interpretados, sólo existen en la mente humana.”, escribe Mario Bunge. Mi apreciación es por lo tanto subjetiva, parcial; no objetiva (neutra). No puedo concebir que se hable de alguien con absoluta objetividad, objetividad que excluye, que delimita, que define de una vez y para siempre. Eso me suena a inhumano, a máquina, a estadística. Por eso voy a hablar de Jorge Basadre G. exclusivamente desde mi subjetiva perspectiva.</w:t>
      </w:r>
    </w:p>
    <w:p w14:paraId="191A2979" w14:textId="77777777" w:rsidR="00D06C42" w:rsidRPr="000D3432" w:rsidRDefault="00D06C42" w:rsidP="00A95498">
      <w:pPr>
        <w:jc w:val="both"/>
        <w:rPr>
          <w:rFonts w:asciiTheme="minorHAnsi" w:hAnsiTheme="minorHAnsi"/>
          <w:szCs w:val="24"/>
          <w:lang w:val="es-ES_tradnl"/>
        </w:rPr>
      </w:pPr>
    </w:p>
    <w:p w14:paraId="1BB5D3D6"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Sus retratos lo muestran sereno, amable, sincero, predestinado para el bien. No tiene como otros la frente arrugada, ni los ojos graves, su figura refleja más bien candidez, ternura, pasividad. No fue, sin embargo, nada pasivo, ni opacado, eso queda demostrado por su inmensa obra. Hombre inquieto y sagaz dedicó su vida al mundo de la creación intelectual. Luego de ver sus enormes tomos sobre la República, apenas puede uno imaginárselo descansando. Uno se pregunta, ¿cómo hizo todos aquellos hermosos tomos, llenos, repletos, de datos, historia, derecho y filosofía?, ¿cómo pudo tener tanta rigurosidad científica con sus fuentes? Solo a través del genio, y del rigorismo metodológico se logra eso, y método es disciplina y todo ello es trabajo y más trabajo. No puede haber otra forma. Basadre, sin embargo, no sólo contaba con rigorismo, sino que tenía un gran talento metodológico: capacidad de ahorrar esfuerzo, economía de recursos. Podría decirse de él lo que atribuyó a José Mateo Aguilar “su vida fue metódica”. Mateo Aguilar del cual comenta: “no tenía sino un vestido, creyendo que con ello no defraudaba a los pobres”.</w:t>
      </w:r>
    </w:p>
    <w:p w14:paraId="298C7A28" w14:textId="77777777" w:rsidR="00D06C42" w:rsidRPr="000D3432" w:rsidRDefault="00D06C42" w:rsidP="00A95498">
      <w:pPr>
        <w:jc w:val="both"/>
        <w:rPr>
          <w:rFonts w:asciiTheme="minorHAnsi" w:hAnsiTheme="minorHAnsi"/>
          <w:szCs w:val="24"/>
          <w:lang w:val="es-ES_tradnl"/>
        </w:rPr>
      </w:pPr>
    </w:p>
    <w:p w14:paraId="0D3719F7"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¿Cuál era la constante de Basadre? ¿Porqué escribía tanto? ¿de donde sacaba sus fuerzas? Basadre sacaba su “fuerza y desgarramiento, lucidez y transtorno”, de su limpia y jubilosa certeza de ignorancia. El buscaba laboriosamente el saber por su desconfianza metódica de toda certeza demasiado explícita, demasiado evidente, algo que debiera haberle provocado algunos malestares mentales, y a lo cual no se resignaba. Era, por lo tanto, un buscador, y un entendido de que “El saber descansa, pues, necesariamente en el terreno de la ignorancia, es decir, esencialmente en la espera del futuro, y es de ahí, de donde saca también su fuerza. Si alcanzara su objetivo: la seguridad  incondicionada, cesaría también el afán de saber.” como  escribiera Bohler. </w:t>
      </w:r>
    </w:p>
    <w:p w14:paraId="15EBCC82" w14:textId="77777777" w:rsidR="00D06C42" w:rsidRPr="000D3432" w:rsidRDefault="00D06C42" w:rsidP="00A95498">
      <w:pPr>
        <w:jc w:val="both"/>
        <w:rPr>
          <w:rFonts w:asciiTheme="minorHAnsi" w:hAnsiTheme="minorHAnsi"/>
          <w:szCs w:val="24"/>
          <w:lang w:val="es-ES_tradnl"/>
        </w:rPr>
      </w:pPr>
    </w:p>
    <w:p w14:paraId="12115E69"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 xml:space="preserve">Pero otra explicación de su prolijidad es que Basadre no hacía esfuerzos por tocar los límites de su investigación, él sabía que el conocimiento, como la vida, es infinita, él hubiera logrado esbozar perfectamente una frase de Ruskin “no haré esfuerzos por tocar sus límites” . </w:t>
      </w:r>
    </w:p>
    <w:p w14:paraId="3F5FAB0D" w14:textId="77777777" w:rsidR="00D06C42" w:rsidRPr="000D3432" w:rsidRDefault="00D06C42" w:rsidP="00A95498">
      <w:pPr>
        <w:jc w:val="both"/>
        <w:rPr>
          <w:rFonts w:asciiTheme="minorHAnsi" w:hAnsiTheme="minorHAnsi"/>
          <w:szCs w:val="24"/>
          <w:lang w:val="es-ES_tradnl"/>
        </w:rPr>
      </w:pPr>
    </w:p>
    <w:p w14:paraId="5431E172"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Hombre relacionado con grandes hombres, había recibido incluso lecturas sobre el anarquismo, como el narra: “El Instituto de Historia Social me envío copias de las páginas que Max Nettlau dedicó al Perú en su historia universal del anarquismo.”(49, Conversaciones)</w:t>
      </w:r>
    </w:p>
    <w:p w14:paraId="18A2B672" w14:textId="77777777" w:rsidR="00D06C42" w:rsidRPr="000D3432" w:rsidRDefault="00D06C42" w:rsidP="00A95498">
      <w:pPr>
        <w:jc w:val="both"/>
        <w:rPr>
          <w:rFonts w:asciiTheme="minorHAnsi" w:hAnsiTheme="minorHAnsi"/>
          <w:szCs w:val="24"/>
          <w:lang w:val="es-ES_tradnl"/>
        </w:rPr>
      </w:pPr>
    </w:p>
    <w:p w14:paraId="353DF9B3"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¿Cómo resultó ser historiador este abogado?  El dice sobre aquel suceso: “De mi lado, no decidí ser historiador sino por los 50 como resultado de mi relación personal con don Raúl Porras (50 Conversaciones con Macera).</w:t>
      </w:r>
    </w:p>
    <w:p w14:paraId="25A10A0B" w14:textId="77777777" w:rsidR="00D06C42" w:rsidRPr="000D3432" w:rsidRDefault="00D06C42" w:rsidP="00A95498">
      <w:pPr>
        <w:jc w:val="both"/>
        <w:rPr>
          <w:rFonts w:asciiTheme="minorHAnsi" w:hAnsiTheme="minorHAnsi"/>
          <w:szCs w:val="24"/>
          <w:lang w:val="es-ES_tradnl"/>
        </w:rPr>
      </w:pPr>
    </w:p>
    <w:p w14:paraId="2E0AFC73"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¿Cuáles fueron los motivos, sus razones? Responde: “Me dediqué a la Historia por razones casi freudianas, para huir del presente personal, familiar y quizá nacional, que me era absolutamente desagradable (CB. 51).</w:t>
      </w:r>
    </w:p>
    <w:p w14:paraId="768380F2" w14:textId="77777777" w:rsidR="00D06C42" w:rsidRPr="000D3432" w:rsidRDefault="00D06C42" w:rsidP="00A95498">
      <w:pPr>
        <w:jc w:val="both"/>
        <w:rPr>
          <w:rFonts w:asciiTheme="minorHAnsi" w:hAnsiTheme="minorHAnsi"/>
          <w:szCs w:val="24"/>
          <w:lang w:val="es-ES_tradnl"/>
        </w:rPr>
      </w:pPr>
    </w:p>
    <w:p w14:paraId="2DF6B475"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Sin embargo, a pesar de haber leído tanto, de haber escrito tanto, de tener la consideración de intelectual, de historiador, sucede en el, lo que en todos los hombres grandes, no queda absolutamente convencido de su ciencia, de su arte, de su vida; observa mas bien la necesidad imperiosa de no influir en los demás. Cosa curiosa en un hombre de su talento. Reflejo más bien de su real dimensión como hombre, como verdadero intelectual; el dice: “…no estoy muy convencido de lo que valemos la historia entera y quienes la estudiamos. Por mi parte, trato ahora  de influir lo menos posible en los demás, sobre todo en mis alumnos” (51 CV).</w:t>
      </w:r>
    </w:p>
    <w:p w14:paraId="6C75BFBF" w14:textId="77777777" w:rsidR="00D06C42" w:rsidRPr="000D3432" w:rsidRDefault="00D06C42" w:rsidP="00A95498">
      <w:pPr>
        <w:jc w:val="both"/>
        <w:rPr>
          <w:rFonts w:asciiTheme="minorHAnsi" w:hAnsiTheme="minorHAnsi"/>
          <w:szCs w:val="24"/>
          <w:lang w:val="es-ES_tradnl"/>
        </w:rPr>
      </w:pPr>
    </w:p>
    <w:p w14:paraId="7C49FB05"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Esto último dicho por Basadre ha calado mucho en mis fibras, su pregunta sería acaso esta: ¿acaso no estaré equivocado? La eterna duda, la eterna incertidumbre del hombre que piensa y que sabe de la volatilidad del conocimiento, que sabe que el mayor rigor de la vida es el cambio.</w:t>
      </w:r>
    </w:p>
    <w:p w14:paraId="3D2FD9BD" w14:textId="77777777" w:rsidR="00D06C42" w:rsidRPr="000D3432" w:rsidRDefault="00D06C42" w:rsidP="00A95498">
      <w:pPr>
        <w:jc w:val="both"/>
        <w:rPr>
          <w:rFonts w:asciiTheme="minorHAnsi" w:hAnsiTheme="minorHAnsi"/>
          <w:szCs w:val="24"/>
          <w:lang w:val="es-ES_tradnl"/>
        </w:rPr>
      </w:pPr>
    </w:p>
    <w:p w14:paraId="6FC1094A"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Basadre habla de Tacna, a través de reseñas que hace de otros, como de otro también intelectual Vigil, al que le atribuye para la historia el título que se le dio a Tacna: la heroica: “por iniciativa suya (habla de Vigil), el Congreso dio a la ciudad en la ley de 21 de mayo del 1828 el título de heroica, hasta hoy vigente; “ (229 personajes).</w:t>
      </w:r>
    </w:p>
    <w:p w14:paraId="5B8E4FB8" w14:textId="77777777" w:rsidR="00D06C42" w:rsidRPr="000D3432" w:rsidRDefault="00D06C42" w:rsidP="00A95498">
      <w:pPr>
        <w:jc w:val="both"/>
        <w:rPr>
          <w:rFonts w:asciiTheme="minorHAnsi" w:hAnsiTheme="minorHAnsi"/>
          <w:szCs w:val="24"/>
          <w:lang w:val="es-ES_tradnl"/>
        </w:rPr>
      </w:pPr>
    </w:p>
    <w:p w14:paraId="7D953F26"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Habla de otros personajes tan importantes como Manuel Lorenzo de Vidaurre, “Manuel Lorenzo de Vidaurre escribió: “En 1820 escribió el libro Plan del Perú, que con dedicatoria a Bolívar publicó en 1823 en Filadelfia, para hacer una crítica del sistema administrativo colonial. Fue, además, Vidaurre, autor de unas Cartas Americanas, roussoniana confesión de sus amores adúlteros.” (222 personajes).</w:t>
      </w:r>
    </w:p>
    <w:p w14:paraId="61A497ED" w14:textId="77777777" w:rsidR="00D06C42" w:rsidRPr="000D3432" w:rsidRDefault="00D06C42" w:rsidP="00A95498">
      <w:pPr>
        <w:jc w:val="both"/>
        <w:rPr>
          <w:rFonts w:asciiTheme="minorHAnsi" w:hAnsiTheme="minorHAnsi"/>
          <w:szCs w:val="24"/>
          <w:lang w:val="es-ES_tradnl"/>
        </w:rPr>
      </w:pPr>
    </w:p>
    <w:p w14:paraId="02655A82"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Cuenta Basadre que Vidaurre “Pedía que a mayor poder hubiese menor tiempo en su ejercicio, que no existieran ejércitos permanentes sino en tiempo de guerra…” (223. Personajes).</w:t>
      </w:r>
    </w:p>
    <w:p w14:paraId="054DE6ED" w14:textId="77777777" w:rsidR="00D06C42" w:rsidRPr="000D3432" w:rsidRDefault="00D06C42" w:rsidP="00A95498">
      <w:pPr>
        <w:jc w:val="both"/>
        <w:rPr>
          <w:rFonts w:asciiTheme="minorHAnsi" w:hAnsiTheme="minorHAnsi"/>
          <w:szCs w:val="24"/>
          <w:lang w:val="es-ES_tradnl"/>
        </w:rPr>
      </w:pPr>
    </w:p>
    <w:p w14:paraId="18A0C055"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Da una mirada a los derechos humanos a través de Miranda “ El escándalo salta cuando con fulgida elocuencia hace el elogio de los “derechos del hombre”, en los cuales se cifra el contraste entre la vida colonial y la vida republicana; los “derechos del hombre” señalan la sepultura de la política medieval y el nacimiento de la política liberal.” (60 personajes).</w:t>
      </w:r>
    </w:p>
    <w:p w14:paraId="69FF4A1E" w14:textId="77777777" w:rsidR="00D06C42" w:rsidRPr="000D3432" w:rsidRDefault="00D06C42" w:rsidP="00A95498">
      <w:pPr>
        <w:jc w:val="both"/>
        <w:rPr>
          <w:rFonts w:asciiTheme="minorHAnsi" w:hAnsiTheme="minorHAnsi"/>
          <w:szCs w:val="24"/>
          <w:lang w:val="es-ES_tradnl"/>
        </w:rPr>
      </w:pPr>
    </w:p>
    <w:p w14:paraId="01CB5C46"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Algunos piensan, sin embargo que Basadre “escribió bajo una poderosa sugestión de justificar conclusiones a que había llegado anticipadamente en el curso de la formación de su propia ideología “ 19</w:t>
      </w:r>
    </w:p>
    <w:p w14:paraId="719F8C7E" w14:textId="77777777" w:rsidR="00D06C42" w:rsidRPr="000D3432" w:rsidRDefault="00D06C42" w:rsidP="00A95498">
      <w:pPr>
        <w:jc w:val="both"/>
        <w:rPr>
          <w:rFonts w:asciiTheme="minorHAnsi" w:hAnsiTheme="minorHAnsi"/>
          <w:szCs w:val="24"/>
          <w:lang w:val="es-ES_tradnl"/>
        </w:rPr>
      </w:pPr>
    </w:p>
    <w:p w14:paraId="10DDBE48" w14:textId="77777777" w:rsidR="00D06C42" w:rsidRPr="000D3432" w:rsidRDefault="00D06C42" w:rsidP="00A95498">
      <w:pPr>
        <w:jc w:val="both"/>
        <w:rPr>
          <w:rFonts w:asciiTheme="minorHAnsi" w:hAnsiTheme="minorHAnsi"/>
          <w:szCs w:val="24"/>
          <w:lang w:val="es-ES_tradnl"/>
        </w:rPr>
      </w:pPr>
      <w:r w:rsidRPr="000D3432">
        <w:rPr>
          <w:rFonts w:asciiTheme="minorHAnsi" w:hAnsiTheme="minorHAnsi"/>
          <w:szCs w:val="24"/>
          <w:lang w:val="es-ES_tradnl"/>
        </w:rPr>
        <w:t>Es un hombre que se pregunta “porqué se funda la república “Un fermento adicional tuvo todavía la promesa republicana que el “quipu” inca y el pergamino colonial no pudieron ostentar porque ambos correspondían a un tipo de vía socialmente estratificado; el fermento igualitario, o sea el profundo contenido de reivindicación humana que alienta en el ideal emancipador y que tiene su máxima expresión en el “Somos libres” del himno (17 La promesa de la vida peruana).</w:t>
      </w:r>
    </w:p>
    <w:p w14:paraId="25D987FB" w14:textId="77777777" w:rsidR="00D06C42" w:rsidRPr="000D3432" w:rsidRDefault="00D06C42" w:rsidP="00A95498">
      <w:pPr>
        <w:jc w:val="both"/>
        <w:rPr>
          <w:rFonts w:asciiTheme="minorHAnsi" w:hAnsiTheme="minorHAnsi"/>
          <w:szCs w:val="24"/>
          <w:lang w:val="es-ES_tradnl"/>
        </w:rPr>
      </w:pPr>
    </w:p>
    <w:p w14:paraId="25426806"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r w:rsidRPr="000D3432">
        <w:rPr>
          <w:rFonts w:asciiTheme="minorHAnsi" w:hAnsiTheme="minorHAnsi"/>
          <w:szCs w:val="24"/>
          <w:lang w:val="es-ES_tradnl"/>
        </w:rPr>
        <w:t>Pone en evidencia hechos contrarios a toda tradición histórica: “Y el derecho español aplicado a América, es decir el derecho indiano, procuró en mucho copiar las instituciones propias de los indios, como lo evidencian las leyes sobre tributos, mita, comunidades, etc. ( 81. Historia del Derecho Peruano.)</w:t>
      </w:r>
    </w:p>
    <w:p w14:paraId="7F9D7EB9" w14:textId="77777777" w:rsidR="00D06C42" w:rsidRPr="000D3432" w:rsidRDefault="00D06C42"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lang w:val="es-ES_tradnl"/>
        </w:rPr>
      </w:pPr>
    </w:p>
    <w:p w14:paraId="58138986" w14:textId="77777777" w:rsidR="00D06C42" w:rsidRPr="000D3432" w:rsidRDefault="00D06C42" w:rsidP="00A95498">
      <w:pPr>
        <w:rPr>
          <w:rFonts w:asciiTheme="minorHAnsi" w:hAnsiTheme="minorHAnsi"/>
          <w:szCs w:val="24"/>
          <w:lang w:val="es-ES_tradnl"/>
        </w:rPr>
      </w:pPr>
    </w:p>
    <w:p w14:paraId="5784608D" w14:textId="77777777" w:rsidR="00D06C42" w:rsidRPr="000D3432" w:rsidRDefault="00D06C42"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0C78F511" w14:textId="77777777" w:rsidR="00D06C42" w:rsidRPr="000D3432" w:rsidRDefault="00D06C42" w:rsidP="00A95498">
      <w:pPr>
        <w:rPr>
          <w:rFonts w:asciiTheme="minorHAnsi" w:hAnsiTheme="minorHAnsi"/>
          <w:szCs w:val="24"/>
        </w:rPr>
      </w:pPr>
    </w:p>
    <w:p w14:paraId="175E399C" w14:textId="77777777" w:rsidR="00D06C42" w:rsidRPr="000D3432" w:rsidRDefault="00D06C42" w:rsidP="00A95498">
      <w:pPr>
        <w:rPr>
          <w:rFonts w:asciiTheme="minorHAnsi" w:hAnsiTheme="minorHAnsi"/>
          <w:szCs w:val="24"/>
        </w:rPr>
      </w:pPr>
    </w:p>
    <w:p w14:paraId="14D4E480" w14:textId="77777777" w:rsidR="00D06C42" w:rsidRPr="000D3432" w:rsidRDefault="00D06C42" w:rsidP="00A95498">
      <w:pPr>
        <w:rPr>
          <w:rFonts w:asciiTheme="minorHAnsi" w:hAnsiTheme="minorHAnsi"/>
          <w:szCs w:val="24"/>
        </w:rPr>
      </w:pPr>
    </w:p>
    <w:p w14:paraId="464EB946" w14:textId="77777777" w:rsidR="00D06C42" w:rsidRPr="000D3432" w:rsidRDefault="00D06C42" w:rsidP="00A95498">
      <w:pPr>
        <w:rPr>
          <w:rFonts w:asciiTheme="minorHAnsi" w:hAnsiTheme="minorHAnsi"/>
          <w:szCs w:val="24"/>
        </w:rPr>
      </w:pPr>
    </w:p>
    <w:p w14:paraId="552683CD" w14:textId="77777777" w:rsidR="00D06C42" w:rsidRPr="000D3432" w:rsidRDefault="00D06C42" w:rsidP="00A95498">
      <w:pPr>
        <w:rPr>
          <w:rFonts w:asciiTheme="minorHAnsi" w:hAnsiTheme="minorHAnsi"/>
          <w:szCs w:val="24"/>
        </w:rPr>
      </w:pPr>
    </w:p>
    <w:p w14:paraId="419B335A" w14:textId="77777777" w:rsidR="00D06C42" w:rsidRPr="000D3432" w:rsidRDefault="00D06C42" w:rsidP="00A95498">
      <w:pPr>
        <w:rPr>
          <w:rFonts w:asciiTheme="minorHAnsi" w:hAnsiTheme="minorHAnsi"/>
          <w:szCs w:val="24"/>
        </w:rPr>
      </w:pPr>
    </w:p>
    <w:p w14:paraId="7A0DE267" w14:textId="77777777" w:rsidR="00D06C42" w:rsidRPr="000D3432" w:rsidRDefault="00D06C42" w:rsidP="00A95498">
      <w:pPr>
        <w:rPr>
          <w:rFonts w:asciiTheme="minorHAnsi" w:hAnsiTheme="minorHAnsi"/>
          <w:szCs w:val="24"/>
        </w:rPr>
      </w:pPr>
    </w:p>
    <w:p w14:paraId="01B37A0A" w14:textId="77777777" w:rsidR="00D06C42" w:rsidRPr="000D3432" w:rsidRDefault="00D06C42" w:rsidP="00A95498">
      <w:pPr>
        <w:rPr>
          <w:rFonts w:asciiTheme="minorHAnsi" w:hAnsiTheme="minorHAnsi"/>
          <w:szCs w:val="24"/>
        </w:rPr>
      </w:pPr>
    </w:p>
    <w:p w14:paraId="6AAE8751" w14:textId="77777777" w:rsidR="00FD54CD" w:rsidRPr="000D3432" w:rsidRDefault="00FD54CD" w:rsidP="00A95498">
      <w:pPr>
        <w:jc w:val="right"/>
        <w:outlineLvl w:val="1"/>
        <w:rPr>
          <w:rFonts w:asciiTheme="minorHAnsi" w:hAnsiTheme="minorHAnsi" w:cs="Arial"/>
          <w:b/>
          <w:bCs/>
          <w:color w:val="1F497D"/>
          <w:szCs w:val="24"/>
          <w:lang w:val="es-ES_tradnl"/>
        </w:rPr>
      </w:pPr>
    </w:p>
    <w:p w14:paraId="448A12C2" w14:textId="77777777" w:rsidR="00FD54CD" w:rsidRPr="000D3432" w:rsidRDefault="00FD54CD" w:rsidP="00A95498">
      <w:pPr>
        <w:tabs>
          <w:tab w:val="left" w:pos="2520"/>
        </w:tabs>
        <w:outlineLvl w:val="1"/>
        <w:rPr>
          <w:rFonts w:asciiTheme="minorHAnsi" w:hAnsiTheme="minorHAnsi" w:cs="Arial"/>
          <w:b/>
          <w:bCs/>
          <w:color w:val="1F497D"/>
          <w:szCs w:val="24"/>
          <w:lang w:val="es-ES_tradnl"/>
        </w:rPr>
      </w:pPr>
      <w:r w:rsidRPr="000D3432">
        <w:rPr>
          <w:rFonts w:asciiTheme="minorHAnsi" w:hAnsiTheme="minorHAnsi" w:cs="Arial"/>
          <w:b/>
          <w:bCs/>
          <w:color w:val="1F497D"/>
          <w:szCs w:val="24"/>
          <w:lang w:val="es-ES_tradnl"/>
        </w:rPr>
        <w:tab/>
      </w:r>
    </w:p>
    <w:p w14:paraId="7FFE6F45" w14:textId="77777777" w:rsidR="00FD54CD" w:rsidRPr="000D3432" w:rsidRDefault="00FD54CD" w:rsidP="00A95498">
      <w:pPr>
        <w:jc w:val="center"/>
        <w:outlineLvl w:val="1"/>
        <w:rPr>
          <w:rFonts w:asciiTheme="minorHAnsi" w:hAnsiTheme="minorHAnsi" w:cs="Arial"/>
          <w:b/>
          <w:bCs/>
          <w:color w:val="1F497D"/>
          <w:szCs w:val="24"/>
          <w:lang w:val="es-ES_tradnl"/>
        </w:rPr>
      </w:pPr>
    </w:p>
    <w:p w14:paraId="5EFF9F41" w14:textId="77777777" w:rsidR="00FD54CD" w:rsidRPr="000D3432" w:rsidRDefault="00FD54CD" w:rsidP="00A95498">
      <w:pPr>
        <w:tabs>
          <w:tab w:val="left" w:pos="1130"/>
          <w:tab w:val="right" w:pos="8505"/>
        </w:tabs>
        <w:jc w:val="center"/>
        <w:outlineLvl w:val="1"/>
        <w:rPr>
          <w:rFonts w:asciiTheme="minorHAnsi" w:hAnsiTheme="minorHAnsi" w:cs="Arial"/>
          <w:b/>
          <w:bCs/>
          <w:szCs w:val="24"/>
          <w:lang w:val="es-ES_tradnl"/>
        </w:rPr>
      </w:pPr>
    </w:p>
    <w:p w14:paraId="0F8D5DC1" w14:textId="77777777" w:rsidR="00FD54CD" w:rsidRPr="000D3432" w:rsidRDefault="00FD54CD" w:rsidP="00A95498">
      <w:pPr>
        <w:jc w:val="center"/>
        <w:rPr>
          <w:rFonts w:asciiTheme="minorHAnsi" w:hAnsiTheme="minorHAnsi"/>
          <w:b/>
          <w:color w:val="943634"/>
          <w:szCs w:val="24"/>
          <w:lang w:val="es-ES_tradnl"/>
        </w:rPr>
      </w:pPr>
      <w:r w:rsidRPr="000D3432">
        <w:rPr>
          <w:rFonts w:asciiTheme="minorHAnsi" w:hAnsiTheme="minorHAnsi"/>
          <w:b/>
          <w:color w:val="943634"/>
          <w:szCs w:val="24"/>
          <w:u w:val="single"/>
          <w:lang w:val="es-ES_tradnl"/>
        </w:rPr>
        <w:t>NARRACIONES EXTRAVIADAS</w:t>
      </w:r>
    </w:p>
    <w:p w14:paraId="3D52601F" w14:textId="77777777" w:rsidR="00FD54CD" w:rsidRPr="000D3432" w:rsidRDefault="00FD54CD" w:rsidP="00A95498">
      <w:pPr>
        <w:jc w:val="center"/>
        <w:rPr>
          <w:rFonts w:asciiTheme="minorHAnsi" w:hAnsiTheme="minorHAnsi"/>
          <w:b/>
          <w:szCs w:val="24"/>
          <w:lang w:val="es-ES_tradnl"/>
        </w:rPr>
      </w:pPr>
      <w:r w:rsidRPr="000D3432">
        <w:rPr>
          <w:rFonts w:asciiTheme="minorHAnsi" w:hAnsiTheme="minorHAnsi"/>
          <w:b/>
          <w:color w:val="943634"/>
          <w:szCs w:val="24"/>
          <w:lang w:val="es-ES_tradnl"/>
        </w:rPr>
        <w:t xml:space="preserve"> </w:t>
      </w:r>
      <w:r w:rsidRPr="000D3432">
        <w:rPr>
          <w:rFonts w:asciiTheme="minorHAnsi" w:hAnsiTheme="minorHAnsi"/>
          <w:b/>
          <w:szCs w:val="24"/>
          <w:lang w:val="es-ES_tradnl"/>
        </w:rPr>
        <w:t>(Breviarios de vida)</w:t>
      </w:r>
    </w:p>
    <w:p w14:paraId="215468CA" w14:textId="77777777" w:rsidR="00FD54CD" w:rsidRPr="000D3432" w:rsidRDefault="00FD54CD" w:rsidP="00A95498">
      <w:pPr>
        <w:jc w:val="center"/>
        <w:rPr>
          <w:rFonts w:asciiTheme="minorHAnsi" w:hAnsiTheme="minorHAnsi" w:cs="Arial"/>
          <w:szCs w:val="24"/>
          <w:lang w:val="es-ES_tradnl" w:eastAsia="es-PE"/>
        </w:rPr>
      </w:pPr>
    </w:p>
    <w:p w14:paraId="518D2B88" w14:textId="514AED7B" w:rsidR="000E07E2" w:rsidRPr="000D3432" w:rsidRDefault="000E07E2">
      <w:pPr>
        <w:widowControl/>
        <w:overflowPunct/>
        <w:autoSpaceDE/>
        <w:autoSpaceDN/>
        <w:adjustRightInd/>
        <w:textAlignment w:val="auto"/>
        <w:rPr>
          <w:rFonts w:asciiTheme="minorHAnsi" w:hAnsiTheme="minorHAnsi" w:cs="Arial"/>
          <w:szCs w:val="24"/>
          <w:lang w:val="es-ES_tradnl"/>
        </w:rPr>
      </w:pPr>
      <w:r w:rsidRPr="000D3432">
        <w:rPr>
          <w:rFonts w:asciiTheme="minorHAnsi" w:hAnsiTheme="minorHAnsi" w:cs="Arial"/>
          <w:szCs w:val="24"/>
          <w:lang w:val="es-ES_tradnl"/>
        </w:rPr>
        <w:br w:type="page"/>
      </w:r>
    </w:p>
    <w:p w14:paraId="42856CE9" w14:textId="77777777" w:rsidR="00FD54CD" w:rsidRPr="000D3432" w:rsidRDefault="00FD54CD" w:rsidP="00A95498">
      <w:pPr>
        <w:jc w:val="both"/>
        <w:rPr>
          <w:rFonts w:asciiTheme="minorHAnsi" w:hAnsiTheme="minorHAnsi" w:cs="Arial"/>
          <w:szCs w:val="24"/>
          <w:lang w:val="es-ES_tradnl"/>
        </w:rPr>
      </w:pPr>
    </w:p>
    <w:p w14:paraId="13B00FB2" w14:textId="77777777" w:rsidR="000E07E2" w:rsidRPr="000D3432" w:rsidRDefault="000E07E2" w:rsidP="00A95498">
      <w:pPr>
        <w:jc w:val="both"/>
        <w:rPr>
          <w:rFonts w:asciiTheme="minorHAnsi" w:hAnsiTheme="minorHAnsi" w:cs="Arial"/>
          <w:szCs w:val="24"/>
          <w:lang w:val="es-ES_tradnl"/>
        </w:rPr>
      </w:pPr>
    </w:p>
    <w:p w14:paraId="75BA7209" w14:textId="77777777" w:rsidR="000E07E2" w:rsidRPr="000D3432" w:rsidRDefault="000E07E2" w:rsidP="000E07E2">
      <w:pPr>
        <w:tabs>
          <w:tab w:val="left" w:pos="1130"/>
          <w:tab w:val="right" w:pos="8505"/>
        </w:tabs>
        <w:jc w:val="center"/>
        <w:outlineLvl w:val="1"/>
        <w:rPr>
          <w:rFonts w:asciiTheme="minorHAnsi" w:hAnsiTheme="minorHAnsi" w:cs="Arial"/>
          <w:b/>
          <w:bCs/>
          <w:szCs w:val="24"/>
          <w:lang w:val="es-ES_tradnl"/>
        </w:rPr>
      </w:pPr>
    </w:p>
    <w:p w14:paraId="0CB5B730" w14:textId="77777777" w:rsidR="000E07E2" w:rsidRPr="000D3432" w:rsidRDefault="000E07E2" w:rsidP="000E07E2">
      <w:pPr>
        <w:jc w:val="center"/>
        <w:rPr>
          <w:rFonts w:asciiTheme="minorHAnsi" w:hAnsiTheme="minorHAnsi"/>
          <w:b/>
          <w:color w:val="943634"/>
          <w:szCs w:val="24"/>
          <w:lang w:val="es-ES_tradnl"/>
        </w:rPr>
      </w:pPr>
      <w:r w:rsidRPr="000D3432">
        <w:rPr>
          <w:rFonts w:asciiTheme="minorHAnsi" w:hAnsiTheme="minorHAnsi"/>
          <w:b/>
          <w:color w:val="943634"/>
          <w:szCs w:val="24"/>
          <w:u w:val="single"/>
          <w:lang w:val="es-ES_tradnl"/>
        </w:rPr>
        <w:t>NARRACIONES EXTRAVIADAS</w:t>
      </w:r>
    </w:p>
    <w:p w14:paraId="32415FEA" w14:textId="77777777" w:rsidR="000E07E2" w:rsidRPr="000D3432" w:rsidRDefault="000E07E2" w:rsidP="000E07E2">
      <w:pPr>
        <w:jc w:val="center"/>
        <w:rPr>
          <w:rFonts w:asciiTheme="minorHAnsi" w:hAnsiTheme="minorHAnsi"/>
          <w:b/>
          <w:szCs w:val="24"/>
          <w:lang w:val="es-ES_tradnl"/>
        </w:rPr>
      </w:pPr>
      <w:r w:rsidRPr="000D3432">
        <w:rPr>
          <w:rFonts w:asciiTheme="minorHAnsi" w:hAnsiTheme="minorHAnsi"/>
          <w:b/>
          <w:color w:val="943634"/>
          <w:szCs w:val="24"/>
          <w:lang w:val="es-ES_tradnl"/>
        </w:rPr>
        <w:t xml:space="preserve"> </w:t>
      </w:r>
      <w:r w:rsidRPr="000D3432">
        <w:rPr>
          <w:rFonts w:asciiTheme="minorHAnsi" w:hAnsiTheme="minorHAnsi"/>
          <w:b/>
          <w:szCs w:val="24"/>
          <w:lang w:val="es-ES_tradnl"/>
        </w:rPr>
        <w:t>(Breviarios de vida)</w:t>
      </w:r>
    </w:p>
    <w:p w14:paraId="6456EC77" w14:textId="77777777" w:rsidR="000E07E2" w:rsidRPr="000D3432" w:rsidRDefault="000E07E2" w:rsidP="00A95498">
      <w:pPr>
        <w:jc w:val="both"/>
        <w:rPr>
          <w:rFonts w:asciiTheme="minorHAnsi" w:hAnsiTheme="minorHAnsi" w:cs="Arial"/>
          <w:szCs w:val="24"/>
          <w:lang w:val="es-ES_tradnl"/>
        </w:rPr>
      </w:pPr>
    </w:p>
    <w:p w14:paraId="00D37CBF" w14:textId="77777777" w:rsidR="00FD54CD" w:rsidRPr="000D3432" w:rsidRDefault="00FD54CD" w:rsidP="00A95498">
      <w:pPr>
        <w:tabs>
          <w:tab w:val="left" w:pos="4725"/>
        </w:tabs>
        <w:rPr>
          <w:rFonts w:asciiTheme="minorHAnsi" w:hAnsiTheme="minorHAnsi"/>
          <w:szCs w:val="24"/>
        </w:rPr>
      </w:pPr>
    </w:p>
    <w:p w14:paraId="4C6562D5" w14:textId="77777777" w:rsidR="00FD54CD" w:rsidRPr="000D3432" w:rsidRDefault="00FD54CD" w:rsidP="00A95498">
      <w:pPr>
        <w:tabs>
          <w:tab w:val="left" w:pos="4725"/>
        </w:tabs>
        <w:jc w:val="both"/>
        <w:rPr>
          <w:rFonts w:asciiTheme="minorHAnsi" w:hAnsiTheme="minorHAnsi" w:cs="Arial"/>
          <w:color w:val="2B3334"/>
          <w:szCs w:val="24"/>
          <w:lang w:eastAsia="es-PE"/>
        </w:rPr>
      </w:pPr>
      <w:r w:rsidRPr="000D3432">
        <w:rPr>
          <w:rFonts w:asciiTheme="minorHAnsi" w:hAnsiTheme="minorHAnsi" w:cs="Arial"/>
          <w:color w:val="2B3334"/>
          <w:szCs w:val="24"/>
          <w:lang w:eastAsia="es-PE"/>
        </w:rPr>
        <w:t>Cree mi página web gratuita en fecha que no recuerdo, pero ello me sirvió para exponer algunas ideas o narraciones, albitrarias, confusas, ligeras, complejas, paganas, indecentes, sordas, ingenuas, que en esta oportunidad inserto como un divertimento.</w:t>
      </w:r>
    </w:p>
    <w:p w14:paraId="110965AF" w14:textId="77777777" w:rsidR="000E07E2" w:rsidRPr="000D3432" w:rsidRDefault="000E07E2" w:rsidP="00A95498">
      <w:pPr>
        <w:tabs>
          <w:tab w:val="left" w:pos="4725"/>
        </w:tabs>
        <w:jc w:val="both"/>
        <w:rPr>
          <w:rFonts w:asciiTheme="minorHAnsi" w:hAnsiTheme="minorHAnsi" w:cs="Arial"/>
          <w:color w:val="2B3334"/>
          <w:szCs w:val="24"/>
          <w:lang w:eastAsia="es-PE"/>
        </w:rPr>
      </w:pPr>
    </w:p>
    <w:p w14:paraId="688D6F1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14.02.2014</w:t>
      </w:r>
    </w:p>
    <w:p w14:paraId="14EC2911"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No esperes el momento perfecto, toma el momento y hazlo perfecto.". La anterior frase la leí en el internet. Fue impactante, algo que había escuchado siempre en otra forma en mi familia: "Construye tu felicidad".</w:t>
      </w:r>
      <w:r w:rsidRPr="000D3432">
        <w:rPr>
          <w:rStyle w:val="apple-converted-space"/>
          <w:rFonts w:asciiTheme="minorHAnsi" w:hAnsiTheme="minorHAnsi" w:cs="Arial"/>
          <w:color w:val="2B3334"/>
        </w:rPr>
        <w:t> </w:t>
      </w:r>
      <w:r w:rsidRPr="000D3432">
        <w:rPr>
          <w:rFonts w:asciiTheme="minorHAnsi" w:hAnsiTheme="minorHAnsi" w:cs="Arial"/>
          <w:color w:val="2B3334"/>
        </w:rPr>
        <w:t xml:space="preserve">Pero lo diferente es que "no se debe esperar el momento perfecto", sino "construirlo". Eso es PERFECTO. </w:t>
      </w:r>
    </w:p>
    <w:p w14:paraId="42F024E0"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p>
    <w:p w14:paraId="11C38BF4" w14:textId="77777777" w:rsidR="00FD54CD" w:rsidRPr="000D3432" w:rsidRDefault="00FD54CD" w:rsidP="00A95498">
      <w:pPr>
        <w:pStyle w:val="Ttulo3"/>
        <w:rPr>
          <w:rFonts w:asciiTheme="minorHAnsi" w:hAnsiTheme="minorHAnsi" w:cs="Arial"/>
          <w:color w:val="000000"/>
          <w:sz w:val="24"/>
          <w:szCs w:val="24"/>
        </w:rPr>
      </w:pPr>
      <w:bookmarkStart w:id="112" w:name="_Toc318102917"/>
      <w:r w:rsidRPr="000D3432">
        <w:rPr>
          <w:rFonts w:asciiTheme="minorHAnsi" w:hAnsiTheme="minorHAnsi" w:cs="Arial"/>
          <w:color w:val="000000"/>
          <w:sz w:val="24"/>
          <w:szCs w:val="24"/>
        </w:rPr>
        <w:t>anoche</w:t>
      </w:r>
      <w:bookmarkEnd w:id="112"/>
    </w:p>
    <w:p w14:paraId="15DCDCAB"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01.12.2014</w:t>
      </w:r>
    </w:p>
    <w:p w14:paraId="550A5B78"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Tengo sed. compro una incacola, y bebo de ella. la llevo en la mano pero mientras me dirijo al cine, una mujer, de mediana edad, se cruza conmigo, e intenta coger mi gaseosa y jalarla... Me desconcierto.. pero sigo con mi gaseosa. Ella se hace la desentendida y se queda allí, sin importarle nada. Yo la miro... esta sucia, viejita, panzona y parece mendiga.. Atino solo a pensar que esa es su estrategia para hacerse de alimentos, bebidas, etc.. y sigo mi camino.. Por la forma cómo me abordó.. me doy cuenta que no es la primera vez..es una estrategia de vida???</w:t>
      </w:r>
    </w:p>
    <w:p w14:paraId="0963F226" w14:textId="77777777" w:rsidR="00FD54CD" w:rsidRPr="000D3432" w:rsidRDefault="00FD54CD" w:rsidP="00A95498">
      <w:pPr>
        <w:pStyle w:val="Ttulo3"/>
        <w:rPr>
          <w:rFonts w:asciiTheme="minorHAnsi" w:hAnsiTheme="minorHAnsi" w:cs="Arial"/>
          <w:color w:val="000000"/>
          <w:sz w:val="24"/>
          <w:szCs w:val="24"/>
        </w:rPr>
      </w:pPr>
    </w:p>
    <w:p w14:paraId="5A4D5054" w14:textId="77777777" w:rsidR="00FD54CD" w:rsidRPr="000D3432" w:rsidRDefault="00FD54CD" w:rsidP="00A95498">
      <w:pPr>
        <w:pStyle w:val="Ttulo3"/>
        <w:rPr>
          <w:rFonts w:asciiTheme="minorHAnsi" w:hAnsiTheme="minorHAnsi" w:cs="Arial"/>
          <w:color w:val="000000"/>
          <w:sz w:val="24"/>
          <w:szCs w:val="24"/>
        </w:rPr>
      </w:pPr>
      <w:bookmarkStart w:id="113" w:name="_Toc318102918"/>
      <w:r w:rsidRPr="000D3432">
        <w:rPr>
          <w:rFonts w:asciiTheme="minorHAnsi" w:hAnsiTheme="minorHAnsi" w:cs="Arial"/>
          <w:color w:val="000000"/>
          <w:sz w:val="24"/>
          <w:szCs w:val="24"/>
        </w:rPr>
        <w:t>estrategias urbanas para evitar la delincuencia</w:t>
      </w:r>
      <w:bookmarkEnd w:id="113"/>
    </w:p>
    <w:p w14:paraId="630F8D04"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24.11.2014</w:t>
      </w:r>
    </w:p>
    <w:p w14:paraId="66A1BEDF"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dos de la mañana, estoy en un lugar donde venden anticuchos, en una esquina conocida de Lima. Una de las vendedoras está sentada agachada. A primera vista pareciera que esta borrachita, o llorando. Pregunto que le ha pasado. Me dice su mamá, que sólo está hablando por cellular. Pregunto porqué se acurruca para ello. Me responde que es para evitar atraer a los ladrones.. Luego la chiquiuta se levanta y es cierto, no estaba borrachita, sino hablando por celular, y pienso en las estrategias que usan las personas para no ser asaltadas. Esto merece un comentario, o un libro que llamaré -algún día: "Estrategias urbanas para evitar la delincuencia".</w:t>
      </w:r>
    </w:p>
    <w:p w14:paraId="66246AD8"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1E23C7A6"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PARA NO OLVIDAR</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02.10.2014</w:t>
      </w:r>
    </w:p>
    <w:p w14:paraId="5DAEE359"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xml:space="preserve">Uno de los libros que voy preparando, se titula "CONFESIONES DE UN ABOGADO", en donde estoy poniendo todos los traspíes, sancadillas, vivezas, boicot, engreimientos con los que me he topado, los míos y los de los demás, que hacen de una cosa superficial una cuestión de estado, con ánimo simplemente caprichoso, sin perder de vista que dichas personalidades tienen una conducta supernatural, que no debo dejar de contar para describir las historias de la terquedad, de la necedad que se vive en los ambientes de cualquier institución, </w:t>
      </w:r>
      <w:r w:rsidRPr="000D3432">
        <w:rPr>
          <w:rFonts w:asciiTheme="minorHAnsi" w:hAnsiTheme="minorHAnsi" w:cs="Arial"/>
          <w:color w:val="000000"/>
        </w:rPr>
        <w:lastRenderedPageBreak/>
        <w:t>sea pública y privada, y que son producto de las personas, por lo que mi hipótesis, harta explicada por autores de renombre, sobre lo importante del capital humano, es perfectamente atendible y perfecta, en las historias que voy a contar.. Personas que están a la vez con dos personas, descaradamente, o que tienen la desfachatez de hacerse los vivos y luego en la parte laboral se comportan como si fueran infelices, es algo que no entiendo. La teoría de que la persona infeliz hace infelices a los demás, y de que las personas felices hacen felices a los demás no es completa, exacta, porque viendo a una persona que esta a la vez con dos personas, ésta no es feliz porque pone problemas a otras personas, o hace cumplicada la vida, por una razón matemática y jurídica, ser molesto debe ser agradable, debe producir cierto poder y placer.. contaré esto en mi libro, como una teoría jurídica económica.. después....</w:t>
      </w:r>
    </w:p>
    <w:p w14:paraId="1954C871"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p>
    <w:p w14:paraId="649A5B3C"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bio salud</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05.09.2014</w:t>
      </w:r>
    </w:p>
    <w:p w14:paraId="10AAF1E1"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Esto tengo que escribirlo para no olvidarme. Cuando vivía en Moquegua, de niño, adoslente, impúber, me dolían las rodillas, era -dijeron- porque dormía en la parte alta de un camarote que daba a un techo de calamina, de la casa de mis padres. Cuando me trasladé a Tacna a estudiar, vivían en la casa de una adorable tía (a la cual querían todos) vivía en un cuarto con piso de mayólica, y era, a mi parecer, el lugar más frío de la casa,. Cuando estaba allí no salía de mi habitación para no conversar con nadie, y eso me provocó un enfrianmiento en el cuerpo, me volví intolerante al frío. (ja) y cuando me mudé a cuartos alquilados buscaba siempre un lugar caliente,.. una vez estuve alquilado en el segundo piso, justo debajo de una panadería, qué aliviio, que felicidad vivir allí, calientito, y mis males de frío se me fueron por completo.. Cuando me trasladé ya a mi casa, el clima era temperado,pero en invierto, yo profesional y trabajando en una institución pública, me hacía igual, frío... estaba en una oficina grande, pero, a fin de no conversar con nadie, me instalé en una oficina más pequeña con una caja de esas que filtran el internet, enorme al costado, y allí, como una caja de invierno, me congelaba, en invierno.. a los últimos años, todo me dolía en invierno, me daba tortícolis, gripe, a cada rato,.. y era una constante, jugaba fronton y me lesionaba fácilmente, etc. y me trasladé a Huaura, y en verano todo era genial, pero en invierno sucedió que me dioi principios de asma... (caramba, creo que eran los achaques? a mi edad? tan pronto.. pensaba. Y así decidí trasladarme a Lima.. Ahora no me resfrío fácilmente, no me lesiono, no me da asma, y no tengo tortícolis constantes... Todo tiene una receta: El clima. Simple.. La mejor cura para los males es el clima. y lo primero que se tiene que hacer uno es un chequé de qué clima nos asienta mejor... luego continuo la idea..... que si bien es conocida no se toma en cuenta con la debida importancia...</w:t>
      </w:r>
    </w:p>
    <w:p w14:paraId="090DF97E" w14:textId="77777777" w:rsidR="00FD54CD" w:rsidRPr="000D3432" w:rsidRDefault="00FD54CD" w:rsidP="00A95498">
      <w:pPr>
        <w:pStyle w:val="Ttulo3"/>
        <w:rPr>
          <w:rFonts w:asciiTheme="minorHAnsi" w:hAnsiTheme="minorHAnsi" w:cs="Arial"/>
          <w:color w:val="000000"/>
          <w:sz w:val="24"/>
          <w:szCs w:val="24"/>
        </w:rPr>
      </w:pPr>
    </w:p>
    <w:p w14:paraId="78290573" w14:textId="77777777" w:rsidR="00FD54CD" w:rsidRPr="000D3432" w:rsidRDefault="00FD54CD" w:rsidP="00A95498">
      <w:pPr>
        <w:pStyle w:val="Ttulo3"/>
        <w:rPr>
          <w:rFonts w:asciiTheme="minorHAnsi" w:hAnsiTheme="minorHAnsi" w:cs="Arial"/>
          <w:color w:val="000000"/>
          <w:sz w:val="24"/>
          <w:szCs w:val="24"/>
        </w:rPr>
      </w:pPr>
      <w:bookmarkStart w:id="114" w:name="_Toc318102919"/>
      <w:r w:rsidRPr="000D3432">
        <w:rPr>
          <w:rFonts w:asciiTheme="minorHAnsi" w:hAnsiTheme="minorHAnsi" w:cs="Arial"/>
          <w:color w:val="000000"/>
          <w:sz w:val="24"/>
          <w:szCs w:val="24"/>
        </w:rPr>
        <w:t>dos soles. modalidades de asalto</w:t>
      </w:r>
      <w:bookmarkEnd w:id="114"/>
    </w:p>
    <w:p w14:paraId="58C31333"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13.08.2014</w:t>
      </w:r>
    </w:p>
    <w:p w14:paraId="4EC46045"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xml:space="preserve">Camino por la Av. San Juan de Miraflores - Lima, son promedio las 8:30 de la noche. Intento ubicar una tienda de películas, para comprar una película de Robin Wiiliams, que acaba de morir a los 63 años. Creo es el mejor actor, humorista (hablo en presente porque un sus películas no pueden morir, entonces siempre estará allí). La Avenida es larga y oscura. la gente pasa a multitudes. Estoy por una vereda, y de pronto, alguien, casi de mi porte, como </w:t>
      </w:r>
      <w:r w:rsidRPr="000D3432">
        <w:rPr>
          <w:rFonts w:asciiTheme="minorHAnsi" w:hAnsiTheme="minorHAnsi" w:cs="Arial"/>
          <w:color w:val="000000"/>
        </w:rPr>
        <w:lastRenderedPageBreak/>
        <w:t>un bulto choca su rostro contra mi hombro, pasa y se detiene un metro más allá, haciendo gestos de dolor. Yo volteo, lo miro, es un tipo aparentemente ebrio, o malhechor, sus vestimentas, y todo su aspecto, lo demuestra, así que sigo mi camino, pero presiento algo. cruzo la pista, los autos estan por todo lado, camino de un lado a otro buscando un lugar apropiado, y llego frente a una tienda comercial que tiene al frente un guardian del local, y me paro. Doy media vuelta y observo si alguien me sigue, como suponía. Y si, de pronto tengo al individuo cruzando hacia mi, con cara macilenta y de malandrín, achorado, me dice, que le he rozado el rostro y que le duele, y que le de al menos para su pasaje. Tiene porte y es grueso, y me pregunto, ¿cómo un delincuente puede ser corpulento si debería estar medio flaco, porque se supone que roban por necesidad? Yo, escucho con atención sus palabras, tiene todo el aspecto de un delincuente ebrio y le sigo la corriente. Okey le digo. Saco unas monedas y se las entrego (dos soles). El mira su botín, me mira de soslayo como dudando de la rapidez de la respuesta y se va. Yo sigo parado allí y me pregunto, cómo ha podido seguirme si he cruzado la pista, dado una vuelta por aquí y por allá?, y estaba oscuro. Es simple, se dedican a eso. ¿Qué hacer ante estos casos? Creo que dos soles es muy poco para comprarse la seguridad. Luego pensé buscar un policía (no por el dinero sino por la seguridad), pero luego me olvidé. Cuento esto para no olvidar que tipo de robo existen. En resumen, yo no le había chocado el rostro, sino el propicio aquel roce, y luego con la excusa de dicho acto me pedía dinero. Es curioso que hasta para asaltarte tienen que inventar justificación. Supongo que si venía un policía hubieran podido (en su mente criminal) alegar que ellos eran los agredidos.</w:t>
      </w:r>
    </w:p>
    <w:p w14:paraId="5EAE219D"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594C691D"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Por no comprarme problemas?</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30.07.2014</w:t>
      </w:r>
    </w:p>
    <w:p w14:paraId="636958A5"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Una mañana de estas, en una de las estaciones del Tren Eléctrico (Jorge Chávez). Estoy intentando cruzar el control eléctrico, y de pronto una señora Gordaza, morena, le da un cachetadón a un niño (al parecer su hijo) de unos cinco años aproximadamente. Y le dice que se quede quieto. Al lado de la señora Gorda se encontraba un Policía. Y nada.. no pasó nada. No supe qué hacer.. si intervenir o no, y me pregunto si está el policía, porqué el tampoco hace nada? Yo, sigo pensando. No sé qué debe hacer, tengo ganas de rezondrar a la señora, pero se me aparece como una de esas gordas feas, callejoneras, dispuestas a todo, porque no tienen nada que perder.. y acobardado, solo atino a seguir pensando qué eso no esta bien. Me acerco al Policía y le digo... ¿Puede una señora pegarle a un niño en su delante y no hacerse nada? El dice: "Es su hijo"... y su mirada refleja a alguien que no quiere problemas.. Me dice: usted puede poner una sugerencia. Quedo con la sensación de impunidad. Hubiera tenido que denunciar a la mujer aquella... pero no supe actuar.. Y el policía debió también actuar y llevarla a la comisaría por violencia familiar.. y no actuó. Y el mundo seguirá así.. porque nos amilanamos ante este tipo de personas (que no tienen nada que perder). Y todo sigue igual de mal.. ....no hay recetas... para vivir?..</w:t>
      </w:r>
    </w:p>
    <w:p w14:paraId="5B7AAD59" w14:textId="77777777" w:rsidR="00FD54CD" w:rsidRPr="000D3432" w:rsidRDefault="00FD54CD" w:rsidP="00A95498">
      <w:pPr>
        <w:jc w:val="both"/>
        <w:rPr>
          <w:rFonts w:asciiTheme="minorHAnsi" w:hAnsiTheme="minorHAnsi" w:cs="Arial"/>
          <w:b/>
          <w:color w:val="2B3334"/>
          <w:szCs w:val="24"/>
        </w:rPr>
      </w:pPr>
      <w:r w:rsidRPr="000D3432">
        <w:rPr>
          <w:rFonts w:asciiTheme="minorHAnsi" w:hAnsiTheme="minorHAnsi" w:cs="Arial"/>
          <w:b/>
          <w:color w:val="000000"/>
          <w:szCs w:val="24"/>
          <w:shd w:val="clear" w:color="auto" w:fill="101111"/>
        </w:rPr>
        <w:br/>
      </w:r>
      <w:r w:rsidRPr="000D3432">
        <w:rPr>
          <w:rFonts w:asciiTheme="minorHAnsi" w:hAnsiTheme="minorHAnsi" w:cs="Arial"/>
          <w:b/>
          <w:color w:val="2B3334"/>
          <w:szCs w:val="24"/>
        </w:rPr>
        <w:t>publiidad subliminal</w:t>
      </w:r>
    </w:p>
    <w:p w14:paraId="0C590F65"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02.05.2014</w:t>
      </w:r>
    </w:p>
    <w:p w14:paraId="4FB043EC"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xml:space="preserve">Todos los días leo los periódicos. Cosa extraña que antes, de niño, adolescente, joven, no hacía, pues me parecían demasiado aburridos. y prefería libros de </w:t>
      </w:r>
      <w:r w:rsidRPr="000D3432">
        <w:rPr>
          <w:rFonts w:asciiTheme="minorHAnsi" w:hAnsiTheme="minorHAnsi" w:cs="Arial"/>
          <w:color w:val="2B3334"/>
        </w:rPr>
        <w:lastRenderedPageBreak/>
        <w:t>literatura, filosofía o derecho. Hoy sé que hay en los periódicos extraordinarias noticias, cuentos, fábulas, literatura, filosofía y derecho, además de política. Pero el porcentaje mayoritario que integran sus páginas son lectura de "terror", lectura vorazmente negativa. Esto lo sabe todo el mundo, pero no se mide el grado de malformaciones mentales que produce en los seres humanos, terriblemente orientados a ver las malas noticias como un acto de cultura. Lo más trágico es que no leer las noticias es quedarse sin el instrumento -conocimiento- necesario para percibir cómo va el mundo y para tomar decisiones en algunos casos. Es alucinante cómo estamos atrapados en las noticias, pervertidos por la noticia, malformados por la tragedia, la violencia que hay en aquellos medios. Recibimos dosis diarias (a primeras horas del día) de ráfagas de información tóxica, o que intoxica nuestras mentes. Respiramos toxico. Es como ir al mar y nadar en la suciedad. Y sin embargo, para un profesional es imposible obviar leer los diarios. Antaño, de joven, me alegraba de no leer los diarios, de no "pervertirme con sus páginas de noticias tóxicas", de no ingerir la dosis diaria de tragedia, violencia, delincuencia, desesperanza, a través de los diarios. Hoy quiero dejar de leer los diarios, porque no siento que aportan gran cosa a mi espíritu, porque incluso con noticias tan importantes para dirigirnos, siempre, siempre, son direccionados hacia el lado más pérfido, mas negativo de los hechos y deja desechos las mentes de los que pobremente leen. El stres empieza ya desde allí. ¿Qué hacer? Aún no tengo la respuesta, pues dejar de leer las noticias ahora ya me es imposible. Espero sin embargo, darme baños de inocencia y no leer ningún periódico de vez en cuando, para mantener mi mente saludable, lejos de todas las angustias, tragedias, violencia, que son aquellos diarios.</w:t>
      </w:r>
    </w:p>
    <w:p w14:paraId="382A9159" w14:textId="77777777" w:rsidR="00FD54CD" w:rsidRPr="000D3432" w:rsidRDefault="00FD54CD" w:rsidP="00A95498">
      <w:pPr>
        <w:pStyle w:val="Ttulo3"/>
        <w:rPr>
          <w:rFonts w:asciiTheme="minorHAnsi" w:hAnsiTheme="minorHAnsi" w:cs="Arial"/>
          <w:color w:val="2B3334"/>
          <w:sz w:val="24"/>
          <w:szCs w:val="24"/>
        </w:rPr>
      </w:pPr>
    </w:p>
    <w:p w14:paraId="5416CA4A" w14:textId="77777777" w:rsidR="00FD54CD" w:rsidRPr="000D3432" w:rsidRDefault="00FD54CD" w:rsidP="00A95498">
      <w:pPr>
        <w:pStyle w:val="Ttulo3"/>
        <w:rPr>
          <w:rFonts w:asciiTheme="minorHAnsi" w:hAnsiTheme="minorHAnsi" w:cs="Arial"/>
          <w:color w:val="2B3334"/>
          <w:sz w:val="24"/>
          <w:szCs w:val="24"/>
        </w:rPr>
      </w:pPr>
      <w:bookmarkStart w:id="115" w:name="_Toc318102920"/>
      <w:r w:rsidRPr="000D3432">
        <w:rPr>
          <w:rFonts w:asciiTheme="minorHAnsi" w:hAnsiTheme="minorHAnsi" w:cs="Arial"/>
          <w:color w:val="2B3334"/>
          <w:sz w:val="24"/>
          <w:szCs w:val="24"/>
        </w:rPr>
        <w:t>Don Guido Fernández De Córdova y Amézaga</w:t>
      </w:r>
      <w:bookmarkEnd w:id="115"/>
    </w:p>
    <w:p w14:paraId="095B5340"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11.03.2014</w:t>
      </w:r>
    </w:p>
    <w:p w14:paraId="0F9573F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xml:space="preserve">Un día me invitaron a dar unas palabras por el aniversario de la partida de Don Guido Fernández de Córdova y Amézaga, en la Universidad, me sentí halagado por aquello. Me dijeron que el motivo es que yo era uno de los que había trabajado con él en su último periodo de vida. El discurso fue transmitido por radio en vivo. Fue en el Auditorio que hoy se denomina "Guido Fernández de Córdova", hablaron muchos de él, y ahora hasta los que lo criticaban hablaban muy bien. Yo recuerdo que mi discurso no pudo transmitir aquello de lo que el poeta, literato, pintor, narrador, humoristas, novelista, promotor, era realmente. Aún no puedo describirlo con las palabras que calcen en su imagen de ser humano completo. Caminaba ya lento, y nosotros intentábamos caminar así de lentito. Aparecía ante las damas de la oficina como de entre ningún lado dando un pequeño mohín de salto y asustaba a las damas, que se reían gentilmente de aquellas tiernas travesuras del anciano poeta. Tenía fama ex millonario, de que había donado los primeros fondos económicos para la Universidad Nacional Jorge Basadre G. y tenía un cargo en la Universidad, Privada de Tacna, por cariño y reconocimiento del vicerrector, ganando apenas el sueldo mínimo. Llevaba a cabo los Martes Literarios, donde invitaba a expositores para disertar sobre diferentes temas, y allí regalaba sus libros, aquellos que la gente hubiera llamado unas "joyitas literarias". A su edad, corregía las revistas "Alma Pather", que yo editaba, compilaba, armaba, y me hacía renegar de tantos errores que </w:t>
      </w:r>
      <w:r w:rsidRPr="000D3432">
        <w:rPr>
          <w:rFonts w:asciiTheme="minorHAnsi" w:hAnsiTheme="minorHAnsi" w:cs="Arial"/>
          <w:color w:val="2B3334"/>
        </w:rPr>
        <w:lastRenderedPageBreak/>
        <w:t>encontraba. Hoy agradezco sus correcciones, pero en aquel entonces no entendía de su grandeza. Había donado sus pinturas al Auditorio del Rectorado de la UPT, que llenaban toda la pared derecha. Fue algo extraordinaria su obra. Su nieta, una linda jovencita, lo acompañaba en los Martes Literarios.</w:t>
      </w:r>
      <w:r w:rsidRPr="000D3432">
        <w:rPr>
          <w:rStyle w:val="apple-converted-space"/>
          <w:rFonts w:asciiTheme="minorHAnsi" w:hAnsiTheme="minorHAnsi" w:cs="Arial"/>
          <w:color w:val="2B3334"/>
        </w:rPr>
        <w:t> </w:t>
      </w:r>
      <w:r w:rsidRPr="000D3432">
        <w:rPr>
          <w:rFonts w:asciiTheme="minorHAnsi" w:hAnsiTheme="minorHAnsi" w:cs="Arial"/>
          <w:color w:val="2B3334"/>
        </w:rPr>
        <w:br/>
        <w:t>Luego un día, sin saber porqué, ya no trabajaba más en la UPT. Y comenzó a editar y publicar revistas bellísimas, ilustradas con sus pinturas ¿bizarras? bellísimas. Yo, no pude decir mucho en el discurso por su aniversario, pero un día espero poder escribir y disertar aquello que vi y viví al lado de un gran poeta, Olvidé que tenía sus poemas eróticos, ¿tipo Tarantino? y que jugaba con la palabra en todas sus extensiones. De los escritores, poetas y literatos de Tacna, es el único al que llegué a admirar y reconocer su valía. (Después continuo)</w:t>
      </w:r>
    </w:p>
    <w:p w14:paraId="738EFA5C" w14:textId="77777777" w:rsidR="00FD54CD" w:rsidRPr="000D3432" w:rsidRDefault="00FD54CD" w:rsidP="00A95498">
      <w:pPr>
        <w:pStyle w:val="Ttulo3"/>
        <w:rPr>
          <w:rFonts w:asciiTheme="minorHAnsi" w:hAnsiTheme="minorHAnsi" w:cs="Arial"/>
          <w:color w:val="2B3334"/>
          <w:sz w:val="24"/>
          <w:szCs w:val="24"/>
        </w:rPr>
      </w:pPr>
    </w:p>
    <w:p w14:paraId="4F2792A2"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una sonrisa comprada</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09.03.2014</w:t>
      </w:r>
    </w:p>
    <w:p w14:paraId="3C312A6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En Huacho encontré un lugar donde tomar una gaseosa, comer un rico pollito criolllo. La primera vez que entré allì fue porque crei encontrar un lugar agradable para escribir en mi mac, había ambientes amplios, buena mùsica, y la gente tenìa semblante amable. Me sentè, y una jovencita se apresurò a atenderme; uno d elos mozos vio aquello, y la interceptó, y sobreponièndose delante de ella, llegò a mi mesa y me preguntó mi pedido. Aquello me desconcertó, porque la sonrisa de la jovencita se desdibujò. Pensé que ella sólo quería ser amable, hacer bien su trabajo, y el mozo la desencajó. Yo, sin pensarlo, y sonriente le dije al mozo. "Puede atenderme la jovencita", y el me miró con cara de malos amimgos. y en insistió. Y yo insistí. Y al final ella vino. Hice mi pedido, y le dije que además de la comida me traiga una sonrisa... Y eso fue todo. comprendí que una sonrisa es algo por lo que uno esta dispuesto a pagar, a fin que los demas sean felices.. luego continuo....</w:t>
      </w:r>
    </w:p>
    <w:p w14:paraId="45341A7D"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7AE91748"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26.02.2014</w:t>
      </w:r>
    </w:p>
    <w:p w14:paraId="5B2F183F"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se me viene a la mente un pensamiento económico,</w:t>
      </w:r>
    </w:p>
    <w:p w14:paraId="38C202B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br/>
        <w:t>Si a una persona le llaman por celular o teléfono un numero de veces determinado, por ejemplo 10 veces, quien gana es la telefónica, porque podrá cobrar por ese servicio.Mientras más llamadas se realicen más cobrará telefónica. Aquí falta un elemento. El objeto de las llamadas no es telefónica, sino una determinada persona, por lo tanto aquella le genera ingresos, rentas a telefónica, pero este no cobra nada a cambio. Este elemento es el que debe incluirse. la propuesta sería que telefónica pague a quien es ostensible de tantas llamadas. Es como si pasaran un comercial con mi imagen, y que este comercial hiciera ganar a muchos, menos a mi. Luego mejoro la idea.</w:t>
      </w:r>
      <w:r w:rsidRPr="000D3432">
        <w:rPr>
          <w:rStyle w:val="apple-converted-space"/>
          <w:rFonts w:asciiTheme="minorHAnsi" w:hAnsiTheme="minorHAnsi" w:cs="Arial"/>
          <w:color w:val="2B3334"/>
        </w:rPr>
        <w:t> </w:t>
      </w:r>
      <w:r w:rsidRPr="000D3432">
        <w:rPr>
          <w:rFonts w:asciiTheme="minorHAnsi" w:hAnsiTheme="minorHAnsi" w:cs="Arial"/>
          <w:color w:val="2B3334"/>
        </w:rPr>
        <w:br/>
        <w:t>Pero en fin, aquí existe algo que no está matemáticamente y económicamente definido.</w:t>
      </w:r>
    </w:p>
    <w:p w14:paraId="05EF6B3F"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4CF202E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derecho económico?</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21.02.2014</w:t>
      </w:r>
    </w:p>
    <w:p w14:paraId="7B66993B"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Fonts w:asciiTheme="minorHAnsi" w:hAnsiTheme="minorHAnsi" w:cs="Arial"/>
          <w:color w:val="2B3334"/>
        </w:rPr>
        <w:t>La playa de San Bartolo. Al sur de Lima, Estoy sentado en un banquito con cabecera y una sombrilla. Es intenso el calor. Esto es un paraíso.</w:t>
      </w:r>
      <w:r w:rsidRPr="000D3432">
        <w:rPr>
          <w:rStyle w:val="apple-converted-space"/>
          <w:rFonts w:asciiTheme="minorHAnsi" w:hAnsiTheme="minorHAnsi" w:cs="Arial"/>
          <w:color w:val="2B3334"/>
        </w:rPr>
        <w:t> </w:t>
      </w:r>
    </w:p>
    <w:p w14:paraId="2A115E8D"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br/>
        <w:t xml:space="preserve">Pido un helado a una señora que vende helados en su cajita de tecnopor. Ella </w:t>
      </w:r>
      <w:r w:rsidRPr="000D3432">
        <w:rPr>
          <w:rFonts w:asciiTheme="minorHAnsi" w:hAnsiTheme="minorHAnsi" w:cs="Arial"/>
          <w:color w:val="2B3334"/>
        </w:rPr>
        <w:lastRenderedPageBreak/>
        <w:t>muy amable me vende el helado, y luego espera a que corte el papel que cubre el helado y me dice que se lo entregue. Me sorprendo. Y le pregunto para que desea la envoltura del helado. Me dice que lo va a botar a la basura, porque no quiere que lo deje allí en la arena. La felicito. Es todo un acto comercial -pienso.</w:t>
      </w:r>
    </w:p>
    <w:p w14:paraId="77651346" w14:textId="77777777" w:rsidR="00FD54CD" w:rsidRPr="000D3432" w:rsidRDefault="00FD54CD" w:rsidP="00A95498">
      <w:pPr>
        <w:pStyle w:val="NormalWeb"/>
        <w:spacing w:before="0" w:beforeAutospacing="0" w:after="0" w:afterAutospacing="0"/>
        <w:jc w:val="both"/>
        <w:rPr>
          <w:rFonts w:asciiTheme="minorHAnsi" w:hAnsiTheme="minorHAnsi"/>
        </w:rPr>
      </w:pPr>
    </w:p>
    <w:p w14:paraId="7BA14C47"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idea de micropelícula</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20.02.2014</w:t>
      </w:r>
    </w:p>
    <w:p w14:paraId="75F836B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Una chica linda se alista para salir a la calle. Se filman todos los detalles de su preparación. Cómo elige su vestimenta, el color de su ropa, de su blusa, de su pantalón o falta, de sus zapatos. Cómo se arregla el cabello, se arregla el rostro, pintándose las cejas, espolvoreando su rostro, deslizando el carmín en sus labios, y listo. Al final toma un taxi, aparece en na manifestación, grita algunas frases que salen de su conciencia social, política, axiológica, y luego, una bala atraviesa su cabeza, y se acabó la historia. Historias absurdas. (Micropelícula).</w:t>
      </w:r>
    </w:p>
    <w:p w14:paraId="4E577B6B"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0D26A498"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pensamiento Nro. 01</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10.02.2014</w:t>
      </w:r>
    </w:p>
    <w:p w14:paraId="1E85243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Si la democracia significa que se tiene que elegir al mas carísmático y esto no asegura que sea a la vez "el más capaz", entonces matemáticamente o geometricamente se puede decir que la democracia no es un instrumento técnico adecuado para la compensación del universo, o el gobierno del mismo. Entonces, cómo premunirnos de la "incapacidad" de los elegidos? El Derecho, pero este es una resistencia que se opone ante un hecho. El Derecho es una esfuerzo, un despliegue de energías. No una cosa natural. El asunto es que la democracia no asegura ni la continuidad de la existencia ni el gobierno adecuado de la sociedad. La dictadura, por supuesto, es peor, pero nos han obligado a elegir entre estas dos fórmulas: dictadura o democracia, y es que hay que proponer una tercera alternativa, pues no debemos estar dispuestos a dejar en manos "peligrosas" nuestra vida, nuestro presente y futuro. ¿cuál es la solucion? El problema esta en la medición y en la inconstancia de ello. No se puede medir al ser humano, pues tiene demasiadas dimensiones; por otro lado, las circunstancias nunca son las mismas. Es decir, ni la persona o las circunstancias (lo interno y lo externo) se pueden medir en toda su dimensión. luego continuo....</w:t>
      </w:r>
    </w:p>
    <w:p w14:paraId="74CA8F37"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19E53741"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25.01.2014</w:t>
      </w:r>
    </w:p>
    <w:p w14:paraId="09857F46"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Cuando uno gasta mas de lo que tiene es desequilibrio, irresponsabilidad, negligencia, falta de visión contable. Cuando uno gasta de más, por gusto, es despilfarro. Por ejemplo, cuando uno toma un taxi en vez de un microbus o el tren eléctrico, si el el taxi no le ofrece mejores condiciones que los otros medios, entonces es despilfarro. Ahoro no es cuando uno regatea el precio de un taxi, si te piden 15 soles y tu le ofreces 10 y el acepta 11, entonces esto puede ser que estar ahorrando 4 soles, pero en realidad el ahorro no está en esta transacción, puesto que otro vehículo te hubiera podido cobrar menos.. despues explico.</w:t>
      </w:r>
    </w:p>
    <w:p w14:paraId="61705EEB"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p>
    <w:p w14:paraId="2EF649F2" w14:textId="77777777" w:rsidR="00FD54CD" w:rsidRPr="000D3432" w:rsidRDefault="00FD54CD" w:rsidP="00A95498">
      <w:pPr>
        <w:pStyle w:val="Ttulo3"/>
        <w:rPr>
          <w:rFonts w:asciiTheme="minorHAnsi" w:hAnsiTheme="minorHAnsi" w:cs="Arial"/>
          <w:color w:val="000000"/>
          <w:sz w:val="24"/>
          <w:szCs w:val="24"/>
        </w:rPr>
      </w:pPr>
      <w:bookmarkStart w:id="116" w:name="_Toc318102921"/>
      <w:r w:rsidRPr="000D3432">
        <w:rPr>
          <w:rFonts w:asciiTheme="minorHAnsi" w:hAnsiTheme="minorHAnsi" w:cs="Arial"/>
          <w:color w:val="000000"/>
          <w:sz w:val="24"/>
          <w:szCs w:val="24"/>
        </w:rPr>
        <w:t>ayer?</w:t>
      </w:r>
      <w:bookmarkEnd w:id="116"/>
    </w:p>
    <w:p w14:paraId="397F83F5"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000000"/>
        </w:rPr>
        <w:t> </w:t>
      </w:r>
      <w:r w:rsidRPr="000D3432">
        <w:rPr>
          <w:rFonts w:asciiTheme="minorHAnsi" w:hAnsiTheme="minorHAnsi" w:cs="Arial"/>
          <w:color w:val="000000"/>
        </w:rPr>
        <w:t>|</w:t>
      </w:r>
      <w:r w:rsidRPr="000D3432">
        <w:rPr>
          <w:rStyle w:val="apple-converted-space"/>
          <w:rFonts w:asciiTheme="minorHAnsi" w:hAnsiTheme="minorHAnsi" w:cs="Arial"/>
          <w:color w:val="000000"/>
        </w:rPr>
        <w:t> </w:t>
      </w:r>
      <w:r w:rsidRPr="000D3432">
        <w:rPr>
          <w:rFonts w:asciiTheme="minorHAnsi" w:hAnsiTheme="minorHAnsi" w:cs="Arial"/>
          <w:color w:val="C06310"/>
        </w:rPr>
        <w:t>27.11.2013</w:t>
      </w:r>
    </w:p>
    <w:p w14:paraId="6BF62CF0"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000000"/>
        </w:rPr>
      </w:pPr>
      <w:r w:rsidRPr="000D3432">
        <w:rPr>
          <w:rFonts w:asciiTheme="minorHAnsi" w:hAnsiTheme="minorHAnsi" w:cs="Arial"/>
          <w:color w:val="000000"/>
        </w:rPr>
        <w:t>el 25 de noviembre, es el "Día Internacional de la Lucha contra la Violencia hacia la Mujer".</w:t>
      </w:r>
      <w:r w:rsidRPr="000D3432">
        <w:rPr>
          <w:rStyle w:val="apple-converted-space"/>
          <w:rFonts w:asciiTheme="minorHAnsi" w:hAnsiTheme="minorHAnsi" w:cs="Arial"/>
          <w:color w:val="000000"/>
        </w:rPr>
        <w:t> </w:t>
      </w:r>
      <w:r w:rsidRPr="000D3432">
        <w:rPr>
          <w:rFonts w:asciiTheme="minorHAnsi" w:hAnsiTheme="minorHAnsi" w:cs="Arial"/>
          <w:color w:val="000000"/>
        </w:rPr>
        <w:br/>
      </w:r>
      <w:r w:rsidRPr="000D3432">
        <w:rPr>
          <w:rFonts w:asciiTheme="minorHAnsi" w:hAnsiTheme="minorHAnsi" w:cs="Arial"/>
          <w:color w:val="000000"/>
        </w:rPr>
        <w:br/>
      </w:r>
      <w:r w:rsidRPr="000D3432">
        <w:rPr>
          <w:rFonts w:asciiTheme="minorHAnsi" w:hAnsiTheme="minorHAnsi" w:cs="Arial"/>
          <w:color w:val="000000"/>
        </w:rPr>
        <w:lastRenderedPageBreak/>
        <w:t>Esto que parece siempre lejano a todos, no lo es en realidad, tal vez muchos lo vivan sin darse cuenta, como una parte inadvertida por la poca importancia que se le toma a hechos que parecen juego y que son violencia.</w:t>
      </w:r>
      <w:r w:rsidRPr="000D3432">
        <w:rPr>
          <w:rStyle w:val="apple-converted-space"/>
          <w:rFonts w:asciiTheme="minorHAnsi" w:hAnsiTheme="minorHAnsi" w:cs="Arial"/>
          <w:color w:val="000000"/>
        </w:rPr>
        <w:t> </w:t>
      </w:r>
    </w:p>
    <w:p w14:paraId="5E26D258" w14:textId="77777777" w:rsidR="00FD54CD" w:rsidRPr="000D3432" w:rsidRDefault="00FD54CD" w:rsidP="00A95498">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br/>
        <w:t>Por mi parte, recuerdo muchas veces, donde asustado y cubríendome el rostro y los oídos intentaba no saber de lo que pasaba a mi alrededor. Mi padre, ebrió y bravucón, venía a casa con la fachada de un torpe chacarero, grosero y sin la mínima noción de consideración a sus hijos. Como todo ebrio, comenzaba a refunfuñar, y a gritar, y a "hacerse el muy machito", el muy "valiente". Muchas veces vi como mi padre arrastraba de los cabellos a mi madre, siendo ella profesional (estudió economía en la universidad) y mi padre profesor de secundaria; yo no podía entender porqué mi padre se comportaba así. El sólo rebuznaba, o ponía la mirada de malo. Era un energúmeno, que agarraba su cinturón y amedrentaba a mi madre. Ella, al principio, si mal no me acuerdo, le daba pelea, pero un día via a mi madre caer del segundo piso, empujada por una puerta cerrada por un padre borracho, vi a mi madre llorar, luchar, y al final asustarse, por un hombre encabritado por el licor, y más por su mediocridad. yo niño, soñaba con ser fuerte un día, y golpear a mi padre, por cobarde. Mi madre parece no recordar eso, y siempre dice que solo hay que recordar lo bueno, y en esa idea me cobijo y formó. Pero hoy, aunque no tengo ya rencor por mi padre, si puedo decir, que nunca fui su amigo, y siempre fui distante, alejado, y mi forma de decirle que no me gustaba su comportamiento fue desconociéndolo primero como padre en cuanta reunión hubiera. cuando me decían que era mi papá, yo lo negaba,y decía "padre no es el que engendra sino el que cuida" Bueno. Lo cierto es que no creo que hay que olvidar a las personas violentas, ni sus actos violentos. Estos no deben quedar impunes, nunca, porque sino se perpetúan. Mi padre ya no agarra su cinturón, pero sigue siendo, con sus palabras, un patán con respecto a mi madre. Y yo nunca he podido entender como mi linda madrecita se hubiera podido fijar en un hombre además de feo, mediocre. No tengo miedo de escribir esto, ni aún por el prejuicio de que digan que soy un mal hijo, pero si decir la verdad es malo moralmente, no decir nada es trágico, peligrosísimo, gravísimo, porque permite siempre que los "violentos" se queden impunes. No. yo no voy a olvidar a mi padre y sus malos tratos con mi madre, y siempre diré lo que es de el: que era (espero ya no lo sea) un hombre violento, cobarde y abusivo y al que nunca más le permitiré que lastime a mi madre. Todo hijo tiene el deber de poner en evidencia el maltrato familiar, y no existe verguenza ni pudor que lo deba dejar impune. Y si pudiera hacerlo ahora, pondría una denuncia contra mi padre, por haber lastimado no sólo el cuerpo, sino el alma de mi madre, y el alma de sus hijos. No, nunca olvidaré a tipos así, y a riesgo de parecer un resentido, nunca perdonaré a mi padre, y menos si nunca se arrepintió, porque nadie le dijo ni le dice nada, porque piensan que eso ya pasó, que uno no debe disculparse por los errores del pasado. No, ningún maltrato debe quedar impune, Nunca haré nada violento contra mi padre, pero tampoco nunca permitiré que él sea violento con mi madre o mi familia. Es necesario no permitir NUNCA la violencia.</w:t>
      </w:r>
    </w:p>
    <w:p w14:paraId="12606E30" w14:textId="77777777" w:rsidR="00FD54CD" w:rsidRPr="000D3432" w:rsidRDefault="00FD54CD" w:rsidP="00A95498">
      <w:pPr>
        <w:pStyle w:val="Ttulo3"/>
        <w:rPr>
          <w:rFonts w:asciiTheme="minorHAnsi" w:hAnsiTheme="minorHAnsi" w:cs="Arial"/>
          <w:color w:val="000000"/>
          <w:sz w:val="24"/>
          <w:szCs w:val="24"/>
        </w:rPr>
      </w:pPr>
    </w:p>
    <w:p w14:paraId="186FD05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el peru en no crisis?</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02.11.2013</w:t>
      </w:r>
    </w:p>
    <w:p w14:paraId="1498C6EB"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lastRenderedPageBreak/>
        <w:t>Dicen que el Perú no está en crisis económica, como los otros países europeos y estaunidenses,</w:t>
      </w:r>
      <w:r w:rsidRPr="000D3432">
        <w:rPr>
          <w:rFonts w:asciiTheme="minorHAnsi" w:hAnsiTheme="minorHAnsi" w:cs="Arial"/>
          <w:color w:val="2B3334"/>
        </w:rPr>
        <w:br/>
        <w:t>pero a mi alrededor veo gente que esta buscando trabajo, que gana no muy bien, que su situación no es estable, que están siempre preocupados por el futuro</w:t>
      </w:r>
      <w:r w:rsidRPr="000D3432">
        <w:rPr>
          <w:rFonts w:asciiTheme="minorHAnsi" w:hAnsiTheme="minorHAnsi" w:cs="Arial"/>
          <w:color w:val="2B3334"/>
        </w:rPr>
        <w:br/>
        <w:t>cómo es que el Perù no está en crisis, si el promedio de gente vive con remuneraciones bájísimas?</w:t>
      </w:r>
      <w:r w:rsidRPr="000D3432">
        <w:rPr>
          <w:rFonts w:asciiTheme="minorHAnsi" w:hAnsiTheme="minorHAnsi" w:cs="Arial"/>
          <w:color w:val="2B3334"/>
        </w:rPr>
        <w:br/>
        <w:t>como no estar en crisis si hasta los magistrados pasan por una ratifiación cada siete años?</w:t>
      </w:r>
      <w:r w:rsidRPr="000D3432">
        <w:rPr>
          <w:rFonts w:asciiTheme="minorHAnsi" w:hAnsiTheme="minorHAnsi" w:cs="Arial"/>
          <w:color w:val="2B3334"/>
        </w:rPr>
        <w:br/>
      </w:r>
      <w:r w:rsidRPr="000D3432">
        <w:rPr>
          <w:rFonts w:asciiTheme="minorHAnsi" w:hAnsiTheme="minorHAnsi" w:cs="Arial"/>
          <w:color w:val="2B3334"/>
        </w:rPr>
        <w:br/>
        <w:t>De pronto doy con la cuenta que siempre me he topado con gente preocupada por un trabajo, chicas lindas que al parecer yo era un amigo, pero en realidad sólo era un referente económico.</w:t>
      </w:r>
      <w:r w:rsidRPr="000D3432">
        <w:rPr>
          <w:rFonts w:asciiTheme="minorHAnsi" w:hAnsiTheme="minorHAnsi" w:cs="Arial"/>
          <w:color w:val="2B3334"/>
        </w:rPr>
        <w:br/>
        <w:t>Una chica de inteligencia corporal, de imagen curvilínea a la cual siempre saludo y con la cual siempre hablaba, pero no es necesariamente mi amiga, me llama por celular, me cita, coquetea conmigo, y luego me dice la realidad: necesita trabajo. Yo la escucho, le digo que voy a ver que se de aquello, y listo. nos despedimos. Eso no me asombra, si que intente pedirme un favor cómo si fueramos amigos. Si la conociera un poquito más, si hubieras salido alguna vez en grupo o en pareja, o si la hubiera tratado en algún medio, hubiera sido talvez diferente. o que me hubiera llamado para decirme de frente que necesita trabajo, hubiera sido diferente; pero no, utiliza la estrategia de la cita, es decir, le invito la cena, a pesar que ella me ha citado; y no es que sea mezquino, sino que me parece incongruente con el hecho. es como una vez me paso en la universidad con un amigo, Me dijo, por favor enséñame matemáticas. ( En ese tiempo era bueno en matemática). y yo acepté. Y luego me indicó su dirección. y yo, por una supuesta amistad (en realidad no era mi amigo sólo mi compañero) iba a su domicilio, y le enseñaba matemáticas, en una pizarra de aquellas; y me trasladaba de un distrito a otro, con mis propios recursos económicos. ¿no es eso incongruente? es decir, no sólo le enseñaba matemáticas, sino que además corría con los gastos. No sé ahora como hacía eso. ESo de ayudar a la gente, debe ser congruente, bueno, luego sigo.</w:t>
      </w:r>
    </w:p>
    <w:p w14:paraId="4413DE04" w14:textId="77777777" w:rsidR="00FD54CD" w:rsidRPr="000D3432" w:rsidRDefault="00FD54CD" w:rsidP="00A95498">
      <w:pPr>
        <w:jc w:val="both"/>
        <w:rPr>
          <w:rFonts w:asciiTheme="minorHAnsi" w:hAnsiTheme="minorHAnsi" w:cs="Arial"/>
          <w:color w:val="2B3334"/>
          <w:szCs w:val="24"/>
        </w:rPr>
      </w:pPr>
    </w:p>
    <w:p w14:paraId="49392595" w14:textId="77777777" w:rsidR="00FD54CD" w:rsidRPr="000D3432" w:rsidRDefault="00FD54CD" w:rsidP="00A95498">
      <w:pPr>
        <w:pStyle w:val="Ttulo3"/>
        <w:rPr>
          <w:rFonts w:asciiTheme="minorHAnsi" w:hAnsiTheme="minorHAnsi" w:cs="Arial"/>
          <w:color w:val="2B3334"/>
          <w:sz w:val="24"/>
          <w:szCs w:val="24"/>
        </w:rPr>
      </w:pPr>
      <w:bookmarkStart w:id="117" w:name="_Toc318102922"/>
      <w:r w:rsidRPr="000D3432">
        <w:rPr>
          <w:rFonts w:asciiTheme="minorHAnsi" w:hAnsiTheme="minorHAnsi" w:cs="Arial"/>
          <w:color w:val="2B3334"/>
          <w:sz w:val="24"/>
          <w:szCs w:val="24"/>
        </w:rPr>
        <w:t>historia nro 20</w:t>
      </w:r>
      <w:bookmarkEnd w:id="117"/>
    </w:p>
    <w:p w14:paraId="30638EB6"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27.10.2013</w:t>
      </w:r>
    </w:p>
    <w:p w14:paraId="76669DD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Cuento lo siguiente solo porque se que mañana me olvidaré del asunto, y no quiero perder la oportunidad de tener material para poder usarlo en un cuento, ensayo, teoría o libro mio.</w:t>
      </w:r>
      <w:r w:rsidRPr="000D3432">
        <w:rPr>
          <w:rStyle w:val="apple-converted-space"/>
          <w:rFonts w:asciiTheme="minorHAnsi" w:hAnsiTheme="minorHAnsi" w:cs="Arial"/>
          <w:color w:val="2B3334"/>
        </w:rPr>
        <w:t> </w:t>
      </w:r>
      <w:r w:rsidRPr="000D3432">
        <w:rPr>
          <w:rFonts w:asciiTheme="minorHAnsi" w:hAnsiTheme="minorHAnsi" w:cs="Arial"/>
          <w:color w:val="2B3334"/>
        </w:rPr>
        <w:br/>
      </w:r>
      <w:r w:rsidRPr="000D3432">
        <w:rPr>
          <w:rFonts w:asciiTheme="minorHAnsi" w:hAnsiTheme="minorHAnsi" w:cs="Arial"/>
          <w:color w:val="2B3334"/>
        </w:rPr>
        <w:br/>
        <w:t>Una carita y porte de angelito. Yo recuerdo mi pasado y me gusta ayudar a la gente, así que ni lo pienso y cuando está en apuros, me apresuro a ayudar,hago esto, hago esto otro aquello, converso con tal, con cual, mando correos, etc., todo porque es bueno ayudar a la gente, como mi familia me hubiera enseñado de niño. Aun creo en la bondad, en que se debe ayudar a las personas. Pero como siempre me equivoco.</w:t>
      </w:r>
    </w:p>
    <w:p w14:paraId="59C1B351"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Style w:val="apple-converted-space"/>
          <w:rFonts w:asciiTheme="minorHAnsi" w:hAnsiTheme="minorHAnsi" w:cs="Arial"/>
          <w:color w:val="2B3334"/>
        </w:rPr>
        <w:t> </w:t>
      </w:r>
      <w:r w:rsidRPr="000D3432">
        <w:rPr>
          <w:rFonts w:asciiTheme="minorHAnsi" w:hAnsiTheme="minorHAnsi" w:cs="Arial"/>
          <w:color w:val="2B3334"/>
        </w:rPr>
        <w:br/>
        <w:t>Asi que mejor no dejarse sorprender por los rostros de angel, ni las voces dulces, porque no se puede saber a ciencia cierta si lo son.</w:t>
      </w:r>
      <w:r w:rsidRPr="000D3432">
        <w:rPr>
          <w:rStyle w:val="apple-converted-space"/>
          <w:rFonts w:asciiTheme="minorHAnsi" w:hAnsiTheme="minorHAnsi" w:cs="Arial"/>
          <w:color w:val="2B3334"/>
        </w:rPr>
        <w:t> </w:t>
      </w:r>
    </w:p>
    <w:p w14:paraId="77091A71"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Fonts w:asciiTheme="minorHAnsi" w:hAnsiTheme="minorHAnsi" w:cs="Arial"/>
          <w:color w:val="2B3334"/>
        </w:rPr>
        <w:lastRenderedPageBreak/>
        <w:br/>
        <w:t>Mi experiencia, es que una voz dulce, un rostro de angel, no es así.</w:t>
      </w:r>
      <w:r w:rsidRPr="000D3432">
        <w:rPr>
          <w:rStyle w:val="apple-converted-space"/>
          <w:rFonts w:asciiTheme="minorHAnsi" w:hAnsiTheme="minorHAnsi" w:cs="Arial"/>
          <w:color w:val="2B3334"/>
        </w:rPr>
        <w:t> </w:t>
      </w:r>
    </w:p>
    <w:p w14:paraId="33485018"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br/>
        <w:t>es difícil decirlo, pero ¿puede ser un angelito quien aunque sea tierna, y dulce, está con todos los enamorados de sus amigas, y después, además se sigue siendo amiga de su ex. Es decir, no solo han tenido un mismo enamorado, sino que siguen siendo amigas, compartiendo hasta la aventura de haber rosado y estado con la misma persona. ESto que debiera parecerme comun, a mi me da cierto vèrtigo; y lo peor, que, aunque yo no sea nada, no hay ninguna relación más que amical y hasta casi familiar, me presentan a las amigas con quienes han compartido enamorado, realmente eso es... pareciera que es difícil con tipos como yo, y muy fàcil con tipos con quieres comparte hasta la amiga, y luego incluso las amigas, que compartieron enamorado, siguen siendo amigas. la verdad, no se como puedo escribirlo, o describirlo, por eso lo anoto, para en algun momento poderlo escribir tipo cuento, ensayo, libro, etc. Pero quiero finalizar diciendo que me ha quedado un sabor agrio en el espíritu, y que nuevamente me he equivocado con las personas, y que prefiero una puta sincera, a una encubierta con piel de angelito, dulce voz y aspecto tierno.</w:t>
      </w:r>
    </w:p>
    <w:p w14:paraId="78358A0C" w14:textId="77777777" w:rsidR="00FD54CD" w:rsidRPr="000D3432" w:rsidRDefault="00D4423A" w:rsidP="00A95498">
      <w:pPr>
        <w:jc w:val="both"/>
        <w:rPr>
          <w:rFonts w:asciiTheme="minorHAnsi" w:hAnsiTheme="minorHAnsi" w:cs="Arial"/>
          <w:color w:val="2B3334"/>
          <w:szCs w:val="24"/>
        </w:rPr>
      </w:pPr>
      <w:hyperlink r:id="rId10" w:history="1">
        <w:r w:rsidR="00FD54CD" w:rsidRPr="000D3432">
          <w:rPr>
            <w:rStyle w:val="Hipervnculo"/>
            <w:rFonts w:asciiTheme="minorHAnsi" w:hAnsiTheme="minorHAnsi" w:cs="Arial"/>
            <w:b/>
            <w:bCs/>
            <w:color w:val="000000"/>
            <w:szCs w:val="24"/>
          </w:rPr>
          <w:t>Responder</w:t>
        </w:r>
      </w:hyperlink>
    </w:p>
    <w:p w14:paraId="38FDECB0" w14:textId="77777777" w:rsidR="00FD54CD" w:rsidRPr="000D3432" w:rsidRDefault="00FD54CD" w:rsidP="00A95498">
      <w:pPr>
        <w:pStyle w:val="Ttulo3"/>
        <w:rPr>
          <w:rFonts w:asciiTheme="minorHAnsi" w:hAnsiTheme="minorHAnsi" w:cs="Arial"/>
          <w:color w:val="2B3334"/>
          <w:sz w:val="24"/>
          <w:szCs w:val="24"/>
        </w:rPr>
      </w:pPr>
    </w:p>
    <w:p w14:paraId="006DFF5F"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03.10.2013</w:t>
      </w:r>
    </w:p>
    <w:p w14:paraId="16EA946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esalofrìos.. el frìo paraliza mis pensamientos. Y mientras intento escribir, recuero lo que alguien dijo sobre Descartes; El decìa que lo mejor para escribir, era una buena fogata., una buena chimenea... pienso igual..necesito una chimenea... algo que me caliente.. El pisco solo me embriaga pero ya no me calienta....</w:t>
      </w:r>
    </w:p>
    <w:p w14:paraId="404C6320" w14:textId="77777777" w:rsidR="00FD54CD" w:rsidRPr="000D3432" w:rsidRDefault="00FD54CD" w:rsidP="00A95498">
      <w:pPr>
        <w:tabs>
          <w:tab w:val="left" w:pos="4725"/>
        </w:tabs>
        <w:jc w:val="both"/>
        <w:rPr>
          <w:rFonts w:asciiTheme="minorHAnsi" w:hAnsiTheme="minorHAnsi"/>
          <w:szCs w:val="24"/>
        </w:rPr>
      </w:pPr>
    </w:p>
    <w:p w14:paraId="4D83A5F1"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PEINANDOME</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30.09.2013</w:t>
      </w:r>
    </w:p>
    <w:p w14:paraId="4E81F281" w14:textId="77777777" w:rsidR="00FD54CD" w:rsidRPr="000D3432" w:rsidRDefault="00FD54CD" w:rsidP="00A95498">
      <w:pPr>
        <w:pStyle w:val="NormalWeb"/>
        <w:spacing w:before="0" w:beforeAutospacing="0" w:after="0" w:afterAutospacing="0"/>
        <w:jc w:val="both"/>
        <w:rPr>
          <w:rFonts w:asciiTheme="minorHAnsi" w:hAnsiTheme="minorHAnsi"/>
        </w:rPr>
      </w:pPr>
      <w:r w:rsidRPr="000D3432">
        <w:rPr>
          <w:rFonts w:asciiTheme="minorHAnsi" w:hAnsiTheme="minorHAnsi" w:cs="Arial"/>
          <w:color w:val="2B3334"/>
        </w:rPr>
        <w:t xml:space="preserve">No recuerdo si fue sábado o domingo, lo cierto es que sucedió en el Perú. Horas de la tarde, en la Estación del Metro, debajo del Poder Judicial, debajo de la Justicia. Quiero ir a Mistura, nombre nada gastronòmico, y si màs bien carnavalesco. Siento la necesidad de lavarme el cabello, afeitarme; pues como se sabe, los hombres tenemos que afeitarnos todos los días, porque la barba incómoda crece rápido y desordena el rostro. No tengo tiempo ya para ir al hotel, así que me acerco a una farmacia, compro un champú de esos que cuestan S/. 20.00 nuevos soles, y luego compro un grupo de prestobarbas, que salen sólo en paquete, de S/. 15.00 nuevos soles. Ingreso al servicio, me afeito, luego me lavo la cabellera con champú, y en eso, aparecen tres policías, con "cara de policías" y uno de ellos me dice: "señor, usted no se puede bañar aquí", y toma un tono de esos ofensivos a los que están acostumbrados estos señores policías. Yo me sorprendo ¿qué hacen tres policías allí, diciéndome aquello? yo replico, - Solo me estoy lavando el cabello. Ellos insisten, algo hostiles, como ya parece ser costumbre en ellos. La verdad no entiendo en ese momento todo eso. No sé la necesidad de su presencia. Y les digo ok. me voy, refunfuñando, ¡no sé como se me ocurrió ponerme a lavar el cabello allí, pero igual no vi que estaba haciendo algo malo. En todo esto hay un disfuerzo verbal. No entiendo que hacen alli los policías, y no me parece nada cortez su trato hacia mi. Pero caigo en la cuenta que el limpiabaños los ha traído. Sin embargo, hubiera sido sencillo que me </w:t>
      </w:r>
      <w:r w:rsidRPr="000D3432">
        <w:rPr>
          <w:rFonts w:asciiTheme="minorHAnsi" w:hAnsiTheme="minorHAnsi" w:cs="Arial"/>
          <w:color w:val="2B3334"/>
        </w:rPr>
        <w:lastRenderedPageBreak/>
        <w:t>dijera que no se podía lavar la cabellera alí y listo, me hubiera ido. No había necesidad de traer tres policías. Pero bueno. Cuento eso para no olvidarme que allí queda algo pendiente.</w:t>
      </w:r>
    </w:p>
    <w:p w14:paraId="6A41248A" w14:textId="77777777" w:rsidR="00FD54CD" w:rsidRPr="000D3432" w:rsidRDefault="00FD54CD" w:rsidP="00A95498">
      <w:pPr>
        <w:pStyle w:val="Ttulo3"/>
        <w:rPr>
          <w:rFonts w:asciiTheme="minorHAnsi" w:hAnsiTheme="minorHAnsi" w:cs="Arial"/>
          <w:color w:val="2B3334"/>
          <w:sz w:val="24"/>
          <w:szCs w:val="24"/>
        </w:rPr>
      </w:pPr>
    </w:p>
    <w:p w14:paraId="6023AEA1"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Tipos de Discurso</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24.09.2013</w:t>
      </w:r>
    </w:p>
    <w:p w14:paraId="53EF30ED"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Existen diferentes tipos de discursos subliminales o directos a manejar los comportamientos. Uno es de aquel que ante cualquier situación contraria a sus intereses comienza a "chantajear" a través del miedo, por ejemplo "cuando vengan las desgracias no me echen la culpa", amenazantes como "retirarse de la FIFA" si no sigue en el cargo. Cosas tan mundanas y burdas. Otros hablan por ejemplo con términos más específicos como "es urgente", y hacen crean toda una paranoia al respecto, creando "estres". Otros intentan "hablar bonito", para incidir en su "sensibilidad", en su "corazoncito". Otros dan "ordenes", se superponen, "otros nunca tienen la culpa, siempre "responden por responden", pues la cosa, para ellos, es "responder", "no quedarse callado". Diversos tipos de comunicación y discurso que explicaré en otra oportunidad.</w:t>
      </w:r>
    </w:p>
    <w:p w14:paraId="1A34D728" w14:textId="77777777" w:rsidR="00FD54CD" w:rsidRPr="000D3432" w:rsidRDefault="00FD54CD" w:rsidP="00A95498">
      <w:pPr>
        <w:shd w:val="clear" w:color="auto" w:fill="FFFFFF"/>
        <w:jc w:val="both"/>
        <w:rPr>
          <w:rFonts w:asciiTheme="minorHAnsi" w:hAnsiTheme="minorHAnsi" w:cs="Arial"/>
          <w:b/>
          <w:bCs/>
          <w:color w:val="C06310"/>
          <w:szCs w:val="24"/>
        </w:rPr>
      </w:pPr>
    </w:p>
    <w:p w14:paraId="782ED1F3"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el nuevo capital</w:t>
      </w:r>
      <w:r w:rsidRPr="000D3432">
        <w:rPr>
          <w:rFonts w:asciiTheme="minorHAnsi" w:hAnsiTheme="minorHAnsi" w:cs="Arial"/>
          <w:color w:val="2B3334"/>
          <w:szCs w:val="24"/>
        </w:rPr>
        <w:t> | </w:t>
      </w:r>
      <w:r w:rsidRPr="000D3432">
        <w:rPr>
          <w:rFonts w:asciiTheme="minorHAnsi" w:hAnsiTheme="minorHAnsi" w:cs="Arial"/>
          <w:color w:val="C06310"/>
          <w:szCs w:val="24"/>
        </w:rPr>
        <w:t>19.04.2013</w:t>
      </w:r>
    </w:p>
    <w:p w14:paraId="37394EDD"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La Sociedad Anónima es un mecanismo mediante la cual el ser humano decide agruparse sin importar sus condiciones externas, sino internas y específicas; donde la discriminación no se de acuerdo al tipo, o raza al que pertenece la persona, sino a la “condición económica” que sustenta y ostenta. </w:t>
      </w:r>
      <w:r w:rsidRPr="000D3432">
        <w:rPr>
          <w:rFonts w:asciiTheme="minorHAnsi" w:hAnsiTheme="minorHAnsi" w:cs="Arial"/>
          <w:color w:val="2B3334"/>
          <w:szCs w:val="24"/>
        </w:rPr>
        <w:br/>
      </w:r>
      <w:r w:rsidRPr="000D3432">
        <w:rPr>
          <w:rFonts w:asciiTheme="minorHAnsi" w:hAnsiTheme="minorHAnsi" w:cs="Arial"/>
          <w:color w:val="2B3334"/>
          <w:szCs w:val="24"/>
        </w:rPr>
        <w:br/>
        <w:t>Los factores que esgrimen las Sociedades Anónimas son valores fundamentalmente éticos, pero engendrados dentro del marco de la economía, valores como “confianza”, “seguridad jurídica”, “maximización de utilidades”, “capital”, “contratos”, “inversiones”, etc.</w:t>
      </w:r>
      <w:r w:rsidRPr="000D3432">
        <w:rPr>
          <w:rFonts w:asciiTheme="minorHAnsi" w:hAnsiTheme="minorHAnsi" w:cs="Arial"/>
          <w:color w:val="2B3334"/>
          <w:szCs w:val="24"/>
        </w:rPr>
        <w:br/>
      </w:r>
      <w:r w:rsidRPr="000D3432">
        <w:rPr>
          <w:rFonts w:asciiTheme="minorHAnsi" w:hAnsiTheme="minorHAnsi" w:cs="Arial"/>
          <w:color w:val="2B3334"/>
          <w:szCs w:val="24"/>
        </w:rPr>
        <w:br/>
        <w:t>Es curioso que todas las instituciones comerciales, empresariales, están construidas bajo dichos valores, y que al lado de palabras que describen la gestión u organización de las empresas se tenga también a palabras que definen al ser humano en su esencia, en su naturaleza, como el aprovechamiento, egoísmo, vanidad, etc.</w:t>
      </w:r>
    </w:p>
    <w:p w14:paraId="2C934A3B"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 </w:t>
      </w:r>
      <w:r w:rsidRPr="000D3432">
        <w:rPr>
          <w:rFonts w:asciiTheme="minorHAnsi" w:hAnsiTheme="minorHAnsi" w:cs="Arial"/>
          <w:color w:val="2B3334"/>
          <w:szCs w:val="24"/>
        </w:rPr>
        <w:br/>
        <w:t xml:space="preserve">Es decir, cada institución empresarial, como la Sociedad Anónima, tiene en cuenta, dos tipos de factores: los alusivos a la naturaleza de la persona, y los de organización de la empresa. Ambos factores no pueden desligarse, porque la parte funcional de la empresa responde siempre a la parte “natural” de la persona que dirige o trabaja en una empresa, por eso cuando se habla de gestión empresarial y sólo se tocan las estrategias de organización o funcionamiento como objetos, y no se toma en cuenta que toda “funcionalidad” tiene o debe tener en cuenta al “ser humano”, con sus “tendencias e inclinaciones”, con sus valores y “adiestramientos”, con sus códigos genéticos y culturales, se pierde la perspectiva de cómo funciona una empresa. Por lo mismo, no es igual hacer una empresa en China que en Perú, no es lo mismo tener trabajadores provincianos que limeños; unos y otros responden a diferentes códigos culturales; por eso en las sociedades de mercado las cosas no son tan simples, porque de lo que se trata es de convencer, persuadir para la compra o adquisición de un producto, y </w:t>
      </w:r>
      <w:r w:rsidRPr="000D3432">
        <w:rPr>
          <w:rFonts w:asciiTheme="minorHAnsi" w:hAnsiTheme="minorHAnsi" w:cs="Arial"/>
          <w:color w:val="2B3334"/>
          <w:szCs w:val="24"/>
        </w:rPr>
        <w:lastRenderedPageBreak/>
        <w:t>no de imponer, como en las sociedades dictatoriales, porque dar una orden es más fácil que persuadir, convencer a hacer algo. </w:t>
      </w:r>
    </w:p>
    <w:p w14:paraId="29937A06"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br/>
        <w:t>Todos los mecanismos empresariales desarrollan estrategias de “mandato”, de “orden”, intentan lograr lo que en los fundamentos de gobiernos dictatoriales o militares se expresa: “cumplir la orden sin dudas ni murmuraciones”. El instrumento para lograr este caudillismo, esta dictadura, en las empresas es el capital, en el caso de los trabajadores es la remuneración. Éste es el principio o fundamento de la subordinación u obediencia. El trabajador está supeditado a una remuneración, por lo que no hace su trabajo sino por este “fetiche” que le permite subsistir. El fetiche en las instituciones públicas es la “estabilidad laboral”. </w:t>
      </w:r>
    </w:p>
    <w:p w14:paraId="19BD01B0"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02F677AF"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la misma moneda</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20.01.2013</w:t>
      </w:r>
    </w:p>
    <w:p w14:paraId="445A37A3"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xml:space="preserve">semanas atrás mi decisión ha sido tomada, pero aun tengo algunas cosas que resolver, cosas de protocolo. </w:t>
      </w:r>
      <w:r w:rsidRPr="000D3432">
        <w:rPr>
          <w:rFonts w:asciiTheme="minorHAnsi" w:hAnsiTheme="minorHAnsi" w:cs="Arial"/>
          <w:color w:val="2B3334"/>
        </w:rPr>
        <w:br/>
        <w:t>me armo de protocolo y me dirijo hacia una casa.</w:t>
      </w:r>
    </w:p>
    <w:p w14:paraId="5415317F"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br/>
        <w:t>llego a la puerta, llamo y de pronto, sale a quien buscaba.</w:t>
      </w:r>
    </w:p>
    <w:p w14:paraId="31EFC215" w14:textId="358183CC" w:rsidR="00963DC1"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br/>
        <w:t>sale sonriente... yo lo saludo, y le digo que quiero conversar, que</w:t>
      </w:r>
      <w:r w:rsidRPr="000D3432">
        <w:rPr>
          <w:rStyle w:val="apple-converted-space"/>
          <w:rFonts w:asciiTheme="minorHAnsi" w:hAnsiTheme="minorHAnsi" w:cs="Arial"/>
          <w:color w:val="2B3334"/>
        </w:rPr>
        <w:t> </w:t>
      </w:r>
      <w:r w:rsidRPr="000D3432">
        <w:rPr>
          <w:rFonts w:asciiTheme="minorHAnsi" w:hAnsiTheme="minorHAnsi" w:cs="Arial"/>
          <w:color w:val="2B3334"/>
        </w:rPr>
        <w:t>creo sería mejor entrar a su casa,</w:t>
      </w:r>
      <w:r w:rsidR="00963DC1" w:rsidRPr="000D3432">
        <w:rPr>
          <w:rFonts w:asciiTheme="minorHAnsi" w:hAnsiTheme="minorHAnsi" w:cs="Arial"/>
          <w:color w:val="2B3334"/>
        </w:rPr>
        <w:t xml:space="preserve"> </w:t>
      </w:r>
      <w:r w:rsidRPr="000D3432">
        <w:rPr>
          <w:rFonts w:asciiTheme="minorHAnsi" w:hAnsiTheme="minorHAnsi" w:cs="Arial"/>
          <w:color w:val="2B3334"/>
        </w:rPr>
        <w:t>pero el hace una mueca... y luego arguye que hay gente...etc.</w:t>
      </w:r>
      <w:r w:rsidR="00963DC1" w:rsidRPr="000D3432">
        <w:rPr>
          <w:rFonts w:asciiTheme="minorHAnsi" w:hAnsiTheme="minorHAnsi" w:cs="Arial"/>
          <w:color w:val="2B3334"/>
        </w:rPr>
        <w:t xml:space="preserve"> </w:t>
      </w:r>
      <w:r w:rsidRPr="000D3432">
        <w:rPr>
          <w:rFonts w:asciiTheme="minorHAnsi" w:hAnsiTheme="minorHAnsi" w:cs="Arial"/>
          <w:color w:val="2B3334"/>
        </w:rPr>
        <w:t>y listo, no me queda mas que hablar allí, en la puerta de su casa.</w:t>
      </w:r>
      <w:r w:rsidR="00963DC1" w:rsidRPr="000D3432">
        <w:rPr>
          <w:rFonts w:asciiTheme="minorHAnsi" w:hAnsiTheme="minorHAnsi" w:cs="Arial"/>
          <w:color w:val="2B3334"/>
        </w:rPr>
        <w:t xml:space="preserve"> </w:t>
      </w:r>
      <w:r w:rsidRPr="000D3432">
        <w:rPr>
          <w:rFonts w:asciiTheme="minorHAnsi" w:hAnsiTheme="minorHAnsi" w:cs="Arial"/>
          <w:color w:val="2B3334"/>
        </w:rPr>
        <w:t>Le doy la buena noticia para mi, y creo que sorpresa para el.</w:t>
      </w:r>
      <w:r w:rsidR="00963DC1" w:rsidRPr="000D3432">
        <w:rPr>
          <w:rFonts w:asciiTheme="minorHAnsi" w:hAnsiTheme="minorHAnsi" w:cs="Arial"/>
          <w:color w:val="2B3334"/>
        </w:rPr>
        <w:t xml:space="preserve"> </w:t>
      </w:r>
      <w:r w:rsidRPr="000D3432">
        <w:rPr>
          <w:rFonts w:asciiTheme="minorHAnsi" w:hAnsiTheme="minorHAnsi" w:cs="Arial"/>
          <w:color w:val="2B3334"/>
        </w:rPr>
        <w:t>Me voy a trabajar a Lima, le digo</w:t>
      </w:r>
      <w:r w:rsidR="00963DC1" w:rsidRPr="000D3432">
        <w:rPr>
          <w:rFonts w:asciiTheme="minorHAnsi" w:hAnsiTheme="minorHAnsi" w:cs="Arial"/>
          <w:color w:val="2B3334"/>
        </w:rPr>
        <w:t xml:space="preserve">. </w:t>
      </w:r>
      <w:r w:rsidRPr="000D3432">
        <w:rPr>
          <w:rFonts w:asciiTheme="minorHAnsi" w:hAnsiTheme="minorHAnsi" w:cs="Arial"/>
          <w:color w:val="2B3334"/>
        </w:rPr>
        <w:t>el se sorprende, y luego de escuchar mis motivos - allí expuestos en la calle, en la puerta de su casa-, me dice una y otra cosa; y luego me pide que lo reconsidere. Yo escucho, y luego me despido.</w:t>
      </w:r>
    </w:p>
    <w:p w14:paraId="4C18B857" w14:textId="41DAC974" w:rsidR="00FD54CD" w:rsidRPr="000D3432" w:rsidRDefault="00FD54CD" w:rsidP="00A95498">
      <w:pPr>
        <w:pStyle w:val="NormalWeb"/>
        <w:spacing w:before="0" w:beforeAutospacing="0" w:after="0" w:afterAutospacing="0"/>
        <w:jc w:val="both"/>
        <w:rPr>
          <w:rFonts w:asciiTheme="minorHAnsi" w:hAnsiTheme="minorHAnsi" w:cs="Arial"/>
          <w:color w:val="2B3334"/>
        </w:rPr>
      </w:pPr>
    </w:p>
    <w:p w14:paraId="580F1142" w14:textId="08395DDE" w:rsidR="00963DC1"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En el trabajo vuelvo a conversar , y le vuelvo a ratificar mi decisión.</w:t>
      </w:r>
      <w:r w:rsidR="00963DC1" w:rsidRPr="000D3432">
        <w:rPr>
          <w:rFonts w:asciiTheme="minorHAnsi" w:hAnsiTheme="minorHAnsi" w:cs="Arial"/>
          <w:color w:val="2B3334"/>
        </w:rPr>
        <w:t xml:space="preserve"> </w:t>
      </w:r>
      <w:r w:rsidRPr="000D3432">
        <w:rPr>
          <w:rFonts w:asciiTheme="minorHAnsi" w:hAnsiTheme="minorHAnsi" w:cs="Arial"/>
          <w:color w:val="2B3334"/>
        </w:rPr>
        <w:t>El me dice que me quede a trabajar en Tacna,y luego plantea sus propuestas... esto y aquello... a fin de convencerme. Yo me sorprendo de su insistencia, y le digo que lo voy a pesar. Luego lo pienso, y regreso y le digo que ya he dado mi palabra, que estoy estudiando un doctorado en economia en Lima, y que esas son mis razones, y ratifico mi decisión de irme. No cuento todo el contexto, porque quiero llegar a otra cosa. El hecho de haberme atendido en la puerta de la su casa, fue uno de los motivos que ratificó mi decisión. Pensé que a mi me gusta ser cortes, pero que tambien me gusta que sean cortes conmigo. Se que no se dio cuenta de aquello, pero la verdad es que ese tipo de cosas te ayudan a decidir, porque significan cómo te consideran. ]Te tratan según te consideran.</w:t>
      </w:r>
      <w:r w:rsidR="00963DC1" w:rsidRPr="000D3432">
        <w:rPr>
          <w:rFonts w:asciiTheme="minorHAnsi" w:hAnsiTheme="minorHAnsi" w:cs="Arial"/>
          <w:color w:val="2B3334"/>
        </w:rPr>
        <w:t xml:space="preserve"> </w:t>
      </w:r>
      <w:r w:rsidRPr="000D3432">
        <w:rPr>
          <w:rFonts w:asciiTheme="minorHAnsi" w:hAnsiTheme="minorHAnsi" w:cs="Arial"/>
          <w:color w:val="2B3334"/>
        </w:rPr>
        <w:t>En Lima, llego a una casa familiar.. Soy casi como el hijo. Son las 5 de la tarde del dia domingo, y tienen que irse. Asi que yo tambien tengo que irme. ¿No hay confianza? me sonrio. te tratan como te consideran.</w:t>
      </w:r>
      <w:r w:rsidR="00963DC1" w:rsidRPr="000D3432">
        <w:rPr>
          <w:rFonts w:asciiTheme="minorHAnsi" w:hAnsiTheme="minorHAnsi" w:cs="Arial"/>
          <w:color w:val="2B3334"/>
        </w:rPr>
        <w:t xml:space="preserve"> </w:t>
      </w:r>
      <w:r w:rsidRPr="000D3432">
        <w:rPr>
          <w:rFonts w:asciiTheme="minorHAnsi" w:hAnsiTheme="minorHAnsi" w:cs="Arial"/>
          <w:color w:val="2B3334"/>
        </w:rPr>
        <w:t xml:space="preserve">Sin resentimientos, pero no creo volver a la primera casa a hablar en la puerta de aquella casa; y tampoco creo volver a aquella casa familiar en Lima, donde me demostraron que no me consideran como yo los considero. Lección. Es mejor estar donde te aprecian y olvidar aquellos lugares donde te subestiman, </w:t>
      </w:r>
      <w:r w:rsidRPr="000D3432">
        <w:rPr>
          <w:rFonts w:asciiTheme="minorHAnsi" w:hAnsiTheme="minorHAnsi" w:cs="Arial"/>
          <w:color w:val="2B3334"/>
        </w:rPr>
        <w:lastRenderedPageBreak/>
        <w:t>porque los hechos hablan mas que las palabras.</w:t>
      </w:r>
    </w:p>
    <w:p w14:paraId="189A8955" w14:textId="77777777" w:rsidR="00963DC1" w:rsidRPr="000D3432" w:rsidRDefault="00963DC1" w:rsidP="00A95498">
      <w:pPr>
        <w:pStyle w:val="NormalWeb"/>
        <w:spacing w:before="0" w:beforeAutospacing="0" w:after="0" w:afterAutospacing="0"/>
        <w:jc w:val="both"/>
        <w:rPr>
          <w:rFonts w:asciiTheme="minorHAnsi" w:hAnsiTheme="minorHAnsi" w:cs="Arial"/>
          <w:color w:val="2B3334"/>
        </w:rPr>
      </w:pPr>
    </w:p>
    <w:p w14:paraId="5C5B343C" w14:textId="77777777" w:rsidR="00963DC1" w:rsidRPr="000D3432" w:rsidRDefault="00963DC1" w:rsidP="00A95498">
      <w:pPr>
        <w:pStyle w:val="NormalWeb"/>
        <w:spacing w:before="0" w:beforeAutospacing="0" w:after="0" w:afterAutospacing="0"/>
        <w:jc w:val="both"/>
        <w:rPr>
          <w:rStyle w:val="user"/>
          <w:rFonts w:asciiTheme="minorHAnsi" w:hAnsiTheme="minorHAnsi" w:cs="Arial"/>
          <w:b/>
          <w:bCs/>
          <w:color w:val="C06310"/>
        </w:rPr>
      </w:pPr>
    </w:p>
    <w:p w14:paraId="6B64CE53" w14:textId="7B9348C2"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LENTES PARA VERTE MEJOR</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18.01.2013</w:t>
      </w:r>
    </w:p>
    <w:p w14:paraId="154C3580"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Una noche, a eso de las 10:00 pm, cuando estaba preguntando a un taxista el precio hacia mi casa, un tipo rodeo mi cintura con sus manos y brazos y empezó a rebuscarme los bolsillos delanteros.</w:t>
      </w:r>
      <w:r w:rsidRPr="000D3432">
        <w:rPr>
          <w:rStyle w:val="apple-converted-space"/>
          <w:rFonts w:asciiTheme="minorHAnsi" w:hAnsiTheme="minorHAnsi" w:cs="Arial"/>
          <w:color w:val="2B3334"/>
        </w:rPr>
        <w:t> </w:t>
      </w:r>
      <w:r w:rsidRPr="000D3432">
        <w:rPr>
          <w:rFonts w:asciiTheme="minorHAnsi" w:hAnsiTheme="minorHAnsi" w:cs="Arial"/>
          <w:color w:val="2B3334"/>
        </w:rPr>
        <w:br/>
        <w:t>No atiné a comprender aquello, y menos pude ver en qué momento este tipo hizo aquello.</w:t>
      </w:r>
      <w:r w:rsidRPr="000D3432">
        <w:rPr>
          <w:rStyle w:val="apple-converted-space"/>
          <w:rFonts w:asciiTheme="minorHAnsi" w:hAnsiTheme="minorHAnsi" w:cs="Arial"/>
          <w:color w:val="2B3334"/>
        </w:rPr>
        <w:t> </w:t>
      </w:r>
      <w:r w:rsidRPr="000D3432">
        <w:rPr>
          <w:rFonts w:asciiTheme="minorHAnsi" w:hAnsiTheme="minorHAnsi" w:cs="Arial"/>
          <w:color w:val="2B3334"/>
        </w:rPr>
        <w:br/>
        <w:t>gire y me erguí, y el tipo se dio media vuelta y no me dejó ver su rostro y se fue caminando como si nada.</w:t>
      </w:r>
      <w:r w:rsidRPr="000D3432">
        <w:rPr>
          <w:rStyle w:val="apple-converted-space"/>
          <w:rFonts w:asciiTheme="minorHAnsi" w:hAnsiTheme="minorHAnsi" w:cs="Arial"/>
          <w:color w:val="2B3334"/>
        </w:rPr>
        <w:t> </w:t>
      </w:r>
      <w:r w:rsidRPr="000D3432">
        <w:rPr>
          <w:rFonts w:asciiTheme="minorHAnsi" w:hAnsiTheme="minorHAnsi" w:cs="Arial"/>
          <w:color w:val="2B3334"/>
        </w:rPr>
        <w:br/>
        <w:t>Yo estaba sano.</w:t>
      </w:r>
    </w:p>
    <w:p w14:paraId="27AD1FFB"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Style w:val="apple-converted-space"/>
          <w:rFonts w:asciiTheme="minorHAnsi" w:hAnsiTheme="minorHAnsi" w:cs="Arial"/>
          <w:color w:val="2B3334"/>
        </w:rPr>
        <w:t> </w:t>
      </w:r>
      <w:r w:rsidRPr="000D3432">
        <w:rPr>
          <w:rFonts w:asciiTheme="minorHAnsi" w:hAnsiTheme="minorHAnsi" w:cs="Arial"/>
          <w:color w:val="2B3334"/>
        </w:rPr>
        <w:br/>
        <w:t>Aquella experiencia me dejó el conocimiento que no podemos percatarnos de toda la periferia de nuestro cuerpo, pues no tenemos ojos, en la espalda, asi que se me ocurrió, como medio de protección, diseñar unos lentes contra robos, que consisten en que tengan unos accesorios retrovisores en los costados de loslentes, y así poder ver hacia atrás, como los vehículos.</w:t>
      </w:r>
      <w:r w:rsidRPr="000D3432">
        <w:rPr>
          <w:rFonts w:asciiTheme="minorHAnsi" w:hAnsiTheme="minorHAnsi" w:cs="Arial"/>
          <w:color w:val="2B3334"/>
        </w:rPr>
        <w:br/>
        <w:t>El otro diseño consiste en implantarles un sistema de video para ver por los lentes lo que pasa a nuestra espalda.</w:t>
      </w:r>
      <w:r w:rsidRPr="000D3432">
        <w:rPr>
          <w:rStyle w:val="apple-converted-space"/>
          <w:rFonts w:asciiTheme="minorHAnsi" w:hAnsiTheme="minorHAnsi" w:cs="Arial"/>
          <w:color w:val="2B3334"/>
        </w:rPr>
        <w:t> </w:t>
      </w:r>
    </w:p>
    <w:p w14:paraId="37B0A7AB"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p>
    <w:p w14:paraId="0F1D098A" w14:textId="77777777" w:rsidR="00FD54CD" w:rsidRPr="000D3432" w:rsidRDefault="00FD54CD" w:rsidP="00A95498">
      <w:pPr>
        <w:pStyle w:val="Ttulo3"/>
        <w:rPr>
          <w:rFonts w:asciiTheme="minorHAnsi" w:hAnsiTheme="minorHAnsi" w:cs="Arial"/>
          <w:color w:val="2B3334"/>
          <w:sz w:val="24"/>
          <w:szCs w:val="24"/>
        </w:rPr>
      </w:pPr>
      <w:bookmarkStart w:id="118" w:name="_Toc318102923"/>
      <w:r w:rsidRPr="000D3432">
        <w:rPr>
          <w:rFonts w:asciiTheme="minorHAnsi" w:hAnsiTheme="minorHAnsi" w:cs="Arial"/>
          <w:color w:val="2B3334"/>
          <w:sz w:val="24"/>
          <w:szCs w:val="24"/>
        </w:rPr>
        <w:t>el dolor</w:t>
      </w:r>
      <w:bookmarkEnd w:id="118"/>
    </w:p>
    <w:p w14:paraId="6803B25F"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05.01.2013</w:t>
      </w:r>
    </w:p>
    <w:p w14:paraId="70DECC09"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despues de la experiencia, en la clinica me quedo la impresion que muchas cosas no puedo controlarlas. como que me duela la pierna. y por aquello entendi que no debo ser indolente. asi que empezo una nieva etapa en mi vida, pues cai en la cuenta que cualquier cosa que me ocurriera tendria que asumirlo solo, y eso no me incomodaba antes, pero esta vez si. asi que llame a una ex asistenta, a la que considero sensible, le pedi que si algo me pasara por favor me apoye. le di las llaves de la casa, y en otra oportunidad una tarjeta de credito. y le dije, le pedi, que este si a o b me enfermo o algo me pasaba. ella muy cortes acepto. yo aun estaba mal de la pierna, y necesitaba prevenir cualquier eventualidad esos dias. bueno, me tranquilice pues pensaba que habia cierto grado de confianza. me equivoque, pues despues de aquel dia la asistente, que yo pense era sensible, dejo su cecular desconectado cuatro dias, y no se comunico, y alli entendi que me habia equivocado, que no era mi amiga, casi mi sobrina, y que ya no podia confiar en aquella. sin resentimientos aquel dia perdi una amiga, casi una sobrina y hoy no me apetece mucho conversar con aquella, porque la amistad se observa en los hechos, no en las palabras o las buenas intenciones. hoy converso como quien conversa con un extrano, indiferente y hasta apatico, y peor, me aburro mucho cuando conversamos. y eso me apena.</w:t>
      </w:r>
    </w:p>
    <w:p w14:paraId="2E467A32" w14:textId="77777777" w:rsidR="00FD54CD" w:rsidRPr="000D3432" w:rsidRDefault="00FD54CD" w:rsidP="00A95498">
      <w:pPr>
        <w:pStyle w:val="Ttulo3"/>
        <w:rPr>
          <w:rFonts w:asciiTheme="minorHAnsi" w:hAnsiTheme="minorHAnsi" w:cs="Arial"/>
          <w:color w:val="2B3334"/>
          <w:sz w:val="24"/>
          <w:szCs w:val="24"/>
        </w:rPr>
      </w:pPr>
    </w:p>
    <w:p w14:paraId="60CA8CA1" w14:textId="77777777" w:rsidR="00FD54CD" w:rsidRPr="000D3432" w:rsidRDefault="00FD54CD" w:rsidP="00A95498">
      <w:pPr>
        <w:pStyle w:val="Ttulo3"/>
        <w:rPr>
          <w:rFonts w:asciiTheme="minorHAnsi" w:hAnsiTheme="minorHAnsi" w:cs="Arial"/>
          <w:color w:val="2B3334"/>
          <w:sz w:val="24"/>
          <w:szCs w:val="24"/>
        </w:rPr>
      </w:pPr>
      <w:bookmarkStart w:id="119" w:name="_Toc318102924"/>
      <w:r w:rsidRPr="000D3432">
        <w:rPr>
          <w:rFonts w:asciiTheme="minorHAnsi" w:hAnsiTheme="minorHAnsi" w:cs="Arial"/>
          <w:color w:val="2B3334"/>
          <w:sz w:val="24"/>
          <w:szCs w:val="24"/>
        </w:rPr>
        <w:t>hace meses atras</w:t>
      </w:r>
      <w:bookmarkEnd w:id="119"/>
    </w:p>
    <w:p w14:paraId="5581ECBB"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05.01.2013</w:t>
      </w:r>
    </w:p>
    <w:p w14:paraId="74639F8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xml:space="preserve">tres de la manana. de pronto empieza a dolerme la pierna. pienso que pasará, pero no es así. el dolor no pasa. llevo mucho tiempo esperando a que el dolor pase, pero no pasa. cojo un botecito con pomada para dar calor, una frotación, y me uno la pierna, pero no pasa nada. el dolor es insoportable pero no tengo remedio. no depende de mi. no puedo evitalo. llamó a un taxi. busco dinero. </w:t>
      </w:r>
      <w:r w:rsidRPr="000D3432">
        <w:rPr>
          <w:rFonts w:asciiTheme="minorHAnsi" w:hAnsiTheme="minorHAnsi" w:cs="Arial"/>
          <w:color w:val="2B3334"/>
        </w:rPr>
        <w:lastRenderedPageBreak/>
        <w:t>apenas puedo moverme. el dolor es intenso. espero el taxi, me embarcó. llegó a una clínica. pido que me atiendan. una joven gordita me atiende y sólo pr egunta y luego me receta algunas pastillas. el dolor ha bajado, pero la experiencia ha quedado. entra una persona quejándose en la clínica, levantan a la Dra. y dice que va a intervenirla. escucho como se queja, y recuerdo que aquella persona como yo antes, no puede hacer nada para evitar el dolor, sólo sufrirla.</w:t>
      </w:r>
    </w:p>
    <w:p w14:paraId="2CEB8623" w14:textId="77777777" w:rsidR="00FD54CD" w:rsidRPr="000D3432" w:rsidRDefault="00FD54CD" w:rsidP="00A95498">
      <w:pPr>
        <w:pStyle w:val="Ttulo3"/>
        <w:rPr>
          <w:rFonts w:asciiTheme="minorHAnsi" w:hAnsiTheme="minorHAnsi" w:cs="Arial"/>
          <w:color w:val="2B3334"/>
          <w:sz w:val="24"/>
          <w:szCs w:val="24"/>
        </w:rPr>
      </w:pPr>
    </w:p>
    <w:p w14:paraId="6285B7DE"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la vida</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21.12.2012</w:t>
      </w:r>
    </w:p>
    <w:p w14:paraId="3EEBA09B"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La vida esta llena de gente idiota,</w:t>
      </w:r>
      <w:r w:rsidRPr="000D3432">
        <w:rPr>
          <w:rStyle w:val="apple-converted-space"/>
          <w:rFonts w:asciiTheme="minorHAnsi" w:hAnsiTheme="minorHAnsi" w:cs="Arial"/>
          <w:color w:val="2B3334"/>
        </w:rPr>
        <w:t> </w:t>
      </w:r>
      <w:r w:rsidRPr="000D3432">
        <w:rPr>
          <w:rFonts w:asciiTheme="minorHAnsi" w:hAnsiTheme="minorHAnsi" w:cs="Arial"/>
          <w:color w:val="2B3334"/>
        </w:rPr>
        <w:br/>
        <w:t>se complican (nos complicamos) por tonterias,</w:t>
      </w:r>
      <w:r w:rsidRPr="000D3432">
        <w:rPr>
          <w:rStyle w:val="apple-converted-space"/>
          <w:rFonts w:asciiTheme="minorHAnsi" w:hAnsiTheme="minorHAnsi" w:cs="Arial"/>
          <w:color w:val="2B3334"/>
        </w:rPr>
        <w:t> </w:t>
      </w:r>
      <w:r w:rsidRPr="000D3432">
        <w:rPr>
          <w:rFonts w:asciiTheme="minorHAnsi" w:hAnsiTheme="minorHAnsi" w:cs="Arial"/>
          <w:color w:val="2B3334"/>
        </w:rPr>
        <w:br/>
        <w:t>tenemos sentimientos absurdos, sensibilidades absurdas,</w:t>
      </w:r>
      <w:r w:rsidRPr="000D3432">
        <w:rPr>
          <w:rFonts w:asciiTheme="minorHAnsi" w:hAnsiTheme="minorHAnsi" w:cs="Arial"/>
          <w:color w:val="2B3334"/>
        </w:rPr>
        <w:br/>
        <w:t>de pronto todo el mundo se cree merecedor de todo,</w:t>
      </w:r>
      <w:r w:rsidRPr="000D3432">
        <w:rPr>
          <w:rStyle w:val="apple-converted-space"/>
          <w:rFonts w:asciiTheme="minorHAnsi" w:hAnsiTheme="minorHAnsi" w:cs="Arial"/>
          <w:color w:val="2B3334"/>
        </w:rPr>
        <w:t> </w:t>
      </w:r>
      <w:r w:rsidRPr="000D3432">
        <w:rPr>
          <w:rFonts w:asciiTheme="minorHAnsi" w:hAnsiTheme="minorHAnsi" w:cs="Arial"/>
          <w:color w:val="2B3334"/>
        </w:rPr>
        <w:br/>
        <w:t>de pronto no hay ya la humildad de antaño,</w:t>
      </w:r>
      <w:r w:rsidRPr="000D3432">
        <w:rPr>
          <w:rStyle w:val="apple-converted-space"/>
          <w:rFonts w:asciiTheme="minorHAnsi" w:hAnsiTheme="minorHAnsi" w:cs="Arial"/>
          <w:color w:val="2B3334"/>
        </w:rPr>
        <w:t> </w:t>
      </w:r>
      <w:r w:rsidRPr="000D3432">
        <w:rPr>
          <w:rFonts w:asciiTheme="minorHAnsi" w:hAnsiTheme="minorHAnsi" w:cs="Arial"/>
          <w:color w:val="2B3334"/>
        </w:rPr>
        <w:br/>
        <w:t>sino pareciera que todo el mundo quiere estar en un lugar diferente al que esta,</w:t>
      </w:r>
      <w:r w:rsidRPr="000D3432">
        <w:rPr>
          <w:rStyle w:val="apple-converted-space"/>
          <w:rFonts w:asciiTheme="minorHAnsi" w:hAnsiTheme="minorHAnsi" w:cs="Arial"/>
          <w:color w:val="2B3334"/>
        </w:rPr>
        <w:t> </w:t>
      </w:r>
      <w:r w:rsidRPr="000D3432">
        <w:rPr>
          <w:rFonts w:asciiTheme="minorHAnsi" w:hAnsiTheme="minorHAnsi" w:cs="Arial"/>
          <w:color w:val="2B3334"/>
        </w:rPr>
        <w:br/>
        <w:t>gente absurda, que se complica por nada,</w:t>
      </w:r>
      <w:r w:rsidRPr="000D3432">
        <w:rPr>
          <w:rStyle w:val="apple-converted-space"/>
          <w:rFonts w:asciiTheme="minorHAnsi" w:hAnsiTheme="minorHAnsi" w:cs="Arial"/>
          <w:color w:val="2B3334"/>
        </w:rPr>
        <w:t> </w:t>
      </w:r>
      <w:r w:rsidRPr="000D3432">
        <w:rPr>
          <w:rFonts w:asciiTheme="minorHAnsi" w:hAnsiTheme="minorHAnsi" w:cs="Arial"/>
          <w:color w:val="2B3334"/>
        </w:rPr>
        <w:br/>
        <w:t>por falsas sensibilidades</w:t>
      </w:r>
      <w:r w:rsidRPr="000D3432">
        <w:rPr>
          <w:rFonts w:asciiTheme="minorHAnsi" w:hAnsiTheme="minorHAnsi" w:cs="Arial"/>
          <w:color w:val="2B3334"/>
        </w:rPr>
        <w:br/>
        <w:t>gente que habla de la bondad, y que cuando tiene que actuar</w:t>
      </w:r>
      <w:r w:rsidRPr="000D3432">
        <w:rPr>
          <w:rFonts w:asciiTheme="minorHAnsi" w:hAnsiTheme="minorHAnsi" w:cs="Arial"/>
          <w:color w:val="2B3334"/>
        </w:rPr>
        <w:br/>
        <w:t>no es bondadosa,</w:t>
      </w:r>
      <w:r w:rsidRPr="000D3432">
        <w:rPr>
          <w:rStyle w:val="apple-converted-space"/>
          <w:rFonts w:asciiTheme="minorHAnsi" w:hAnsiTheme="minorHAnsi" w:cs="Arial"/>
          <w:color w:val="2B3334"/>
        </w:rPr>
        <w:t> </w:t>
      </w:r>
      <w:r w:rsidRPr="000D3432">
        <w:rPr>
          <w:rFonts w:asciiTheme="minorHAnsi" w:hAnsiTheme="minorHAnsi" w:cs="Arial"/>
          <w:color w:val="2B3334"/>
        </w:rPr>
        <w:br/>
        <w:t>gente que dice creer en Dios, la navidad, y que por</w:t>
      </w:r>
      <w:r w:rsidRPr="000D3432">
        <w:rPr>
          <w:rStyle w:val="apple-converted-space"/>
          <w:rFonts w:asciiTheme="minorHAnsi" w:hAnsiTheme="minorHAnsi" w:cs="Arial"/>
          <w:color w:val="2B3334"/>
        </w:rPr>
        <w:t> </w:t>
      </w:r>
      <w:r w:rsidRPr="000D3432">
        <w:rPr>
          <w:rFonts w:asciiTheme="minorHAnsi" w:hAnsiTheme="minorHAnsi" w:cs="Arial"/>
          <w:color w:val="2B3334"/>
        </w:rPr>
        <w:br/>
        <w:t>capricho ni se animan a armar un nacimiento de navidad,</w:t>
      </w:r>
      <w:r w:rsidRPr="000D3432">
        <w:rPr>
          <w:rStyle w:val="apple-converted-space"/>
          <w:rFonts w:asciiTheme="minorHAnsi" w:hAnsiTheme="minorHAnsi" w:cs="Arial"/>
          <w:color w:val="2B3334"/>
        </w:rPr>
        <w:t> </w:t>
      </w:r>
      <w:r w:rsidRPr="000D3432">
        <w:rPr>
          <w:rFonts w:asciiTheme="minorHAnsi" w:hAnsiTheme="minorHAnsi" w:cs="Arial"/>
          <w:color w:val="2B3334"/>
        </w:rPr>
        <w:br/>
        <w:t>gente demasiado ridícula, o mejor, absurda,</w:t>
      </w:r>
      <w:r w:rsidRPr="000D3432">
        <w:rPr>
          <w:rStyle w:val="apple-converted-space"/>
          <w:rFonts w:asciiTheme="minorHAnsi" w:hAnsiTheme="minorHAnsi" w:cs="Arial"/>
          <w:color w:val="2B3334"/>
        </w:rPr>
        <w:t> </w:t>
      </w:r>
      <w:r w:rsidRPr="000D3432">
        <w:rPr>
          <w:rFonts w:asciiTheme="minorHAnsi" w:hAnsiTheme="minorHAnsi" w:cs="Arial"/>
          <w:color w:val="2B3334"/>
        </w:rPr>
        <w:br/>
        <w:t>que yo ya no llego a entender,</w:t>
      </w:r>
      <w:r w:rsidRPr="000D3432">
        <w:rPr>
          <w:rStyle w:val="apple-converted-space"/>
          <w:rFonts w:asciiTheme="minorHAnsi" w:hAnsiTheme="minorHAnsi" w:cs="Arial"/>
          <w:color w:val="2B3334"/>
        </w:rPr>
        <w:t> </w:t>
      </w:r>
      <w:r w:rsidRPr="000D3432">
        <w:rPr>
          <w:rFonts w:asciiTheme="minorHAnsi" w:hAnsiTheme="minorHAnsi" w:cs="Arial"/>
          <w:color w:val="2B3334"/>
        </w:rPr>
        <w:br/>
        <w:t>todos quieres ser tratados como dioses,</w:t>
      </w:r>
      <w:r w:rsidRPr="000D3432">
        <w:rPr>
          <w:rStyle w:val="apple-converted-space"/>
          <w:rFonts w:asciiTheme="minorHAnsi" w:hAnsiTheme="minorHAnsi" w:cs="Arial"/>
          <w:color w:val="2B3334"/>
        </w:rPr>
        <w:t> </w:t>
      </w:r>
      <w:r w:rsidRPr="000D3432">
        <w:rPr>
          <w:rFonts w:asciiTheme="minorHAnsi" w:hAnsiTheme="minorHAnsi" w:cs="Arial"/>
          <w:color w:val="2B3334"/>
        </w:rPr>
        <w:br/>
        <w:t>y todos se comportan como idiotas</w:t>
      </w:r>
      <w:r w:rsidRPr="000D3432">
        <w:rPr>
          <w:rFonts w:asciiTheme="minorHAnsi" w:hAnsiTheme="minorHAnsi" w:cs="Arial"/>
          <w:color w:val="2B3334"/>
        </w:rPr>
        <w:br/>
        <w:t>como si los dioses fueran unos idiotas engreidos(as)</w:t>
      </w:r>
      <w:r w:rsidRPr="000D3432">
        <w:rPr>
          <w:rFonts w:asciiTheme="minorHAnsi" w:hAnsiTheme="minorHAnsi" w:cs="Arial"/>
          <w:color w:val="2B3334"/>
        </w:rPr>
        <w:br/>
        <w:t>y yo recuerdo ya lo que me decía una sabia amiga</w:t>
      </w:r>
      <w:r w:rsidRPr="000D3432">
        <w:rPr>
          <w:rFonts w:asciiTheme="minorHAnsi" w:hAnsiTheme="minorHAnsi" w:cs="Arial"/>
          <w:color w:val="2B3334"/>
        </w:rPr>
        <w:br/>
        <w:t>a veces tienes que ser concucho, olvidar las afrentas</w:t>
      </w:r>
      <w:r w:rsidRPr="000D3432">
        <w:rPr>
          <w:rFonts w:asciiTheme="minorHAnsi" w:hAnsiTheme="minorHAnsi" w:cs="Arial"/>
          <w:color w:val="2B3334"/>
        </w:rPr>
        <w:br/>
        <w:t>dejar de complicarte la vida, dejar que sentir tonterías,</w:t>
      </w:r>
      <w:r w:rsidRPr="000D3432">
        <w:rPr>
          <w:rStyle w:val="apple-converted-space"/>
          <w:rFonts w:asciiTheme="minorHAnsi" w:hAnsiTheme="minorHAnsi" w:cs="Arial"/>
          <w:color w:val="2B3334"/>
        </w:rPr>
        <w:t> </w:t>
      </w:r>
      <w:r w:rsidRPr="000D3432">
        <w:rPr>
          <w:rFonts w:asciiTheme="minorHAnsi" w:hAnsiTheme="minorHAnsi" w:cs="Arial"/>
          <w:color w:val="2B3334"/>
        </w:rPr>
        <w:br/>
        <w:t>y bueno, a veces pienso que tiene razon</w:t>
      </w:r>
      <w:r w:rsidRPr="000D3432">
        <w:rPr>
          <w:rFonts w:asciiTheme="minorHAnsi" w:hAnsiTheme="minorHAnsi" w:cs="Arial"/>
          <w:color w:val="2B3334"/>
        </w:rPr>
        <w:br/>
        <w:t>debemos dejar de complicarnos la vida,</w:t>
      </w:r>
      <w:r w:rsidRPr="000D3432">
        <w:rPr>
          <w:rStyle w:val="apple-converted-space"/>
          <w:rFonts w:asciiTheme="minorHAnsi" w:hAnsiTheme="minorHAnsi" w:cs="Arial"/>
          <w:color w:val="2B3334"/>
        </w:rPr>
        <w:t> </w:t>
      </w:r>
      <w:r w:rsidRPr="000D3432">
        <w:rPr>
          <w:rFonts w:asciiTheme="minorHAnsi" w:hAnsiTheme="minorHAnsi" w:cs="Arial"/>
          <w:color w:val="2B3334"/>
        </w:rPr>
        <w:br/>
        <w:t>de ser demasiado sensibles con cosas absurdas,</w:t>
      </w:r>
      <w:r w:rsidRPr="000D3432">
        <w:rPr>
          <w:rStyle w:val="apple-converted-space"/>
          <w:rFonts w:asciiTheme="minorHAnsi" w:hAnsiTheme="minorHAnsi" w:cs="Arial"/>
          <w:color w:val="2B3334"/>
        </w:rPr>
        <w:t> </w:t>
      </w:r>
      <w:r w:rsidRPr="000D3432">
        <w:rPr>
          <w:rFonts w:asciiTheme="minorHAnsi" w:hAnsiTheme="minorHAnsi" w:cs="Arial"/>
          <w:color w:val="2B3334"/>
        </w:rPr>
        <w:br/>
        <w:t>debemos dejar de pensar que la gente actuará en correspondencia</w:t>
      </w:r>
      <w:r w:rsidRPr="000D3432">
        <w:rPr>
          <w:rFonts w:asciiTheme="minorHAnsi" w:hAnsiTheme="minorHAnsi" w:cs="Arial"/>
          <w:color w:val="2B3334"/>
        </w:rPr>
        <w:br/>
        <w:t>porque lo que siempre hay es todo lo contrario.</w:t>
      </w:r>
      <w:r w:rsidRPr="000D3432">
        <w:rPr>
          <w:rStyle w:val="apple-converted-space"/>
          <w:rFonts w:asciiTheme="minorHAnsi" w:hAnsiTheme="minorHAnsi" w:cs="Arial"/>
          <w:color w:val="2B3334"/>
        </w:rPr>
        <w:t> </w:t>
      </w:r>
      <w:r w:rsidRPr="000D3432">
        <w:rPr>
          <w:rFonts w:asciiTheme="minorHAnsi" w:hAnsiTheme="minorHAnsi" w:cs="Arial"/>
          <w:color w:val="2B3334"/>
        </w:rPr>
        <w:br/>
        <w:t>no pidamos reciprocidad, sino tolerancia</w:t>
      </w:r>
      <w:r w:rsidRPr="000D3432">
        <w:rPr>
          <w:rFonts w:asciiTheme="minorHAnsi" w:hAnsiTheme="minorHAnsi" w:cs="Arial"/>
          <w:color w:val="2B3334"/>
        </w:rPr>
        <w:br/>
        <w:t>hoy, sin embargo, sigo triste, mi vida está en otro lugar,</w:t>
      </w:r>
      <w:r w:rsidRPr="000D3432">
        <w:rPr>
          <w:rStyle w:val="apple-converted-space"/>
          <w:rFonts w:asciiTheme="minorHAnsi" w:hAnsiTheme="minorHAnsi" w:cs="Arial"/>
          <w:color w:val="2B3334"/>
        </w:rPr>
        <w:t> </w:t>
      </w:r>
      <w:r w:rsidRPr="000D3432">
        <w:rPr>
          <w:rFonts w:asciiTheme="minorHAnsi" w:hAnsiTheme="minorHAnsi" w:cs="Arial"/>
          <w:color w:val="2B3334"/>
        </w:rPr>
        <w:br/>
        <w:t>y yo aquí, sin poder estar allí.</w:t>
      </w:r>
      <w:r w:rsidRPr="000D3432">
        <w:rPr>
          <w:rStyle w:val="apple-converted-space"/>
          <w:rFonts w:asciiTheme="minorHAnsi" w:hAnsiTheme="minorHAnsi" w:cs="Arial"/>
          <w:color w:val="2B3334"/>
        </w:rPr>
        <w:t> </w:t>
      </w:r>
      <w:r w:rsidRPr="000D3432">
        <w:rPr>
          <w:rFonts w:asciiTheme="minorHAnsi" w:hAnsiTheme="minorHAnsi" w:cs="Arial"/>
          <w:color w:val="2B3334"/>
        </w:rPr>
        <w:br/>
        <w:t>bueno, dejare que el tiempo macere mis heridas,</w:t>
      </w:r>
      <w:r w:rsidRPr="000D3432">
        <w:rPr>
          <w:rStyle w:val="apple-converted-space"/>
          <w:rFonts w:asciiTheme="minorHAnsi" w:hAnsiTheme="minorHAnsi" w:cs="Arial"/>
          <w:color w:val="2B3334"/>
        </w:rPr>
        <w:t> </w:t>
      </w:r>
      <w:r w:rsidRPr="000D3432">
        <w:rPr>
          <w:rFonts w:asciiTheme="minorHAnsi" w:hAnsiTheme="minorHAnsi" w:cs="Arial"/>
          <w:color w:val="2B3334"/>
        </w:rPr>
        <w:br/>
        <w:t>y volveré a empezar una y otra vez, hasta el fin.</w:t>
      </w:r>
    </w:p>
    <w:p w14:paraId="707D35CB" w14:textId="77777777" w:rsidR="00FD54CD" w:rsidRPr="000D3432" w:rsidRDefault="00FD54CD" w:rsidP="00A95498">
      <w:pPr>
        <w:shd w:val="clear" w:color="auto" w:fill="FFFFFF"/>
        <w:jc w:val="both"/>
        <w:rPr>
          <w:rFonts w:asciiTheme="minorHAnsi" w:hAnsiTheme="minorHAnsi" w:cs="Arial"/>
          <w:color w:val="2B3334"/>
          <w:szCs w:val="24"/>
        </w:rPr>
      </w:pPr>
    </w:p>
    <w:p w14:paraId="0E85A4A2"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libertad de expresion</w:t>
      </w:r>
    </w:p>
    <w:p w14:paraId="3809A64E"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12.11.2012</w:t>
      </w:r>
    </w:p>
    <w:p w14:paraId="653DD4CD"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 xml:space="preserve">Cuando la prensa utiliza titulares con los "errores de texto y contexto" de las autoridades o personales entrevistadas, esta distorsionándose, pervirtiéndose la libertad de expresión, es más, deja de existir libertad de expresión, porque aquella no sólo supone comunicar el texto, sino el contexto. Es decir, cuando se hace interpretacion negativa del texto, se distorsiona o pierde naturaleza el derecho a la libertad de expresión y deja de ser precisamente aquello. Es más, me atrevería a decir, que la prensa crea los problemas sociales, reeditando las </w:t>
      </w:r>
      <w:r w:rsidRPr="000D3432">
        <w:rPr>
          <w:rFonts w:asciiTheme="minorHAnsi" w:hAnsiTheme="minorHAnsi" w:cs="Arial"/>
          <w:color w:val="2B3334"/>
          <w:szCs w:val="24"/>
        </w:rPr>
        <w:lastRenderedPageBreak/>
        <w:t>entrevistas o dándoles un significado que no es el primigenio del autor.</w:t>
      </w:r>
    </w:p>
    <w:p w14:paraId="1019ADD8" w14:textId="77777777" w:rsidR="00FD54CD" w:rsidRPr="000D3432" w:rsidRDefault="00FD54CD" w:rsidP="00A95498">
      <w:pPr>
        <w:shd w:val="clear" w:color="auto" w:fill="FFFFFF"/>
        <w:jc w:val="both"/>
        <w:rPr>
          <w:rFonts w:asciiTheme="minorHAnsi" w:hAnsiTheme="minorHAnsi" w:cs="Arial"/>
          <w:color w:val="2B3334"/>
          <w:szCs w:val="24"/>
        </w:rPr>
      </w:pPr>
    </w:p>
    <w:p w14:paraId="442EE420"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el diezmo</w:t>
      </w:r>
    </w:p>
    <w:p w14:paraId="55F2835B"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09.11.2012</w:t>
      </w:r>
    </w:p>
    <w:p w14:paraId="53A60AD5"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la teoria del diezmo. Cada vez que se habla de empresa. existen varias variantes de su posibilidad. Una de ellas es el tan sonado y conocido "diezmo". Sin la misma el aparato estatal no funciona. No se puede hacer nada frente a esto. Pero el diezmo es ilegal, y sin embargo no hay forma de deternerlo. Es como crónica de una muerte anunciada y aún así no se puede lograr hacer mucho para evitarlo. Ni los empresarios o los funcionarioss públicos parecen lograr escapar a aquello. La teoría del diezmo tiene un factor fundmantal que analizar. Es como el mercado negro. Asi que tendré que inventar formulas para evitar el diezmo.........bueno... ya veré que puedo hacer.....................................................</w:t>
      </w:r>
    </w:p>
    <w:p w14:paraId="23FA5FE1" w14:textId="77777777" w:rsidR="00FD54CD" w:rsidRPr="000D3432" w:rsidRDefault="00FD54CD" w:rsidP="00A95498">
      <w:pPr>
        <w:shd w:val="clear" w:color="auto" w:fill="FFFFFF"/>
        <w:jc w:val="both"/>
        <w:rPr>
          <w:rFonts w:asciiTheme="minorHAnsi" w:hAnsiTheme="minorHAnsi"/>
          <w:szCs w:val="24"/>
        </w:rPr>
      </w:pPr>
    </w:p>
    <w:p w14:paraId="573CEDB0"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ius naturalismo</w:t>
      </w:r>
    </w:p>
    <w:p w14:paraId="5777668E"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09.11.2012</w:t>
      </w:r>
    </w:p>
    <w:p w14:paraId="1AA64BD3"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si nuestros sentidos, emociones, sentimientos siempre son mas fuertes que nuestra razon, el exito está siempre en lo sensible, en lo sentimental, porque lo racional solo funciona sobre lo sensible,sobre lo sentimental. Una persona práctica, fundamenta su practicidad en lo sensible, es decir, en lo que produce la practicidad en su sensibilidad. La creación, formación o control de dicha sensibilidad, de lo que sentimos, de nuestros sentimientos es lo que pertenece a todas las disciplinas humanas, sin embargo, el Derecho,como una de estas disciplinas, se encarga no de describir las sensaciones sino de sancionarlas, de organizarlas....etc........</w:t>
      </w:r>
    </w:p>
    <w:p w14:paraId="78B7A940" w14:textId="77777777" w:rsidR="00FD54CD" w:rsidRPr="000D3432" w:rsidRDefault="00FD54CD" w:rsidP="00A95498">
      <w:pPr>
        <w:shd w:val="clear" w:color="auto" w:fill="FFFFFF"/>
        <w:jc w:val="both"/>
        <w:outlineLvl w:val="2"/>
        <w:rPr>
          <w:rFonts w:asciiTheme="minorHAnsi" w:hAnsiTheme="minorHAnsi"/>
          <w:szCs w:val="24"/>
        </w:rPr>
      </w:pPr>
    </w:p>
    <w:p w14:paraId="38E50705"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cuerpo multidimensional</w:t>
      </w:r>
    </w:p>
    <w:p w14:paraId="454B0D94"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08.11.2012</w:t>
      </w:r>
    </w:p>
    <w:p w14:paraId="6B54BA88"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Mi cuerpo es muy complejo, pues siento frío en los brazos, y calor en el pecho, cansancio en los ojos y fuerza en las piernas. Estoy cansado de cansarme. aburrido de aburrirme. Estoy hastiado de mi mismo, sin saber qué hacer conmigo mismo. Enfadado todo el tiempo; intentando ser algo feliz, o simplemente sentirme en paz. Todo me molesta. todo me fastidia, todo me parece una estupidez. y sin embargo sigo aqui: existiendo. </w:t>
      </w:r>
    </w:p>
    <w:p w14:paraId="2C84F675" w14:textId="77777777" w:rsidR="00FD54CD" w:rsidRPr="000D3432" w:rsidRDefault="00FD54CD" w:rsidP="00A95498">
      <w:pPr>
        <w:tabs>
          <w:tab w:val="left" w:pos="4725"/>
        </w:tabs>
        <w:jc w:val="both"/>
        <w:rPr>
          <w:rFonts w:asciiTheme="minorHAnsi" w:hAnsiTheme="minorHAnsi"/>
          <w:szCs w:val="24"/>
        </w:rPr>
      </w:pPr>
    </w:p>
    <w:p w14:paraId="03EFB482"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sigo con el cuerpo multidimensional</w:t>
      </w:r>
    </w:p>
    <w:p w14:paraId="1DEC9614"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09.11.2012</w:t>
      </w:r>
    </w:p>
    <w:p w14:paraId="18462F3F"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 xml:space="preserve">Si, tenemos un cuerpo multidimensional, entonces tenemos también necesidades multidimensionales, es decir, para diferentes partes de nuestro cuerpo, por lo tanto, siendo el cuerpo multidimensional, las normas se aplican también en relación a esta condición multidimensional. Explico, el tratamiento va, a nuestro cerebro, a nuestros instintos, a nuestros gustos,a partes específicas del cuerpo, como los ojos (voyeurismo, delito a la intimidad privada), a los oídos (derecho al honor y la buena reputación), al sexo (derecho a la libertad sexual), a los pies (derecho a la libertad de tránsito).... etc. Las normas jurídicas han olvidado este esquema del cuerpo, esta multidimensioalidad, y solo atacan al conjunto. Por ejemplo, para solucionar el problema del oido, hay que entender las frases populares como "a palabras necias oidos sordos".. etc. luego vuelvo </w:t>
      </w:r>
      <w:r w:rsidRPr="000D3432">
        <w:rPr>
          <w:rFonts w:asciiTheme="minorHAnsi" w:hAnsiTheme="minorHAnsi" w:cs="Arial"/>
          <w:color w:val="2B3334"/>
          <w:szCs w:val="24"/>
        </w:rPr>
        <w:lastRenderedPageBreak/>
        <w:t>sobre el asunto....</w:t>
      </w:r>
    </w:p>
    <w:p w14:paraId="578F3D48" w14:textId="77777777" w:rsidR="00FD54CD" w:rsidRPr="000D3432" w:rsidRDefault="00FD54CD" w:rsidP="00A95498">
      <w:pPr>
        <w:shd w:val="clear" w:color="auto" w:fill="FFFFFF"/>
        <w:jc w:val="both"/>
        <w:outlineLvl w:val="2"/>
        <w:rPr>
          <w:rFonts w:asciiTheme="minorHAnsi" w:hAnsiTheme="minorHAnsi"/>
          <w:szCs w:val="24"/>
        </w:rPr>
      </w:pPr>
    </w:p>
    <w:p w14:paraId="2D2ED23E" w14:textId="77777777" w:rsidR="00FD54CD" w:rsidRPr="000D3432" w:rsidRDefault="00FD54CD" w:rsidP="00A95498">
      <w:pPr>
        <w:shd w:val="clear" w:color="auto" w:fill="FFFFFF"/>
        <w:jc w:val="both"/>
        <w:outlineLvl w:val="2"/>
        <w:rPr>
          <w:rFonts w:asciiTheme="minorHAnsi" w:hAnsiTheme="minorHAnsi"/>
          <w:szCs w:val="24"/>
        </w:rPr>
      </w:pPr>
    </w:p>
    <w:p w14:paraId="78445B41" w14:textId="77777777" w:rsidR="00FD54CD" w:rsidRPr="000D3432" w:rsidRDefault="00FD54CD" w:rsidP="00A95498">
      <w:pPr>
        <w:shd w:val="clear" w:color="auto" w:fill="FFFFFF"/>
        <w:jc w:val="both"/>
        <w:outlineLvl w:val="2"/>
        <w:rPr>
          <w:rFonts w:asciiTheme="minorHAnsi" w:hAnsiTheme="minorHAnsi"/>
          <w:szCs w:val="24"/>
        </w:rPr>
      </w:pPr>
    </w:p>
    <w:p w14:paraId="716DB86F"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AZ: sigo con el cuerpo multidimensional</w:t>
      </w:r>
    </w:p>
    <w:p w14:paraId="194962DA"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diagrama corporal del delito</w:t>
      </w:r>
      <w:r w:rsidRPr="000D3432">
        <w:rPr>
          <w:rFonts w:asciiTheme="minorHAnsi" w:hAnsiTheme="minorHAnsi" w:cs="Arial"/>
          <w:color w:val="2B3334"/>
          <w:szCs w:val="24"/>
        </w:rPr>
        <w:t> | </w:t>
      </w:r>
      <w:r w:rsidRPr="000D3432">
        <w:rPr>
          <w:rFonts w:asciiTheme="minorHAnsi" w:hAnsiTheme="minorHAnsi" w:cs="Arial"/>
          <w:color w:val="C06310"/>
          <w:szCs w:val="24"/>
        </w:rPr>
        <w:t>09.11.2012</w:t>
      </w:r>
    </w:p>
    <w:p w14:paraId="2F6207A8"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Podemos hacer, por tal, un diagrama corporal del delito con el cuerpo humano. Es más cada parte de nuestro cuerpo puede ser objeto del delito o del agravio. </w:t>
      </w:r>
      <w:r w:rsidRPr="000D3432">
        <w:rPr>
          <w:rFonts w:asciiTheme="minorHAnsi" w:hAnsiTheme="minorHAnsi" w:cs="Arial"/>
          <w:color w:val="2B3334"/>
          <w:szCs w:val="24"/>
        </w:rPr>
        <w:br/>
        <w:t>Se agravia el corazón, el oído, nuestra mente (delito contra el honor)</w:t>
      </w:r>
      <w:r w:rsidRPr="000D3432">
        <w:rPr>
          <w:rFonts w:asciiTheme="minorHAnsi" w:hAnsiTheme="minorHAnsi" w:cs="Arial"/>
          <w:color w:val="2B3334"/>
          <w:szCs w:val="24"/>
        </w:rPr>
        <w:br/>
        <w:t>Se agravia el sexo (delito contra la libertad sexual)</w:t>
      </w:r>
      <w:r w:rsidRPr="000D3432">
        <w:rPr>
          <w:rFonts w:asciiTheme="minorHAnsi" w:hAnsiTheme="minorHAnsi" w:cs="Arial"/>
          <w:color w:val="2B3334"/>
          <w:szCs w:val="24"/>
        </w:rPr>
        <w:br/>
        <w:t>se agravia el estómago (cuando alguien ingiere cápsulas de droga para transportarlas (Delito de tráfico Ilícito de Drogas)</w:t>
      </w:r>
      <w:r w:rsidRPr="000D3432">
        <w:rPr>
          <w:rFonts w:asciiTheme="minorHAnsi" w:hAnsiTheme="minorHAnsi" w:cs="Arial"/>
          <w:color w:val="2B3334"/>
          <w:szCs w:val="24"/>
        </w:rPr>
        <w:br/>
        <w:t>Se agravia etc...........vuelvo después</w:t>
      </w:r>
    </w:p>
    <w:p w14:paraId="5ECC964A" w14:textId="77777777" w:rsidR="00FD54CD" w:rsidRPr="000D3432" w:rsidRDefault="00FD54CD" w:rsidP="00A95498">
      <w:pPr>
        <w:shd w:val="clear" w:color="auto" w:fill="FFFFFF"/>
        <w:jc w:val="both"/>
        <w:rPr>
          <w:rFonts w:asciiTheme="minorHAnsi" w:hAnsiTheme="minorHAnsi" w:cs="Arial"/>
          <w:b/>
          <w:bCs/>
          <w:color w:val="2B3334"/>
          <w:szCs w:val="24"/>
        </w:rPr>
      </w:pPr>
    </w:p>
    <w:p w14:paraId="69AE820D"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una decision</w:t>
      </w:r>
      <w:r w:rsidRPr="000D3432">
        <w:rPr>
          <w:rFonts w:asciiTheme="minorHAnsi" w:hAnsiTheme="minorHAnsi" w:cs="Arial"/>
          <w:color w:val="2B3334"/>
          <w:szCs w:val="24"/>
        </w:rPr>
        <w:t> | </w:t>
      </w:r>
      <w:r w:rsidRPr="000D3432">
        <w:rPr>
          <w:rFonts w:asciiTheme="minorHAnsi" w:hAnsiTheme="minorHAnsi" w:cs="Arial"/>
          <w:color w:val="C06310"/>
          <w:szCs w:val="24"/>
        </w:rPr>
        <w:t>05.11.2012</w:t>
      </w:r>
    </w:p>
    <w:p w14:paraId="66C01F83"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Hay una frase de un libro interesante: El Exito es una decisión. </w:t>
      </w:r>
      <w:r w:rsidRPr="000D3432">
        <w:rPr>
          <w:rFonts w:asciiTheme="minorHAnsi" w:hAnsiTheme="minorHAnsi" w:cs="Arial"/>
          <w:color w:val="2B3334"/>
          <w:szCs w:val="24"/>
        </w:rPr>
        <w:br/>
        <w:t>Cierto. Leí aquello en la Feria del Libro realizada en Miraflores - Lima,. Allí. para casualidad mia, también hicieron un homenaje a la poesía de Antonio Cisneros. Cosa anecdótica es que, sin saberlo, competí una vez con el, en un premio a la Creatividad, que convocaba la ex Pontificia Universidad Católica del Perú. Y claro, como es de suponer, ganó Antonio Cisneros. En el homenaje a su poesía estuvieron varios autores. Uno me pareció el mas perspicaz, Fernando Ampuero, aquél que leí en un libro llamado Gato encerrado, aquél que se peleó con "El enano", es decir con Cesar Hildebrant. Aquel fantoche, irremediablemente conciente de su poder, y por eso vanal.</w:t>
      </w:r>
    </w:p>
    <w:p w14:paraId="7385C8EA" w14:textId="77777777" w:rsidR="00FD54CD" w:rsidRPr="000D3432" w:rsidRDefault="00FD54CD" w:rsidP="00A95498">
      <w:pPr>
        <w:tabs>
          <w:tab w:val="left" w:pos="4725"/>
        </w:tabs>
        <w:jc w:val="both"/>
        <w:rPr>
          <w:rFonts w:asciiTheme="minorHAnsi" w:hAnsiTheme="minorHAnsi"/>
          <w:szCs w:val="24"/>
        </w:rPr>
      </w:pPr>
    </w:p>
    <w:p w14:paraId="6E79C186" w14:textId="77777777" w:rsidR="00FD54CD" w:rsidRPr="000D3432" w:rsidRDefault="00FD54CD" w:rsidP="00A95498">
      <w:pPr>
        <w:pStyle w:val="Ttulo3"/>
        <w:shd w:val="clear" w:color="auto" w:fill="FFFFFF"/>
        <w:rPr>
          <w:rFonts w:asciiTheme="minorHAnsi" w:hAnsiTheme="minorHAnsi" w:cs="Arial"/>
          <w:color w:val="2B3334"/>
          <w:sz w:val="24"/>
          <w:szCs w:val="24"/>
        </w:rPr>
      </w:pPr>
      <w:bookmarkStart w:id="120" w:name="_Toc318102925"/>
      <w:r w:rsidRPr="000D3432">
        <w:rPr>
          <w:rFonts w:asciiTheme="minorHAnsi" w:hAnsiTheme="minorHAnsi" w:cs="Arial"/>
          <w:color w:val="2B3334"/>
          <w:sz w:val="24"/>
          <w:szCs w:val="24"/>
        </w:rPr>
        <w:t>az - econometria</w:t>
      </w:r>
      <w:bookmarkEnd w:id="120"/>
    </w:p>
    <w:p w14:paraId="50023015" w14:textId="77777777" w:rsidR="00FD54CD" w:rsidRPr="000D3432" w:rsidRDefault="00FD54CD" w:rsidP="00A95498">
      <w:pPr>
        <w:pStyle w:val="NormalWeb"/>
        <w:shd w:val="clear" w:color="auto" w:fill="FFFFFF"/>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en lima</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03.11.2012</w:t>
      </w:r>
    </w:p>
    <w:p w14:paraId="7EFB7FF3" w14:textId="77777777" w:rsidR="00FD54CD" w:rsidRPr="000D3432" w:rsidRDefault="00FD54CD" w:rsidP="00A95498">
      <w:pPr>
        <w:pStyle w:val="NormalWeb"/>
        <w:shd w:val="clear" w:color="auto" w:fill="FFFFFF"/>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Cuando ingresè al Doctorado en Economìa de la UNMSM tenìa un primer tea dificil, para alquien que no es profesional de economìa; el curso de econometrìa. Pero da la casualidad, que es el primer curso que nos estàn enseñando. Asì que lo difìcil es lo primero. y entenderlo es sòlo fòrmulas. Econometrìa, Autocorrelaciòn, modelos de regresiòn lineal, residuos recursivos, estacionalidad, etc. autorrrelaciòn positiva, autocorrelaciòn negativa, autocorrelaciòn heterocesdasticidad, multicolinealidad, etc.. como ven estoy metido en un complejo sistema diferente de entender el mundo. Son otras medias de valoraciòn, estadìsticas, variables, que reflejan, y pronene o plantean el panorama econòmico. Se utilizan pruebas alternavas, transformar modelos, etc, modelos lineales,etc....</w:t>
      </w:r>
    </w:p>
    <w:p w14:paraId="116883D1" w14:textId="77777777" w:rsidR="00FD54CD" w:rsidRPr="000D3432" w:rsidRDefault="00FD54CD" w:rsidP="00A95498">
      <w:pPr>
        <w:pStyle w:val="Ttulo3"/>
        <w:rPr>
          <w:rFonts w:asciiTheme="minorHAnsi" w:hAnsiTheme="minorHAnsi" w:cs="Arial"/>
          <w:color w:val="2B3334"/>
          <w:sz w:val="24"/>
          <w:szCs w:val="24"/>
        </w:rPr>
      </w:pPr>
    </w:p>
    <w:p w14:paraId="7195AA30" w14:textId="77777777" w:rsidR="00FD54CD" w:rsidRPr="000D3432" w:rsidRDefault="00FD54CD" w:rsidP="00A95498">
      <w:pPr>
        <w:pStyle w:val="Ttulo3"/>
        <w:rPr>
          <w:rFonts w:asciiTheme="minorHAnsi" w:hAnsiTheme="minorHAnsi" w:cs="Arial"/>
          <w:color w:val="2B3334"/>
          <w:sz w:val="24"/>
          <w:szCs w:val="24"/>
        </w:rPr>
      </w:pPr>
      <w:bookmarkStart w:id="121" w:name="_Toc318102926"/>
      <w:r w:rsidRPr="000D3432">
        <w:rPr>
          <w:rFonts w:asciiTheme="minorHAnsi" w:hAnsiTheme="minorHAnsi" w:cs="Arial"/>
          <w:color w:val="2B3334"/>
          <w:sz w:val="24"/>
          <w:szCs w:val="24"/>
        </w:rPr>
        <w:t>CUSCO - En el Congreso Nacional de Abogados</w:t>
      </w:r>
      <w:bookmarkEnd w:id="121"/>
    </w:p>
    <w:p w14:paraId="15AED54C"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30.10.2012</w:t>
      </w:r>
    </w:p>
    <w:p w14:paraId="6F3980C6"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Fonts w:asciiTheme="minorHAnsi" w:hAnsiTheme="minorHAnsi" w:cs="Arial"/>
          <w:color w:val="2B3334"/>
        </w:rPr>
        <w:t>Cusco. ha sido impresionante el viaje, y la estadía en Cusco. es la tercera vez que voy, pero eso hace ya desde la época de promoción escolar.</w:t>
      </w:r>
      <w:r w:rsidRPr="000D3432">
        <w:rPr>
          <w:rStyle w:val="apple-converted-space"/>
          <w:rFonts w:asciiTheme="minorHAnsi" w:hAnsiTheme="minorHAnsi" w:cs="Arial"/>
          <w:color w:val="2B3334"/>
        </w:rPr>
        <w:t> </w:t>
      </w:r>
    </w:p>
    <w:p w14:paraId="0C0E26AA"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Fonts w:asciiTheme="minorHAnsi" w:hAnsiTheme="minorHAnsi" w:cs="Arial"/>
          <w:color w:val="2B3334"/>
        </w:rPr>
        <w:br/>
        <w:t xml:space="preserve">He llegado el segundo día del evento. Se han formado cinco grupos de trabajo -taller, todos preparando una ponencia. la Ciudad es asombrosa. Ya en el taller me eligen del grupo para exponer las conclusiones del resultado, esto al </w:t>
      </w:r>
      <w:r w:rsidRPr="000D3432">
        <w:rPr>
          <w:rFonts w:asciiTheme="minorHAnsi" w:hAnsiTheme="minorHAnsi" w:cs="Arial"/>
          <w:color w:val="2B3334"/>
        </w:rPr>
        <w:lastRenderedPageBreak/>
        <w:t>principio. Ni bien he llegado, sin conocerme mucho siquiera. Me parece por mi forma de hablar, o bueno no se. Pero allí estoy. Dando mis ideas, con mi Tablet en la mesa, inteviniendo, argumentando, coinciliando. Me he ganado la simpatía de todos (al menos eso parece).</w:t>
      </w:r>
      <w:r w:rsidRPr="000D3432">
        <w:rPr>
          <w:rStyle w:val="apple-converted-space"/>
          <w:rFonts w:asciiTheme="minorHAnsi" w:hAnsiTheme="minorHAnsi" w:cs="Arial"/>
          <w:color w:val="2B3334"/>
        </w:rPr>
        <w:t> </w:t>
      </w:r>
    </w:p>
    <w:p w14:paraId="15EE0F9E"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p>
    <w:p w14:paraId="68D9DB4A" w14:textId="77777777" w:rsidR="00FD54CD" w:rsidRPr="000D3432" w:rsidRDefault="00FD54CD" w:rsidP="00A95498">
      <w:pPr>
        <w:pStyle w:val="NormalWeb"/>
        <w:spacing w:before="0" w:beforeAutospacing="0" w:after="0" w:afterAutospacing="0"/>
        <w:jc w:val="both"/>
        <w:rPr>
          <w:rStyle w:val="apple-converted-space"/>
          <w:rFonts w:asciiTheme="minorHAnsi" w:hAnsiTheme="minorHAnsi" w:cs="Arial"/>
          <w:color w:val="2B3334"/>
        </w:rPr>
      </w:pPr>
      <w:r w:rsidRPr="000D3432">
        <w:rPr>
          <w:rFonts w:asciiTheme="minorHAnsi" w:hAnsiTheme="minorHAnsi" w:cs="Arial"/>
          <w:color w:val="2B3334"/>
        </w:rPr>
        <w:t>Al final del taller redacto las conclusiones del grupo y le doy forma. Ingreso algunas otras ideas mias, pues no se trata de mi, sino del grupo.</w:t>
      </w:r>
      <w:r w:rsidRPr="000D3432">
        <w:rPr>
          <w:rStyle w:val="apple-converted-space"/>
          <w:rFonts w:asciiTheme="minorHAnsi" w:hAnsiTheme="minorHAnsi" w:cs="Arial"/>
          <w:color w:val="2B3334"/>
        </w:rPr>
        <w:t> </w:t>
      </w:r>
    </w:p>
    <w:p w14:paraId="08BE9D3F"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br/>
        <w:t>Mas tarde ingresamos al Paraninfo. Es un lugar muy hermoso. Está en el Estrado la Mesa Directiva, la de Organización del Evento. y en la primera fila, todos los decanos de los colegios de abogados del Perú. Invitan al primer expositor, de conclusiones. y luego al otro, y luego me invitan.</w:t>
      </w:r>
      <w:r w:rsidRPr="000D3432">
        <w:rPr>
          <w:rStyle w:val="apple-converted-space"/>
          <w:rFonts w:asciiTheme="minorHAnsi" w:hAnsiTheme="minorHAnsi" w:cs="Arial"/>
          <w:color w:val="2B3334"/>
        </w:rPr>
        <w:t> </w:t>
      </w:r>
      <w:r w:rsidRPr="000D3432">
        <w:rPr>
          <w:rFonts w:asciiTheme="minorHAnsi" w:hAnsiTheme="minorHAnsi" w:cs="Arial"/>
          <w:color w:val="2B3334"/>
        </w:rPr>
        <w:br/>
        <w:t>Salgo al estrado. llevo mi tablet y las hojas de conclusiones. Saludo a todos, y empiezo la lectura, exposición. Mi voz resuena en el ambiente. Digo al inicio algo que los Abogados estamos -con frases de Nietzsche- "mas allá del bien y del mal", y sigo exponiendo. Mi voz resuena. Aplauden. luego sigo hablando, lo necesario, ni mucho ni poco, lo necesario. No puedo narrar la magnificencia del evento, ni los efectos que causaba mi exposición, pues no soy ellos. Al final termino, saludo a la mesa directiva, les doy la mano, y ellos, todos me dicen de lo bien de mi exposición, no se si por cortesía o por otro motivo. Luego invitan a otro expositor, y luego otro.</w:t>
      </w:r>
      <w:r w:rsidRPr="000D3432">
        <w:rPr>
          <w:rStyle w:val="apple-converted-space"/>
          <w:rFonts w:asciiTheme="minorHAnsi" w:hAnsiTheme="minorHAnsi" w:cs="Arial"/>
          <w:color w:val="2B3334"/>
        </w:rPr>
        <w:t> </w:t>
      </w:r>
      <w:r w:rsidRPr="000D3432">
        <w:rPr>
          <w:rFonts w:asciiTheme="minorHAnsi" w:hAnsiTheme="minorHAnsi" w:cs="Arial"/>
          <w:color w:val="2B3334"/>
        </w:rPr>
        <w:br/>
        <w:t>Mas tarde, cuando se clausuró ya el evento, cuando todos nos reunimos para saludarnos y enrumbarnos a la cena de gala, se acercan un tropel de compañeros de grupo de taller o trabajo, y me piden mi dirección, uno me ogrece un cuaderno, la otra me ofrece una hoja bon, el otro un documento, la otra una hoja, y yo voy allí, sin saberlo, ni darme cuenta porque me rodean y me piden mi dirección y datos, mientras me saludan, felicitan, me dicen: "que voz", alaban mi exposición, y cosas parecidas, yo sonrío, digo que es cosa del grupo, pero ellos insisten, y cuando termino, una chica del otro grupo, amiga, me dice, algo como "que habras hecho para que te sigan así", y sonrie. Pasan otras personas, me las presentan, y la mayoría me hace el comentario sobre mi discurso. Y yo quedo pasmado, pues no pensé que habrían tomado atención de tal acto, pero siguen los saludos, y las tarjetas que me ofrecen y me piden. y bueno, fue un acto impresionante. Pues fui a por experiencias, y de todos los que fueron al congreso, resulté siendo uno de los 5 privilegiados que fue invitado a exponer las conclusiones del grupo de trabajo, y recibí tantos saludos, que Cusco me pareció mágico.</w:t>
      </w:r>
      <w:r w:rsidRPr="000D3432">
        <w:rPr>
          <w:rStyle w:val="apple-converted-space"/>
          <w:rFonts w:asciiTheme="minorHAnsi" w:hAnsiTheme="minorHAnsi" w:cs="Arial"/>
          <w:color w:val="2B3334"/>
        </w:rPr>
        <w:t> </w:t>
      </w:r>
      <w:r w:rsidRPr="000D3432">
        <w:rPr>
          <w:rFonts w:asciiTheme="minorHAnsi" w:hAnsiTheme="minorHAnsi" w:cs="Arial"/>
          <w:color w:val="2B3334"/>
        </w:rPr>
        <w:br/>
        <w:t>Cusco me ha impresionado, y he logrado hacer muchas cosas, que tal vez, mas tarde o algun día cuente.</w:t>
      </w:r>
    </w:p>
    <w:p w14:paraId="13A33AED" w14:textId="77777777" w:rsidR="00FD54CD" w:rsidRPr="000D3432" w:rsidRDefault="00FD54CD" w:rsidP="00A95498">
      <w:pPr>
        <w:pStyle w:val="Ttulo3"/>
        <w:rPr>
          <w:rFonts w:asciiTheme="minorHAnsi" w:hAnsiTheme="minorHAnsi" w:cs="Arial"/>
          <w:color w:val="2B3334"/>
          <w:sz w:val="24"/>
          <w:szCs w:val="24"/>
        </w:rPr>
      </w:pPr>
    </w:p>
    <w:p w14:paraId="7818630C" w14:textId="77777777" w:rsidR="00FD54CD" w:rsidRPr="000D3432" w:rsidRDefault="00FD54CD" w:rsidP="00A95498">
      <w:pPr>
        <w:pStyle w:val="Ttulo3"/>
        <w:rPr>
          <w:rFonts w:asciiTheme="minorHAnsi" w:hAnsiTheme="minorHAnsi" w:cs="Arial"/>
          <w:color w:val="2B3334"/>
          <w:sz w:val="24"/>
          <w:szCs w:val="24"/>
        </w:rPr>
      </w:pPr>
      <w:bookmarkStart w:id="122" w:name="_Toc318102927"/>
      <w:r w:rsidRPr="000D3432">
        <w:rPr>
          <w:rFonts w:asciiTheme="minorHAnsi" w:hAnsiTheme="minorHAnsi" w:cs="Arial"/>
          <w:color w:val="2B3334"/>
          <w:sz w:val="24"/>
          <w:szCs w:val="24"/>
        </w:rPr>
        <w:t>en camino</w:t>
      </w:r>
      <w:bookmarkEnd w:id="122"/>
    </w:p>
    <w:p w14:paraId="5A9CB21A"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26.10.2012</w:t>
      </w:r>
    </w:p>
    <w:p w14:paraId="48697B4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xml:space="preserve">en moquegua, su sol ya no me reconoce, veo mi ex colegio totalmente reconstruido, dicen que existe una placa con el nombre de nuestra promocion, me invitaron a participar, y como no soy de recuerdos no fui. el clima sigue siendo el mejor, tal vez es lo unico quw extrano de aqui. </w:t>
      </w:r>
    </w:p>
    <w:p w14:paraId="11AAC828"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p>
    <w:p w14:paraId="5FCD61F3" w14:textId="77777777" w:rsidR="00FD54CD" w:rsidRPr="000D3432" w:rsidRDefault="00FD54CD" w:rsidP="00A95498">
      <w:pPr>
        <w:pStyle w:val="Ttulo3"/>
        <w:rPr>
          <w:rFonts w:asciiTheme="minorHAnsi" w:hAnsiTheme="minorHAnsi" w:cs="Arial"/>
          <w:color w:val="2B3334"/>
          <w:sz w:val="24"/>
          <w:szCs w:val="24"/>
        </w:rPr>
      </w:pPr>
      <w:bookmarkStart w:id="123" w:name="_Toc318102928"/>
      <w:r w:rsidRPr="000D3432">
        <w:rPr>
          <w:rFonts w:asciiTheme="minorHAnsi" w:hAnsiTheme="minorHAnsi" w:cs="Arial"/>
          <w:color w:val="2B3334"/>
          <w:sz w:val="24"/>
          <w:szCs w:val="24"/>
        </w:rPr>
        <w:lastRenderedPageBreak/>
        <w:t>He conocido</w:t>
      </w:r>
      <w:bookmarkEnd w:id="123"/>
    </w:p>
    <w:p w14:paraId="653382B0"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24.10.2012</w:t>
      </w:r>
    </w:p>
    <w:p w14:paraId="04298ADC"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he conocido a una chica lindisima,</w:t>
      </w:r>
      <w:r w:rsidRPr="000D3432">
        <w:rPr>
          <w:rStyle w:val="apple-converted-space"/>
          <w:rFonts w:asciiTheme="minorHAnsi" w:hAnsiTheme="minorHAnsi" w:cs="Arial"/>
          <w:color w:val="2B3334"/>
        </w:rPr>
        <w:t> </w:t>
      </w:r>
      <w:r w:rsidRPr="000D3432">
        <w:rPr>
          <w:rFonts w:asciiTheme="minorHAnsi" w:hAnsiTheme="minorHAnsi" w:cs="Arial"/>
          <w:color w:val="2B3334"/>
        </w:rPr>
        <w:br/>
        <w:t xml:space="preserve">es perfecta, linda, preciosa. Me gusta su sonrisa, sus ojos, su imagen, sus labios, su color. Me agrada como adivina mis estados emocionales, lo qué ocurre en mi mente. Me describe perfectamente y baila muy, pero muy bien. Me agradan sus gestos, cuando frunce sus cejitas, o pone cara de admiración, o de pena, o de coquetería, o de pensativa, o de enfadada, o de chistosa, o de dubitativa. o como baila. No sé como puede ser tan bella, no sé como puede ser tan delicadita, tan finita, y tan prescriptiva. La verdad es que cuando la veo, me siento feliz otra vez, y a la vez triste. Y es que siendo tan perfecta, trabaja en un nigh club, y yo aún no he superado la moda de ser cuerdo y ordinario. </w:t>
      </w:r>
    </w:p>
    <w:p w14:paraId="48C0C322" w14:textId="77777777" w:rsidR="00FD54CD" w:rsidRPr="000D3432" w:rsidRDefault="00FD54CD" w:rsidP="00A95498">
      <w:pPr>
        <w:shd w:val="clear" w:color="auto" w:fill="FFFFFF"/>
        <w:jc w:val="both"/>
        <w:outlineLvl w:val="2"/>
        <w:rPr>
          <w:rFonts w:asciiTheme="minorHAnsi" w:hAnsiTheme="minorHAnsi" w:cs="Arial"/>
          <w:b/>
          <w:bCs/>
          <w:color w:val="2B3334"/>
          <w:szCs w:val="24"/>
        </w:rPr>
      </w:pPr>
    </w:p>
    <w:p w14:paraId="260AC572"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extraño otra vez</w:t>
      </w:r>
    </w:p>
    <w:p w14:paraId="064574F1"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11.10.2012</w:t>
      </w:r>
    </w:p>
    <w:p w14:paraId="31A402D1"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extraño conversar tanto contigo,</w:t>
      </w:r>
      <w:r w:rsidRPr="000D3432">
        <w:rPr>
          <w:rFonts w:asciiTheme="minorHAnsi" w:hAnsiTheme="minorHAnsi" w:cs="Arial"/>
          <w:color w:val="2B3334"/>
          <w:szCs w:val="24"/>
        </w:rPr>
        <w:br/>
        <w:t>mirar tus lindos ojos, </w:t>
      </w:r>
      <w:r w:rsidRPr="000D3432">
        <w:rPr>
          <w:rFonts w:asciiTheme="minorHAnsi" w:hAnsiTheme="minorHAnsi" w:cs="Arial"/>
          <w:color w:val="2B3334"/>
          <w:szCs w:val="24"/>
        </w:rPr>
        <w:br/>
        <w:t>saberme perdido en tu sonrisa, </w:t>
      </w:r>
      <w:r w:rsidRPr="000D3432">
        <w:rPr>
          <w:rFonts w:asciiTheme="minorHAnsi" w:hAnsiTheme="minorHAnsi" w:cs="Arial"/>
          <w:color w:val="2B3334"/>
          <w:szCs w:val="24"/>
        </w:rPr>
        <w:br/>
        <w:t>caminar hacia ti,</w:t>
      </w:r>
      <w:r w:rsidRPr="000D3432">
        <w:rPr>
          <w:rFonts w:asciiTheme="minorHAnsi" w:hAnsiTheme="minorHAnsi" w:cs="Arial"/>
          <w:color w:val="2B3334"/>
          <w:szCs w:val="24"/>
        </w:rPr>
        <w:br/>
        <w:t>extraño, ... tanto</w:t>
      </w:r>
      <w:r w:rsidRPr="000D3432">
        <w:rPr>
          <w:rFonts w:asciiTheme="minorHAnsi" w:hAnsiTheme="minorHAnsi" w:cs="Arial"/>
          <w:color w:val="2B3334"/>
          <w:szCs w:val="24"/>
        </w:rPr>
        <w:br/>
        <w:t>tu sonrisa de niña ingenua</w:t>
      </w:r>
      <w:r w:rsidRPr="000D3432">
        <w:rPr>
          <w:rFonts w:asciiTheme="minorHAnsi" w:hAnsiTheme="minorHAnsi" w:cs="Arial"/>
          <w:color w:val="2B3334"/>
          <w:szCs w:val="24"/>
        </w:rPr>
        <w:br/>
        <w:t>tu manera de hacerme sonreir</w:t>
      </w:r>
      <w:r w:rsidRPr="000D3432">
        <w:rPr>
          <w:rFonts w:asciiTheme="minorHAnsi" w:hAnsiTheme="minorHAnsi" w:cs="Arial"/>
          <w:color w:val="2B3334"/>
          <w:szCs w:val="24"/>
        </w:rPr>
        <w:br/>
        <w:t>de conseguir lo que nadie consiguió</w:t>
      </w:r>
      <w:r w:rsidRPr="000D3432">
        <w:rPr>
          <w:rFonts w:asciiTheme="minorHAnsi" w:hAnsiTheme="minorHAnsi" w:cs="Arial"/>
          <w:color w:val="2B3334"/>
          <w:szCs w:val="24"/>
        </w:rPr>
        <w:br/>
        <w:t>encontrarle por unos instantes sentido a mi vida.</w:t>
      </w:r>
    </w:p>
    <w:p w14:paraId="7C0CC76A" w14:textId="77777777" w:rsidR="00FD54CD" w:rsidRPr="000D3432" w:rsidRDefault="00FD54CD" w:rsidP="00A95498">
      <w:pPr>
        <w:shd w:val="clear" w:color="auto" w:fill="FFFFFF"/>
        <w:jc w:val="both"/>
        <w:rPr>
          <w:rFonts w:asciiTheme="minorHAnsi" w:hAnsiTheme="minorHAnsi"/>
          <w:szCs w:val="24"/>
        </w:rPr>
      </w:pPr>
    </w:p>
    <w:p w14:paraId="114B3641"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FRIO</w:t>
      </w:r>
      <w:r w:rsidRPr="000D3432">
        <w:rPr>
          <w:rFonts w:asciiTheme="minorHAnsi" w:hAnsiTheme="minorHAnsi" w:cs="Arial"/>
          <w:color w:val="2B3334"/>
          <w:szCs w:val="24"/>
        </w:rPr>
        <w:t> | </w:t>
      </w:r>
      <w:r w:rsidRPr="000D3432">
        <w:rPr>
          <w:rFonts w:asciiTheme="minorHAnsi" w:hAnsiTheme="minorHAnsi" w:cs="Arial"/>
          <w:color w:val="C06310"/>
          <w:szCs w:val="24"/>
        </w:rPr>
        <w:t>10.10.2012</w:t>
      </w:r>
    </w:p>
    <w:p w14:paraId="0D6D2220"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Tengo frio, casi siempre tengo frio,</w:t>
      </w:r>
      <w:r w:rsidRPr="000D3432">
        <w:rPr>
          <w:rFonts w:asciiTheme="minorHAnsi" w:hAnsiTheme="minorHAnsi" w:cs="Arial"/>
          <w:color w:val="2B3334"/>
          <w:szCs w:val="24"/>
        </w:rPr>
        <w:br/>
        <w:t>en este clima....</w:t>
      </w:r>
      <w:r w:rsidRPr="000D3432">
        <w:rPr>
          <w:rFonts w:asciiTheme="minorHAnsi" w:hAnsiTheme="minorHAnsi" w:cs="Arial"/>
          <w:color w:val="2B3334"/>
          <w:szCs w:val="24"/>
        </w:rPr>
        <w:br/>
        <w:t>y Tacna ya no me hace bien, </w:t>
      </w:r>
      <w:r w:rsidRPr="000D3432">
        <w:rPr>
          <w:rFonts w:asciiTheme="minorHAnsi" w:hAnsiTheme="minorHAnsi" w:cs="Arial"/>
          <w:color w:val="2B3334"/>
          <w:szCs w:val="24"/>
        </w:rPr>
        <w:br/>
        <w:t>ni el clima ambiental o social,</w:t>
      </w:r>
      <w:r w:rsidRPr="000D3432">
        <w:rPr>
          <w:rFonts w:asciiTheme="minorHAnsi" w:hAnsiTheme="minorHAnsi" w:cs="Arial"/>
          <w:color w:val="2B3334"/>
          <w:szCs w:val="24"/>
        </w:rPr>
        <w:br/>
        <w:t>todo me dice que debo marcharme.</w:t>
      </w:r>
      <w:r w:rsidRPr="000D3432">
        <w:rPr>
          <w:rFonts w:asciiTheme="minorHAnsi" w:hAnsiTheme="minorHAnsi" w:cs="Arial"/>
          <w:color w:val="2B3334"/>
          <w:szCs w:val="24"/>
        </w:rPr>
        <w:br/>
        <w:t>y sólo veo puestos de trabajo estatal,</w:t>
      </w:r>
      <w:r w:rsidRPr="000D3432">
        <w:rPr>
          <w:rFonts w:asciiTheme="minorHAnsi" w:hAnsiTheme="minorHAnsi" w:cs="Arial"/>
          <w:color w:val="2B3334"/>
          <w:szCs w:val="24"/>
        </w:rPr>
        <w:br/>
        <w:t>y no quiero aquello.</w:t>
      </w:r>
      <w:r w:rsidRPr="000D3432">
        <w:rPr>
          <w:rFonts w:asciiTheme="minorHAnsi" w:hAnsiTheme="minorHAnsi" w:cs="Arial"/>
          <w:color w:val="2B3334"/>
          <w:szCs w:val="24"/>
        </w:rPr>
        <w:br/>
        <w:t>quiero mi libertad financiera</w:t>
      </w:r>
      <w:r w:rsidRPr="000D3432">
        <w:rPr>
          <w:rFonts w:asciiTheme="minorHAnsi" w:hAnsiTheme="minorHAnsi" w:cs="Arial"/>
          <w:color w:val="2B3334"/>
          <w:szCs w:val="24"/>
        </w:rPr>
        <w:br/>
        <w:t>quiero poder crear lo que sea y ser o no ser, pero decidir al fin.</w:t>
      </w:r>
      <w:r w:rsidRPr="000D3432">
        <w:rPr>
          <w:rFonts w:asciiTheme="minorHAnsi" w:hAnsiTheme="minorHAnsi" w:cs="Arial"/>
          <w:color w:val="2B3334"/>
          <w:szCs w:val="24"/>
        </w:rPr>
        <w:br/>
        <w:t>odio tanta ropa en mi cuerpo,</w:t>
      </w:r>
      <w:r w:rsidRPr="000D3432">
        <w:rPr>
          <w:rFonts w:asciiTheme="minorHAnsi" w:hAnsiTheme="minorHAnsi" w:cs="Arial"/>
          <w:color w:val="2B3334"/>
          <w:szCs w:val="24"/>
        </w:rPr>
        <w:br/>
        <w:t>odio tanto cuidado para no resfriarme.</w:t>
      </w:r>
      <w:r w:rsidRPr="000D3432">
        <w:rPr>
          <w:rFonts w:asciiTheme="minorHAnsi" w:hAnsiTheme="minorHAnsi" w:cs="Arial"/>
          <w:color w:val="2B3334"/>
          <w:szCs w:val="24"/>
        </w:rPr>
        <w:br/>
        <w:t>y planeo la estrategia: el gimnasio.</w:t>
      </w:r>
      <w:r w:rsidRPr="000D3432">
        <w:rPr>
          <w:rFonts w:asciiTheme="minorHAnsi" w:hAnsiTheme="minorHAnsi" w:cs="Arial"/>
          <w:color w:val="2B3334"/>
          <w:szCs w:val="24"/>
        </w:rPr>
        <w:br/>
        <w:t>estoy aplicando una teoría antigua: cuerpo sano para una mente sana.</w:t>
      </w:r>
      <w:r w:rsidRPr="000D3432">
        <w:rPr>
          <w:rFonts w:asciiTheme="minorHAnsi" w:hAnsiTheme="minorHAnsi" w:cs="Arial"/>
          <w:color w:val="2B3334"/>
          <w:szCs w:val="24"/>
        </w:rPr>
        <w:br/>
        <w:t>me he comprado unas barras para hacer ejercicios</w:t>
      </w:r>
      <w:r w:rsidRPr="000D3432">
        <w:rPr>
          <w:rFonts w:asciiTheme="minorHAnsi" w:hAnsiTheme="minorHAnsi" w:cs="Arial"/>
          <w:color w:val="2B3334"/>
          <w:szCs w:val="24"/>
        </w:rPr>
        <w:br/>
        <w:t>tienen mucha estética,</w:t>
      </w:r>
      <w:r w:rsidRPr="000D3432">
        <w:rPr>
          <w:rFonts w:asciiTheme="minorHAnsi" w:hAnsiTheme="minorHAnsi" w:cs="Arial"/>
          <w:color w:val="2B3334"/>
          <w:szCs w:val="24"/>
        </w:rPr>
        <w:br/>
        <w:t>pero luego de unos cuantos ejercicios, me aburro.</w:t>
      </w:r>
      <w:r w:rsidRPr="000D3432">
        <w:rPr>
          <w:rFonts w:asciiTheme="minorHAnsi" w:hAnsiTheme="minorHAnsi" w:cs="Arial"/>
          <w:color w:val="2B3334"/>
          <w:szCs w:val="24"/>
        </w:rPr>
        <w:br/>
        <w:t>como unos chocolates, </w:t>
      </w:r>
      <w:r w:rsidRPr="000D3432">
        <w:rPr>
          <w:rFonts w:asciiTheme="minorHAnsi" w:hAnsiTheme="minorHAnsi" w:cs="Arial"/>
          <w:color w:val="2B3334"/>
          <w:szCs w:val="24"/>
        </w:rPr>
        <w:br/>
        <w:t>pero luego,estos también me aburren.</w:t>
      </w:r>
      <w:r w:rsidRPr="000D3432">
        <w:rPr>
          <w:rFonts w:asciiTheme="minorHAnsi" w:hAnsiTheme="minorHAnsi" w:cs="Arial"/>
          <w:color w:val="2B3334"/>
          <w:szCs w:val="24"/>
        </w:rPr>
        <w:br/>
        <w:t>odio este maldito clima.... frio...</w:t>
      </w:r>
      <w:r w:rsidRPr="000D3432">
        <w:rPr>
          <w:rFonts w:asciiTheme="minorHAnsi" w:hAnsiTheme="minorHAnsi" w:cs="Arial"/>
          <w:color w:val="2B3334"/>
          <w:szCs w:val="24"/>
        </w:rPr>
        <w:br/>
        <w:t>odio sentir frío.</w:t>
      </w:r>
    </w:p>
    <w:p w14:paraId="2EC2D62E" w14:textId="77777777" w:rsidR="00FD54CD" w:rsidRPr="000D3432" w:rsidRDefault="00FD54CD" w:rsidP="00A95498">
      <w:pPr>
        <w:shd w:val="clear" w:color="auto" w:fill="FFFFFF"/>
        <w:jc w:val="both"/>
        <w:outlineLvl w:val="2"/>
        <w:rPr>
          <w:rFonts w:asciiTheme="minorHAnsi" w:hAnsiTheme="minorHAnsi"/>
          <w:szCs w:val="24"/>
        </w:rPr>
      </w:pPr>
    </w:p>
    <w:p w14:paraId="039F712A" w14:textId="77777777" w:rsidR="00FD54CD" w:rsidRPr="000D3432" w:rsidRDefault="00FD54CD" w:rsidP="00A95498">
      <w:pPr>
        <w:shd w:val="clear" w:color="auto" w:fill="FFFFFF"/>
        <w:jc w:val="both"/>
        <w:outlineLvl w:val="2"/>
        <w:rPr>
          <w:rFonts w:asciiTheme="minorHAnsi" w:hAnsiTheme="minorHAnsi" w:cs="Arial"/>
          <w:b/>
          <w:bCs/>
          <w:color w:val="2B3334"/>
          <w:szCs w:val="24"/>
        </w:rPr>
      </w:pPr>
      <w:r w:rsidRPr="000D3432">
        <w:rPr>
          <w:rFonts w:asciiTheme="minorHAnsi" w:hAnsiTheme="minorHAnsi" w:cs="Arial"/>
          <w:b/>
          <w:bCs/>
          <w:color w:val="2B3334"/>
          <w:szCs w:val="24"/>
        </w:rPr>
        <w:t>LIMA</w:t>
      </w:r>
    </w:p>
    <w:p w14:paraId="16C5128E"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lastRenderedPageBreak/>
        <w:t>AZ</w:t>
      </w:r>
      <w:r w:rsidRPr="000D3432">
        <w:rPr>
          <w:rFonts w:asciiTheme="minorHAnsi" w:hAnsiTheme="minorHAnsi" w:cs="Arial"/>
          <w:color w:val="2B3334"/>
          <w:szCs w:val="24"/>
        </w:rPr>
        <w:t> | </w:t>
      </w:r>
      <w:r w:rsidRPr="000D3432">
        <w:rPr>
          <w:rFonts w:asciiTheme="minorHAnsi" w:hAnsiTheme="minorHAnsi" w:cs="Arial"/>
          <w:color w:val="C06310"/>
          <w:szCs w:val="24"/>
        </w:rPr>
        <w:t>07.10.2012</w:t>
      </w:r>
    </w:p>
    <w:p w14:paraId="21659134"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Otra vez en Lima, sigue bellìsima. Es alucinante saberse perdido. Acaso mi ilusiòn es no poder encontrarme, acaso nunca me encuentro, y entonces recuerdo, que debo vivir, y que encontrarme o no, no es relevante. </w:t>
      </w:r>
      <w:r w:rsidRPr="000D3432">
        <w:rPr>
          <w:rFonts w:asciiTheme="minorHAnsi" w:hAnsiTheme="minorHAnsi" w:cs="Arial"/>
          <w:color w:val="2B3334"/>
          <w:szCs w:val="24"/>
        </w:rPr>
        <w:br/>
        <w:t>He olvidado tantas cosas ya, personas, amigos(as) intereses, ¿porque me resulta habitual olvidar? alguien que cumpliò años, y la saludo mucho tiempo despuès. Amigos y amigas a las que nunca màs volverè a ver, visitar, llamar. Es este sentimiento tràgico que describiò Shopenhauer, o la innegable sentencia de cioran de sentir que no queremos aferrarnos a nada ni a nadie, </w:t>
      </w:r>
      <w:r w:rsidRPr="000D3432">
        <w:rPr>
          <w:rFonts w:asciiTheme="minorHAnsi" w:hAnsiTheme="minorHAnsi" w:cs="Arial"/>
          <w:color w:val="2B3334"/>
          <w:szCs w:val="24"/>
        </w:rPr>
        <w:br/>
        <w:t>o simplemente olvido y apatìa, aburrimiento, sinsentido. toda la vida.</w:t>
      </w:r>
      <w:r w:rsidRPr="000D3432">
        <w:rPr>
          <w:rFonts w:asciiTheme="minorHAnsi" w:hAnsiTheme="minorHAnsi" w:cs="Arial"/>
          <w:color w:val="2B3334"/>
          <w:szCs w:val="24"/>
        </w:rPr>
        <w:br/>
        <w:t>Multitudes de personas aferràndose a la vida,a las personas, y yo</w:t>
      </w:r>
      <w:r w:rsidRPr="000D3432">
        <w:rPr>
          <w:rFonts w:asciiTheme="minorHAnsi" w:hAnsiTheme="minorHAnsi" w:cs="Arial"/>
          <w:color w:val="2B3334"/>
          <w:szCs w:val="24"/>
        </w:rPr>
        <w:br/>
        <w:t>que desdeño todo aquello, voy caminando por estas calles, coplejas, bulliciosas y alucinantes. </w:t>
      </w:r>
      <w:r w:rsidRPr="000D3432">
        <w:rPr>
          <w:rFonts w:asciiTheme="minorHAnsi" w:hAnsiTheme="minorHAnsi" w:cs="Arial"/>
          <w:color w:val="2B3334"/>
          <w:szCs w:val="24"/>
        </w:rPr>
        <w:br/>
        <w:t>He escucha a un cantante muy antiguo con nueva voz, con palabras simples dice que vivamos cada momento, y yo que tengo el refran del carpe diem, que para mi significa "goza de este dìa", no es ya imperativo en mi vida, porque disfrutar de la vida significa que uno sienta o tenga algùn sentimiento por la misma. </w:t>
      </w:r>
      <w:r w:rsidRPr="000D3432">
        <w:rPr>
          <w:rFonts w:asciiTheme="minorHAnsi" w:hAnsiTheme="minorHAnsi" w:cs="Arial"/>
          <w:color w:val="2B3334"/>
          <w:szCs w:val="24"/>
        </w:rPr>
        <w:br/>
        <w:t>Y sigo leyendo derecho penal, es alucinante como el ser humano se ha incrustado en su propia trampa, còmo nos hemos ido transformando en nuestros propios verdugos, como el texto es antes que el ser humano. etc....</w:t>
      </w:r>
    </w:p>
    <w:p w14:paraId="50803388" w14:textId="77777777" w:rsidR="00FD54CD" w:rsidRPr="000D3432" w:rsidRDefault="00FD54CD" w:rsidP="00A95498">
      <w:pPr>
        <w:shd w:val="clear" w:color="auto" w:fill="FFFFFF"/>
        <w:jc w:val="both"/>
        <w:rPr>
          <w:rFonts w:asciiTheme="minorHAnsi" w:hAnsiTheme="minorHAnsi"/>
          <w:szCs w:val="24"/>
        </w:rPr>
      </w:pPr>
    </w:p>
    <w:p w14:paraId="6145D8B9"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razon vs instinto</w:t>
      </w:r>
      <w:r w:rsidRPr="000D3432">
        <w:rPr>
          <w:rFonts w:asciiTheme="minorHAnsi" w:hAnsiTheme="minorHAnsi" w:cs="Arial"/>
          <w:color w:val="2B3334"/>
          <w:szCs w:val="24"/>
        </w:rPr>
        <w:t> | </w:t>
      </w:r>
      <w:r w:rsidRPr="000D3432">
        <w:rPr>
          <w:rFonts w:asciiTheme="minorHAnsi" w:hAnsiTheme="minorHAnsi" w:cs="Arial"/>
          <w:color w:val="C06310"/>
          <w:szCs w:val="24"/>
        </w:rPr>
        <w:t>25.09.2012</w:t>
      </w:r>
    </w:p>
    <w:p w14:paraId="4F9815C3"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el problema co preferir el instinto a la razon, el reflejo al pensamiento esta en que el instinto o el reflejo son mas rapidos, no necesariamente mas acertados. se trata de velocidad, en uno ya tenemos la respuesta y en el otro estamos procesando la respuesta. por eso una edicacion juridica debe preparar nuestros instintos juridicos con el sistema procesa oral.</w:t>
      </w:r>
    </w:p>
    <w:p w14:paraId="1887AA8A" w14:textId="77777777" w:rsidR="00FD54CD" w:rsidRPr="000D3432" w:rsidRDefault="00FD54CD" w:rsidP="00A95498">
      <w:pPr>
        <w:shd w:val="clear" w:color="auto" w:fill="FFFFFF"/>
        <w:jc w:val="both"/>
        <w:rPr>
          <w:rFonts w:asciiTheme="minorHAnsi" w:hAnsiTheme="minorHAnsi"/>
          <w:szCs w:val="24"/>
        </w:rPr>
      </w:pPr>
    </w:p>
    <w:p w14:paraId="27A63BAA"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portapapeles mentales</w:t>
      </w:r>
      <w:r w:rsidRPr="000D3432">
        <w:rPr>
          <w:rFonts w:asciiTheme="minorHAnsi" w:hAnsiTheme="minorHAnsi" w:cs="Arial"/>
          <w:color w:val="2B3334"/>
          <w:szCs w:val="24"/>
        </w:rPr>
        <w:t> | </w:t>
      </w:r>
      <w:r w:rsidRPr="000D3432">
        <w:rPr>
          <w:rFonts w:asciiTheme="minorHAnsi" w:hAnsiTheme="minorHAnsi" w:cs="Arial"/>
          <w:color w:val="C06310"/>
          <w:szCs w:val="24"/>
        </w:rPr>
        <w:t>18.09.2012</w:t>
      </w:r>
    </w:p>
    <w:p w14:paraId="2F4B9FD5"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Cada cierto tiempo, profesionales del Derecho vienen y dicen que el nuevo sistema procesal penal oralizado no podrá ser entendido y aplicado por los actuales magistrados, abogados y operadores del derecho, porque toda su vida han aprendido el lenguaje escrito. Profetizan esto con tanta audacia y desfatachez, como si estubieran diciendo algo novedoso; pero no dicen cómo solucionarlo. Sólo dicen que hay que cambiar cuadros (los impertinentes), y otros que deben aprender el nuevo sistema oralizado. No dan, por tanto, ninguna solución pasible de seguir. </w:t>
      </w:r>
      <w:r w:rsidRPr="000D3432">
        <w:rPr>
          <w:rFonts w:asciiTheme="minorHAnsi" w:hAnsiTheme="minorHAnsi" w:cs="Arial"/>
          <w:color w:val="2B3334"/>
          <w:szCs w:val="24"/>
        </w:rPr>
        <w:br/>
        <w:t>El problema,según mi concepción, es que el sistema actual consiste en que los conocimientos vienen externamente, a través de cursos, clases, seminarios, o de la lectura, y que luego nosotros, trasladados esa información a un recipiente también externo, como un cuaderno, nuestra computadora, etc. Es decir, la información nos viene externamente, pasa por nuestros sentidos (vista, oidos, etc) y luego es almacenada también en un "recipiente" externo, como un cuaderno, hojas, computadora, celular, tablet, etc.; y por tanto, el conocimiento "pasa" por nosotros, pero no se queda internamente, en el mejor recipiente: nuestro cerebro. y no formamos "portapapeles mentales", "hojas o cuadernos mentales", en las cuales el conocimiento que viene del exterior pueda almacenarse y luego utilizarse cuando se requiera. </w:t>
      </w:r>
      <w:r w:rsidRPr="000D3432">
        <w:rPr>
          <w:rFonts w:asciiTheme="minorHAnsi" w:hAnsiTheme="minorHAnsi" w:cs="Arial"/>
          <w:color w:val="2B3334"/>
          <w:szCs w:val="24"/>
        </w:rPr>
        <w:br/>
      </w:r>
      <w:r w:rsidRPr="000D3432">
        <w:rPr>
          <w:rFonts w:asciiTheme="minorHAnsi" w:hAnsiTheme="minorHAnsi" w:cs="Arial"/>
          <w:color w:val="2B3334"/>
          <w:szCs w:val="24"/>
        </w:rPr>
        <w:lastRenderedPageBreak/>
        <w:t>Por lo tanto, formar "portapapeles mentales, "hojas", "cuadernos", y luego "redes neuronales" es el camino. ¿Cómo hacerlo?: practicando, igual como cuando hacemos operaciones matemáticas en nuestra mente. Este es para mi la salida: El aprendizaje de una memoria, portapapeles, hojas, cuadernos, redes neuronales mentales (en ese orden).</w:t>
      </w:r>
    </w:p>
    <w:p w14:paraId="033F7544" w14:textId="77777777" w:rsidR="00FD54CD" w:rsidRPr="000D3432" w:rsidRDefault="00FD54CD" w:rsidP="00A95498">
      <w:pPr>
        <w:pStyle w:val="Ttulo3"/>
        <w:rPr>
          <w:rFonts w:asciiTheme="minorHAnsi" w:hAnsiTheme="minorHAnsi" w:cs="Arial"/>
          <w:color w:val="2B3334"/>
          <w:sz w:val="24"/>
          <w:szCs w:val="24"/>
        </w:rPr>
      </w:pPr>
    </w:p>
    <w:p w14:paraId="34825EBC" w14:textId="77777777" w:rsidR="00FD54CD" w:rsidRPr="000D3432" w:rsidRDefault="00FD54CD" w:rsidP="00A95498">
      <w:pPr>
        <w:pStyle w:val="Ttulo3"/>
        <w:rPr>
          <w:rFonts w:asciiTheme="minorHAnsi" w:hAnsiTheme="minorHAnsi" w:cs="Arial"/>
          <w:color w:val="2B3334"/>
          <w:sz w:val="24"/>
          <w:szCs w:val="24"/>
        </w:rPr>
      </w:pPr>
      <w:bookmarkStart w:id="124" w:name="_Toc318102929"/>
      <w:r w:rsidRPr="000D3432">
        <w:rPr>
          <w:rFonts w:asciiTheme="minorHAnsi" w:hAnsiTheme="minorHAnsi" w:cs="Arial"/>
          <w:color w:val="2B3334"/>
          <w:sz w:val="24"/>
          <w:szCs w:val="24"/>
        </w:rPr>
        <w:t>antipoemista</w:t>
      </w:r>
      <w:bookmarkEnd w:id="124"/>
    </w:p>
    <w:p w14:paraId="08793283"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01.09.2012</w:t>
      </w:r>
    </w:p>
    <w:p w14:paraId="2C937866"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casi ya no reviso mis paginas web, pero de casualidad he revisado mi seccion de antipoemas, y encuentro que alguien se ha calificaddo de antipoemista, eso me ha causado una gran sorpresa, y ademaas, mucha gracia.</w:t>
      </w:r>
      <w:r w:rsidRPr="000D3432">
        <w:rPr>
          <w:rFonts w:asciiTheme="minorHAnsi" w:hAnsiTheme="minorHAnsi" w:cs="Arial"/>
          <w:color w:val="2B3334"/>
        </w:rPr>
        <w:br/>
        <w:t>la gente a veces se reconoce en los textos de los demas, cuando en realidad solo son lo que ellos no pueden dejar de ser. son su propia representacion y experimentacion. Sbre signos y significados habla mucho Gilles Deleuze, uno de los pocos filosofos que me agrada leer, por lo denso de su ecritura, y porque de vez en cuando, logro no entenderlo, sino construir con sus razonamientos, mis propios razonamientos, no para decir, que lo he entendido, sino para entender el mundo, utilizando sus textos como instrumentos arbitrario de comprensi´on.</w:t>
      </w:r>
    </w:p>
    <w:p w14:paraId="307EAC5C"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06A70DF5"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el hacedor de ideas?</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20.08.2012</w:t>
      </w:r>
    </w:p>
    <w:p w14:paraId="51CF1CE3"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Lima, estoy en un encuentro juridico</w:t>
      </w:r>
      <w:r w:rsidRPr="000D3432">
        <w:rPr>
          <w:rFonts w:asciiTheme="minorHAnsi" w:hAnsiTheme="minorHAnsi" w:cs="Arial"/>
          <w:color w:val="2B3334"/>
        </w:rPr>
        <w:br/>
        <w:t>estan aqui Presi y responsalbles de un Programa Judicial de todo el Peru</w:t>
      </w:r>
      <w:r w:rsidRPr="000D3432">
        <w:rPr>
          <w:rFonts w:asciiTheme="minorHAnsi" w:hAnsiTheme="minorHAnsi" w:cs="Arial"/>
          <w:color w:val="2B3334"/>
        </w:rPr>
        <w:br/>
        <w:t>nos llevan a unos ambientes a mostrar lo que en cada región hemos realizado</w:t>
      </w:r>
      <w:r w:rsidRPr="000D3432">
        <w:rPr>
          <w:rFonts w:asciiTheme="minorHAnsi" w:hAnsiTheme="minorHAnsi" w:cs="Arial"/>
          <w:color w:val="2B3334"/>
        </w:rPr>
        <w:br/>
        <w:t>Yo, por causualidad, estoy al lado de dos personas miuy amables e inteligentes, nos invitan a decir una palabras en cada ambiente,</w:t>
      </w:r>
      <w:r w:rsidRPr="000D3432">
        <w:rPr>
          <w:rFonts w:asciiTheme="minorHAnsi" w:hAnsiTheme="minorHAnsi" w:cs="Arial"/>
          <w:color w:val="2B3334"/>
        </w:rPr>
        <w:br/>
        <w:t>y yo soy el último que habla.</w:t>
      </w:r>
      <w:r w:rsidRPr="000D3432">
        <w:rPr>
          <w:rFonts w:asciiTheme="minorHAnsi" w:hAnsiTheme="minorHAnsi" w:cs="Arial"/>
          <w:color w:val="2B3334"/>
        </w:rPr>
        <w:br/>
        <w:t>en cada preesentación saco unos proyectos materializados en cd o mostrados en mi tablet</w:t>
      </w:r>
      <w:r w:rsidRPr="000D3432">
        <w:rPr>
          <w:rFonts w:asciiTheme="minorHAnsi" w:hAnsiTheme="minorHAnsi" w:cs="Arial"/>
          <w:color w:val="2B3334"/>
        </w:rPr>
        <w:br/>
        <w:t>ya muestro mis proyectos juridicos, mis test de mobbing, mis juegos para computadora, mis animes, mis proyectos turismo legal, mis ideas de la cooperativa judicial, etc, etc.</w:t>
      </w:r>
      <w:r w:rsidRPr="000D3432">
        <w:rPr>
          <w:rFonts w:asciiTheme="minorHAnsi" w:hAnsiTheme="minorHAnsi" w:cs="Arial"/>
          <w:color w:val="2B3334"/>
        </w:rPr>
        <w:br/>
        <w:t>y de pronto siento que la gente se sorprende,</w:t>
      </w:r>
      <w:r w:rsidRPr="000D3432">
        <w:rPr>
          <w:rStyle w:val="apple-converted-space"/>
          <w:rFonts w:asciiTheme="minorHAnsi" w:hAnsiTheme="minorHAnsi" w:cs="Arial"/>
          <w:color w:val="2B3334"/>
        </w:rPr>
        <w:t> </w:t>
      </w:r>
      <w:r w:rsidRPr="000D3432">
        <w:rPr>
          <w:rFonts w:asciiTheme="minorHAnsi" w:hAnsiTheme="minorHAnsi" w:cs="Arial"/>
          <w:color w:val="2B3334"/>
        </w:rPr>
        <w:br/>
        <w:t>las anfitrionas, dos muy amables jueces de la Corte de Lima,</w:t>
      </w:r>
      <w:r w:rsidRPr="000D3432">
        <w:rPr>
          <w:rStyle w:val="apple-converted-space"/>
          <w:rFonts w:asciiTheme="minorHAnsi" w:hAnsiTheme="minorHAnsi" w:cs="Arial"/>
          <w:color w:val="2B3334"/>
        </w:rPr>
        <w:t> </w:t>
      </w:r>
      <w:r w:rsidRPr="000D3432">
        <w:rPr>
          <w:rFonts w:asciiTheme="minorHAnsi" w:hAnsiTheme="minorHAnsi" w:cs="Arial"/>
          <w:color w:val="2B3334"/>
        </w:rPr>
        <w:br/>
        <w:t>me quieren presentar con todos, quieren mostrar mis productos,</w:t>
      </w:r>
      <w:r w:rsidRPr="000D3432">
        <w:rPr>
          <w:rFonts w:asciiTheme="minorHAnsi" w:hAnsiTheme="minorHAnsi" w:cs="Arial"/>
          <w:color w:val="2B3334"/>
        </w:rPr>
        <w:br/>
        <w:t>le dicen a uno y a otra persona, como si hubieran descubierto algo muy importante, todo eso me halaga, pero tanta es su amabilidad que me halaga</w:t>
      </w:r>
      <w:r w:rsidRPr="000D3432">
        <w:rPr>
          <w:rFonts w:asciiTheme="minorHAnsi" w:hAnsiTheme="minorHAnsi" w:cs="Arial"/>
          <w:color w:val="2B3334"/>
        </w:rPr>
        <w:br/>
        <w:t>ya en la tarde, igual muestro mis proyectos, y siento la sorpresa de muchos, y talvez su admiración, me dicen que como hago todo eso, que esto y aquello, todos hablan muy amablemente conmigo, y sonríen. yo respondo que hago todo eso porque como no tengo pareja, pues entonces tengo mucho tiempo para producir, que si no no produciria nada. Y al instante, una lindisima participante dice, que no tenga pareja para que siga produciendo, e insiste muy amigablemente y decentemente en esa propuesta. Parece que le han gustado mis proyectos y me incentiva a que siga produciendo. otras personas ofrecen comprarme los productos, mas los animes sobre delitos contra la administracion pública, pero yo, educadamente, rehuso la propuesta.</w:t>
      </w:r>
      <w:r w:rsidRPr="000D3432">
        <w:rPr>
          <w:rFonts w:asciiTheme="minorHAnsi" w:hAnsiTheme="minorHAnsi" w:cs="Arial"/>
          <w:color w:val="2B3334"/>
        </w:rPr>
        <w:br/>
        <w:t>y bueno, tantas cosas, que halagan mi creatividad.</w:t>
      </w:r>
      <w:r w:rsidRPr="000D3432">
        <w:rPr>
          <w:rFonts w:asciiTheme="minorHAnsi" w:hAnsiTheme="minorHAnsi" w:cs="Arial"/>
          <w:color w:val="2B3334"/>
        </w:rPr>
        <w:br/>
        <w:t xml:space="preserve">Otra compa2ñera me termina poniendo una chapa sencilla pero interesante: "El </w:t>
      </w:r>
      <w:r w:rsidRPr="000D3432">
        <w:rPr>
          <w:rFonts w:asciiTheme="minorHAnsi" w:hAnsiTheme="minorHAnsi" w:cs="Arial"/>
          <w:color w:val="2B3334"/>
        </w:rPr>
        <w:lastRenderedPageBreak/>
        <w:t>hacedor de ideas".</w:t>
      </w:r>
      <w:r w:rsidRPr="000D3432">
        <w:rPr>
          <w:rFonts w:asciiTheme="minorHAnsi" w:hAnsiTheme="minorHAnsi" w:cs="Arial"/>
          <w:color w:val="2B3334"/>
        </w:rPr>
        <w:br/>
        <w:t>He quedado a visitar Cusco, Tumbes, Junin, y otros lugares para exponer mis proyectos......</w:t>
      </w:r>
    </w:p>
    <w:p w14:paraId="119402BD" w14:textId="77777777" w:rsidR="00FD54CD" w:rsidRPr="000D3432" w:rsidRDefault="00FD54CD" w:rsidP="00A95498">
      <w:pPr>
        <w:jc w:val="both"/>
        <w:rPr>
          <w:rFonts w:asciiTheme="minorHAnsi" w:hAnsiTheme="minorHAnsi"/>
          <w:szCs w:val="24"/>
        </w:rPr>
      </w:pPr>
    </w:p>
    <w:p w14:paraId="7639D111" w14:textId="77777777" w:rsidR="00FD54CD" w:rsidRPr="000D3432" w:rsidRDefault="00FD54CD" w:rsidP="00A95498">
      <w:pPr>
        <w:pStyle w:val="Ttulo3"/>
        <w:rPr>
          <w:rFonts w:asciiTheme="minorHAnsi" w:hAnsiTheme="minorHAnsi" w:cs="Arial"/>
          <w:color w:val="2B3334"/>
          <w:sz w:val="24"/>
          <w:szCs w:val="24"/>
        </w:rPr>
      </w:pPr>
      <w:bookmarkStart w:id="125" w:name="_Toc318102930"/>
      <w:r w:rsidRPr="000D3432">
        <w:rPr>
          <w:rFonts w:asciiTheme="minorHAnsi" w:hAnsiTheme="minorHAnsi" w:cs="Arial"/>
          <w:color w:val="2B3334"/>
          <w:sz w:val="24"/>
          <w:szCs w:val="24"/>
        </w:rPr>
        <w:t>sinergia</w:t>
      </w:r>
      <w:bookmarkEnd w:id="125"/>
    </w:p>
    <w:p w14:paraId="23167329"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1 + 1 son 3</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06.08.2012</w:t>
      </w:r>
    </w:p>
    <w:p w14:paraId="2F4CBAA5"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En una reunión, un profesor, profesional en administración de empresas, me preguntó:</w:t>
      </w:r>
      <w:r w:rsidRPr="000D3432">
        <w:rPr>
          <w:rStyle w:val="apple-converted-space"/>
          <w:rFonts w:asciiTheme="minorHAnsi" w:hAnsiTheme="minorHAnsi" w:cs="Arial"/>
          <w:color w:val="2B3334"/>
        </w:rPr>
        <w:t> </w:t>
      </w:r>
      <w:r w:rsidRPr="000D3432">
        <w:rPr>
          <w:rFonts w:asciiTheme="minorHAnsi" w:hAnsiTheme="minorHAnsi" w:cs="Arial"/>
          <w:color w:val="2B3334"/>
        </w:rPr>
        <w:br/>
        <w:t>¿cuanto es 1 + 1?</w:t>
      </w:r>
      <w:r w:rsidRPr="000D3432">
        <w:rPr>
          <w:rFonts w:asciiTheme="minorHAnsi" w:hAnsiTheme="minorHAnsi" w:cs="Arial"/>
          <w:color w:val="2B3334"/>
        </w:rPr>
        <w:br/>
        <w:t>y una compañera, mucho más rápida que yo, respondió: "tres"</w:t>
      </w:r>
      <w:r w:rsidRPr="000D3432">
        <w:rPr>
          <w:rFonts w:asciiTheme="minorHAnsi" w:hAnsiTheme="minorHAnsi" w:cs="Arial"/>
          <w:color w:val="2B3334"/>
        </w:rPr>
        <w:br/>
        <w:t>y el profesor dijo que si, que 1 + 1 son tres, por sinergia</w:t>
      </w:r>
      <w:r w:rsidRPr="000D3432">
        <w:rPr>
          <w:rFonts w:asciiTheme="minorHAnsi" w:hAnsiTheme="minorHAnsi" w:cs="Arial"/>
          <w:color w:val="2B3334"/>
        </w:rPr>
        <w:br/>
      </w:r>
      <w:r w:rsidRPr="000D3432">
        <w:rPr>
          <w:rFonts w:asciiTheme="minorHAnsi" w:hAnsiTheme="minorHAnsi" w:cs="Arial"/>
          <w:color w:val="2B3334"/>
        </w:rPr>
        <w:br/>
        <w:t>Yo, intervine, ya tarde, y dije: "pero eso depende, porque</w:t>
      </w:r>
      <w:r w:rsidRPr="000D3432">
        <w:rPr>
          <w:rStyle w:val="apple-converted-space"/>
          <w:rFonts w:asciiTheme="minorHAnsi" w:hAnsiTheme="minorHAnsi" w:cs="Arial"/>
          <w:color w:val="2B3334"/>
        </w:rPr>
        <w:t> </w:t>
      </w:r>
      <w:r w:rsidRPr="000D3432">
        <w:rPr>
          <w:rFonts w:asciiTheme="minorHAnsi" w:hAnsiTheme="minorHAnsi" w:cs="Arial"/>
          <w:color w:val="2B3334"/>
        </w:rPr>
        <w:br/>
        <w:t>1 + 1, pueden dar mellizos, o trillizos, y serían ya 4 0 5...</w:t>
      </w:r>
      <w:r w:rsidRPr="000D3432">
        <w:rPr>
          <w:rFonts w:asciiTheme="minorHAnsi" w:hAnsiTheme="minorHAnsi" w:cs="Arial"/>
          <w:color w:val="2B3334"/>
        </w:rPr>
        <w:br/>
      </w:r>
      <w:r w:rsidRPr="000D3432">
        <w:rPr>
          <w:rFonts w:asciiTheme="minorHAnsi" w:hAnsiTheme="minorHAnsi" w:cs="Arial"/>
          <w:color w:val="2B3334"/>
        </w:rPr>
        <w:br/>
        <w:t>Y el profesor, señalándome dijo: "Ah, además es filósofo"</w:t>
      </w:r>
      <w:r w:rsidRPr="000D3432">
        <w:rPr>
          <w:rFonts w:asciiTheme="minorHAnsi" w:hAnsiTheme="minorHAnsi" w:cs="Arial"/>
          <w:color w:val="2B3334"/>
        </w:rPr>
        <w:br/>
        <w:t>(Bueno, siempre los profesores han dicho eso de mi - no sé porque)</w:t>
      </w:r>
      <w:r w:rsidRPr="000D3432">
        <w:rPr>
          <w:rFonts w:asciiTheme="minorHAnsi" w:hAnsiTheme="minorHAnsi" w:cs="Arial"/>
          <w:color w:val="2B3334"/>
        </w:rPr>
        <w:br/>
      </w:r>
      <w:r w:rsidRPr="000D3432">
        <w:rPr>
          <w:rFonts w:asciiTheme="minorHAnsi" w:hAnsiTheme="minorHAnsi" w:cs="Arial"/>
          <w:color w:val="2B3334"/>
        </w:rPr>
        <w:br/>
        <w:t>Pero luego yo pregunté:</w:t>
      </w:r>
      <w:r w:rsidRPr="000D3432">
        <w:rPr>
          <w:rStyle w:val="apple-converted-space"/>
          <w:rFonts w:asciiTheme="minorHAnsi" w:hAnsiTheme="minorHAnsi" w:cs="Arial"/>
          <w:color w:val="2B3334"/>
        </w:rPr>
        <w:t> </w:t>
      </w:r>
      <w:r w:rsidRPr="000D3432">
        <w:rPr>
          <w:rFonts w:asciiTheme="minorHAnsi" w:hAnsiTheme="minorHAnsi" w:cs="Arial"/>
          <w:color w:val="2B3334"/>
        </w:rPr>
        <w:br/>
        <w:t>¿porque por sinercia son tres?</w:t>
      </w:r>
      <w:r w:rsidRPr="000D3432">
        <w:rPr>
          <w:rFonts w:asciiTheme="minorHAnsi" w:hAnsiTheme="minorHAnsi" w:cs="Arial"/>
          <w:color w:val="2B3334"/>
        </w:rPr>
        <w:br/>
      </w:r>
      <w:r w:rsidRPr="000D3432">
        <w:rPr>
          <w:rFonts w:asciiTheme="minorHAnsi" w:hAnsiTheme="minorHAnsi" w:cs="Arial"/>
          <w:color w:val="2B3334"/>
        </w:rPr>
        <w:br/>
        <w:t>el el profesor dijo, no sé exactamente bien que, pero no dijo nada claro.</w:t>
      </w:r>
      <w:r w:rsidRPr="000D3432">
        <w:rPr>
          <w:rStyle w:val="apple-converted-space"/>
          <w:rFonts w:asciiTheme="minorHAnsi" w:hAnsiTheme="minorHAnsi" w:cs="Arial"/>
          <w:color w:val="2B3334"/>
        </w:rPr>
        <w:t> </w:t>
      </w:r>
      <w:r w:rsidRPr="000D3432">
        <w:rPr>
          <w:rFonts w:asciiTheme="minorHAnsi" w:hAnsiTheme="minorHAnsi" w:cs="Arial"/>
          <w:color w:val="2B3334"/>
        </w:rPr>
        <w:br/>
      </w:r>
      <w:r w:rsidRPr="000D3432">
        <w:rPr>
          <w:rFonts w:asciiTheme="minorHAnsi" w:hAnsiTheme="minorHAnsi" w:cs="Arial"/>
          <w:color w:val="2B3334"/>
        </w:rPr>
        <w:br/>
        <w:t>Y yo, volví a intervenir:</w:t>
      </w:r>
      <w:r w:rsidRPr="000D3432">
        <w:rPr>
          <w:rFonts w:asciiTheme="minorHAnsi" w:hAnsiTheme="minorHAnsi" w:cs="Arial"/>
          <w:color w:val="2B3334"/>
        </w:rPr>
        <w:br/>
        <w:t>"yo creo, en forma arbitraria, que 1+ 1 es tres porque 1 es un individuo, y el otro 1 es otro individuo, cuando se juntan o se suman, hacen una tercera persona, y es entonces la relación, lo que los hace otra persona, por lo tanto ya no son uno mas uno, osea dos, sino serían, por la relación: tres; es como en las sociedades comerciales, o empresas, un grupo de personas naturales hacen otra persona jurídica, distinta a la de cada persona..."</w:t>
      </w:r>
      <w:r w:rsidRPr="000D3432">
        <w:rPr>
          <w:rFonts w:asciiTheme="minorHAnsi" w:hAnsiTheme="minorHAnsi" w:cs="Arial"/>
          <w:color w:val="2B3334"/>
        </w:rPr>
        <w:br/>
      </w:r>
      <w:r w:rsidRPr="000D3432">
        <w:rPr>
          <w:rFonts w:asciiTheme="minorHAnsi" w:hAnsiTheme="minorHAnsi" w:cs="Arial"/>
          <w:color w:val="2B3334"/>
        </w:rPr>
        <w:br/>
        <w:t>Y el profesor se quedó pensando, y los demás se quedaron pensando. Y yo me quedé pensando.</w:t>
      </w:r>
      <w:r w:rsidRPr="000D3432">
        <w:rPr>
          <w:rStyle w:val="apple-converted-space"/>
          <w:rFonts w:asciiTheme="minorHAnsi" w:hAnsiTheme="minorHAnsi" w:cs="Arial"/>
          <w:color w:val="2B3334"/>
        </w:rPr>
        <w:t> </w:t>
      </w:r>
      <w:r w:rsidRPr="000D3432">
        <w:rPr>
          <w:rFonts w:asciiTheme="minorHAnsi" w:hAnsiTheme="minorHAnsi" w:cs="Arial"/>
          <w:color w:val="2B3334"/>
        </w:rPr>
        <w:br/>
      </w:r>
      <w:r w:rsidRPr="000D3432">
        <w:rPr>
          <w:rFonts w:asciiTheme="minorHAnsi" w:hAnsiTheme="minorHAnsi" w:cs="Arial"/>
          <w:color w:val="2B3334"/>
        </w:rPr>
        <w:br/>
        <w:t>y bueno, luego cuento lo demás.</w:t>
      </w:r>
    </w:p>
    <w:p w14:paraId="2DA1221C"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19A661AB"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hoy</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15.07.2012</w:t>
      </w:r>
    </w:p>
    <w:p w14:paraId="1EFD9A44"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hoy he salido a buscar el desierto, . . .</w:t>
      </w:r>
      <w:r w:rsidRPr="000D3432">
        <w:rPr>
          <w:rFonts w:asciiTheme="minorHAnsi" w:hAnsiTheme="minorHAnsi" w:cs="Arial"/>
          <w:color w:val="2B3334"/>
        </w:rPr>
        <w:br/>
        <w:t>y aún no lo he encontrado. . .</w:t>
      </w:r>
      <w:r w:rsidRPr="000D3432">
        <w:rPr>
          <w:rFonts w:asciiTheme="minorHAnsi" w:hAnsiTheme="minorHAnsi" w:cs="Arial"/>
          <w:color w:val="2B3334"/>
        </w:rPr>
        <w:br/>
        <w:t>he ido en busca de su fuerza, de su desafío al destino, he ido en busca de sus secretos,</w:t>
      </w:r>
      <w:r w:rsidRPr="000D3432">
        <w:rPr>
          <w:rStyle w:val="apple-converted-space"/>
          <w:rFonts w:asciiTheme="minorHAnsi" w:hAnsiTheme="minorHAnsi" w:cs="Arial"/>
          <w:color w:val="2B3334"/>
        </w:rPr>
        <w:t> </w:t>
      </w:r>
      <w:r w:rsidRPr="000D3432">
        <w:rPr>
          <w:rFonts w:asciiTheme="minorHAnsi" w:hAnsiTheme="minorHAnsi" w:cs="Arial"/>
          <w:color w:val="2B3334"/>
        </w:rPr>
        <w:br/>
        <w:t>hoy, el desierto me espera</w:t>
      </w:r>
      <w:r w:rsidRPr="000D3432">
        <w:rPr>
          <w:rFonts w:asciiTheme="minorHAnsi" w:hAnsiTheme="minorHAnsi" w:cs="Arial"/>
          <w:color w:val="2B3334"/>
        </w:rPr>
        <w:br/>
        <w:t>a diferencia de muchos, yo prefiero el Desierto antes que el bosque? soy un hombre de sol, no de frío, soy un desierto. . .</w:t>
      </w:r>
    </w:p>
    <w:p w14:paraId="0213DE93" w14:textId="77777777" w:rsidR="00FD54CD" w:rsidRPr="000D3432" w:rsidRDefault="00FD54CD" w:rsidP="00A95498">
      <w:pPr>
        <w:shd w:val="clear" w:color="auto" w:fill="FFFFFF"/>
        <w:jc w:val="both"/>
        <w:rPr>
          <w:rFonts w:asciiTheme="minorHAnsi" w:hAnsiTheme="minorHAnsi"/>
          <w:szCs w:val="24"/>
        </w:rPr>
      </w:pPr>
    </w:p>
    <w:p w14:paraId="4F4E65E6"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b/>
          <w:bCs/>
          <w:color w:val="C06310"/>
          <w:szCs w:val="24"/>
        </w:rPr>
        <w:t>AZ</w:t>
      </w:r>
      <w:r w:rsidRPr="000D3432">
        <w:rPr>
          <w:rFonts w:asciiTheme="minorHAnsi" w:hAnsiTheme="minorHAnsi" w:cs="Arial"/>
          <w:color w:val="2B3334"/>
          <w:szCs w:val="24"/>
        </w:rPr>
        <w:t> | </w:t>
      </w:r>
      <w:r w:rsidRPr="000D3432">
        <w:rPr>
          <w:rFonts w:asciiTheme="minorHAnsi" w:hAnsiTheme="minorHAnsi" w:cs="Arial"/>
          <w:color w:val="C06310"/>
          <w:szCs w:val="24"/>
        </w:rPr>
        <w:t>06.07.2012</w:t>
      </w:r>
    </w:p>
    <w:p w14:paraId="0DA800C0" w14:textId="77777777" w:rsidR="00FD54CD" w:rsidRPr="000D3432" w:rsidRDefault="00FD54CD" w:rsidP="00A95498">
      <w:pPr>
        <w:shd w:val="clear" w:color="auto" w:fill="FFFFFF"/>
        <w:jc w:val="both"/>
        <w:rPr>
          <w:rFonts w:asciiTheme="minorHAnsi" w:hAnsiTheme="minorHAnsi" w:cs="Arial"/>
          <w:color w:val="2B3334"/>
          <w:szCs w:val="24"/>
        </w:rPr>
      </w:pPr>
      <w:r w:rsidRPr="000D3432">
        <w:rPr>
          <w:rFonts w:asciiTheme="minorHAnsi" w:hAnsiTheme="minorHAnsi" w:cs="Arial"/>
          <w:color w:val="2B3334"/>
          <w:szCs w:val="24"/>
        </w:rPr>
        <w:t>Historia breve:</w:t>
      </w:r>
      <w:r w:rsidRPr="000D3432">
        <w:rPr>
          <w:rFonts w:asciiTheme="minorHAnsi" w:hAnsiTheme="minorHAnsi" w:cs="Arial"/>
          <w:color w:val="2B3334"/>
          <w:szCs w:val="24"/>
        </w:rPr>
        <w:br/>
        <w:t xml:space="preserve">Estoy en un evento en el cual soy el organizador. De tanto ir de un lado para el </w:t>
      </w:r>
      <w:r w:rsidRPr="000D3432">
        <w:rPr>
          <w:rFonts w:asciiTheme="minorHAnsi" w:hAnsiTheme="minorHAnsi" w:cs="Arial"/>
          <w:color w:val="2B3334"/>
          <w:szCs w:val="24"/>
        </w:rPr>
        <w:lastRenderedPageBreak/>
        <w:t>otro, decido parar, y me siento en un banquillo en las puertas de entrada del evento. Una chica se me acerca rauda, hace demasiados años que no la veo, y está un poco embebida?, y me dice: "Te molesto". Yo digo: si, me molestas. Intento seguir con la frase irónica, pero ella no me deja, me repregunta ofuscada, confusa, y yo ya no puedo decir nada. Apenas balbuceo, que no es así, que disculpe mi broma. Pero ella, a quien no veía siglos, no me deja hablar. </w:t>
      </w:r>
      <w:r w:rsidRPr="000D3432">
        <w:rPr>
          <w:rFonts w:asciiTheme="minorHAnsi" w:hAnsiTheme="minorHAnsi" w:cs="Arial"/>
          <w:color w:val="2B3334"/>
          <w:szCs w:val="24"/>
        </w:rPr>
        <w:br/>
      </w:r>
      <w:r w:rsidRPr="000D3432">
        <w:rPr>
          <w:rFonts w:asciiTheme="minorHAnsi" w:hAnsiTheme="minorHAnsi" w:cs="Arial"/>
          <w:color w:val="2B3334"/>
          <w:szCs w:val="24"/>
        </w:rPr>
        <w:br/>
        <w:t>Huyo, hacia el evento. Me olvido del asunto. Luego, olvidado ya, vuelvo a salir a la puerta, y de pronto, como salida de no sé donde, aparece ella, y se lanza tras mi mirada, busca mi atención, me enfrenta, y me dice, esto y aquello, y yo le digo: que lo siento, que no quise ser grosero, que sólo era una broma, pero ella está embebida? y no escucha, así que salgo fuera raudo. Ella me sigue. Yo le digo que me disculpe, que tengo que hacer. Ella no escucha. Yo le digo, que me disculpe la broma, qué he sido un patán. Pero ella no me escucha, habla, habla, habla, y no sé exactamente qué dice, y tampoco entiendo qué quiere. </w:t>
      </w:r>
      <w:r w:rsidRPr="000D3432">
        <w:rPr>
          <w:rFonts w:asciiTheme="minorHAnsi" w:hAnsiTheme="minorHAnsi" w:cs="Arial"/>
          <w:color w:val="2B3334"/>
          <w:szCs w:val="24"/>
        </w:rPr>
        <w:br/>
      </w:r>
      <w:r w:rsidRPr="000D3432">
        <w:rPr>
          <w:rFonts w:asciiTheme="minorHAnsi" w:hAnsiTheme="minorHAnsi" w:cs="Arial"/>
          <w:color w:val="2B3334"/>
          <w:szCs w:val="24"/>
        </w:rPr>
        <w:br/>
        <w:t>Sigo caminando hacia la carretera, fuera del evento, y ella me sigue. Le digo que no la entiendo, que qué desea, que si quiere una disculpa, que se la ofrezco; pero ella insiste en no sé que. </w:t>
      </w:r>
      <w:r w:rsidRPr="000D3432">
        <w:rPr>
          <w:rFonts w:asciiTheme="minorHAnsi" w:hAnsiTheme="minorHAnsi" w:cs="Arial"/>
          <w:color w:val="2B3334"/>
          <w:szCs w:val="24"/>
        </w:rPr>
        <w:br/>
        <w:t>yo huyo, huyo, cobardemente, hago el ademán de tomar un taxi, y me alejo raudo. Ella se queda atrás, y grita. "eres una basura".</w:t>
      </w:r>
      <w:r w:rsidRPr="000D3432">
        <w:rPr>
          <w:rFonts w:asciiTheme="minorHAnsi" w:hAnsiTheme="minorHAnsi" w:cs="Arial"/>
          <w:color w:val="2B3334"/>
          <w:szCs w:val="24"/>
        </w:rPr>
        <w:br/>
        <w:t>Y, me fui con esas palabras en los oídos. </w:t>
      </w:r>
      <w:r w:rsidRPr="000D3432">
        <w:rPr>
          <w:rFonts w:asciiTheme="minorHAnsi" w:hAnsiTheme="minorHAnsi" w:cs="Arial"/>
          <w:color w:val="2B3334"/>
          <w:szCs w:val="24"/>
        </w:rPr>
        <w:br/>
        <w:t>Y sí, talvez fui una basura, talvez el no querer conversar con alguien embebida? me hizo ser una basura. </w:t>
      </w:r>
      <w:r w:rsidRPr="000D3432">
        <w:rPr>
          <w:rFonts w:asciiTheme="minorHAnsi" w:hAnsiTheme="minorHAnsi" w:cs="Arial"/>
          <w:color w:val="2B3334"/>
          <w:szCs w:val="24"/>
        </w:rPr>
        <w:br/>
        <w:t>si, tal vez soy "una basura"; pero desde aquí, le pido disculpas, por, sin quererlo, haberla hecho sentir mal, con mi palabra. </w:t>
      </w:r>
      <w:r w:rsidRPr="000D3432">
        <w:rPr>
          <w:rFonts w:asciiTheme="minorHAnsi" w:hAnsiTheme="minorHAnsi" w:cs="Arial"/>
          <w:color w:val="2B3334"/>
          <w:szCs w:val="24"/>
        </w:rPr>
        <w:br/>
        <w:t>Eso no quita, que me siga sintiendo una basura. Eso no quita, que yo, en realidad, sin odio, y sin rencor, sin ningún sentimiento bueno o malo hacia ella, no quiero, ni ahora ni nunca conversar con ella, aquella a quien no veía hace siglos, y que exigía un poco de mi tiempo. Eso no quita que yo no tengo ganas de hablar con ella, ni hoy ni nunca; porque la verdad, es que a veces, casi siempre, sólo quiero estar conmigo y mi reflejo; lejos de los demás. Y pido mi derecho a estar y juntarme con quien yo quiera, y no con quien quieran los demás. Pido mi derecho a la diferencia, a la exclusión, a reservarme el derecho de entrada en mi ámbito personal, pido, y no exijo, el derecho a estar solo.</w:t>
      </w:r>
    </w:p>
    <w:p w14:paraId="01318837" w14:textId="77777777" w:rsidR="00FD54CD" w:rsidRPr="000D3432" w:rsidRDefault="00FD54CD" w:rsidP="00A95498">
      <w:pPr>
        <w:pStyle w:val="NormalWeb"/>
        <w:spacing w:before="0" w:beforeAutospacing="0" w:after="0" w:afterAutospacing="0"/>
        <w:jc w:val="both"/>
        <w:rPr>
          <w:rStyle w:val="user"/>
          <w:rFonts w:asciiTheme="minorHAnsi" w:hAnsiTheme="minorHAnsi" w:cs="Arial"/>
          <w:b/>
          <w:bCs/>
          <w:color w:val="C06310"/>
        </w:rPr>
      </w:pPr>
    </w:p>
    <w:p w14:paraId="64435DE0"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abogados</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25.06.2012</w:t>
      </w:r>
    </w:p>
    <w:p w14:paraId="0775478D"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ABOGADOS</w:t>
      </w:r>
      <w:r w:rsidRPr="000D3432">
        <w:rPr>
          <w:rFonts w:asciiTheme="minorHAnsi" w:hAnsiTheme="minorHAnsi" w:cs="Arial"/>
          <w:color w:val="2B3334"/>
        </w:rPr>
        <w:br/>
      </w:r>
      <w:r w:rsidRPr="000D3432">
        <w:rPr>
          <w:rFonts w:asciiTheme="minorHAnsi" w:hAnsiTheme="minorHAnsi" w:cs="Arial"/>
          <w:color w:val="2B3334"/>
        </w:rPr>
        <w:br/>
        <w:t xml:space="preserve">Hace algunas semanas atrás mi pedantería, que siempre es inoportuna, me hizo decir unas cuantas barrabazadas, que con motivo de mi colegiatura se me permitió exponer. Mi discurso iba entre insultos (no mal intencionados) a los abogados y un marcado sentimiento de distancia entre ellos y yo. Y bueno, dije cosas tan aberrantes como que los abogados “parecen no oler ni saber bien”, que los abogado tienen una “condición alérgica a ser éticamente limpios”, que “hay un rumor fuertísimo, como el olor de unos calcetines sucios, de que el abogado ¿no es más que quien tiene el monopolio de las trampas legales?”, que la propia naturaleza intrínseca de esta profesión era la de ser una trampa; </w:t>
      </w:r>
      <w:r w:rsidRPr="000D3432">
        <w:rPr>
          <w:rFonts w:asciiTheme="minorHAnsi" w:hAnsiTheme="minorHAnsi" w:cs="Arial"/>
          <w:color w:val="2B3334"/>
        </w:rPr>
        <w:lastRenderedPageBreak/>
        <w:t>además, por último -para reafirmarme- dije que la abogacía no es nada más que “una estafa”. (y lo decía yo, que me estaba colegiando, y que por lo tanto estaba siendo también abogado; a lo que luego podría yo decir que ¿escupí al cielo?).</w:t>
      </w:r>
      <w:r w:rsidRPr="000D3432">
        <w:rPr>
          <w:rFonts w:asciiTheme="minorHAnsi" w:hAnsiTheme="minorHAnsi" w:cs="Arial"/>
          <w:color w:val="2B3334"/>
        </w:rPr>
        <w:br/>
        <w:t>Claro que hablé también de lo que es Derecho, de la nueva función del Abogado, de lo que interpretaba y entendía por Derecho Luis Diez Picazo (El Derecho es un modo de resolver los conflictos de intereses), de lo que significaba para Carnellutti la abogacía (un puente, un medio entre el juez y la parte. El abogado resultaba un traductor, un tipo fenomenal y humanísimo que comprendía a su cliente antes que juzgarlo. El abogado era un hombre que comprendía y hacía comprender, y etc) Y bueno, también mencioné por allí a Nietzsche -siempre Nietzsche aunque uno no tenga ni una pizca de él-, y hablé de su serpiente, y de su necesidad -como la del hombre- de cambiar de piel, de cambiar de pensamiento, para no fenecer, y etc; Y claro que hablé del hombre descentrado, del “sentido de la tierra” que habría de adquirir el hombre de hoy, de asumir su condición de hombre. Y claro que dije también que me sentía, la mayor de la veces, como un muñeco de sal ante el fenómeno de verme involucrado en ese mundo de papeles y trámites que para mi resultaban sólo un camino desconocido y hasta grosero.</w:t>
      </w:r>
      <w:r w:rsidRPr="000D3432">
        <w:rPr>
          <w:rFonts w:asciiTheme="minorHAnsi" w:hAnsiTheme="minorHAnsi" w:cs="Arial"/>
          <w:color w:val="2B3334"/>
        </w:rPr>
        <w:br/>
        <w:t>Pero al terminar mi discurso tuve la extraña sensación de que todos habían asimilado éste como algo dicho especialmente para ellos; mi discurso cayó como tentativa del nacimiento de un nuevo charlatán. Pensé luego que ser sincero es la puerta para verte echado a patadas de cualquier reunión; pensé que en realidad había sido un charlatán de alguna manera. Pensé que no había nada más que decir, que lo único que restaba era agachar la cabeza y esperar a que todo pase. Recordé como se hace para uno elevarse sobre los defectos de los demás, y de pronto volverse virtuoso. Así de fácil era la cosa, pero, ¿alguien te perdonaría ser sincero, o peor, alguien te perdonaría el que te hayas elevado usándolo como costal moral? ¿alguien te perdonaría mostrarse como el virtuoso? Lo peor es que, en realidad, no quise decir que yo era virtuoso, eso sí sería falso, pero sí quise decir que no quiero ser vicioso o viciado por la profesión de abogado.</w:t>
      </w:r>
      <w:r w:rsidRPr="000D3432">
        <w:rPr>
          <w:rStyle w:val="apple-converted-space"/>
          <w:rFonts w:asciiTheme="minorHAnsi" w:hAnsiTheme="minorHAnsi" w:cs="Arial"/>
          <w:color w:val="2B3334"/>
        </w:rPr>
        <w:t> </w:t>
      </w:r>
    </w:p>
    <w:p w14:paraId="39469DC0" w14:textId="77777777" w:rsidR="00FD54CD" w:rsidRPr="000D3432" w:rsidRDefault="00FD54CD" w:rsidP="00A95498">
      <w:pPr>
        <w:pStyle w:val="Ttulo3"/>
        <w:rPr>
          <w:rFonts w:asciiTheme="minorHAnsi" w:hAnsiTheme="minorHAnsi" w:cs="Arial"/>
          <w:color w:val="2B3334"/>
          <w:sz w:val="24"/>
          <w:szCs w:val="24"/>
        </w:rPr>
      </w:pPr>
    </w:p>
    <w:p w14:paraId="651EAB0F" w14:textId="77777777" w:rsidR="00FD54CD" w:rsidRPr="000D3432" w:rsidRDefault="00FD54CD" w:rsidP="00A95498">
      <w:pPr>
        <w:pStyle w:val="Ttulo3"/>
        <w:rPr>
          <w:rFonts w:asciiTheme="minorHAnsi" w:hAnsiTheme="minorHAnsi" w:cs="Arial"/>
          <w:color w:val="2B3334"/>
          <w:sz w:val="24"/>
          <w:szCs w:val="24"/>
        </w:rPr>
      </w:pPr>
      <w:bookmarkStart w:id="126" w:name="_Toc318102931"/>
      <w:r w:rsidRPr="000D3432">
        <w:rPr>
          <w:rFonts w:asciiTheme="minorHAnsi" w:hAnsiTheme="minorHAnsi" w:cs="Arial"/>
          <w:color w:val="2B3334"/>
          <w:sz w:val="24"/>
          <w:szCs w:val="24"/>
        </w:rPr>
        <w:t>malas ensenanzas</w:t>
      </w:r>
      <w:bookmarkEnd w:id="126"/>
    </w:p>
    <w:p w14:paraId="64955642"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17.06.2012</w:t>
      </w:r>
    </w:p>
    <w:p w14:paraId="501B0CD3"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Casi siempre he escuchado las excusas que los malos habitos son aprendidos de los demas, nuestros padres, profesores, amigos, etc., y a pesar de ser esto cierto, no es definitivo, es decir, al final siempre está en nosotros, en nuestras decisiones, el resultado de nuestras acciones, siempre que somos responsables de nuestros actos, siempre podemos cambiar nuestro destino, nuestras estrellas. Nosotros decidimos que aprendemos o que no aprendemos. no podemos definir la vida y conducta de los demás, pero sí nuestra vida y Conducta.</w:t>
      </w:r>
    </w:p>
    <w:p w14:paraId="38C7D53E" w14:textId="77777777" w:rsidR="00FD54CD" w:rsidRPr="000D3432" w:rsidRDefault="00FD54CD" w:rsidP="00A95498">
      <w:pPr>
        <w:pStyle w:val="Ttulo3"/>
        <w:rPr>
          <w:rFonts w:asciiTheme="minorHAnsi" w:hAnsiTheme="minorHAnsi" w:cs="Arial"/>
          <w:color w:val="2B3334"/>
          <w:sz w:val="24"/>
          <w:szCs w:val="24"/>
        </w:rPr>
      </w:pPr>
    </w:p>
    <w:p w14:paraId="654C7626" w14:textId="77777777" w:rsidR="00FD54CD" w:rsidRPr="000D3432" w:rsidRDefault="00FD54CD" w:rsidP="00A95498">
      <w:pPr>
        <w:pStyle w:val="Ttulo3"/>
        <w:rPr>
          <w:rFonts w:asciiTheme="minorHAnsi" w:hAnsiTheme="minorHAnsi" w:cs="Arial"/>
          <w:color w:val="2B3334"/>
          <w:sz w:val="24"/>
          <w:szCs w:val="24"/>
        </w:rPr>
      </w:pPr>
      <w:bookmarkStart w:id="127" w:name="_Toc318102932"/>
      <w:r w:rsidRPr="000D3432">
        <w:rPr>
          <w:rFonts w:asciiTheme="minorHAnsi" w:hAnsiTheme="minorHAnsi" w:cs="Arial"/>
          <w:color w:val="2B3334"/>
          <w:sz w:val="24"/>
          <w:szCs w:val="24"/>
        </w:rPr>
        <w:t>celular y yo</w:t>
      </w:r>
      <w:bookmarkEnd w:id="127"/>
    </w:p>
    <w:p w14:paraId="415D8CB6"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damita</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16.06.2012</w:t>
      </w:r>
    </w:p>
    <w:p w14:paraId="3CEBF417"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Voy caminando por la sala buscando mi celular que lo traía perdido (Claro, si no estuviera perdido no lo estuviera buscando xD) cuando de repente lo encontré...</w:t>
      </w:r>
      <w:r w:rsidRPr="000D3432">
        <w:rPr>
          <w:rFonts w:asciiTheme="minorHAnsi" w:hAnsiTheme="minorHAnsi" w:cs="Arial"/>
          <w:color w:val="2B3334"/>
        </w:rPr>
        <w:br/>
      </w:r>
      <w:r w:rsidRPr="000D3432">
        <w:rPr>
          <w:rFonts w:asciiTheme="minorHAnsi" w:hAnsiTheme="minorHAnsi" w:cs="Arial"/>
          <w:color w:val="2B3334"/>
        </w:rPr>
        <w:br/>
      </w:r>
      <w:r w:rsidRPr="000D3432">
        <w:rPr>
          <w:rFonts w:asciiTheme="minorHAnsi" w:hAnsiTheme="minorHAnsi" w:cs="Arial"/>
          <w:color w:val="2B3334"/>
        </w:rPr>
        <w:lastRenderedPageBreak/>
        <w:t>Yo: Aquí estás celular.</w:t>
      </w:r>
      <w:r w:rsidRPr="000D3432">
        <w:rPr>
          <w:rFonts w:asciiTheme="minorHAnsi" w:hAnsiTheme="minorHAnsi" w:cs="Arial"/>
          <w:color w:val="2B3334"/>
        </w:rPr>
        <w:br/>
      </w:r>
      <w:r w:rsidRPr="000D3432">
        <w:rPr>
          <w:rFonts w:asciiTheme="minorHAnsi" w:hAnsiTheme="minorHAnsi" w:cs="Arial"/>
          <w:color w:val="2B3334"/>
        </w:rPr>
        <w:br/>
        <w:t>Celular: Sí aquí estoy estúpido monstruo que escupe cuando habla, y aparte ciego.</w:t>
      </w:r>
      <w:r w:rsidRPr="000D3432">
        <w:rPr>
          <w:rFonts w:asciiTheme="minorHAnsi" w:hAnsiTheme="minorHAnsi" w:cs="Arial"/>
          <w:color w:val="2B3334"/>
        </w:rPr>
        <w:br/>
      </w:r>
      <w:r w:rsidRPr="000D3432">
        <w:rPr>
          <w:rFonts w:asciiTheme="minorHAnsi" w:hAnsiTheme="minorHAnsi" w:cs="Arial"/>
          <w:color w:val="2B3334"/>
        </w:rPr>
        <w:br/>
        <w:t>Yo: O_O A la madre... ¿Sabes hablar?</w:t>
      </w:r>
      <w:r w:rsidRPr="000D3432">
        <w:rPr>
          <w:rFonts w:asciiTheme="minorHAnsi" w:hAnsiTheme="minorHAnsi" w:cs="Arial"/>
          <w:color w:val="2B3334"/>
        </w:rPr>
        <w:br/>
      </w:r>
      <w:r w:rsidRPr="000D3432">
        <w:rPr>
          <w:rFonts w:asciiTheme="minorHAnsi" w:hAnsiTheme="minorHAnsi" w:cs="Arial"/>
          <w:color w:val="2B3334"/>
        </w:rPr>
        <w:br/>
        <w:t>Celular: Claro que sí idiota, ¿Como crees que oye la voz hasta el otro celular? Ni que estuvieras gritando tan fuerte wey.</w:t>
      </w:r>
      <w:r w:rsidRPr="000D3432">
        <w:rPr>
          <w:rFonts w:asciiTheme="minorHAnsi" w:hAnsiTheme="minorHAnsi" w:cs="Arial"/>
          <w:color w:val="2B3334"/>
        </w:rPr>
        <w:br/>
      </w:r>
      <w:r w:rsidRPr="000D3432">
        <w:rPr>
          <w:rFonts w:asciiTheme="minorHAnsi" w:hAnsiTheme="minorHAnsi" w:cs="Arial"/>
          <w:color w:val="2B3334"/>
        </w:rPr>
        <w:br/>
        <w:t>Yo: O_O.. noo, noo, ¡No mames!</w:t>
      </w:r>
      <w:r w:rsidRPr="000D3432">
        <w:rPr>
          <w:rFonts w:asciiTheme="minorHAnsi" w:hAnsiTheme="minorHAnsi" w:cs="Arial"/>
          <w:color w:val="2B3334"/>
        </w:rPr>
        <w:br/>
      </w:r>
      <w:r w:rsidRPr="000D3432">
        <w:rPr>
          <w:rFonts w:asciiTheme="minorHAnsi" w:hAnsiTheme="minorHAnsi" w:cs="Arial"/>
          <w:color w:val="2B3334"/>
        </w:rPr>
        <w:br/>
        <w:t>Celular: Oigo lo que dices y me la paso repitiendo lo que hablas para que lo oiga el otro.</w:t>
      </w:r>
      <w:r w:rsidRPr="000D3432">
        <w:rPr>
          <w:rFonts w:asciiTheme="minorHAnsi" w:hAnsiTheme="minorHAnsi" w:cs="Arial"/>
          <w:color w:val="2B3334"/>
        </w:rPr>
        <w:br/>
      </w:r>
      <w:r w:rsidRPr="000D3432">
        <w:rPr>
          <w:rFonts w:asciiTheme="minorHAnsi" w:hAnsiTheme="minorHAnsi" w:cs="Arial"/>
          <w:color w:val="2B3334"/>
        </w:rPr>
        <w:br/>
        <w:t>Yo: Ya decía yo que la voz se oye diferente por el celular...¡Espera! ¿Dices que oyes todo lo que hablo por el celular?</w:t>
      </w:r>
      <w:r w:rsidRPr="000D3432">
        <w:rPr>
          <w:rFonts w:asciiTheme="minorHAnsi" w:hAnsiTheme="minorHAnsi" w:cs="Arial"/>
          <w:color w:val="2B3334"/>
        </w:rPr>
        <w:br/>
      </w:r>
      <w:r w:rsidRPr="000D3432">
        <w:rPr>
          <w:rFonts w:asciiTheme="minorHAnsi" w:hAnsiTheme="minorHAnsi" w:cs="Arial"/>
          <w:color w:val="2B3334"/>
        </w:rPr>
        <w:br/>
        <w:t>Celular: ¡Claro! sé todo de ti animal, todos tus secretos, todo ¡TODO!</w:t>
      </w:r>
      <w:r w:rsidRPr="000D3432">
        <w:rPr>
          <w:rFonts w:asciiTheme="minorHAnsi" w:hAnsiTheme="minorHAnsi" w:cs="Arial"/>
          <w:color w:val="2B3334"/>
        </w:rPr>
        <w:br/>
      </w:r>
      <w:r w:rsidRPr="000D3432">
        <w:rPr>
          <w:rFonts w:asciiTheme="minorHAnsi" w:hAnsiTheme="minorHAnsi" w:cs="Arial"/>
          <w:color w:val="2B3334"/>
        </w:rPr>
        <w:br/>
        <w:t>Yo: ¿Y por qué eres tan grosero? ¬¬</w:t>
      </w:r>
      <w:r w:rsidRPr="000D3432">
        <w:rPr>
          <w:rFonts w:asciiTheme="minorHAnsi" w:hAnsiTheme="minorHAnsi" w:cs="Arial"/>
          <w:color w:val="2B3334"/>
        </w:rPr>
        <w:br/>
      </w:r>
      <w:r w:rsidRPr="000D3432">
        <w:rPr>
          <w:rFonts w:asciiTheme="minorHAnsi" w:hAnsiTheme="minorHAnsi" w:cs="Arial"/>
          <w:color w:val="2B3334"/>
        </w:rPr>
        <w:br/>
        <w:t>Celular: Wey, te oigo hablar todos los pinches días, Algo debí haber aprendido de ti en todos estos años ¿no?</w:t>
      </w:r>
      <w:r w:rsidRPr="000D3432">
        <w:rPr>
          <w:rFonts w:asciiTheme="minorHAnsi" w:hAnsiTheme="minorHAnsi" w:cs="Arial"/>
          <w:color w:val="2B3334"/>
        </w:rPr>
        <w:br/>
      </w:r>
      <w:r w:rsidRPr="000D3432">
        <w:rPr>
          <w:rFonts w:asciiTheme="minorHAnsi" w:hAnsiTheme="minorHAnsi" w:cs="Arial"/>
          <w:color w:val="2B3334"/>
        </w:rPr>
        <w:br/>
      </w:r>
      <w:r w:rsidRPr="000D3432">
        <w:rPr>
          <w:rStyle w:val="user"/>
          <w:rFonts w:asciiTheme="minorHAnsi" w:hAnsiTheme="minorHAnsi" w:cs="Arial"/>
          <w:b/>
          <w:bCs/>
          <w:color w:val="C06310"/>
        </w:rPr>
        <w:t>AZ</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01.06.2012</w:t>
      </w:r>
    </w:p>
    <w:p w14:paraId="42FFE541"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nuevamente, el recuerdo de un frío inmenso, nuevamente la noche, que apaga mis sentidos, nuevamente, recuerdo, y olvido que debo recordar olvidar. Nuevamente, mis sentidos se agazapan en un pensamiento. No puedo escuchar latidos internos, y mis ojos se llenan de melancolía. No hablo en alemán, pero mis pensamientos se llenan de ese idioma. Ya nunca amanece en mis ojos, ya no existen auroras u ocasos. Ya no veo, ni escucho, ni siento. La noche me apaga, el día me apaga, la tarde me consume. Y todo en el instante se va al diablo. Sigo siendo desordenado, me dicen -por allí, que es porque soy creativo; pero tampoco soy creativo, sino iluso, estúpidamente iluso, y decadente. Y aquí voy nuevamente, dejando que mis sentimientos se conviertan en palabras, y se escuden en ellas. NO veo una luz al final del camino, menos oscuridad. Me profetizo frustrado, acabado, taciturno, Me profetizo montaña o desierto, no valle, ni selva. He vuelto...</w:t>
      </w:r>
    </w:p>
    <w:p w14:paraId="6E0AD2B7" w14:textId="77777777" w:rsidR="00FD54CD" w:rsidRPr="000D3432" w:rsidRDefault="00FD54CD" w:rsidP="00A95498">
      <w:pPr>
        <w:pStyle w:val="NormalWeb"/>
        <w:spacing w:before="0" w:beforeAutospacing="0" w:after="0" w:afterAutospacing="0"/>
        <w:jc w:val="both"/>
        <w:rPr>
          <w:rFonts w:asciiTheme="minorHAnsi" w:hAnsiTheme="minorHAnsi"/>
        </w:rPr>
      </w:pPr>
    </w:p>
    <w:p w14:paraId="3042AA19"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Style w:val="user"/>
          <w:rFonts w:asciiTheme="minorHAnsi" w:hAnsiTheme="minorHAnsi" w:cs="Arial"/>
          <w:b/>
          <w:bCs/>
          <w:color w:val="C06310"/>
        </w:rPr>
        <w:t>ESTOY</w:t>
      </w:r>
      <w:r w:rsidRPr="000D3432">
        <w:rPr>
          <w:rStyle w:val="apple-converted-space"/>
          <w:rFonts w:asciiTheme="minorHAnsi" w:hAnsiTheme="minorHAnsi" w:cs="Arial"/>
          <w:color w:val="2B3334"/>
        </w:rPr>
        <w:t> </w:t>
      </w:r>
      <w:r w:rsidRPr="000D3432">
        <w:rPr>
          <w:rFonts w:asciiTheme="minorHAnsi" w:hAnsiTheme="minorHAnsi" w:cs="Arial"/>
          <w:color w:val="2B3334"/>
        </w:rPr>
        <w:t>|</w:t>
      </w:r>
      <w:r w:rsidRPr="000D3432">
        <w:rPr>
          <w:rStyle w:val="apple-converted-space"/>
          <w:rFonts w:asciiTheme="minorHAnsi" w:hAnsiTheme="minorHAnsi" w:cs="Arial"/>
          <w:color w:val="2B3334"/>
        </w:rPr>
        <w:t> </w:t>
      </w:r>
      <w:r w:rsidRPr="000D3432">
        <w:rPr>
          <w:rFonts w:asciiTheme="minorHAnsi" w:hAnsiTheme="minorHAnsi" w:cs="Arial"/>
          <w:color w:val="C06310"/>
        </w:rPr>
        <w:t>29.05.2012</w:t>
      </w:r>
    </w:p>
    <w:p w14:paraId="08843F0D" w14:textId="77777777" w:rsidR="00FD54CD" w:rsidRPr="000D3432" w:rsidRDefault="00FD54CD" w:rsidP="00A95498">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xml:space="preserve">Estoy molesto, por ser tan, pero tan estúpido. ¿Cómo puede ser esto? Ni siquiera que Sábato decía que uno de sus libros se lo debía a su esposa, Dalí, dijo que su fama se la debió a su esposa, Borges no dijo eso, pero habló en Alemán, y recién tuvo el tono de un lord, Trazegnies escribió mucho sobre la vida, sin embargo, Bukowski se desentendía del mundo, pero ninguno de estos autores, han logrado calmar mi inestabilidad. La vida no sirve para nada.Ellos ya viejos o muertos, no han demostrado más que una cosa: la vida no es más que un acto </w:t>
      </w:r>
      <w:r w:rsidRPr="000D3432">
        <w:rPr>
          <w:rFonts w:asciiTheme="minorHAnsi" w:hAnsiTheme="minorHAnsi" w:cs="Arial"/>
          <w:color w:val="2B3334"/>
        </w:rPr>
        <w:lastRenderedPageBreak/>
        <w:t>arbitrario. Venimos desde ya impuestos, es decir, nuestra vida es en el inicio un acto dictatorial, arbitrario. El origen de nuestra vida no es democrático, pues no participamos en la decisión, sino dictatorial. La dictadura, entonces, fue el primer instinto, la democracia es la liberación de la primera dictatura (venir al mundo, nacer) Nacer es producto, pues de una tiranía, de una dictadura. Tenemos, en nuestros inicios el gen de la dictadura, y por eso es tan difícil conseguir la democracia. Lo peor es que la democracia es relación con los demás, y entonces, ¿qué pasa con quienes no podemos relacionarnos con los demás? ¿qué pasa con los que no nos gusta relacionarnos con los demás? La democracia resulta siendo una tiranía de la mayoría, una imposición de la mayoría.</w:t>
      </w:r>
    </w:p>
    <w:p w14:paraId="54739184" w14:textId="77777777" w:rsidR="00FD54CD" w:rsidRPr="000D3432" w:rsidRDefault="00FD54CD" w:rsidP="00A95498">
      <w:pPr>
        <w:tabs>
          <w:tab w:val="left" w:pos="4725"/>
        </w:tabs>
        <w:jc w:val="both"/>
        <w:rPr>
          <w:rFonts w:asciiTheme="minorHAnsi" w:hAnsiTheme="minorHAnsi"/>
          <w:szCs w:val="24"/>
        </w:rPr>
      </w:pPr>
    </w:p>
    <w:p w14:paraId="70A24CD7" w14:textId="77777777" w:rsidR="00FD54CD" w:rsidRPr="000D3432" w:rsidRDefault="00FD54CD" w:rsidP="00A95498">
      <w:pPr>
        <w:tabs>
          <w:tab w:val="left" w:pos="4725"/>
        </w:tabs>
        <w:jc w:val="both"/>
        <w:rPr>
          <w:rFonts w:asciiTheme="minorHAnsi" w:hAnsiTheme="minorHAnsi"/>
          <w:szCs w:val="24"/>
        </w:rPr>
      </w:pPr>
    </w:p>
    <w:p w14:paraId="1D6AD6C8" w14:textId="77777777" w:rsidR="00FD54CD" w:rsidRPr="000D3432" w:rsidRDefault="00FD54CD" w:rsidP="00A95498">
      <w:pPr>
        <w:tabs>
          <w:tab w:val="left" w:pos="4725"/>
        </w:tabs>
        <w:jc w:val="both"/>
        <w:rPr>
          <w:rFonts w:asciiTheme="minorHAnsi" w:hAnsiTheme="minorHAnsi"/>
          <w:szCs w:val="24"/>
        </w:rPr>
      </w:pPr>
    </w:p>
    <w:p w14:paraId="26BE881B" w14:textId="77777777" w:rsidR="00FD54CD" w:rsidRPr="000D3432" w:rsidRDefault="00FD54CD" w:rsidP="00A95498">
      <w:pPr>
        <w:tabs>
          <w:tab w:val="left" w:pos="4725"/>
        </w:tabs>
        <w:jc w:val="both"/>
        <w:rPr>
          <w:rFonts w:asciiTheme="minorHAnsi" w:hAnsiTheme="minorHAnsi"/>
          <w:szCs w:val="24"/>
        </w:rPr>
      </w:pPr>
    </w:p>
    <w:p w14:paraId="7678384A" w14:textId="77777777" w:rsidR="00FD54CD" w:rsidRPr="000D3432" w:rsidRDefault="00FD54CD" w:rsidP="00A95498">
      <w:pPr>
        <w:tabs>
          <w:tab w:val="left" w:pos="4725"/>
        </w:tabs>
        <w:jc w:val="both"/>
        <w:rPr>
          <w:rFonts w:asciiTheme="minorHAnsi" w:hAnsiTheme="minorHAnsi"/>
          <w:szCs w:val="24"/>
        </w:rPr>
      </w:pPr>
    </w:p>
    <w:p w14:paraId="7D146FD5" w14:textId="77777777" w:rsidR="00FD54CD" w:rsidRPr="000D3432" w:rsidRDefault="00FD54CD" w:rsidP="00A95498">
      <w:pPr>
        <w:tabs>
          <w:tab w:val="left" w:pos="4725"/>
        </w:tabs>
        <w:jc w:val="both"/>
        <w:rPr>
          <w:rFonts w:asciiTheme="minorHAnsi" w:hAnsiTheme="minorHAnsi"/>
          <w:szCs w:val="24"/>
        </w:rPr>
      </w:pPr>
    </w:p>
    <w:p w14:paraId="14132F73" w14:textId="77777777" w:rsidR="00727CE6" w:rsidRPr="000D3432" w:rsidRDefault="00727CE6"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38D150B2"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511185B8"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2843C182"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4A634DA6"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5EA6C6B3"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3F21A25C"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085E7B64" w14:textId="77777777" w:rsidR="00727CE6" w:rsidRPr="000D3432" w:rsidRDefault="00727CE6" w:rsidP="00A95498">
      <w:pPr>
        <w:pStyle w:val="Ttulo1"/>
        <w:spacing w:line="240" w:lineRule="auto"/>
        <w:jc w:val="center"/>
        <w:rPr>
          <w:rFonts w:asciiTheme="minorHAnsi" w:hAnsiTheme="minorHAnsi" w:cs="Arial"/>
          <w:caps/>
          <w:color w:val="0000FF"/>
          <w:sz w:val="24"/>
          <w:szCs w:val="24"/>
          <w:u w:val="single"/>
        </w:rPr>
      </w:pPr>
    </w:p>
    <w:p w14:paraId="2BB0683F" w14:textId="77777777" w:rsidR="00727CE6" w:rsidRPr="000D3432" w:rsidRDefault="00727CE6" w:rsidP="00A95498">
      <w:pPr>
        <w:pStyle w:val="Ttulo1"/>
        <w:spacing w:line="240" w:lineRule="auto"/>
        <w:jc w:val="center"/>
        <w:rPr>
          <w:rFonts w:asciiTheme="minorHAnsi" w:hAnsiTheme="minorHAnsi" w:cs="Arial"/>
          <w:b w:val="0"/>
          <w:bCs/>
          <w:caps/>
          <w:color w:val="2B3334"/>
          <w:sz w:val="24"/>
          <w:szCs w:val="24"/>
        </w:rPr>
      </w:pPr>
      <w:bookmarkStart w:id="128" w:name="_Toc318102933"/>
      <w:r w:rsidRPr="000D3432">
        <w:rPr>
          <w:rFonts w:asciiTheme="minorHAnsi" w:hAnsiTheme="minorHAnsi" w:cs="Arial"/>
          <w:caps/>
          <w:color w:val="0000FF"/>
          <w:sz w:val="24"/>
          <w:szCs w:val="24"/>
        </w:rPr>
        <w:t>MIS CONFESIONES</w:t>
      </w:r>
      <w:bookmarkEnd w:id="128"/>
    </w:p>
    <w:p w14:paraId="299C0637" w14:textId="77777777" w:rsidR="00727CE6" w:rsidRPr="000D3432" w:rsidRDefault="00727CE6" w:rsidP="00A95498">
      <w:pPr>
        <w:pStyle w:val="NormalWeb"/>
        <w:spacing w:before="0" w:beforeAutospacing="0" w:after="0" w:afterAutospacing="0"/>
        <w:jc w:val="center"/>
        <w:rPr>
          <w:rFonts w:asciiTheme="minorHAnsi" w:hAnsiTheme="minorHAnsi" w:cs="Arial"/>
          <w:color w:val="2B3334"/>
        </w:rPr>
      </w:pPr>
      <w:r w:rsidRPr="000D3432">
        <w:rPr>
          <w:rFonts w:asciiTheme="minorHAnsi" w:hAnsiTheme="minorHAnsi" w:cs="Arial"/>
          <w:color w:val="2B3334"/>
        </w:rPr>
        <w:t> </w:t>
      </w:r>
    </w:p>
    <w:p w14:paraId="61A730D6" w14:textId="77777777" w:rsidR="00727CE6" w:rsidRPr="000D3432" w:rsidRDefault="00727CE6" w:rsidP="00A95498">
      <w:pPr>
        <w:pStyle w:val="Ttulo2"/>
        <w:spacing w:line="240" w:lineRule="auto"/>
        <w:jc w:val="center"/>
        <w:rPr>
          <w:rFonts w:asciiTheme="minorHAnsi" w:hAnsiTheme="minorHAnsi"/>
          <w:b w:val="0"/>
          <w:bCs/>
          <w:caps/>
          <w:color w:val="2B3334"/>
          <w:sz w:val="24"/>
          <w:szCs w:val="24"/>
        </w:rPr>
      </w:pPr>
      <w:bookmarkStart w:id="129" w:name="_Toc318102934"/>
      <w:r w:rsidRPr="000D3432">
        <w:rPr>
          <w:rStyle w:val="Textoennegrita"/>
          <w:rFonts w:asciiTheme="minorHAnsi" w:hAnsiTheme="minorHAnsi"/>
          <w:b/>
          <w:bCs w:val="0"/>
          <w:caps/>
          <w:color w:val="FF0000"/>
          <w:sz w:val="24"/>
          <w:szCs w:val="24"/>
        </w:rPr>
        <w:t>(CONFESIONES DE UN NIHILISTA)</w:t>
      </w:r>
      <w:bookmarkEnd w:id="129"/>
    </w:p>
    <w:p w14:paraId="15609760" w14:textId="77777777" w:rsidR="00727CE6" w:rsidRPr="000D3432" w:rsidRDefault="00727CE6" w:rsidP="00A95498">
      <w:pPr>
        <w:pStyle w:val="NormalWeb"/>
        <w:spacing w:before="0" w:beforeAutospacing="0" w:after="0" w:afterAutospacing="0"/>
        <w:jc w:val="center"/>
        <w:rPr>
          <w:rFonts w:asciiTheme="minorHAnsi" w:hAnsiTheme="minorHAnsi" w:cs="Arial"/>
          <w:color w:val="2B3334"/>
        </w:rPr>
      </w:pPr>
    </w:p>
    <w:p w14:paraId="359BEFEE" w14:textId="77777777" w:rsidR="00727CE6" w:rsidRPr="000D3432" w:rsidRDefault="00727CE6" w:rsidP="00A95498">
      <w:pPr>
        <w:pStyle w:val="NormalWeb"/>
        <w:spacing w:before="0" w:beforeAutospacing="0" w:after="0" w:afterAutospacing="0"/>
        <w:jc w:val="center"/>
        <w:rPr>
          <w:rFonts w:asciiTheme="minorHAnsi" w:hAnsiTheme="minorHAnsi" w:cs="Arial"/>
          <w:color w:val="2B3334"/>
        </w:rPr>
      </w:pPr>
    </w:p>
    <w:p w14:paraId="3A503DD3" w14:textId="69F5DBDB" w:rsidR="00963DC1" w:rsidRPr="000D3432" w:rsidRDefault="00963DC1">
      <w:pPr>
        <w:widowControl/>
        <w:overflowPunct/>
        <w:autoSpaceDE/>
        <w:autoSpaceDN/>
        <w:adjustRightInd/>
        <w:textAlignment w:val="auto"/>
        <w:rPr>
          <w:rFonts w:asciiTheme="minorHAnsi" w:hAnsiTheme="minorHAnsi" w:cs="Arial"/>
          <w:bCs/>
          <w:i/>
          <w:caps/>
          <w:color w:val="2B3334"/>
          <w:szCs w:val="24"/>
        </w:rPr>
      </w:pPr>
      <w:r w:rsidRPr="000D3432">
        <w:rPr>
          <w:rFonts w:asciiTheme="minorHAnsi" w:hAnsiTheme="minorHAnsi" w:cs="Arial"/>
          <w:b/>
          <w:bCs/>
          <w:caps/>
          <w:color w:val="2B3334"/>
          <w:szCs w:val="24"/>
        </w:rPr>
        <w:br w:type="page"/>
      </w:r>
    </w:p>
    <w:p w14:paraId="18003E99" w14:textId="77777777" w:rsidR="00727CE6" w:rsidRPr="000D3432" w:rsidRDefault="00727CE6" w:rsidP="00A95498">
      <w:pPr>
        <w:pStyle w:val="Ttulo1"/>
        <w:spacing w:line="240" w:lineRule="auto"/>
        <w:rPr>
          <w:rFonts w:asciiTheme="minorHAnsi" w:hAnsiTheme="minorHAnsi" w:cs="Arial"/>
          <w:b w:val="0"/>
          <w:bCs/>
          <w:caps/>
          <w:color w:val="2B3334"/>
          <w:sz w:val="24"/>
          <w:szCs w:val="24"/>
        </w:rPr>
      </w:pPr>
    </w:p>
    <w:p w14:paraId="5C6E257C" w14:textId="77777777" w:rsidR="00963DC1" w:rsidRPr="000D3432" w:rsidRDefault="00963DC1" w:rsidP="00963DC1">
      <w:pPr>
        <w:rPr>
          <w:rFonts w:asciiTheme="minorHAnsi" w:hAnsiTheme="minorHAnsi"/>
          <w:szCs w:val="24"/>
        </w:rPr>
      </w:pPr>
    </w:p>
    <w:p w14:paraId="08A0DED7" w14:textId="77777777" w:rsidR="00963DC1" w:rsidRPr="000D3432" w:rsidRDefault="00963DC1" w:rsidP="00963DC1">
      <w:pPr>
        <w:rPr>
          <w:rFonts w:asciiTheme="minorHAnsi" w:hAnsiTheme="minorHAnsi"/>
          <w:szCs w:val="24"/>
        </w:rPr>
      </w:pPr>
    </w:p>
    <w:p w14:paraId="52F222A2" w14:textId="77777777" w:rsidR="00963DC1" w:rsidRPr="000D3432" w:rsidRDefault="00963DC1" w:rsidP="00963DC1">
      <w:pPr>
        <w:pStyle w:val="NormalWeb"/>
        <w:spacing w:before="0" w:beforeAutospacing="0" w:after="0" w:afterAutospacing="0"/>
        <w:jc w:val="center"/>
        <w:rPr>
          <w:rFonts w:asciiTheme="minorHAnsi" w:hAnsiTheme="minorHAnsi" w:cs="Arial"/>
          <w:color w:val="2B3334"/>
        </w:rPr>
      </w:pPr>
    </w:p>
    <w:p w14:paraId="2E279032" w14:textId="77777777" w:rsidR="00963DC1" w:rsidRPr="000D3432" w:rsidRDefault="00963DC1" w:rsidP="00963DC1">
      <w:pPr>
        <w:pStyle w:val="Ttulo2"/>
        <w:spacing w:line="240" w:lineRule="auto"/>
        <w:jc w:val="center"/>
        <w:rPr>
          <w:rFonts w:asciiTheme="minorHAnsi" w:hAnsiTheme="minorHAnsi"/>
          <w:b w:val="0"/>
          <w:bCs/>
          <w:caps/>
          <w:color w:val="2B3334"/>
          <w:sz w:val="24"/>
          <w:szCs w:val="24"/>
        </w:rPr>
      </w:pPr>
      <w:r w:rsidRPr="000D3432">
        <w:rPr>
          <w:rStyle w:val="Textoennegrita"/>
          <w:rFonts w:asciiTheme="minorHAnsi" w:hAnsiTheme="minorHAnsi"/>
          <w:b/>
          <w:bCs w:val="0"/>
          <w:caps/>
          <w:color w:val="FF0000"/>
          <w:sz w:val="24"/>
          <w:szCs w:val="24"/>
        </w:rPr>
        <w:t>(CONFESIONES DE UN NIHILISTA)</w:t>
      </w:r>
    </w:p>
    <w:p w14:paraId="1E919AF3" w14:textId="77777777" w:rsidR="00963DC1" w:rsidRPr="000D3432" w:rsidRDefault="00963DC1" w:rsidP="00963DC1">
      <w:pPr>
        <w:rPr>
          <w:rFonts w:asciiTheme="minorHAnsi" w:hAnsiTheme="minorHAnsi"/>
          <w:szCs w:val="24"/>
        </w:rPr>
      </w:pPr>
    </w:p>
    <w:p w14:paraId="3360A29E" w14:textId="77777777" w:rsidR="00727CE6" w:rsidRPr="000D3432" w:rsidRDefault="00727CE6" w:rsidP="00A95498">
      <w:pPr>
        <w:pStyle w:val="Ttulo1"/>
        <w:spacing w:line="240" w:lineRule="auto"/>
        <w:rPr>
          <w:rFonts w:asciiTheme="minorHAnsi" w:hAnsiTheme="minorHAnsi" w:cs="Arial"/>
          <w:b w:val="0"/>
          <w:bCs/>
          <w:caps/>
          <w:color w:val="2B3334"/>
          <w:sz w:val="24"/>
          <w:szCs w:val="24"/>
        </w:rPr>
      </w:pPr>
    </w:p>
    <w:p w14:paraId="1D4B4E82" w14:textId="77777777" w:rsidR="00727CE6" w:rsidRPr="000D3432" w:rsidRDefault="00727CE6" w:rsidP="00A95498">
      <w:pPr>
        <w:pStyle w:val="Ttulo1"/>
        <w:spacing w:line="240" w:lineRule="auto"/>
        <w:rPr>
          <w:rFonts w:asciiTheme="minorHAnsi" w:hAnsiTheme="minorHAnsi" w:cs="Arial"/>
          <w:b w:val="0"/>
          <w:bCs/>
          <w:caps/>
          <w:color w:val="2B3334"/>
          <w:sz w:val="24"/>
          <w:szCs w:val="24"/>
        </w:rPr>
      </w:pPr>
    </w:p>
    <w:p w14:paraId="6D0F9329" w14:textId="77777777" w:rsidR="00727CE6" w:rsidRPr="000D3432" w:rsidRDefault="00727CE6" w:rsidP="00A95498">
      <w:pPr>
        <w:pStyle w:val="Ttulo1"/>
        <w:spacing w:line="240" w:lineRule="auto"/>
        <w:rPr>
          <w:rFonts w:asciiTheme="minorHAnsi" w:hAnsiTheme="minorHAnsi" w:cs="Arial"/>
          <w:b w:val="0"/>
          <w:bCs/>
          <w:caps/>
          <w:color w:val="2B3334"/>
          <w:sz w:val="24"/>
          <w:szCs w:val="24"/>
        </w:rPr>
      </w:pPr>
    </w:p>
    <w:p w14:paraId="098D861B"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bookmarkStart w:id="130" w:name="_Toc318102935"/>
      <w:r w:rsidRPr="000D3432">
        <w:rPr>
          <w:rFonts w:asciiTheme="minorHAnsi" w:hAnsiTheme="minorHAnsi" w:cs="Arial"/>
          <w:bCs/>
          <w:caps/>
          <w:color w:val="2B3334"/>
          <w:sz w:val="24"/>
          <w:szCs w:val="24"/>
        </w:rPr>
        <w:t>POR LA PLATA</w:t>
      </w:r>
      <w:bookmarkEnd w:id="130"/>
    </w:p>
    <w:p w14:paraId="155E772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640ECA1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sé como nacio tampoco en mi el hecho de la política.</w:t>
      </w:r>
    </w:p>
    <w:p w14:paraId="266CD9C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De niño siempre tuve una especie de desprecio por ella,</w:t>
      </w:r>
    </w:p>
    <w:p w14:paraId="38EAC0C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pues alguien debió haberme dicho insistentmente que era sucia y que no valía la pena...</w:t>
      </w:r>
    </w:p>
    <w:p w14:paraId="20F2F30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Así que crecí alejado de la política y hasta con cierta antipatía contra ella.</w:t>
      </w:r>
    </w:p>
    <w:p w14:paraId="23613D3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Pero la política no es  un concepto, son los hombres y mujeres relacionandose por medio del poder, de la búsqueda del poder.</w:t>
      </w:r>
    </w:p>
    <w:p w14:paraId="647718C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Sin embargo la política es también un medio por el cual uno decide quién o cómo planifican nuestra vida.</w:t>
      </w:r>
    </w:p>
    <w:p w14:paraId="47FDD53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 *</w:t>
      </w:r>
    </w:p>
    <w:p w14:paraId="6FEA94A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Otro día cuento lo que necesito contar,</w:t>
      </w:r>
    </w:p>
    <w:p w14:paraId="15557814" w14:textId="77777777" w:rsidR="00727CE6" w:rsidRPr="000D3432" w:rsidRDefault="00727CE6" w:rsidP="00A95498">
      <w:pPr>
        <w:rPr>
          <w:rFonts w:asciiTheme="minorHAnsi" w:hAnsiTheme="minorHAnsi"/>
          <w:szCs w:val="24"/>
        </w:rPr>
      </w:pPr>
    </w:p>
    <w:p w14:paraId="0AEC4DBE" w14:textId="77777777" w:rsidR="00727CE6" w:rsidRPr="000D3432" w:rsidRDefault="00727CE6" w:rsidP="00A95498">
      <w:pPr>
        <w:rPr>
          <w:rFonts w:asciiTheme="minorHAnsi" w:hAnsiTheme="minorHAnsi"/>
          <w:szCs w:val="24"/>
        </w:rPr>
      </w:pPr>
    </w:p>
    <w:p w14:paraId="3194BAFB"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bookmarkStart w:id="131" w:name="_Toc318102936"/>
      <w:r w:rsidRPr="000D3432">
        <w:rPr>
          <w:rFonts w:asciiTheme="minorHAnsi" w:hAnsiTheme="minorHAnsi" w:cs="Arial"/>
          <w:bCs/>
          <w:caps/>
          <w:color w:val="2B3334"/>
          <w:sz w:val="24"/>
          <w:szCs w:val="24"/>
        </w:rPr>
        <w:t>EL DERECHO A NO VIVIR</w:t>
      </w:r>
      <w:bookmarkEnd w:id="131"/>
    </w:p>
    <w:p w14:paraId="31D5F5EB"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p>
    <w:p w14:paraId="7847FDD4" w14:textId="77777777" w:rsidR="00727CE6" w:rsidRPr="000D3432" w:rsidRDefault="00727CE6" w:rsidP="00963DC1">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Nosé cómo, ni porqué, ni de donde fue que de niño tenía ciertos razonamientos sobre vivir, y en exclusivo sobre el hecho de venir al mundo. Por ejemplo, pensaba que no  era justo venir al mundo, porque a mi no me habían pedido mi consentimiento, que estaba en el mundo contra mi voluntad, o sin tomarse en cuenta mi voluntad, que yo no tenía la culpa de vivir, de existir, que eso había sido una arbitrariedad de mis padres. Así me quejaba muchas veces para mi solo, y a veces para mis familiares, pues no entendía que diablos yo hacía en este mundo; y pensaba casi siempre, en que si me hubieran dejado decidir si venir o no yo hubiera decidido no venir a este mundo.</w:t>
      </w:r>
    </w:p>
    <w:p w14:paraId="7CE19676" w14:textId="77777777" w:rsidR="00727CE6" w:rsidRPr="000D3432" w:rsidRDefault="00727CE6" w:rsidP="00963DC1">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 </w:t>
      </w:r>
    </w:p>
    <w:p w14:paraId="75563529" w14:textId="77777777" w:rsidR="00727CE6" w:rsidRPr="000D3432" w:rsidRDefault="00727CE6" w:rsidP="00963DC1">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No recuerdo mucho de estos razonamientos, pero fue hasta ya mayor de edad, que seguía con estas hipótesis: los padres no deben traer hijos si no les pueden dar una buena vida, o al menos una vida digna, sin limitaciones, o restricciones. Así que decidi nunca tener hijos, porque no quería que les sucediera lo que a mi, que pensaran en que yo los habría traido contra su voluntad. Claro que preguntarle a un niño, feto, antes de nacer, es imposible física y jurídicamente; pero yo nunca entendí eso, y alegaba que no estaba de acuerdo con el hecho de haber sido traido al mundo.</w:t>
      </w:r>
    </w:p>
    <w:p w14:paraId="07424F53" w14:textId="77777777" w:rsidR="00727CE6" w:rsidRPr="000D3432" w:rsidRDefault="00727CE6" w:rsidP="00963DC1">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Mas tarde estas ideas, me sonaban cercanas a las que decía Sábato, el gran escrito argentino. Y luego seguí con mi teoría: los padres no deben traer al mundo hijos si no pueden darles una vida digna; puesto que un niño, un nuevo ser humano, no puede ser traido al mundo al azar, a ver qué pasa, a ver cómo se las arreglan para alimentarlo, vestirlo, darle educación, etc.; un niño no puede ser el libre antojo de una noche de pasión, o un ente con quién llenar los vacíos de los seres humanos que quieren hijos para sentirse llenos, madres, padres.</w:t>
      </w:r>
    </w:p>
    <w:p w14:paraId="15E9C626" w14:textId="77777777" w:rsidR="00727CE6" w:rsidRPr="000D3432" w:rsidRDefault="00727CE6" w:rsidP="00963DC1">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Tanta era mi insistencia en este tema que llegué a pensar que los padres debían pagarnos una indemnización por habernos traido al mundo contra nuestra voluntad; y es más cada vez que necesitaba algo, y veía que mis padrés no me podían ayudar recordaba que yo no había tenido la culpa de venir al mundo, a complicarme, a complicarlo.</w:t>
      </w:r>
    </w:p>
    <w:p w14:paraId="44634C9D" w14:textId="77777777" w:rsidR="00727CE6" w:rsidRPr="000D3432" w:rsidRDefault="00727CE6" w:rsidP="00963DC1">
      <w:pPr>
        <w:pStyle w:val="NormalWeb"/>
        <w:spacing w:before="0" w:beforeAutospacing="0" w:after="0" w:afterAutospacing="0"/>
        <w:jc w:val="both"/>
        <w:rPr>
          <w:rFonts w:asciiTheme="minorHAnsi" w:hAnsiTheme="minorHAnsi" w:cs="Arial"/>
          <w:color w:val="2B3334"/>
        </w:rPr>
      </w:pPr>
      <w:r w:rsidRPr="000D3432">
        <w:rPr>
          <w:rFonts w:asciiTheme="minorHAnsi" w:hAnsiTheme="minorHAnsi" w:cs="Arial"/>
          <w:color w:val="2B3334"/>
        </w:rPr>
        <w:t>El problema para mi era mucho más grande, pues, si los padres nos habían traido sin nuestro consentimiento, o no pudiendo sostenernos, ni almentarnos, éstos, debían ser tratados como delincuentes, pues no sólo perjudicaban al niño nacido, sino a toda la sociedad, pues el problema se expandía a toda la sociedad: un niño con todas esas carencias termina por lo general siendo un problema para la sociedad, o un delincuente, o un resentido, y hará pagar caro a la sociedad que lo rodea. Yo tuve que dejar de pensar en esto para no resentirme, pero aún tengo la idea de que los padres nos deben algo: una explicación, unas disculpas, por habernos traído en estas condiciones. Y fue por eso, que nunca quise tener hijos, y no los tengo hasta hoy: porque no quiero que sientan lo que yo siento: que no quise venir al mundo, y que estoy aquí contra mi voluntad, y que no puedo remedir tal situación por cobardía.</w:t>
      </w:r>
    </w:p>
    <w:p w14:paraId="307EEE57" w14:textId="77777777" w:rsidR="00727CE6" w:rsidRPr="000D3432" w:rsidRDefault="00727CE6" w:rsidP="00963DC1">
      <w:pPr>
        <w:jc w:val="both"/>
        <w:rPr>
          <w:rFonts w:asciiTheme="minorHAnsi" w:hAnsiTheme="minorHAnsi"/>
          <w:szCs w:val="24"/>
        </w:rPr>
      </w:pPr>
    </w:p>
    <w:p w14:paraId="108A4824" w14:textId="77777777" w:rsidR="00727CE6" w:rsidRPr="000D3432" w:rsidRDefault="00727CE6" w:rsidP="00A95498">
      <w:pPr>
        <w:rPr>
          <w:rFonts w:asciiTheme="minorHAnsi" w:hAnsiTheme="minorHAnsi"/>
          <w:szCs w:val="24"/>
        </w:rPr>
      </w:pPr>
    </w:p>
    <w:p w14:paraId="6761DC9A" w14:textId="77777777" w:rsidR="00727CE6" w:rsidRPr="000D3432" w:rsidRDefault="00727CE6" w:rsidP="00A95498">
      <w:pPr>
        <w:pStyle w:val="Ttulo1"/>
        <w:spacing w:line="240" w:lineRule="auto"/>
        <w:rPr>
          <w:rFonts w:asciiTheme="minorHAnsi" w:hAnsiTheme="minorHAnsi" w:cs="Arial"/>
          <w:b w:val="0"/>
          <w:bCs/>
          <w:caps/>
          <w:color w:val="2B3334"/>
          <w:sz w:val="24"/>
          <w:szCs w:val="24"/>
        </w:rPr>
      </w:pPr>
    </w:p>
    <w:p w14:paraId="3058FC07"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bookmarkStart w:id="132" w:name="_Toc318102937"/>
      <w:r w:rsidRPr="000D3432">
        <w:rPr>
          <w:rFonts w:asciiTheme="minorHAnsi" w:hAnsiTheme="minorHAnsi" w:cs="Arial"/>
          <w:bCs/>
          <w:caps/>
          <w:color w:val="2B3334"/>
          <w:sz w:val="24"/>
          <w:szCs w:val="24"/>
        </w:rPr>
        <w:t>COMPRANDO AMIGOS</w:t>
      </w:r>
      <w:bookmarkEnd w:id="132"/>
    </w:p>
    <w:p w14:paraId="60C96A96" w14:textId="77777777" w:rsidR="00727CE6" w:rsidRPr="000D3432" w:rsidRDefault="00727CE6" w:rsidP="00A95498">
      <w:pPr>
        <w:pStyle w:val="NormalWeb"/>
        <w:spacing w:before="0" w:beforeAutospacing="0" w:after="0" w:afterAutospacing="0"/>
        <w:rPr>
          <w:rFonts w:asciiTheme="minorHAnsi" w:hAnsiTheme="minorHAnsi" w:cs="Arial"/>
          <w:b/>
          <w:color w:val="2B3334"/>
        </w:rPr>
      </w:pPr>
    </w:p>
    <w:p w14:paraId="2A0AF8B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Edad escolar...primaria..</w:t>
      </w:r>
    </w:p>
    <w:p w14:paraId="01F4B13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 una mañana con mucho sol.</w:t>
      </w:r>
    </w:p>
    <w:p w14:paraId="233E726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soy un niño retraido...</w:t>
      </w:r>
    </w:p>
    <w:p w14:paraId="2DB8A05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pienso mucho..no recuerdo que... pero sé que pienso mucho..</w:t>
      </w:r>
    </w:p>
    <w:p w14:paraId="1EEBBA7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de pronto...es el recreo..</w:t>
      </w:r>
    </w:p>
    <w:p w14:paraId="545D3C0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salimos todos los escolares a comprar, correr.. etc.</w:t>
      </w:r>
    </w:p>
    <w:p w14:paraId="17D589E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yo.. como siempre.. estoy solo..</w:t>
      </w:r>
    </w:p>
    <w:p w14:paraId="7617375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sé poque no puedo hacer amigos...</w:t>
      </w:r>
    </w:p>
    <w:p w14:paraId="73B2935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o soy muy aburrido.. o ellos me aburren a mi.... creo que es lo primero...</w:t>
      </w:r>
    </w:p>
    <w:p w14:paraId="24CC4EB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miro para todos los lados.. no se a que grupo juntarme.. no tengo grupo.</w:t>
      </w:r>
    </w:p>
    <w:p w14:paraId="4CF5C7E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Venden raspadillas en un triciclo....</w:t>
      </w:r>
    </w:p>
    <w:p w14:paraId="0C02026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una idea viene a mi mente..</w:t>
      </w:r>
    </w:p>
    <w:p w14:paraId="44238A2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quiero tener amigos...</w:t>
      </w:r>
    </w:p>
    <w:p w14:paraId="2276E3D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planeo una estrategia... les compraré raspadillas..</w:t>
      </w:r>
    </w:p>
    <w:p w14:paraId="461060E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así que me acerco a unos compañeros de estudio...</w:t>
      </w:r>
    </w:p>
    <w:p w14:paraId="7D61C8D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de pronto les hago la indecente propuesta:</w:t>
      </w:r>
    </w:p>
    <w:p w14:paraId="2B63D5C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¿quieren raspadilla?  ¡yo invito!...</w:t>
      </w:r>
    </w:p>
    <w:p w14:paraId="300CE0C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veo los ojos de mis compañeros..</w:t>
      </w:r>
    </w:p>
    <w:p w14:paraId="7917EF9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todos estan felices.. todos aceptan..</w:t>
      </w:r>
    </w:p>
    <w:p w14:paraId="264F174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así.. vamos a por las raspadillas..</w:t>
      </w:r>
    </w:p>
    <w:p w14:paraId="433D954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pago... se relamen y refrescan...</w:t>
      </w:r>
    </w:p>
    <w:p w14:paraId="2C958AE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de pronto.. como  quien no quiere la cosa... desaparecen..</w:t>
      </w:r>
    </w:p>
    <w:p w14:paraId="7FFDC6C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me acuerdo que me dijeran gracias siquiera..</w:t>
      </w:r>
    </w:p>
    <w:p w14:paraId="45BEE55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Fue allí que me di cuenta que eso de comprar amigos no funciona.</w:t>
      </w:r>
    </w:p>
    <w:p w14:paraId="4770B43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puedes comprarte la amistad.. ni el hecho que te quieran..</w:t>
      </w:r>
    </w:p>
    <w:p w14:paraId="49BF512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fue así que decidí nunca más intentar estratagemas económicas para tener amigos...</w:t>
      </w:r>
    </w:p>
    <w:p w14:paraId="4B98A8C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me quedé solo...hasta ahora.</w:t>
      </w:r>
    </w:p>
    <w:p w14:paraId="3A8F6D7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(mañana continuo)</w:t>
      </w:r>
    </w:p>
    <w:p w14:paraId="2B67A7FB" w14:textId="77777777" w:rsidR="00727CE6" w:rsidRPr="000D3432" w:rsidRDefault="00727CE6" w:rsidP="00A95498">
      <w:pPr>
        <w:rPr>
          <w:rFonts w:asciiTheme="minorHAnsi" w:hAnsiTheme="minorHAnsi"/>
          <w:szCs w:val="24"/>
        </w:rPr>
      </w:pPr>
    </w:p>
    <w:p w14:paraId="42A406AD" w14:textId="77777777" w:rsidR="00727CE6" w:rsidRPr="000D3432" w:rsidRDefault="00727CE6" w:rsidP="00A95498">
      <w:pPr>
        <w:rPr>
          <w:rFonts w:asciiTheme="minorHAnsi" w:hAnsiTheme="minorHAnsi"/>
          <w:szCs w:val="24"/>
        </w:rPr>
      </w:pPr>
    </w:p>
    <w:p w14:paraId="049277DD"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p>
    <w:p w14:paraId="020D0246"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bookmarkStart w:id="133" w:name="_Toc318102938"/>
      <w:r w:rsidRPr="000D3432">
        <w:rPr>
          <w:rFonts w:asciiTheme="minorHAnsi" w:hAnsiTheme="minorHAnsi" w:cs="Arial"/>
          <w:bCs/>
          <w:caps/>
          <w:color w:val="2B3334"/>
          <w:sz w:val="24"/>
          <w:szCs w:val="24"/>
        </w:rPr>
        <w:t>DESPUES......</w:t>
      </w:r>
      <w:bookmarkEnd w:id="133"/>
    </w:p>
    <w:p w14:paraId="481CF89E" w14:textId="77777777" w:rsidR="00727CE6" w:rsidRPr="000D3432" w:rsidRDefault="00727CE6" w:rsidP="00A95498">
      <w:pPr>
        <w:pStyle w:val="NormalWeb"/>
        <w:spacing w:before="0" w:beforeAutospacing="0" w:after="0" w:afterAutospacing="0"/>
        <w:rPr>
          <w:rFonts w:asciiTheme="minorHAnsi" w:hAnsiTheme="minorHAnsi" w:cs="Arial"/>
          <w:color w:val="2B3334"/>
        </w:rPr>
      </w:pPr>
    </w:p>
    <w:p w14:paraId="1A7AA04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Otra noche emblemática..</w:t>
      </w:r>
    </w:p>
    <w:p w14:paraId="6D640E0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Estoy solo nuevamente y no creo en los futuros..</w:t>
      </w:r>
    </w:p>
    <w:p w14:paraId="327ADF8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la vida es cruel con quien no se resigna..</w:t>
      </w:r>
    </w:p>
    <w:p w14:paraId="2EDE5F3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de pronto decido romper con mis esquemas de vida..</w:t>
      </w:r>
    </w:p>
    <w:p w14:paraId="23F78FA8"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resignarme a mi situación...</w:t>
      </w:r>
    </w:p>
    <w:p w14:paraId="6B4EEF3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tomar todo lo que este a la mano..</w:t>
      </w:r>
    </w:p>
    <w:p w14:paraId="4E3C840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tomar la felicidad en mis manos</w:t>
      </w:r>
    </w:p>
    <w:p w14:paraId="02A2A37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con quien este cerca..</w:t>
      </w:r>
    </w:p>
    <w:p w14:paraId="3466D82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 mas daba.. una u otra mujer.. total el amor es sólo una cuestión mental..</w:t>
      </w:r>
    </w:p>
    <w:p w14:paraId="687F905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así.. decidí llamar por teléfono..</w:t>
      </w:r>
    </w:p>
    <w:p w14:paraId="00D206B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hola, le digo.. ¿puedes salir? Ella acepta.. esta ilusionada conmigo...</w:t>
      </w:r>
    </w:p>
    <w:p w14:paraId="1459816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tiene un cuerpo escultural y no se porqué le gusto..</w:t>
      </w:r>
    </w:p>
    <w:p w14:paraId="48C58F0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cree que soy tierno....</w:t>
      </w:r>
    </w:p>
    <w:p w14:paraId="5E0DD42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o algo así...</w:t>
      </w:r>
    </w:p>
    <w:p w14:paraId="538FD57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esa noche estaba dispuesto a ser un ligth.. un hombre sin preferencias.. un ser humano de carne y hueso</w:t>
      </w:r>
    </w:p>
    <w:p w14:paraId="4FFC5FF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esa noche estaba decidido a cogérmela... aunque no la amara..</w:t>
      </w:r>
    </w:p>
    <w:p w14:paraId="1FFB442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porque la vida era así.. porque no importaba si amaras o no.. habia que vivir..</w:t>
      </w:r>
    </w:p>
    <w:p w14:paraId="057169F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porque había llegado a lo que no quería llegar: la resignación.</w:t>
      </w:r>
    </w:p>
    <w:p w14:paraId="6AFA5F7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porque no podía crear mi destino.. y era el destino quien se me imponía.</w:t>
      </w:r>
    </w:p>
    <w:p w14:paraId="222CA64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porque estaba desencantado.. y en agonía por una mujer...</w:t>
      </w:r>
    </w:p>
    <w:p w14:paraId="25F2DF9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71792EE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5109157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mientras sentía el alma trizas....</w:t>
      </w:r>
    </w:p>
    <w:p w14:paraId="6489E71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quería de verdad cogérmela..</w:t>
      </w:r>
    </w:p>
    <w:p w14:paraId="19748F7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supe que el alma es  más fuerte que la naturaleza....</w:t>
      </w:r>
    </w:p>
    <w:p w14:paraId="27B1989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 los sentimientos te atrapan. y te matan..</w:t>
      </w:r>
    </w:p>
    <w:p w14:paraId="633774B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 los sentimientos anulan cualquier naturaleza</w:t>
      </w:r>
    </w:p>
    <w:p w14:paraId="6185F34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incluso la sexual...</w:t>
      </w:r>
    </w:p>
    <w:p w14:paraId="6AD3310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supe porque el amor.. es siempre  más fuerte..</w:t>
      </w:r>
    </w:p>
    <w:p w14:paraId="430DB16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porque este puede formar o distorsionar todo..</w:t>
      </w:r>
    </w:p>
    <w:p w14:paraId="7F5B11E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asi que la deje ir...</w:t>
      </w:r>
    </w:p>
    <w:p w14:paraId="63CBD80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por supuesto.. ella me odio.. y se fue sorprendida...</w:t>
      </w:r>
    </w:p>
    <w:p w14:paraId="1E2BC5C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yo quedé como poco hombre....</w:t>
      </w:r>
    </w:p>
    <w:p w14:paraId="104F74C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me quedé como todo un idiota... sintiendo.. herido... acabado.</w:t>
      </w:r>
    </w:p>
    <w:p w14:paraId="5340D2E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78E8FB5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 (mañana continuo...)</w:t>
      </w:r>
    </w:p>
    <w:p w14:paraId="1CFEC3EC" w14:textId="77777777" w:rsidR="00727CE6" w:rsidRPr="000D3432" w:rsidRDefault="00727CE6" w:rsidP="00A95498">
      <w:pPr>
        <w:rPr>
          <w:rFonts w:asciiTheme="minorHAnsi" w:hAnsiTheme="minorHAnsi"/>
          <w:szCs w:val="24"/>
        </w:rPr>
      </w:pPr>
    </w:p>
    <w:p w14:paraId="74AEF8B1" w14:textId="77777777" w:rsidR="00727CE6" w:rsidRPr="000D3432" w:rsidRDefault="00727CE6" w:rsidP="00A95498">
      <w:pPr>
        <w:rPr>
          <w:rFonts w:asciiTheme="minorHAnsi" w:hAnsiTheme="minorHAnsi"/>
          <w:szCs w:val="24"/>
        </w:rPr>
      </w:pPr>
    </w:p>
    <w:p w14:paraId="5A95B972" w14:textId="77777777" w:rsidR="00727CE6" w:rsidRPr="000D3432" w:rsidRDefault="00727CE6" w:rsidP="00963DC1">
      <w:pPr>
        <w:jc w:val="center"/>
        <w:rPr>
          <w:rFonts w:asciiTheme="minorHAnsi" w:hAnsiTheme="minorHAnsi"/>
          <w:b/>
          <w:szCs w:val="24"/>
        </w:rPr>
      </w:pPr>
    </w:p>
    <w:p w14:paraId="3CF824C7"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bookmarkStart w:id="134" w:name="_Toc318102939"/>
      <w:r w:rsidRPr="000D3432">
        <w:rPr>
          <w:rFonts w:asciiTheme="minorHAnsi" w:hAnsiTheme="minorHAnsi" w:cs="Arial"/>
          <w:bCs/>
          <w:caps/>
          <w:color w:val="2B3334"/>
          <w:sz w:val="24"/>
          <w:szCs w:val="24"/>
        </w:rPr>
        <w:t>SOBRE LA ARENA</w:t>
      </w:r>
      <w:bookmarkEnd w:id="134"/>
    </w:p>
    <w:p w14:paraId="16A7C262" w14:textId="77777777" w:rsidR="00727CE6" w:rsidRPr="000D3432" w:rsidRDefault="00727CE6" w:rsidP="00A95498">
      <w:pPr>
        <w:pStyle w:val="NormalWeb"/>
        <w:spacing w:before="0" w:beforeAutospacing="0" w:after="0" w:afterAutospacing="0"/>
        <w:rPr>
          <w:rFonts w:asciiTheme="minorHAnsi" w:hAnsiTheme="minorHAnsi" w:cs="Arial"/>
          <w:color w:val="2B3334"/>
        </w:rPr>
      </w:pPr>
    </w:p>
    <w:p w14:paraId="3CD8E62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10:30 de la noche:</w:t>
      </w:r>
    </w:p>
    <w:p w14:paraId="6801EA4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Me llaman por teléfono.</w:t>
      </w:r>
    </w:p>
    <w:p w14:paraId="2C85F25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Una voz dulce medio entumecida me dice que quiere verme....</w:t>
      </w:r>
    </w:p>
    <w:p w14:paraId="29AF158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siento que es ella. .y que está ebria.. sufro...</w:t>
      </w:r>
    </w:p>
    <w:p w14:paraId="3CD9A3A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voy a buscarla.. la encuentro en lo que antes era el De Cajón (una discoteca tacneña)</w:t>
      </w:r>
    </w:p>
    <w:p w14:paraId="0468F03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la noche es exacta para estos actos... decepción y dolor...</w:t>
      </w:r>
    </w:p>
    <w:p w14:paraId="48D3B1E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la noche esta envuelta de licor... de risas, luces y ...</w:t>
      </w:r>
    </w:p>
    <w:p w14:paraId="7C5C37B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la encuentro... esta triste, dolida, molesta..</w:t>
      </w:r>
    </w:p>
    <w:p w14:paraId="78D34B8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me dice.... me han robado mi celular..</w:t>
      </w:r>
    </w:p>
    <w:p w14:paraId="5D05CCF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casi no puede hilvanar bien las palabras.. pero hay en su rostro</w:t>
      </w:r>
    </w:p>
    <w:p w14:paraId="429505D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enfado..</w:t>
      </w:r>
    </w:p>
    <w:p w14:paraId="6A0E928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le pregunto.. quien le ha robado.. donde?</w:t>
      </w:r>
    </w:p>
    <w:p w14:paraId="4C17209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sabe que contestar..</w:t>
      </w:r>
    </w:p>
    <w:p w14:paraId="2E498CB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luego de un momento me dice: en la casa de mi amiga....en una fiesta..</w:t>
      </w:r>
    </w:p>
    <w:p w14:paraId="56A7C568"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Tomamos un taxi....</w:t>
      </w:r>
    </w:p>
    <w:p w14:paraId="7D4D15D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ubicamos el lugar a duras penas.. porque ella no puede ver bien..</w:t>
      </w:r>
    </w:p>
    <w:p w14:paraId="114B20D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se confunde.. esta ebria....</w:t>
      </w:r>
    </w:p>
    <w:p w14:paraId="0A377BD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llegamos.. toca la puerta, pregunta por alguien..</w:t>
      </w:r>
    </w:p>
    <w:p w14:paraId="0D96FFF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le contestan que todo ya acabó allí..</w:t>
      </w:r>
    </w:p>
    <w:p w14:paraId="74E648D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 se vaya a su casa.. (roche)</w:t>
      </w:r>
    </w:p>
    <w:p w14:paraId="418492E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quiero pensar... la veo linda.. aun así ebria..</w:t>
      </w:r>
    </w:p>
    <w:p w14:paraId="16058B0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todo eso me afecta... en ese tiempo que pense que la amaba....</w:t>
      </w:r>
    </w:p>
    <w:p w14:paraId="6DB2775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nos dirigimos luego a la casa de otra amiga..</w:t>
      </w:r>
    </w:p>
    <w:p w14:paraId="7298ED2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baja del vehículo.. toca como loca la puerta..</w:t>
      </w:r>
    </w:p>
    <w:p w14:paraId="6FCE624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sale una persona.. no se si hombre o mujer.. y se dicen algo..</w:t>
      </w:r>
    </w:p>
    <w:p w14:paraId="5B9C524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algo grotesco, duro.. algo que no logro escuchar.. pero si se descifrar..</w:t>
      </w:r>
    </w:p>
    <w:p w14:paraId="170D083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luego la llevo a mi casa..(habitacion alquilada)</w:t>
      </w:r>
    </w:p>
    <w:p w14:paraId="6A0210E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pues necesitaba el servicio... .</w:t>
      </w:r>
    </w:p>
    <w:p w14:paraId="6C50759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me dice que espere el taxi...me doy cuenta que ella ha utilizado un mecanismo de seguridad en el taxi...</w:t>
      </w:r>
    </w:p>
    <w:p w14:paraId="65BB263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ingresamos.. el taxi espera</w:t>
      </w:r>
    </w:p>
    <w:p w14:paraId="57B63DE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esta ebria...y no regresamos al taxi... que aún espera....</w:t>
      </w:r>
    </w:p>
    <w:p w14:paraId="0572E2E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entramos a mi habitación...</w:t>
      </w:r>
    </w:p>
    <w:p w14:paraId="2376782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quiero poseerla. pero me detengo.. esta ebria... no soy de esos.. pensaba que la amaba....</w:t>
      </w:r>
    </w:p>
    <w:p w14:paraId="12ED3728"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la noche es virgen... y ella hace los mismos ademanes...</w:t>
      </w:r>
    </w:p>
    <w:p w14:paraId="3169C71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empieza un pequeño juego amoroso....</w:t>
      </w:r>
    </w:p>
    <w:p w14:paraId="42074A6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caricias por aqui.. y por allá...</w:t>
      </w:r>
    </w:p>
    <w:p w14:paraId="2CBDCF6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lastRenderedPageBreak/>
        <w:t>de pronto recuerda que le han robado el celular,... y comienza a gritar</w:t>
      </w:r>
    </w:p>
    <w:p w14:paraId="08CA333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a bociferar.. hay rabia en sus palabras... y</w:t>
      </w:r>
    </w:p>
    <w:p w14:paraId="501B1FB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yo le cambio de conversación, le pongo música..</w:t>
      </w:r>
    </w:p>
    <w:p w14:paraId="3B9D8B4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ella.. fantástica en eso.... describe la música...</w:t>
      </w:r>
    </w:p>
    <w:p w14:paraId="25F5C33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 un sueño escuchar sus interpretaciones..</w:t>
      </w:r>
    </w:p>
    <w:p w14:paraId="604E0DC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hace de cada tonada una historia.. la interpreta.. comenta.. distorsiona a su manera..</w:t>
      </w:r>
    </w:p>
    <w:p w14:paraId="2D74A45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 me digo alguien especial..es alucinante....</w:t>
      </w:r>
    </w:p>
    <w:p w14:paraId="6ED0F418"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se mira en el espejo y modela...</w:t>
      </w:r>
    </w:p>
    <w:p w14:paraId="613124C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 linda.. muy linda.... delgada.... muy delgada... estuve enamorado....creo..</w:t>
      </w:r>
    </w:p>
    <w:p w14:paraId="355D652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se mira una y otra vez en el espejo... y coquetea con su figura.. sus curvas.. sus labios..</w:t>
      </w:r>
    </w:p>
    <w:p w14:paraId="5AFD4D3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coquetea con su reflejo... y yo que la miro.. me digo que es linda.. muy linda..</w:t>
      </w:r>
    </w:p>
    <w:p w14:paraId="428954C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el taxi espera.....</w:t>
      </w:r>
    </w:p>
    <w:p w14:paraId="29876AC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de pronto otra vez en mis brazos...</w:t>
      </w:r>
    </w:p>
    <w:p w14:paraId="4B175AF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como quien no quiere la cosa me dice: vamos a la playa....</w:t>
      </w:r>
    </w:p>
    <w:p w14:paraId="5A0A4C7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yo no puedo negarme...</w:t>
      </w:r>
    </w:p>
    <w:p w14:paraId="58243FA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esta ebria.. habla endiabladamente bien... inventa historias.. esta loca....</w:t>
      </w:r>
    </w:p>
    <w:p w14:paraId="01ABD6D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acepto... bajamos.. despido al taxi....</w:t>
      </w:r>
    </w:p>
    <w:p w14:paraId="385EE8A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tomamos otro taxi.. llevo una manta..</w:t>
      </w:r>
    </w:p>
    <w:p w14:paraId="2C0F242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luego de unos minutos llegamos a la playa..</w:t>
      </w:r>
    </w:p>
    <w:p w14:paraId="5BEA0D4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ella esta ebria.....</w:t>
      </w:r>
    </w:p>
    <w:p w14:paraId="3D0D6B3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dice muchas cosas..</w:t>
      </w:r>
    </w:p>
    <w:p w14:paraId="46D5E1F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digo y escucho mucho más...</w:t>
      </w:r>
    </w:p>
    <w:p w14:paraId="164A65D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buscamos un lugar donde tendernos..</w:t>
      </w:r>
    </w:p>
    <w:p w14:paraId="3F30FFC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ella esta ebria...</w:t>
      </w:r>
    </w:p>
    <w:p w14:paraId="55D0807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la tapo con la manta..</w:t>
      </w:r>
    </w:p>
    <w:p w14:paraId="3ADDC1B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pongo mi mano izquierda debajo de su cabecita.. para que no se ensucie con la arena..</w:t>
      </w:r>
    </w:p>
    <w:p w14:paraId="685CFA1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dice algunas cosas...y se duerme...</w:t>
      </w:r>
    </w:p>
    <w:p w14:paraId="51F4480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esta ebria..</w:t>
      </w:r>
    </w:p>
    <w:p w14:paraId="237C53C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puedo aprovecharme...</w:t>
      </w:r>
    </w:p>
    <w:p w14:paraId="73A65F8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ella esta ebria...</w:t>
      </w:r>
    </w:p>
    <w:p w14:paraId="50AB389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sin embargo.. solo me quedo quieto..</w:t>
      </w:r>
    </w:p>
    <w:p w14:paraId="53A62F5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quiero despertarla..</w:t>
      </w:r>
    </w:p>
    <w:p w14:paraId="2973624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mi brazo esta debajo de su cabecita..</w:t>
      </w:r>
    </w:p>
    <w:p w14:paraId="4A8DAAF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quiero moverme porque de pronto se me acalambra el brazo...</w:t>
      </w:r>
    </w:p>
    <w:p w14:paraId="37E56F0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no lo hago por no despertarla...</w:t>
      </w:r>
    </w:p>
    <w:p w14:paraId="77E1EF9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 duerma digo.. vale la pena todo esfuerzo..</w:t>
      </w:r>
    </w:p>
    <w:p w14:paraId="31B1FBC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la noche pasa y llega la mañana...</w:t>
      </w:r>
    </w:p>
    <w:p w14:paraId="1413EB1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mi brazo esta adolorido.. acalambrado.. no puedo casi moverlo..</w:t>
      </w:r>
    </w:p>
    <w:p w14:paraId="5B2D976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ella se despierta...</w:t>
      </w:r>
    </w:p>
    <w:p w14:paraId="7F156AE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le digo muy dulcemente y en broma, que le he hecho el amor..</w:t>
      </w:r>
    </w:p>
    <w:p w14:paraId="73B2499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ella sonrie.. y yo me sorprendo.. porque pense se iba a molestar..</w:t>
      </w:r>
    </w:p>
    <w:p w14:paraId="19BE693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pero no.. ella sonrie.. y luego pienso.. que yo  no le hice el amor.. por no enfadarla...</w:t>
      </w:r>
    </w:p>
    <w:p w14:paraId="38D66B5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ahora ella.. solo sonrie..</w:t>
      </w:r>
    </w:p>
    <w:p w14:paraId="14DFFF8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no me queda otra que decirle la verdad. no ha pasado nada..</w:t>
      </w:r>
    </w:p>
    <w:p w14:paraId="705BD17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lastRenderedPageBreak/>
        <w:t>pero me hubiera gustado..</w:t>
      </w:r>
    </w:p>
    <w:p w14:paraId="0D7F84C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ella ...... sigue sonriendo... como diciéndome mentalmente "tonto", "ingenuo", "tierno", o qué se yo..</w:t>
      </w:r>
    </w:p>
    <w:p w14:paraId="7015386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mejor ya  no  pienso y olvido....</w:t>
      </w:r>
    </w:p>
    <w:p w14:paraId="7922BD0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44B9E90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sin embargo... luego de todo lo narrado..</w:t>
      </w:r>
    </w:p>
    <w:p w14:paraId="2B2E137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me sentí un estúpido. .un idiota confeso..</w:t>
      </w:r>
    </w:p>
    <w:p w14:paraId="21AD156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un baboso.. pues me quedaba la duda de si había hecho bien o mal..</w:t>
      </w:r>
    </w:p>
    <w:p w14:paraId="081B804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muchas veces me preguntaba qué hubiera pasado si le hubiera hecho el amor..</w:t>
      </w:r>
    </w:p>
    <w:p w14:paraId="221474B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Pero.. el tiempo.. que me dejaba enmudecido y perplejo por su inconstrastable complejidad..</w:t>
      </w:r>
    </w:p>
    <w:p w14:paraId="05CF4DC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me ha dado la respuesta.. fue mejor que no pasara nada..</w:t>
      </w:r>
    </w:p>
    <w:p w14:paraId="7CE894D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pues me siento tranquilo.. y aunque estúpido o no... al menos me queda la sensación</w:t>
      </w:r>
    </w:p>
    <w:p w14:paraId="01A25D5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de no haber sido un vivo.</w:t>
      </w:r>
    </w:p>
    <w:p w14:paraId="4CE286E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Hoy he olvidado sus labios rojos..</w:t>
      </w:r>
    </w:p>
    <w:p w14:paraId="295D1DC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su cuerpo de sirena..</w:t>
      </w:r>
    </w:p>
    <w:p w14:paraId="744C883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sus interpretaciones endiabladas del mundo.. de la musica.. y de la locura..</w:t>
      </w:r>
    </w:p>
    <w:p w14:paraId="3712FB9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hoy he olvidado todo.. aquello que un día pensé que no podría olvidar..</w:t>
      </w:r>
    </w:p>
    <w:p w14:paraId="6E4B176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hoy el ayer ha quedado  allí. olvidado, indiferente...</w:t>
      </w:r>
    </w:p>
    <w:p w14:paraId="51CD260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lo curioso es que cuando pasa por mi lado..... no siento nada..</w:t>
      </w:r>
    </w:p>
    <w:p w14:paraId="4637C3B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ella.. se detiene.. se voltea.. hace algún ademán de incomodidad.. de timidez..</w:t>
      </w:r>
    </w:p>
    <w:p w14:paraId="645C04AB"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yo.. que quisiera sentir ya algo.. no logro sentir ya nada..</w:t>
      </w:r>
    </w:p>
    <w:p w14:paraId="392BEF0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solo indiferencia.. y hasta pena..</w:t>
      </w:r>
    </w:p>
    <w:p w14:paraId="657D063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por no poder sentir lo que un día pense...</w:t>
      </w:r>
    </w:p>
    <w:p w14:paraId="0864CB7F"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mañana continuo)</w:t>
      </w:r>
    </w:p>
    <w:p w14:paraId="1DDF743F" w14:textId="77777777" w:rsidR="00727CE6" w:rsidRPr="000D3432" w:rsidRDefault="00727CE6" w:rsidP="00A95498">
      <w:pPr>
        <w:rPr>
          <w:rFonts w:asciiTheme="minorHAnsi" w:hAnsiTheme="minorHAnsi"/>
          <w:szCs w:val="24"/>
        </w:rPr>
      </w:pPr>
    </w:p>
    <w:p w14:paraId="207B55B4" w14:textId="77777777" w:rsidR="00727CE6" w:rsidRPr="000D3432" w:rsidRDefault="00727CE6" w:rsidP="00A95498">
      <w:pPr>
        <w:rPr>
          <w:rFonts w:asciiTheme="minorHAnsi" w:hAnsiTheme="minorHAnsi"/>
          <w:szCs w:val="24"/>
        </w:rPr>
      </w:pPr>
    </w:p>
    <w:p w14:paraId="1BF2C474"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p>
    <w:p w14:paraId="4B6744D2" w14:textId="77777777" w:rsidR="00727CE6" w:rsidRPr="000D3432" w:rsidRDefault="00727CE6" w:rsidP="00963DC1">
      <w:pPr>
        <w:pStyle w:val="Ttulo1"/>
        <w:spacing w:line="240" w:lineRule="auto"/>
        <w:jc w:val="center"/>
        <w:rPr>
          <w:rFonts w:asciiTheme="minorHAnsi" w:hAnsiTheme="minorHAnsi" w:cs="Arial"/>
          <w:bCs/>
          <w:caps/>
          <w:color w:val="2B3334"/>
          <w:sz w:val="24"/>
          <w:szCs w:val="24"/>
        </w:rPr>
      </w:pPr>
      <w:bookmarkStart w:id="135" w:name="_Toc318102940"/>
      <w:r w:rsidRPr="000D3432">
        <w:rPr>
          <w:rFonts w:asciiTheme="minorHAnsi" w:hAnsiTheme="minorHAnsi" w:cs="Arial"/>
          <w:bCs/>
          <w:caps/>
          <w:color w:val="2B3334"/>
          <w:sz w:val="24"/>
          <w:szCs w:val="24"/>
        </w:rPr>
        <w:t>DESAIRE SEXUAL</w:t>
      </w:r>
      <w:bookmarkEnd w:id="135"/>
    </w:p>
    <w:p w14:paraId="53C80C59" w14:textId="77777777" w:rsidR="00727CE6" w:rsidRPr="000D3432" w:rsidRDefault="00727CE6" w:rsidP="00A95498">
      <w:pPr>
        <w:pStyle w:val="NormalWeb"/>
        <w:spacing w:before="0" w:beforeAutospacing="0" w:after="0" w:afterAutospacing="0"/>
        <w:rPr>
          <w:rFonts w:asciiTheme="minorHAnsi" w:hAnsiTheme="minorHAnsi" w:cs="Arial"/>
          <w:color w:val="2B3334"/>
        </w:rPr>
      </w:pPr>
    </w:p>
    <w:p w14:paraId="3C8E86E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Una noche. hace creo más de once años...</w:t>
      </w:r>
    </w:p>
    <w:p w14:paraId="42DB0EB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deseoso de cogerme a mi enamorada de entonces.</w:t>
      </w:r>
    </w:p>
    <w:p w14:paraId="68D02312"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le insistía, con miles de palabras que  no supe hilvanar bien, pues no accedia.</w:t>
      </w:r>
    </w:p>
    <w:p w14:paraId="13DE6A4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pues hacia ademanes de virgen, o de no ser de "ese tipo de mujeres"</w:t>
      </w:r>
    </w:p>
    <w:p w14:paraId="569F8EC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de pronto ella me dijo que si tanto insistía, fuera al burdel...</w:t>
      </w:r>
    </w:p>
    <w:p w14:paraId="4235BE4A"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quedé atónico.. sorprendido por la arremetida propuesta de mi entonces enamorada.</w:t>
      </w:r>
    </w:p>
    <w:p w14:paraId="22D1EDBC"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ella siguió diciendome: si quieres yo te dejo allí; y luego nos vemos.</w:t>
      </w:r>
    </w:p>
    <w:p w14:paraId="6A99F86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Quedé, como bien pensarán, "arrollado", con su propuesta.</w:t>
      </w:r>
    </w:p>
    <w:p w14:paraId="2FDB364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sólo no le importaba que fuera a estar con otra mujer, sino que fuera además con</w:t>
      </w:r>
    </w:p>
    <w:p w14:paraId="07BCFCE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una de esas chicas buenas que están con todos.</w:t>
      </w:r>
    </w:p>
    <w:p w14:paraId="783E3673"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Para mis gustos un poco caprichosos.. que alguien me diga eso.. y más, que me lo diga mi enamorada de entonces..fue</w:t>
      </w:r>
    </w:p>
    <w:p w14:paraId="05BBDD8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una bofetada, como un golpe en cabeza, en la naríz, en los ojos, en el cuerpo, y en el alma.</w:t>
      </w:r>
    </w:p>
    <w:p w14:paraId="132D5DE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sólo no me quería pensé. Sino que me humillaba.</w:t>
      </w:r>
    </w:p>
    <w:p w14:paraId="4E79328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Pero ello no quedó así.</w:t>
      </w:r>
    </w:p>
    <w:p w14:paraId="1A9522D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pues me dijo, para rematarla, que con su anterior enamorado había hecho lomismo, que ella misma lo había llevado al burdel, y listo.. todo había salido bien.</w:t>
      </w:r>
    </w:p>
    <w:p w14:paraId="66656C5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Imaginen lo que sentí: arrollado, humillado, y desecho, por tanta bondad, y generosidad, que me sabía a desamor.</w:t>
      </w:r>
    </w:p>
    <w:p w14:paraId="5BFB0DB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acepté, como imaginarán.</w:t>
      </w:r>
    </w:p>
    <w:p w14:paraId="494A0ED4"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Pero me quedó la sensación que esa no era la relación que yo quería.</w:t>
      </w:r>
    </w:p>
    <w:p w14:paraId="3927C3B1"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quería la comprensión de  una mujer así. quería sus celos, sus caprichos, sus berrinches y acaparamiento...,</w:t>
      </w:r>
    </w:p>
    <w:p w14:paraId="458B2DA0"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No quería tanta libertad con sabor a desinterés, a desamor.</w:t>
      </w:r>
    </w:p>
    <w:p w14:paraId="0762222E"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5AC5E406"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74C9A58D"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esos fueron algunos motivos que me hicieron alejarme.. olvidar.. liberarme..</w:t>
      </w:r>
    </w:p>
    <w:p w14:paraId="76E0F739"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y fue por esos caprichos de la vida.. que dejé, un dia.. de sentir..</w:t>
      </w:r>
    </w:p>
    <w:p w14:paraId="2F794037"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continuará.......)</w:t>
      </w:r>
    </w:p>
    <w:p w14:paraId="59A15738" w14:textId="77777777" w:rsidR="00727CE6" w:rsidRPr="000D3432" w:rsidRDefault="00727CE6" w:rsidP="00A95498">
      <w:pPr>
        <w:rPr>
          <w:rFonts w:asciiTheme="minorHAnsi" w:hAnsiTheme="minorHAnsi"/>
          <w:szCs w:val="24"/>
        </w:rPr>
      </w:pPr>
    </w:p>
    <w:p w14:paraId="1D9BE5FF" w14:textId="77777777" w:rsidR="00727CE6" w:rsidRPr="000D3432" w:rsidRDefault="00727CE6" w:rsidP="00A95498">
      <w:pPr>
        <w:rPr>
          <w:rFonts w:asciiTheme="minorHAnsi" w:hAnsiTheme="minorHAnsi"/>
          <w:szCs w:val="24"/>
        </w:rPr>
      </w:pPr>
    </w:p>
    <w:p w14:paraId="2B12E5B8" w14:textId="77777777" w:rsidR="00963DC1" w:rsidRPr="000D3432" w:rsidRDefault="00727CE6" w:rsidP="00963DC1">
      <w:pPr>
        <w:jc w:val="center"/>
        <w:outlineLvl w:val="0"/>
        <w:rPr>
          <w:rFonts w:asciiTheme="minorHAnsi" w:hAnsiTheme="minorHAnsi" w:cs="Arial"/>
          <w:b/>
          <w:caps/>
          <w:color w:val="2B3334"/>
          <w:kern w:val="36"/>
          <w:szCs w:val="24"/>
        </w:rPr>
      </w:pPr>
      <w:r w:rsidRPr="000D3432">
        <w:rPr>
          <w:rFonts w:asciiTheme="minorHAnsi" w:hAnsiTheme="minorHAnsi" w:cs="Arial"/>
          <w:b/>
          <w:caps/>
          <w:color w:val="2B3334"/>
          <w:kern w:val="36"/>
          <w:szCs w:val="24"/>
        </w:rPr>
        <w:t xml:space="preserve">LA IMPERTINENCIA DE SER </w:t>
      </w:r>
    </w:p>
    <w:p w14:paraId="18DE1186" w14:textId="0F03918C" w:rsidR="00727CE6" w:rsidRPr="000D3432" w:rsidRDefault="00727CE6" w:rsidP="00963DC1">
      <w:pPr>
        <w:jc w:val="center"/>
        <w:outlineLvl w:val="0"/>
        <w:rPr>
          <w:rFonts w:asciiTheme="minorHAnsi" w:hAnsiTheme="minorHAnsi" w:cs="Arial"/>
          <w:b/>
          <w:caps/>
          <w:color w:val="2B3334"/>
          <w:kern w:val="36"/>
          <w:szCs w:val="24"/>
        </w:rPr>
      </w:pPr>
      <w:r w:rsidRPr="000D3432">
        <w:rPr>
          <w:rFonts w:asciiTheme="minorHAnsi" w:hAnsiTheme="minorHAnsi" w:cs="Arial"/>
          <w:b/>
          <w:caps/>
          <w:color w:val="2B3334"/>
          <w:kern w:val="36"/>
          <w:szCs w:val="24"/>
        </w:rPr>
        <w:t>DOCENTE UNIVERSITARIO)</w:t>
      </w:r>
    </w:p>
    <w:p w14:paraId="1A52F023" w14:textId="77777777" w:rsidR="00727CE6" w:rsidRPr="000D3432" w:rsidRDefault="00727CE6" w:rsidP="00A95498">
      <w:pPr>
        <w:outlineLvl w:val="0"/>
        <w:rPr>
          <w:rFonts w:asciiTheme="minorHAnsi" w:hAnsiTheme="minorHAnsi" w:cs="Arial"/>
          <w:caps/>
          <w:color w:val="2B3334"/>
          <w:kern w:val="36"/>
          <w:szCs w:val="24"/>
        </w:rPr>
      </w:pPr>
    </w:p>
    <w:p w14:paraId="145FDA9C" w14:textId="2A1CB9DC" w:rsidR="00727CE6" w:rsidRPr="000D3432" w:rsidRDefault="00727CE6" w:rsidP="00A95498">
      <w:pPr>
        <w:rPr>
          <w:rFonts w:asciiTheme="minorHAnsi" w:hAnsiTheme="minorHAnsi" w:cs="Arial"/>
          <w:color w:val="2B3334"/>
          <w:szCs w:val="24"/>
        </w:rPr>
      </w:pPr>
    </w:p>
    <w:p w14:paraId="3B9EEE60"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Esta parte, debo confesarlo, es porque talvez algún docente joven, o mayor, ingrese a las aulas univesitarias como docente, y se encuentre con un sinfín de complejos, de azares, de ires y venires, en la actividad docente.</w:t>
      </w:r>
    </w:p>
    <w:p w14:paraId="5B2B9C16"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Quiero anotar, sin embargo, que no escribo estas líneas para maltratar, ni vengarme de nadie, ni de los profesores, ni de los decanos, ni de los alumnos, o administrativos. No escribo para incomodar a nadie. Solo lo hago como una experimentación lúdica, divertida, que puede servir, o no servir, a quien se encuentre en parecida o sutil situación. Escribo para dar mi versión de los hechos; y por ser mi versión, es un acto no de defensa, sino de descaro, de dejadez, de falta de compromiso con aquello que se supone se debe ser: un docente decente, ordenado y responsable.</w:t>
      </w:r>
    </w:p>
    <w:p w14:paraId="330FCF36"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 </w:t>
      </w:r>
    </w:p>
    <w:p w14:paraId="008D0E95"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b/>
          <w:bCs/>
          <w:color w:val="2B3334"/>
          <w:szCs w:val="24"/>
        </w:rPr>
        <w:t>MI PRIMERA EXPERIENCIA:</w:t>
      </w:r>
    </w:p>
    <w:p w14:paraId="3E7513F0"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No puedo recordar aún nada...... mañana talvez.....</w:t>
      </w:r>
    </w:p>
    <w:p w14:paraId="2C8AC5AB"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 </w:t>
      </w:r>
    </w:p>
    <w:p w14:paraId="62CDEA24"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b/>
          <w:bCs/>
          <w:color w:val="2B3334"/>
          <w:szCs w:val="24"/>
        </w:rPr>
        <w:t>LA MALICIA DE LOS ALUMNOS (...)</w:t>
      </w:r>
    </w:p>
    <w:p w14:paraId="109C49B0"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b/>
          <w:bCs/>
          <w:color w:val="2B3334"/>
          <w:szCs w:val="24"/>
        </w:rPr>
        <w:t>LA MALICIA DE LOS PROFESORES (...)</w:t>
      </w:r>
    </w:p>
    <w:p w14:paraId="56C399E9"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b/>
          <w:bCs/>
          <w:color w:val="2B3334"/>
          <w:szCs w:val="24"/>
        </w:rPr>
        <w:t>LA MALICIA DE LOS ADMINISTRATIVOS (...)</w:t>
      </w:r>
    </w:p>
    <w:p w14:paraId="28F46998"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b/>
          <w:bCs/>
          <w:color w:val="2B3334"/>
          <w:szCs w:val="24"/>
        </w:rPr>
        <w:t>MI MALICIA (...)</w:t>
      </w:r>
    </w:p>
    <w:p w14:paraId="4383BFEA"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 </w:t>
      </w:r>
    </w:p>
    <w:p w14:paraId="306649BA" w14:textId="77777777" w:rsidR="00727CE6" w:rsidRPr="000D3432" w:rsidRDefault="00727CE6" w:rsidP="00A95498">
      <w:pPr>
        <w:jc w:val="center"/>
        <w:rPr>
          <w:rFonts w:asciiTheme="minorHAnsi" w:hAnsiTheme="minorHAnsi" w:cs="Arial"/>
          <w:color w:val="2B3334"/>
          <w:szCs w:val="24"/>
        </w:rPr>
      </w:pPr>
      <w:r w:rsidRPr="000D3432">
        <w:rPr>
          <w:rFonts w:asciiTheme="minorHAnsi" w:hAnsiTheme="minorHAnsi" w:cs="Arial"/>
          <w:bCs/>
          <w:color w:val="2B3334"/>
          <w:szCs w:val="24"/>
        </w:rPr>
        <w:t>TIPOS DE PROFESOR</w:t>
      </w:r>
    </w:p>
    <w:p w14:paraId="55740DAF" w14:textId="16F36933"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603DE6A3"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“Me confieso antipedagógico, no se enseñar; no tengo paciencia ni sentido o vocación docente, pero sé algo: no me gusta ser profesor, no quiero ser el responsable de la maldad o bondad de la gente, no quiero formar o deformar los cerebros humanos. Sólo quiero exponer mis ideas, y que alguien las tome o las abandone a su suerte. Quiero ser un libre pensador.” Hanks Bandini.</w:t>
      </w:r>
    </w:p>
    <w:p w14:paraId="41C5E2EA"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5F9F13D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74C8B0A3"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Kerschensteiner menciona cuatro tipo de docentes, entre los que están a)el educador </w:t>
      </w:r>
      <w:r w:rsidRPr="000D3432">
        <w:rPr>
          <w:rFonts w:asciiTheme="minorHAnsi" w:hAnsiTheme="minorHAnsi" w:cs="Arial"/>
          <w:i/>
          <w:iCs/>
          <w:color w:val="2B3334"/>
          <w:szCs w:val="24"/>
        </w:rPr>
        <w:t>angustiado</w:t>
      </w:r>
      <w:r w:rsidRPr="000D3432">
        <w:rPr>
          <w:rFonts w:asciiTheme="minorHAnsi" w:hAnsiTheme="minorHAnsi" w:cs="Arial"/>
          <w:color w:val="2B3334"/>
          <w:szCs w:val="24"/>
        </w:rPr>
        <w:t>,</w:t>
      </w:r>
      <w:r w:rsidRPr="000D3432">
        <w:rPr>
          <w:rFonts w:asciiTheme="minorHAnsi" w:hAnsiTheme="minorHAnsi" w:cs="Arial"/>
          <w:i/>
          <w:iCs/>
          <w:color w:val="2B3334"/>
          <w:szCs w:val="24"/>
        </w:rPr>
        <w:t>educador indolente</w:t>
      </w:r>
      <w:r w:rsidRPr="000D3432">
        <w:rPr>
          <w:rFonts w:asciiTheme="minorHAnsi" w:hAnsiTheme="minorHAnsi" w:cs="Arial"/>
          <w:color w:val="2B3334"/>
          <w:szCs w:val="24"/>
        </w:rPr>
        <w:t>, </w:t>
      </w:r>
      <w:r w:rsidRPr="000D3432">
        <w:rPr>
          <w:rFonts w:asciiTheme="minorHAnsi" w:hAnsiTheme="minorHAnsi" w:cs="Arial"/>
          <w:i/>
          <w:iCs/>
          <w:color w:val="2B3334"/>
          <w:szCs w:val="24"/>
        </w:rPr>
        <w:t>educador ponderado</w:t>
      </w:r>
      <w:r w:rsidRPr="000D3432">
        <w:rPr>
          <w:rFonts w:asciiTheme="minorHAnsi" w:hAnsiTheme="minorHAnsi" w:cs="Arial"/>
          <w:color w:val="2B3334"/>
          <w:szCs w:val="24"/>
        </w:rPr>
        <w:t>, y el elegido </w:t>
      </w:r>
      <w:r w:rsidRPr="000D3432">
        <w:rPr>
          <w:rFonts w:asciiTheme="minorHAnsi" w:hAnsiTheme="minorHAnsi" w:cs="Arial"/>
          <w:i/>
          <w:iCs/>
          <w:color w:val="2B3334"/>
          <w:szCs w:val="24"/>
        </w:rPr>
        <w:t>educador nato</w:t>
      </w:r>
      <w:r w:rsidRPr="000D3432">
        <w:rPr>
          <w:rFonts w:asciiTheme="minorHAnsi" w:hAnsiTheme="minorHAnsi" w:cs="Arial"/>
          <w:color w:val="2B3334"/>
          <w:szCs w:val="24"/>
        </w:rPr>
        <w:t xml:space="preserve">. Este último es el que Kerschensteiner describe como el más óptimo, al menos es al que le inserta las mejores propiedades. ¿Cuales son estas propiedades, estos componentes, que hacen del educador nato el mejor modelo, el mejor tipo? Kerschensteiner dice que es aquel “que tiene sentido pedagógico, es práctico y de mucha fuerza de voluntad. Acostumbra a ser claro y preciso en sus apreciaciones y revela comprensión por los demás. Su más </w:t>
      </w:r>
      <w:r w:rsidRPr="000D3432">
        <w:rPr>
          <w:rFonts w:asciiTheme="minorHAnsi" w:hAnsiTheme="minorHAnsi" w:cs="Arial"/>
          <w:color w:val="2B3334"/>
          <w:szCs w:val="24"/>
        </w:rPr>
        <w:lastRenderedPageBreak/>
        <w:t>ardiente deseo es ayudar a sus alumnos para que desenvuelvan su espiritualidad.”</w:t>
      </w:r>
    </w:p>
    <w:p w14:paraId="522D4A6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2E8B8478"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Y como siempre el asunto no es tan claro como se intenta presentar, porque habría de saber primero que es tener “sentido pedagógico”. Sentido es unidad, relación, “conciencia del fin, del objetivo”; y si esto es así, esa conciencia del objetivo es saber luego que es pedagogía. Esta ha sido definida como “ciencia y arte de la educación”, de la enseñanza. El sentido pedagógico sería así tener conciencia del fin y objetivo de la educación. Es la dirección que busca la educación. ¿Cuál es ese sentido pedagógico entonces? ¿Será enseñar conocimientos, transmisión de datos? No se aclara en este concepto nada de eso, sólo existe un poco claro y ambiguo “sentido pedagógico”. Suponemos que tiene que ver con el hecho de darle énfasis al carácter pedagógico, en el entendido común. Pedagogía es, en este entendido, capacidad de enseñanza, pero ¿qué tipo de enseñanza?, ¿qué se enseña? Recordemos que estamos en una parte del mundo occidental, por lo tanto nuestras líneas de perfección parten de Grecia. Grecia tiene por paradigma el conocimiento, de allí viene todo el entusiasmo por el cientificismo, por eso la definición de la pedagogía como “ciencia”, que indica método, programa, estructura, predictibilidad, objetivismo, etc. No podemos olvidar que en la definición de pedagogía está también el elemento “arte” que es la parte imprevista, la imaginación, los sentidos no objetivos, sino subjetivos. Estos dos medios, instrumentos, “ciencia y arte", dispuestos para la educación. Sin embargo aún no se aclara qué se enseña. O conocimientos, datos, o sentimientos, carácter. Los conocimientos nos lo pueden transmitir también un libro, o el Internet.</w:t>
      </w:r>
    </w:p>
    <w:p w14:paraId="3965B487"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0DCB7D1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Veamos ahora a Caselman. Este autor hace dos clasificaciones, con nombres un poco técnicos, un poco difíciles, con más sonido a términos de arqueología que de educación. Profesores logotropo, y profesores paidotropo. </w:t>
      </w:r>
    </w:p>
    <w:p w14:paraId="528A4088"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1CDA7A33"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El profesor logotropo tiene en su equipaje valores, motivación, inclinación a la filosofía, es decir a la reflexión, o a la ciencia, es decir método, pero la característica es instruir. Y aquí otra vez el problema ¿qué es instruir? Dicen que sólo es dar conocimientos. Cuestión de significandos.</w:t>
      </w:r>
    </w:p>
    <w:p w14:paraId="048EB360"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718409D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Por su lado el profesor paidotropo, va más allá no sólo instruye, sino forma a sus discípulos. Dicen que la clave de la educación, hoy, está en formar al alumno, pero ¿cómo formarlo? Tampoco eso se aclara. Además, se habla de formar a los discípulos. Una aclaración, un docente no tiene discípulos, sino alumnos, que son momentáneos, y a los que no hay que tratar como discípulos, sino como alumnos; quien quiere discípulos quiere hombres que sigan las instrucciones del profesor, del líder. El discípulo es un seguidor, un hombre que depende, y los docentes deben hacer a los alumnos independientes.</w:t>
      </w:r>
    </w:p>
    <w:p w14:paraId="717B78FD"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28DD7F1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Por su parte Adelaide Lisboa de Oliveira hace una descripción más de las defectos de los docentes, y como siempre hay más tipos negativos que positivos en la clasificación de docentes. A uno de ellos le da el nombre de “</w:t>
      </w:r>
      <w:r w:rsidRPr="000D3432">
        <w:rPr>
          <w:rFonts w:asciiTheme="minorHAnsi" w:hAnsiTheme="minorHAnsi" w:cs="Arial"/>
          <w:i/>
          <w:iCs/>
          <w:color w:val="2B3334"/>
          <w:szCs w:val="24"/>
        </w:rPr>
        <w:t>Brillante”,</w:t>
      </w:r>
      <w:r w:rsidRPr="000D3432">
        <w:rPr>
          <w:rFonts w:asciiTheme="minorHAnsi" w:hAnsiTheme="minorHAnsi" w:cs="Arial"/>
          <w:color w:val="2B3334"/>
          <w:szCs w:val="24"/>
        </w:rPr>
        <w:t xml:space="preserve"> que no es más que el que se preocupa por los efectos de la enseñanza, en sus </w:t>
      </w:r>
      <w:r w:rsidRPr="000D3432">
        <w:rPr>
          <w:rFonts w:asciiTheme="minorHAnsi" w:hAnsiTheme="minorHAnsi" w:cs="Arial"/>
          <w:color w:val="2B3334"/>
          <w:szCs w:val="24"/>
        </w:rPr>
        <w:lastRenderedPageBreak/>
        <w:t>alumnos, más que el progreso. Y allí queda todo, sin más explicación. Condorito diría ¡exijo una explicación! Al óptimo lo denomina “El sugestivo”, al cual describe dentro de los elementos del amor, el desprendimiento, productivo, la estética, y la acción, la buena acción.</w:t>
      </w:r>
    </w:p>
    <w:p w14:paraId="54626974"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5E7472E3"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Doring entre sus clasificaciones, describe un tipo que a mi más me atrae, es el tipo esteta, aunque otros hubieran elegido el tipo social.</w:t>
      </w:r>
    </w:p>
    <w:p w14:paraId="34684FF3"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20CFDCD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Luego dentro de los tipos: Instructor, erudito, investigador, educador. Se manifiesta que el óptimo es el educador, porque logra combinar todas estas variantes.</w:t>
      </w:r>
    </w:p>
    <w:p w14:paraId="615718F6"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 </w:t>
      </w:r>
    </w:p>
    <w:p w14:paraId="656589C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CARACTERÍSTICAS DE UN PROFESOR</w:t>
      </w:r>
    </w:p>
    <w:p w14:paraId="0364880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42C2D5AC"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¿Cuales son las características que debe tener un profesor? A mi modesto parecer son muchos, pero sintentizándolos en unos pocos, podemos decir:</w:t>
      </w:r>
    </w:p>
    <w:p w14:paraId="478C079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620D13F6"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PERSONALIDAD: </w:t>
      </w:r>
      <w:r w:rsidRPr="000D3432">
        <w:rPr>
          <w:rFonts w:asciiTheme="minorHAnsi" w:hAnsiTheme="minorHAnsi" w:cs="Arial"/>
          <w:color w:val="2B3334"/>
          <w:szCs w:val="24"/>
        </w:rPr>
        <w:t>Un Docente debe demostrar personalidad, esta no es ser serio, ni siquiera significa ser formal. La personalidad implica que el hombre, el docente, se tome como persona, se sienta persona, tenga aquello que se denomina autonomía, que en derecho no es otra cosa que el poder para gobernar nuestros propios intereses privados. Eso es personalidad, capacidad de autogobernarnos, capacidad de decidir por nosotros mismos. No se trata entonces, de un proceso cognoscitivo, no es medido por la cantidad de conocimientos que un individuo tiene, sino por su aptitud y actitud ante la vida. Es algo instintivo más que racional. Algo que está interiorizado. Una afirmación del ser.</w:t>
      </w:r>
    </w:p>
    <w:p w14:paraId="2AC39CDC"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2D656B41"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SENTIDO ÉTICO: </w:t>
      </w:r>
      <w:r w:rsidRPr="000D3432">
        <w:rPr>
          <w:rFonts w:asciiTheme="minorHAnsi" w:hAnsiTheme="minorHAnsi" w:cs="Arial"/>
          <w:color w:val="2B3334"/>
          <w:szCs w:val="24"/>
        </w:rPr>
        <w:t>Un docente debe tener sentido ético. Eso no significa, otra vez, un farfullar anticuado y falaz sermón. La ética no es un asunto teórico, es más bien una conducta, conducta reflexiva, capacidad para discernir entre lo que nos conviene y lo que no nos conviene, entre ser un hombre, o mujer, dionisiaco, o decadente (aquel que elige los medios que le perjudican). La ética es una reflexión sobre la validez, o utilidad, de nuestras conductas, es, en el entendido de Spinoza, “Salud física y mental”. Eso indica que un docente con sentido ético, lo que desea es tener salud física y mental; y transmitir esta enseñanza, que el alumno pueda llegar a esta salud física y mental.</w:t>
      </w:r>
    </w:p>
    <w:p w14:paraId="26D0737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 </w:t>
      </w:r>
    </w:p>
    <w:p w14:paraId="25EA16FD"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NO EDUCADOR: </w:t>
      </w:r>
      <w:r w:rsidRPr="000D3432">
        <w:rPr>
          <w:rFonts w:asciiTheme="minorHAnsi" w:hAnsiTheme="minorHAnsi" w:cs="Arial"/>
          <w:color w:val="2B3334"/>
          <w:szCs w:val="24"/>
        </w:rPr>
        <w:t>Educar, dice Osho, es ya una imposición, una determinación. Educar es imponer límites. ¿Qué hacen los profesores?, educan. Y su palabra se convierte en ley; enseñan que las cosas son tal y como ellos lo dicen. Rousseau hablaba de educar también en su libro </w:t>
      </w:r>
      <w:r w:rsidRPr="000D3432">
        <w:rPr>
          <w:rFonts w:asciiTheme="minorHAnsi" w:hAnsiTheme="minorHAnsi" w:cs="Arial"/>
          <w:i/>
          <w:iCs/>
          <w:color w:val="2B3334"/>
          <w:szCs w:val="24"/>
        </w:rPr>
        <w:t>Emilio</w:t>
      </w:r>
      <w:r w:rsidRPr="000D3432">
        <w:rPr>
          <w:rFonts w:asciiTheme="minorHAnsi" w:hAnsiTheme="minorHAnsi" w:cs="Arial"/>
          <w:color w:val="2B3334"/>
          <w:szCs w:val="24"/>
        </w:rPr>
        <w:t>, dejaba al niño en la naturaleza, pero su teoría no estaba concordante con la práctica. El docente debe tener cuidado de que lo que enseña no se convierta en dogma. Hoy, incluso los conocimientos científicos son difíciles de determinar. Según el científico Fernando Cabieses, los conocimientos científicos quedan caducos cada seis años aproximadamente. Pues bien. El docente debe tener en cuenta eso. No puede enseñar verdades, sino variables, ejes centrales, estructuras temporales.</w:t>
      </w:r>
    </w:p>
    <w:p w14:paraId="2080A654"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lastRenderedPageBreak/>
        <w:t> </w:t>
      </w:r>
    </w:p>
    <w:p w14:paraId="0279A3C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QUE ENSEÑE MÉTODO, APRENDER A APRENDER: </w:t>
      </w:r>
      <w:r w:rsidRPr="000D3432">
        <w:rPr>
          <w:rFonts w:asciiTheme="minorHAnsi" w:hAnsiTheme="minorHAnsi" w:cs="Arial"/>
          <w:color w:val="2B3334"/>
          <w:szCs w:val="24"/>
        </w:rPr>
        <w:t>En realidad el docente no debe enseñar datos, conocimientos, sino método, el alumno debe lograr encontrar por su propia cuenta las respuestas a sus preguntas. El asunto debe ser solucionado por el alumno. El docente no puede más que guiar, desarrollar el potencial del alumno, darle ciertos esquemas de aprendizaje, pero no puede pensar por el, no debe intentar pensar por el alumno, no debe intentar imponer su verdad. La mayor de las veces el docente quiere demostrar que lo sabe todo, que él es el mejor. Eso no es más que vanidad. Ego. Un ego que puede anular la potencialidad del alumno, las aptitudes de los alumnos. Eso debe evitar el docente. No debe su ego intervenir en la educación.</w:t>
      </w:r>
    </w:p>
    <w:p w14:paraId="0F8C08A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0A345A2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NO ESPERAR TENER DISCÍPULOS EN LOS ALUMNOS: </w:t>
      </w:r>
      <w:r w:rsidRPr="000D3432">
        <w:rPr>
          <w:rFonts w:asciiTheme="minorHAnsi" w:hAnsiTheme="minorHAnsi" w:cs="Arial"/>
          <w:color w:val="2B3334"/>
          <w:szCs w:val="24"/>
        </w:rPr>
        <w:t>Otro de los problemas que tiene el docente es que siempre quiere seguidores, siempre quiere discípulos. Aquí se trata también de ego. No se dan cuenta que generar discípulos es el peor de los defectos. No se puede enseñar a ser discípulo, si no a ser uno mismo. Hacer de los alumnos discípulos es sólo ponerles cadenas, someterlos, subordinarlos.</w:t>
      </w:r>
    </w:p>
    <w:p w14:paraId="1572EA67"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 </w:t>
      </w:r>
    </w:p>
    <w:p w14:paraId="7497244B"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ANTIESCOLÁSTICO: </w:t>
      </w:r>
      <w:r w:rsidRPr="000D3432">
        <w:rPr>
          <w:rFonts w:asciiTheme="minorHAnsi" w:hAnsiTheme="minorHAnsi" w:cs="Arial"/>
          <w:color w:val="2B3334"/>
          <w:szCs w:val="24"/>
        </w:rPr>
        <w:t>La escolástica sigue siendo un problema fundamental del docente. Sigue creyendo que él debe dictar clases, y los alumnos sólo escuchar. La verdad es que a pesar de haber oído de otros métodos de enseñanza aprendizaje, no sabe cómo usar esos otros métodos. Y si le dicen que cree talleres, termina siempre en el mismo problema: imponiendo conocimientos, enseñando conocimientos, y nada más. La memoria es más premiada que la intuición. No se enseña al alumno a tener olfato, sino a tener memoria.</w:t>
      </w:r>
    </w:p>
    <w:p w14:paraId="655837E5"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046546B4"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LÚDICO: </w:t>
      </w:r>
      <w:r w:rsidRPr="000D3432">
        <w:rPr>
          <w:rFonts w:asciiTheme="minorHAnsi" w:hAnsiTheme="minorHAnsi" w:cs="Arial"/>
          <w:color w:val="2B3334"/>
          <w:szCs w:val="24"/>
        </w:rPr>
        <w:t>Un docente debe hacer de la clase un show. Eso mismo decía Mario Bunge. Hacer del aprendizaje un juego.</w:t>
      </w:r>
    </w:p>
    <w:p w14:paraId="3C561A31"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4E37A97C"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VOLVERSE UN AMANTE: </w:t>
      </w:r>
      <w:r w:rsidRPr="000D3432">
        <w:rPr>
          <w:rFonts w:asciiTheme="minorHAnsi" w:hAnsiTheme="minorHAnsi" w:cs="Arial"/>
          <w:color w:val="2B3334"/>
          <w:szCs w:val="24"/>
        </w:rPr>
        <w:t>La clave del éxito es convertirse en un amante de lo que uno hace. O mejor ser un amante. El resto viene solo. Lo primero que hay que hacer es entonces amar, y listo. Carnelutti da una muestra de que es el amor el que puede ser un instrumento pedagógico, es más puede reemplazar al Derecho.</w:t>
      </w:r>
    </w:p>
    <w:p w14:paraId="486DD22A"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3824601D"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Carnelutti, convencido de las fuerza de ciertos fenómenos extrajurídicos cree haber resuelto el problema de la convivencia y el bien común y la justicia, sin el Derecho -solución teórica, por supuesto. El amor es esta solución. Expone un ejemplo: “¿Por qué el padre y el hijo cristianos, para regular sus relaciones, aun las más importantes relaciones, no necesitan derecho? Porque, sencillamente, el padre ama al hijo y el hijo ama al padre. Ahora bien, la sabiduría del pueblo traduce </w:t>
      </w:r>
      <w:r w:rsidRPr="000D3432">
        <w:rPr>
          <w:rFonts w:asciiTheme="minorHAnsi" w:hAnsiTheme="minorHAnsi" w:cs="Arial"/>
          <w:i/>
          <w:iCs/>
          <w:color w:val="2B3334"/>
          <w:szCs w:val="24"/>
        </w:rPr>
        <w:t>amar</w:t>
      </w:r>
      <w:r w:rsidRPr="000D3432">
        <w:rPr>
          <w:rFonts w:asciiTheme="minorHAnsi" w:hAnsiTheme="minorHAnsi" w:cs="Arial"/>
          <w:color w:val="2B3334"/>
          <w:szCs w:val="24"/>
        </w:rPr>
        <w:t> por </w:t>
      </w:r>
      <w:r w:rsidRPr="000D3432">
        <w:rPr>
          <w:rFonts w:asciiTheme="minorHAnsi" w:hAnsiTheme="minorHAnsi" w:cs="Arial"/>
          <w:i/>
          <w:iCs/>
          <w:color w:val="2B3334"/>
          <w:szCs w:val="24"/>
        </w:rPr>
        <w:t>querer bien,</w:t>
      </w:r>
      <w:r w:rsidRPr="000D3432">
        <w:rPr>
          <w:rFonts w:asciiTheme="minorHAnsi" w:hAnsiTheme="minorHAnsi" w:cs="Arial"/>
          <w:color w:val="2B3334"/>
          <w:szCs w:val="24"/>
        </w:rPr>
        <w:t> es decir, </w:t>
      </w:r>
      <w:r w:rsidRPr="000D3432">
        <w:rPr>
          <w:rFonts w:asciiTheme="minorHAnsi" w:hAnsiTheme="minorHAnsi" w:cs="Arial"/>
          <w:i/>
          <w:iCs/>
          <w:color w:val="2B3334"/>
          <w:szCs w:val="24"/>
        </w:rPr>
        <w:t>querer el bien del amado,</w:t>
      </w:r>
      <w:r w:rsidRPr="000D3432">
        <w:rPr>
          <w:rFonts w:asciiTheme="minorHAnsi" w:hAnsiTheme="minorHAnsi" w:cs="Arial"/>
          <w:color w:val="2B3334"/>
          <w:szCs w:val="24"/>
        </w:rPr>
        <w:t xml:space="preserve"> lo que no se explica de oro modo que reconociendo que el bien del amado es el bien del amante y recíprocamente. Así el bien del uno y del otro es el bien de la misma persona.” Piensa Carnelutti que si el hombre amara no necesitaría del Derecho. Y el Derecho es una fuerza que une dos puntos, los puntos son los hombres, y esta fuerza que las liga, que los une, o vincula es el Derecho. El hombre no </w:t>
      </w:r>
      <w:r w:rsidRPr="000D3432">
        <w:rPr>
          <w:rFonts w:asciiTheme="minorHAnsi" w:hAnsiTheme="minorHAnsi" w:cs="Arial"/>
          <w:color w:val="2B3334"/>
          <w:szCs w:val="24"/>
        </w:rPr>
        <w:lastRenderedPageBreak/>
        <w:t>necesitará de los jueces si hay amor -dice, mientras tanto deben ser obligados. No se trata, aclarando, de un planteamiento cursilón y huachafo del amor. No se trata del amor que debilita los espíritus mediocres. No se trata de ese amor que vuelve estúpido a los seres humanos. Se trata, en rigor , de la </w:t>
      </w:r>
      <w:r w:rsidRPr="000D3432">
        <w:rPr>
          <w:rFonts w:asciiTheme="minorHAnsi" w:hAnsiTheme="minorHAnsi" w:cs="Arial"/>
          <w:i/>
          <w:iCs/>
          <w:color w:val="2B3334"/>
          <w:szCs w:val="24"/>
        </w:rPr>
        <w:t>dunamis</w:t>
      </w:r>
      <w:r w:rsidRPr="000D3432">
        <w:rPr>
          <w:rFonts w:asciiTheme="minorHAnsi" w:hAnsiTheme="minorHAnsi" w:cs="Arial"/>
          <w:color w:val="2B3334"/>
          <w:szCs w:val="24"/>
        </w:rPr>
        <w:t>, la fuerza voluntaria de hacer las cosas por los demás por amor a si mismo. El amor, describe Carnelutti, encierra en sí una condición vinculante, una fuerza que une; pero a diferencia del Derecho, no une, vincula, en referencia a una sanción externa (pena, multa, etc) sino por una condición interna (narcisismo). El sufrimiento del amado daña al amante. La clave está aquí en el término sufrimiento. No en el daño del otro, sino en el daño de uno al ser dañado el otro. Concepción que nos apetece asociar con el término individualismo. En el sentido más digno: capacidad de autogobernarnos, de ver el mundo desde uno. Un acto de libertad que “no es el poder sobre los demás, sino sobre sí mismo: no dominium alterius sino dominium sui”. Tal vez se trata de una descripción de cierta condición humana, su condición económica, lo que el llamaría “</w:t>
      </w:r>
      <w:r w:rsidRPr="000D3432">
        <w:rPr>
          <w:rFonts w:asciiTheme="minorHAnsi" w:hAnsiTheme="minorHAnsi" w:cs="Arial"/>
          <w:i/>
          <w:iCs/>
          <w:color w:val="2B3334"/>
          <w:szCs w:val="24"/>
        </w:rPr>
        <w:t>homo oeconomicus</w:t>
      </w:r>
      <w:r w:rsidRPr="000D3432">
        <w:rPr>
          <w:rFonts w:asciiTheme="minorHAnsi" w:hAnsiTheme="minorHAnsi" w:cs="Arial"/>
          <w:color w:val="2B3334"/>
          <w:szCs w:val="24"/>
        </w:rPr>
        <w:t> que no quiere cuidar nada fuera de sus intereses.” Se trata de e economía, al que Carnelutti opone su contrario: </w:t>
      </w:r>
      <w:r w:rsidRPr="000D3432">
        <w:rPr>
          <w:rFonts w:asciiTheme="minorHAnsi" w:hAnsiTheme="minorHAnsi" w:cs="Arial"/>
          <w:i/>
          <w:iCs/>
          <w:color w:val="2B3334"/>
          <w:szCs w:val="24"/>
        </w:rPr>
        <w:t>“homo moralis</w:t>
      </w:r>
      <w:r w:rsidRPr="000D3432">
        <w:rPr>
          <w:rFonts w:asciiTheme="minorHAnsi" w:hAnsiTheme="minorHAnsi" w:cs="Arial"/>
          <w:color w:val="2B3334"/>
          <w:szCs w:val="24"/>
        </w:rPr>
        <w:t> que </w:t>
      </w:r>
      <w:r w:rsidRPr="000D3432">
        <w:rPr>
          <w:rFonts w:asciiTheme="minorHAnsi" w:hAnsiTheme="minorHAnsi" w:cs="Arial"/>
          <w:i/>
          <w:iCs/>
          <w:color w:val="2B3334"/>
          <w:szCs w:val="24"/>
        </w:rPr>
        <w:t>no puede separar</w:t>
      </w:r>
      <w:r w:rsidRPr="000D3432">
        <w:rPr>
          <w:rFonts w:asciiTheme="minorHAnsi" w:hAnsiTheme="minorHAnsi" w:cs="Arial"/>
          <w:color w:val="2B3334"/>
          <w:szCs w:val="24"/>
        </w:rPr>
        <w:t> el propio del bien de los demás.”. se trata de la moral.</w:t>
      </w:r>
    </w:p>
    <w:p w14:paraId="6687FD9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0A198260"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Es el amor el que nos motivaría. El amor y nada más que el amor. ¿No es el primer requisito del éxito amar lo que uno hace? ¿Acaso no te sale bien aquello que haces con amor?</w:t>
      </w:r>
    </w:p>
    <w:p w14:paraId="0FAB468A"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38BDCF4F"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SER ASCETA. NECESIDAD DE LA VIRTUD. ENSEÑAR A PENSAR: </w:t>
      </w:r>
      <w:r w:rsidRPr="000D3432">
        <w:rPr>
          <w:rFonts w:asciiTheme="minorHAnsi" w:hAnsiTheme="minorHAnsi" w:cs="Arial"/>
          <w:color w:val="2B3334"/>
          <w:szCs w:val="24"/>
        </w:rPr>
        <w:t>¿Puede creerse que las primeras universidades del mundo occidental (Bolonia, etc.) fueron creadas justo para enseñar Derecho? ¿Por qué Derecho y no otra disciplina? Esa es una buena pregunta. Pues bien, en Bolonia el fin de enseñar Derecho era nada menos y nada más que para enseñar a “pensar”, enseñar a “aprender a pensar bien”, “formar hombres cultos”, “formar hombres saludables mental y físicamente”, “el Derecho era la expresión y el método del saber”. En Bolonia los estudiantes estudiaban Derecho para aprender a ser mejores personas, mejores hombres, hombres virtuosos (no para llevar procesos o convertirse en abogados litigantes). Desde esa perspectiva, se puede decir que no hay nada tan equívoco como pensar que el Derecho sólo son normas, códigos, leyes, edificios, etc. El Derecho es ante todo vida, ejercicio, relación entre personas, el derecho, como la cultura, puede lograr “conmover las almas, mover las piedras, cambiar las bestias en hombres”; puede volvernos ascetas, en el sentido Nietzscheano: “el asceta hace de la virtud una necesidad”. Eso era Bolonia, un lugar donde se educaba al hombre para ser virtuoso. Eso debe ser un docente, un asceta, alguien necesitado de la virtud, y por lo tanto que enseñe virtudes.</w:t>
      </w:r>
    </w:p>
    <w:p w14:paraId="64C6E5DC"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2B3334"/>
          <w:szCs w:val="24"/>
        </w:rPr>
        <w:t> </w:t>
      </w:r>
    </w:p>
    <w:p w14:paraId="745E5E57" w14:textId="0962472C"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b/>
          <w:bCs/>
          <w:color w:val="2B3334"/>
          <w:szCs w:val="24"/>
        </w:rPr>
        <w:t>POSDATA: </w:t>
      </w:r>
      <w:r w:rsidRPr="000D3432">
        <w:rPr>
          <w:rFonts w:asciiTheme="minorHAnsi" w:hAnsiTheme="minorHAnsi" w:cs="Arial"/>
          <w:color w:val="2B3334"/>
          <w:szCs w:val="24"/>
        </w:rPr>
        <w:t>Claro que todo esto es sólo pensamiento, porque hacerlo es ya mucho trabajo.</w:t>
      </w:r>
    </w:p>
    <w:p w14:paraId="635621F2" w14:textId="77777777" w:rsidR="00727CE6" w:rsidRPr="000D3432" w:rsidRDefault="00727CE6" w:rsidP="00A95498">
      <w:pPr>
        <w:rPr>
          <w:rFonts w:asciiTheme="minorHAnsi" w:hAnsiTheme="minorHAnsi" w:cs="Arial"/>
          <w:color w:val="2B3334"/>
          <w:szCs w:val="24"/>
        </w:rPr>
      </w:pPr>
      <w:r w:rsidRPr="000D3432">
        <w:rPr>
          <w:rFonts w:asciiTheme="minorHAnsi" w:hAnsiTheme="minorHAnsi" w:cs="Arial"/>
          <w:color w:val="2B3334"/>
          <w:szCs w:val="24"/>
        </w:rPr>
        <w:t> </w:t>
      </w:r>
    </w:p>
    <w:p w14:paraId="7A6121F1" w14:textId="77777777" w:rsidR="00727CE6" w:rsidRPr="000D3432" w:rsidRDefault="00727CE6" w:rsidP="00A95498">
      <w:pPr>
        <w:jc w:val="center"/>
        <w:rPr>
          <w:rFonts w:asciiTheme="minorHAnsi" w:hAnsiTheme="minorHAnsi" w:cs="Arial"/>
          <w:color w:val="000000"/>
          <w:szCs w:val="24"/>
        </w:rPr>
      </w:pPr>
      <w:r w:rsidRPr="000D3432">
        <w:rPr>
          <w:rFonts w:asciiTheme="minorHAnsi" w:hAnsiTheme="minorHAnsi" w:cs="Arial"/>
          <w:b/>
          <w:bCs/>
          <w:color w:val="000000"/>
          <w:szCs w:val="24"/>
          <w:u w:val="single"/>
        </w:rPr>
        <w:t>LAS OTRAS CONFESIONES</w:t>
      </w:r>
    </w:p>
    <w:p w14:paraId="7B60235E" w14:textId="77777777" w:rsidR="00727CE6" w:rsidRPr="000D3432" w:rsidRDefault="00727CE6" w:rsidP="00A95498">
      <w:pPr>
        <w:rPr>
          <w:rFonts w:asciiTheme="minorHAnsi" w:hAnsiTheme="minorHAnsi" w:cs="Arial"/>
          <w:color w:val="000000"/>
          <w:szCs w:val="24"/>
        </w:rPr>
      </w:pPr>
      <w:r w:rsidRPr="000D3432">
        <w:rPr>
          <w:rFonts w:asciiTheme="minorHAnsi" w:hAnsiTheme="minorHAnsi" w:cs="Arial"/>
          <w:color w:val="000000"/>
          <w:szCs w:val="24"/>
        </w:rPr>
        <w:t>  </w:t>
      </w:r>
    </w:p>
    <w:p w14:paraId="3239C110" w14:textId="1A5129CB" w:rsidR="00727CE6" w:rsidRPr="000D3432" w:rsidRDefault="00727CE6" w:rsidP="00963DC1">
      <w:pPr>
        <w:jc w:val="both"/>
        <w:rPr>
          <w:rFonts w:asciiTheme="minorHAnsi" w:hAnsiTheme="minorHAnsi" w:cs="Arial"/>
          <w:color w:val="000000"/>
          <w:szCs w:val="24"/>
        </w:rPr>
      </w:pPr>
    </w:p>
    <w:p w14:paraId="6CB05CA6"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([1]) Esta palabra “Confesiones” ha sido ya utilizada por dos autores, grandes autores, Santo Tomás de Aquino (si no me equivoco) y Rousseau. Del último pude conseguir un ejemplar, traducido al español, por supuesto, en el cine Pacífico. Allí en el suelo distribuidos estaban varias revistas y libros. Un compañero me había dicho que se encontraban allí un ejemplar de las “Confesiones” de Rousseau. Yo no iba a dejar pasar esa oportunidad y fui al Cine; así que allí, rebuscando entre revistas y libros pude encontrar el tan preciado libro, en dos tomos pequeños, y los adquirí. Feliz quedé ese día. Rousseau en mis manos. Y nada menos que sus “Confesiones”. Pude leer el primer tomo, y luego se me perdió. Pero fue suficiente para entender quien era Rousseau. Te cuento algo.</w:t>
      </w:r>
    </w:p>
    <w:p w14:paraId="44DF4457"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 </w:t>
      </w:r>
    </w:p>
    <w:p w14:paraId="444D9725"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Rousseau confiesa que ha escrito ese libro “Confesiones” de memoria. Desde joven se halla perdido, buscando, buscando saber qué es. Divaga entre un oficio y otro, camina mucho, le gusta viajar. De fuerte constitución. Pretende ser primero matemático, y luego intenta hacer operetas, compone música, pero estas no son su lado fuerte. Empieza a escribir recién a los treinta y dos años, de un tirón, que le dura aproximadamente doce años. Luego deja de hacerlo. Le sucede algo así como un cisma, donde su producción es ferviente, casi imparable, e implacable. Pero su tiempo no le reconoce. No puede con el fragor de su naturaleza. No puede con la hipocresía de su tiempo. Escribe, escribe, pero parece que el mundo formal no le entiende. Sin embargo, cuando se dio la revolución francesa, los grandes comentarios eran que esta, la revolución, se debió a la pluma de Rousseau y Voltaire. Roosseau no es, sin embargo, amigo de Voltaire. Es más, parece ser su antítesis. A pesar de haber colaborado en la gran obra de la Enciclopedia, dirigida por D’Alember y Diderot. Curioso es, sin embargo, que Rousseau y Voltaire murieran en fechas tan cercanas.</w:t>
      </w:r>
    </w:p>
    <w:p w14:paraId="6FAC429A"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 </w:t>
      </w:r>
    </w:p>
    <w:p w14:paraId="3E83F7D2"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Los libros de Rousseau provocan. Muchas ciudades los queman como señal de desaprobación. Ginebra, la ciudad a quien el dedica uno de sus libros, también quema los libros de Rousseau. Este se siente fatigado por el desprecio de sus contemporáneos. Es perseguido por todos y se vuelve, por ello, un paranóico, un hombre que cree que todo el mundo lo persigue, que se siente espiado y perseguido, que siente que le quieren hacer daño. Y se esconde. (Confieso que un tiempo, muy breve, me volví algo paranoico, y creo saber la causa, querer que el resto te comprenda, te quiera y recibir siempre lo contrario. Estar preocupado mucho por lo que el resto piensa de ti, eso es lo que desencadena la paranoia. Ya no soy paranoico, pero pude conocer sus rasgos).</w:t>
      </w:r>
    </w:p>
    <w:p w14:paraId="67C70017"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 </w:t>
      </w:r>
    </w:p>
    <w:p w14:paraId="585B5329"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 xml:space="preserve">Rousseau en sus caminatas es acogido por una dama, mayor que él, que le </w:t>
      </w:r>
      <w:r w:rsidRPr="000D3432">
        <w:rPr>
          <w:rFonts w:asciiTheme="minorHAnsi" w:hAnsiTheme="minorHAnsi" w:cs="Arial"/>
          <w:color w:val="000000"/>
          <w:szCs w:val="24"/>
        </w:rPr>
        <w:lastRenderedPageBreak/>
        <w:t>provee de alojamiento. Esta dama lo mantiene, intenta de hacer de Rousseau un hombre de bien, le enseña lo que sabe, y en ella Rousseau confiesa haber aprendido incluso las glorias del amor. Pero un día ve a otro joven, que la dama ha acogido también, y a quien ahora le dedica sus atenciones. Rousseau se siente o resiente y se va. Además la dama había ya resignádose a no “componer” al joven Rousseau.</w:t>
      </w:r>
    </w:p>
    <w:p w14:paraId="42923FCF"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 </w:t>
      </w:r>
    </w:p>
    <w:p w14:paraId="7FA6C1F6"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Rousseau es un hombre muy sensible. Un día, confiesa, le encierran en una habitación, y luego entra una mujer hermosísima, desnuda. Y él, el joven Rousseau sólo se pone a llorar. Por supuesto, cuenta, que la dama se enfada, y le increpa. Piensa que Rousseau la está despreciando, por que no tiene un pezón, pero Rousseau no se había percatado de eso. Lloraba porque le parecía la chica más linda del mundo y porque no podía concebir la dicha de ser tan agraciado de tener ante su vista a alguien tan bella.</w:t>
      </w:r>
    </w:p>
    <w:p w14:paraId="3B6BEB6F" w14:textId="77777777" w:rsidR="00727CE6" w:rsidRPr="000D3432" w:rsidRDefault="00727CE6" w:rsidP="00963DC1">
      <w:pPr>
        <w:jc w:val="both"/>
        <w:rPr>
          <w:rFonts w:asciiTheme="minorHAnsi" w:hAnsiTheme="minorHAnsi" w:cs="Arial"/>
          <w:color w:val="000000"/>
          <w:szCs w:val="24"/>
        </w:rPr>
      </w:pPr>
      <w:r w:rsidRPr="000D3432">
        <w:rPr>
          <w:rFonts w:asciiTheme="minorHAnsi" w:hAnsiTheme="minorHAnsi" w:cs="Arial"/>
          <w:color w:val="000000"/>
          <w:szCs w:val="24"/>
        </w:rPr>
        <w:t>Bien, ya hablé mucho de Rousseau.</w:t>
      </w:r>
    </w:p>
    <w:p w14:paraId="3633DEE9" w14:textId="77777777" w:rsidR="00727CE6" w:rsidRPr="000D3432" w:rsidRDefault="00727CE6" w:rsidP="00A95498">
      <w:pPr>
        <w:rPr>
          <w:rFonts w:asciiTheme="minorHAnsi" w:hAnsiTheme="minorHAnsi"/>
          <w:szCs w:val="24"/>
        </w:rPr>
      </w:pPr>
    </w:p>
    <w:p w14:paraId="7EFB6576" w14:textId="77777777" w:rsidR="00727CE6" w:rsidRPr="000D3432" w:rsidRDefault="00727CE6" w:rsidP="00A95498">
      <w:pPr>
        <w:rPr>
          <w:rFonts w:asciiTheme="minorHAnsi" w:hAnsiTheme="minorHAnsi"/>
          <w:szCs w:val="24"/>
        </w:rPr>
      </w:pPr>
    </w:p>
    <w:p w14:paraId="4B869B3F" w14:textId="77777777" w:rsidR="00727CE6" w:rsidRPr="000D3432" w:rsidRDefault="00727CE6" w:rsidP="00963DC1">
      <w:pPr>
        <w:jc w:val="center"/>
        <w:rPr>
          <w:rFonts w:asciiTheme="minorHAnsi" w:hAnsiTheme="minorHAnsi"/>
          <w:b/>
          <w:szCs w:val="24"/>
        </w:rPr>
      </w:pPr>
    </w:p>
    <w:p w14:paraId="05FE9888" w14:textId="77777777" w:rsidR="00727CE6" w:rsidRPr="000D3432" w:rsidRDefault="00727CE6" w:rsidP="00963DC1">
      <w:pPr>
        <w:jc w:val="center"/>
        <w:outlineLvl w:val="0"/>
        <w:rPr>
          <w:rFonts w:asciiTheme="minorHAnsi" w:hAnsiTheme="minorHAnsi" w:cs="Arial"/>
          <w:b/>
          <w:caps/>
          <w:color w:val="2B3334"/>
          <w:kern w:val="36"/>
          <w:szCs w:val="24"/>
        </w:rPr>
      </w:pPr>
      <w:r w:rsidRPr="000D3432">
        <w:rPr>
          <w:rFonts w:asciiTheme="minorHAnsi" w:hAnsiTheme="minorHAnsi" w:cs="Arial"/>
          <w:b/>
          <w:caps/>
          <w:color w:val="2B3334"/>
          <w:kern w:val="36"/>
          <w:szCs w:val="24"/>
        </w:rPr>
        <w:t>MIS CONFESIONES (ONCE AÑOS SIN HABLAR A MUJER ALGUNA: AUTOCASTRACIÓN)</w:t>
      </w:r>
    </w:p>
    <w:p w14:paraId="132E4850" w14:textId="77777777" w:rsidR="00727CE6" w:rsidRPr="000D3432" w:rsidRDefault="00727CE6" w:rsidP="00A95498">
      <w:pPr>
        <w:outlineLvl w:val="0"/>
        <w:rPr>
          <w:rFonts w:asciiTheme="minorHAnsi" w:hAnsiTheme="minorHAnsi" w:cs="Arial"/>
          <w:caps/>
          <w:color w:val="2B3334"/>
          <w:kern w:val="36"/>
          <w:szCs w:val="24"/>
        </w:rPr>
      </w:pPr>
    </w:p>
    <w:p w14:paraId="7198F3A9" w14:textId="77777777" w:rsidR="00727CE6" w:rsidRPr="000D3432" w:rsidRDefault="00727CE6" w:rsidP="00A95498">
      <w:pPr>
        <w:jc w:val="center"/>
        <w:rPr>
          <w:rFonts w:asciiTheme="minorHAnsi" w:hAnsiTheme="minorHAnsi" w:cs="Arial"/>
          <w:b/>
          <w:bCs/>
          <w:color w:val="2B3334"/>
          <w:szCs w:val="24"/>
          <w:u w:val="single"/>
        </w:rPr>
      </w:pPr>
    </w:p>
    <w:p w14:paraId="5F4860E4"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76BA05A3"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A los cinco años, si mal no me acuerdo, sufrí la primera decepción. Era mi fiesta de cumpleaños. Yo, todo engreído, le pedí bailar a mi primita, que estaba acompañada de mi primito, quien por casualidad también le pidió bailar. Ella aceptó la invitación de mi primito, y yo busqué el lugar más oscuro de la casa y me acogí allí, y no salí, hasta que no recuerdo. Cuento esto, porque, desde esa fecha, he pasado unos once años aproximadamente sin hablar con chica alguna, y aún hoy me es difícil conversar con la gente, y menos con una chica, aunque esto no se note. Lo que me llevó a una conclusión: la niñez no sólo marca al ser humano, sino lo determina: lo acaba.</w:t>
      </w:r>
    </w:p>
    <w:p w14:paraId="597723E4" w14:textId="77777777" w:rsidR="00727CE6" w:rsidRPr="000D3432" w:rsidRDefault="00727CE6" w:rsidP="00A95498">
      <w:pPr>
        <w:rPr>
          <w:rFonts w:asciiTheme="minorHAnsi" w:hAnsiTheme="minorHAnsi"/>
          <w:szCs w:val="24"/>
        </w:rPr>
      </w:pPr>
    </w:p>
    <w:p w14:paraId="4AA8CE66" w14:textId="77777777" w:rsidR="00727CE6" w:rsidRPr="000D3432" w:rsidRDefault="00727CE6" w:rsidP="00A95498">
      <w:pPr>
        <w:rPr>
          <w:rFonts w:asciiTheme="minorHAnsi" w:hAnsiTheme="minorHAnsi"/>
          <w:szCs w:val="24"/>
        </w:rPr>
      </w:pPr>
    </w:p>
    <w:p w14:paraId="7EAC7C6C" w14:textId="1179B039" w:rsidR="00727CE6" w:rsidRPr="000D3432" w:rsidRDefault="00727CE6" w:rsidP="00963DC1">
      <w:pPr>
        <w:jc w:val="center"/>
        <w:outlineLvl w:val="0"/>
        <w:rPr>
          <w:rFonts w:asciiTheme="minorHAnsi" w:hAnsiTheme="minorHAnsi" w:cs="Arial"/>
          <w:b/>
          <w:caps/>
          <w:color w:val="2B3334"/>
          <w:kern w:val="36"/>
          <w:szCs w:val="24"/>
        </w:rPr>
      </w:pPr>
      <w:r w:rsidRPr="000D3432">
        <w:rPr>
          <w:rFonts w:asciiTheme="minorHAnsi" w:hAnsiTheme="minorHAnsi" w:cs="Arial"/>
          <w:b/>
          <w:caps/>
          <w:color w:val="2B3334"/>
          <w:kern w:val="36"/>
          <w:szCs w:val="24"/>
        </w:rPr>
        <w:t>BUSCANDO A PACO YUNQUE)</w:t>
      </w:r>
    </w:p>
    <w:p w14:paraId="1356DD63" w14:textId="782FD61B" w:rsidR="00727CE6" w:rsidRPr="000D3432" w:rsidRDefault="00727CE6" w:rsidP="00963DC1">
      <w:pPr>
        <w:jc w:val="both"/>
        <w:rPr>
          <w:rFonts w:asciiTheme="minorHAnsi" w:hAnsiTheme="minorHAnsi" w:cs="Arial"/>
          <w:b/>
          <w:color w:val="2B3334"/>
          <w:szCs w:val="24"/>
        </w:rPr>
      </w:pPr>
      <w:r w:rsidRPr="000D3432">
        <w:rPr>
          <w:rFonts w:asciiTheme="minorHAnsi" w:hAnsiTheme="minorHAnsi" w:cs="Arial"/>
          <w:b/>
          <w:color w:val="2B3334"/>
          <w:szCs w:val="24"/>
        </w:rPr>
        <w:t> </w:t>
      </w:r>
    </w:p>
    <w:p w14:paraId="0677D07F"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Me resulta un poco curioso estar hoy escribiendo la segunda parte de este texto. Pero todo sea “para que me conozcan”.</w:t>
      </w:r>
    </w:p>
    <w:p w14:paraId="3D864E16"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646E7370"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Decía. Soy Leo, y eso me agrada. Si se dan cuenta Leo significa también “alguien que está leyendo”.</w:t>
      </w:r>
    </w:p>
    <w:p w14:paraId="7C4F7A88"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101CB45C"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Lo que te estoy narrando jamás lo he escrito, y aunque no son grandes experiencias es si mi vida, vida que sólo quiero narrársela a alguien especial, a alguien muy especial. Asi que sé que guardarás esto como lo envío, como un secreto, como un regalo que intento hacerte para que me conozcas.</w:t>
      </w:r>
    </w:p>
    <w:p w14:paraId="383FF820"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091EC124"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Me quedé en mi nombre.</w:t>
      </w:r>
    </w:p>
    <w:p w14:paraId="7BE42990"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7B1B6EF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De mi niñez recuerdo muy poco. Te contaré ese poco. Un cielo claro, paredes no estucadas dejando ver los ladrillos a flor de piel. Un cometa que volaba y volaba, mientras yo quedaba sorprendido de aquello. Luego ese cometa de papel se cayó y no pudo ser recuperado. El edifico era alto, o al menos a mi me parecía alto.</w:t>
      </w:r>
    </w:p>
    <w:p w14:paraId="667C410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47D6D6BF"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Otro recuerdo es estar echado, en una especie de cama, mirando el cielo que era un techo de cañas. Yo estaba tranquilo. Dice mi linda mamá que yo de bebé no era molestoso, que me quedaba tranquilo, que no era un bebé llorón. No sé si será cierto pero de serlo debe haber sido por que me quedaba perplejo mirando el mundo tan incomprensible para mi, tan poco común, tan confuso. El mundo desde ya era demasiado para mi. Dicen que no lloraba, pero a lo largo de mi niñez me recuerdo llorando y llorando.</w:t>
      </w:r>
    </w:p>
    <w:p w14:paraId="17F9423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506F0ABB"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xml:space="preserve">Cuando fui a la escuela por primera vez, recuerdo que fue una cosa horrible. Llegué con mi linda mamá. Recuerdo que ella estaba muy bien vestida. A mi mamá le gusta la elegancia. Llegamos, como decía, a la escuela. Había un patio enorme, y en el cielo, cruzando el cielo, a la altura de los techos, colgaban unas llantas, o algo así, amarradas con cuerdas. No sé si eso sea cierto pero eso recuerdo. Yo no quería que mi mamá se fuera y me puse a llorar. Lloraba como un niño, asustado, desprovisto de todo. Había un salón donde estaban los otros niños. Todos muy tranquilos, todos jugando o haciendo algo, pero ninguno llorando. Sólo yo lloraba, lejos de ellos, cerca a mi mamá. Ella se fue, me dejó llorando, pero sé que debe haberse quedado cerca esperando que se me pase, y rogando que me adapte. Esa era la vida y tenía que aprender a vivir solo, a </w:t>
      </w:r>
      <w:r w:rsidRPr="000D3432">
        <w:rPr>
          <w:rFonts w:asciiTheme="minorHAnsi" w:hAnsiTheme="minorHAnsi" w:cs="Arial"/>
          <w:color w:val="000080"/>
          <w:szCs w:val="24"/>
        </w:rPr>
        <w:lastRenderedPageBreak/>
        <w:t>adaptarme al mundo, a aprender a vivir por mi cuenta. No sé como pero entré al salón. No sabía donde ubicarme. Al parecer todas las carpetas estaban ocupadas; pero de pronto, inesperadamente un niño -luego supe que era un vecino- me dijo “siéntate aquí, conmigo”. Yo me acerqué y me senté dándole las gracias creo, o no me acuerdo. Pero mi mirada debe haberle dado las gracias. Era como un salvavidas. Yo no era de ese lugar, yo no era de ningún lugar, yo no pertenecía a este mundo. Es curioso pero aún siento eso.</w:t>
      </w:r>
    </w:p>
    <w:p w14:paraId="4EFB8957"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22D0AD8B"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Mucho más tarde leí la obra “Paco Yunque” de César Vallejo, y me entusiasmó tanto que casi volví a llorar con ese cuento. Yo era el Paco Yunque del cuento. Aunque no me había pasado nada de lo que a Paco Yunque le pasó, yo me sentía muy cerca a él, un incomprendido. Pero también me sentía cercano a su amigo, con una especie de reacción justiciera. Cómo esperando a que Paco Yunque en el segundo libro, en la continuación de ese cuento se repusiera y tomara el mundo en sus manos, y le diera su merecido a aquellos que lo maltrataron, a aquellos que eran abusivos.</w:t>
      </w:r>
    </w:p>
    <w:p w14:paraId="3A9E664B"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69C718F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Estuve mucho tiempo esperanzado en encontrar la segunda parte de Paco Yunque, pero nunca pude hallarla, por una razón, no había segunda parte. Esa historia hizo mucho en mi. Era la primera tragedia que había leído. Era la mas tierna y dulce historia sin final feliz que pude haber leído. Y me conmovió mucho. De mayor he leído a César Vallejo, pero ninguna de sus obras, ni sus poesías me ha conmovido más que Paco Yunque, para mi su obra magistral. Si logró conmover a un niño, y darle las esperanzas de una segunda parte, tiene que haber sido una obra magistral. César Vallejo debe haberse retratado, supongo. Siempre hay algo del propio autor en la obra creada, y a veces es todo.</w:t>
      </w:r>
    </w:p>
    <w:p w14:paraId="1614E39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3A6CE6DC"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César Vallejo fue un gran hombre, pero el resto lo ha hecho gran hombre, y gran autor por su sufrimiento. Eso me parece patético. Lo que no me gusta de Vallejo es precisamente eso, que lo que se haya marketeado de el sea su vida sufrida. Y en referencia a eso su obra. No me gusta su tono de voz, injuriando a la vida, y quejándose. Antes, a veces aún hoy, me he quejado de la vida, pero es lo que más me molesta de mi. No me gusta tomar la vida como una queja, sino como un reto. Que mi sufrimiento sea un reto y vencerlo una gloria, y no lo contrario. Pero eso es difícil de hacer. Por eso me gustan los autores fuertes. Los que pueden vencer a las palabras, los que no tienen miedo a simples palabras, los que no se ofenden con los dichos, o creen en dogmas, o falsos pecados. Si no me acuerdo mal, pecado significa, el que ha errado el camino. Pero el mundo tiene muchos caminos. Si algo tuviera que recordar de Vallejo sería su cuento Paco Yunque, y de ahí haría de el, un hombre, un autor de valor, un autor capaz de construir una realidad más compleja, y mas perenne que la propia realidad.</w:t>
      </w:r>
    </w:p>
    <w:p w14:paraId="7EE1642E"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 </w:t>
      </w:r>
    </w:p>
    <w:p w14:paraId="27CD25E2" w14:textId="77777777" w:rsidR="00727CE6" w:rsidRPr="000D3432" w:rsidRDefault="00727CE6" w:rsidP="00963DC1">
      <w:pPr>
        <w:jc w:val="both"/>
        <w:rPr>
          <w:rFonts w:asciiTheme="minorHAnsi" w:hAnsiTheme="minorHAnsi" w:cs="Arial"/>
          <w:color w:val="2B3334"/>
          <w:szCs w:val="24"/>
        </w:rPr>
      </w:pPr>
      <w:r w:rsidRPr="000D3432">
        <w:rPr>
          <w:rFonts w:asciiTheme="minorHAnsi" w:hAnsiTheme="minorHAnsi" w:cs="Arial"/>
          <w:color w:val="000080"/>
          <w:szCs w:val="24"/>
        </w:rPr>
        <w:t>-0-0-0-0- Fin de la segunda parte -0-0-0-0-</w:t>
      </w:r>
    </w:p>
    <w:p w14:paraId="04331B9B" w14:textId="77777777" w:rsidR="00727CE6" w:rsidRPr="000D3432" w:rsidRDefault="00727CE6" w:rsidP="00A95498">
      <w:pPr>
        <w:rPr>
          <w:rFonts w:asciiTheme="minorHAnsi" w:hAnsiTheme="minorHAnsi"/>
          <w:szCs w:val="24"/>
        </w:rPr>
      </w:pPr>
    </w:p>
    <w:p w14:paraId="37B6CE3E" w14:textId="77777777" w:rsidR="00727CE6" w:rsidRPr="000D3432" w:rsidRDefault="00727CE6" w:rsidP="00A95498">
      <w:pPr>
        <w:rPr>
          <w:rFonts w:asciiTheme="minorHAnsi" w:hAnsiTheme="minorHAnsi"/>
          <w:szCs w:val="24"/>
        </w:rPr>
      </w:pPr>
    </w:p>
    <w:p w14:paraId="5468D8D7" w14:textId="77777777" w:rsidR="00963DC1" w:rsidRPr="000D3432" w:rsidRDefault="00727CE6" w:rsidP="00963DC1">
      <w:pPr>
        <w:pStyle w:val="Ttulo1"/>
        <w:spacing w:line="240" w:lineRule="auto"/>
        <w:jc w:val="center"/>
        <w:rPr>
          <w:rFonts w:asciiTheme="minorHAnsi" w:hAnsiTheme="minorHAnsi" w:cs="Arial"/>
          <w:bCs/>
          <w:caps/>
          <w:color w:val="2B3334"/>
          <w:sz w:val="24"/>
          <w:szCs w:val="24"/>
        </w:rPr>
      </w:pPr>
      <w:bookmarkStart w:id="136" w:name="_Toc318102942"/>
      <w:r w:rsidRPr="000D3432">
        <w:rPr>
          <w:rFonts w:asciiTheme="minorHAnsi" w:hAnsiTheme="minorHAnsi" w:cs="Arial"/>
          <w:bCs/>
          <w:caps/>
          <w:color w:val="2B3334"/>
          <w:sz w:val="24"/>
          <w:szCs w:val="24"/>
        </w:rPr>
        <w:t xml:space="preserve">(MI PRIMERA NEGACIÓN A LA PATERNIDAD: </w:t>
      </w:r>
    </w:p>
    <w:p w14:paraId="3F6A1012" w14:textId="55538705" w:rsidR="00727CE6" w:rsidRPr="000D3432" w:rsidRDefault="00727CE6" w:rsidP="00963DC1">
      <w:pPr>
        <w:pStyle w:val="Ttulo1"/>
        <w:spacing w:line="240" w:lineRule="auto"/>
        <w:jc w:val="center"/>
        <w:rPr>
          <w:rFonts w:asciiTheme="minorHAnsi" w:hAnsiTheme="minorHAnsi" w:cs="Arial"/>
          <w:bCs/>
          <w:caps/>
          <w:color w:val="2B3334"/>
          <w:sz w:val="24"/>
          <w:szCs w:val="24"/>
        </w:rPr>
      </w:pPr>
      <w:r w:rsidRPr="000D3432">
        <w:rPr>
          <w:rFonts w:asciiTheme="minorHAnsi" w:hAnsiTheme="minorHAnsi" w:cs="Arial"/>
          <w:bCs/>
          <w:caps/>
          <w:color w:val="2B3334"/>
          <w:sz w:val="24"/>
          <w:szCs w:val="24"/>
        </w:rPr>
        <w:t>"YO ALEX TORRES")</w:t>
      </w:r>
      <w:bookmarkEnd w:id="136"/>
    </w:p>
    <w:p w14:paraId="62F74C45" w14:textId="77777777" w:rsidR="00727CE6" w:rsidRPr="000D3432" w:rsidRDefault="00727CE6" w:rsidP="00A95498">
      <w:pPr>
        <w:pStyle w:val="NormalWeb"/>
        <w:spacing w:before="0" w:beforeAutospacing="0" w:after="0" w:afterAutospacing="0"/>
        <w:rPr>
          <w:rFonts w:asciiTheme="minorHAnsi" w:hAnsiTheme="minorHAnsi" w:cs="Arial"/>
          <w:color w:val="2B3334"/>
        </w:rPr>
      </w:pPr>
      <w:r w:rsidRPr="000D3432">
        <w:rPr>
          <w:rFonts w:asciiTheme="minorHAnsi" w:hAnsiTheme="minorHAnsi" w:cs="Arial"/>
          <w:color w:val="2B3334"/>
        </w:rPr>
        <w:t> </w:t>
      </w:r>
    </w:p>
    <w:p w14:paraId="581EBF2C" w14:textId="77777777" w:rsidR="00727CE6" w:rsidRPr="000D3432" w:rsidRDefault="00727CE6" w:rsidP="00A95498">
      <w:pPr>
        <w:pStyle w:val="NormalWeb"/>
        <w:spacing w:before="0" w:beforeAutospacing="0" w:after="0" w:afterAutospacing="0"/>
        <w:rPr>
          <w:rFonts w:asciiTheme="minorHAnsi" w:hAnsiTheme="minorHAnsi" w:cs="Arial"/>
          <w:color w:val="000000"/>
        </w:rPr>
      </w:pPr>
      <w:r w:rsidRPr="000D3432">
        <w:rPr>
          <w:rFonts w:asciiTheme="minorHAnsi" w:hAnsiTheme="minorHAnsi" w:cs="Arial"/>
          <w:color w:val="000000"/>
        </w:rPr>
        <w:t> </w:t>
      </w:r>
    </w:p>
    <w:p w14:paraId="2E98CF94"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"MI PRIMERA NEGACION A LA PATERNIDAD"</w:t>
      </w:r>
    </w:p>
    <w:p w14:paraId="37603D61"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021F7933"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Mi signo es Leo, es cierto, pero no soy sólo eso, sino otras cosas más.</w:t>
      </w:r>
    </w:p>
    <w:p w14:paraId="0C794D88"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24A01022"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Nací el 9 de agosto. Mi linda mamá me dice que a eso de las nueve de la mañana; y aunque yo estuve presente no me acuerdo; además en ese tiempo, como es lógico, no tenía percepción del tiempo. Hoy aún tengo un rezago de esa primera experiencia temporal, pues aún no tengo mucha percepción del tiempo.</w:t>
      </w:r>
    </w:p>
    <w:p w14:paraId="2B97BBE4"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770FD25C"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Mi padre parece haberme dado el nombre de Alex, y mi mamá el de Ricardo. Quedó, pues, mi nombre registrado y determinado: Alex Ricardo. Nombres que realmente me gustan. El primero suena a inglés, y el segundo también, ¿ curioso? ¿No son los ingleses quienes tienen por fama ser los más formales y elegantes, al lado de los franceses? Al menos si no soy muy elegante que digamos, tengo si el signo de ello en mi nombre.</w:t>
      </w:r>
    </w:p>
    <w:p w14:paraId="35060247"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429240C6"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Mis apellidos son Zambrano, por lado de mi padre, y Torres por el lado de mi linda mamá.</w:t>
      </w:r>
    </w:p>
    <w:p w14:paraId="7FCBC3BE"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47214BBB"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En mi niñez, debido a la distancia con mi padre me gustaba llamarme Alex Torres, y en mis cuadernos, al borde, ponía siempre este nombre “Alex Torres”, como para negar la descendencia paterna y afirmar la materna.</w:t>
      </w:r>
    </w:p>
    <w:p w14:paraId="63631A93"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6BFF6AD7"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Sin embargo con el tiempo he aprendido a no renegar de mi apellido paterno. El no tiene la culpa, y no significa nada un nombre sino el ser que lo usa. Además, no puedo negar que tuve un abuelo, por el lado de mi padre, muy cariñoso e inteligente, al cual yo quería un montón, pero con ese sentimiento lejano, de quien sólo ha tenido muy poca cercanía y frecuencia en el trato. Recuerdo, sin embargo, que mi abuelito, que vivía en el valle de Moquegua, nos contaba, por las noches, lindos cuentos. Era realmente un narrador, un hombre agradable y buenagente, cariñoso pero no como los demás, que te apachurran, sino discreto. Eran sus palabras, su trato, sus actos lo afectuoso. Y siempre decía de nosotros -de mi hermanita y de mi- que éramos sus mas tiesos nietos (para él tieso significaba los más valientes y valerosos, los más queridos). Era agradable escuchar al abuelito, contando sus historias por las noches, cuando comíamos a la luz de unas velas, en el comedor cocina de la chacra del abuelito. Mientras la abuelita, con la que nunca me llevé bien, servía la comida.</w:t>
      </w:r>
    </w:p>
    <w:p w14:paraId="40B2BA75"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23A7FA30"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lastRenderedPageBreak/>
        <w:t>Recuerdo que cuando, muy de vez en cuando, llegaba a la chacra de mis abuelitos, encontraba a mi abuelito Teodosio -que así se llamaba- regando. Me saludaba afectuosamente, me llevaba inmediatamente al tunal, cogía unas tunas y las abría, como abrir una flor, con sus propias manos, dejando el fruto dispuesto para que nosotros lo cojamos y disfrutáramos. Esa era su forma de recibirnos, con un presente llamado tuna. A nosotros, por cierto, nos encantaba. Era la fruta más deliciosa que yo conocía, y quedaba super agradecido. Luego de empacharnos con tunas que el abuelito se aprestaba a darnos, sacaba él un periódico de su bolsillo trasero, lo abría, señalaba un articulo y me decía, lee esto y dime que quiere decir, y luego sonreía. Era como un juego, como decir “yo soy un viejito, explícame por favor”. Yo intentaba en vano leer aquel pequeño artículo, un poco inquieto, y luego me apresuraba a explicarle lo que quería decir. El abuelito sonreía, y cuando terminaba de darle mi explicación, sacaba una lupa, cogía el periódico y empezaba a decirme lo que el entendía, con un estilo asombroso. El había desmenuzado ese artículo y sabía perfectamente que significaba. Yo lo admiraba entonces. Escuchaba encantado a ese gran hombre, alto, a quien le debo la talla, y agradable, explicándome como un profesional, elegante y muy lúcidamente lo que el periódico quería decir. Tal vez esa fue mi primera percepción de lo que el lenguaje significaba. Ahora que lo pienso. Mi abuelito no necesitaba de ternos, ni de corbata, ni zapatos, el usaba botas, cuando regaba en la noche, y sandalias, cuando regaba en la mañana. Bueno, como decía, no necesitaba nada de trajes para mostrarse elegante, digno, admirable. Su mirada serena y amigable, su lenguaje sencillo pero no simple, su tono de voz, y la forma como decía las cosas me dejaban la impresión de estar ante una autoridad, ante un hombre culto. Yo me imaginaba muy lejos de su sapiencia, y creo que lo mismo les pasaba a todos.</w:t>
      </w:r>
    </w:p>
    <w:p w14:paraId="7E35DB8D"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7334A170"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Fue por ese lado de la vida, de mis antepasados, que comencé a dejar de lado la antipatía por el apellido paterno, y hoy no tengo mayores problemas.</w:t>
      </w:r>
    </w:p>
    <w:p w14:paraId="45223136"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p>
    <w:p w14:paraId="4BC6B145" w14:textId="77777777" w:rsidR="00727CE6" w:rsidRPr="000D3432" w:rsidRDefault="00727CE6" w:rsidP="00963DC1">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Sigamos. Esto va a ser un poco difícil. Borges decía -usando a Funes el memorioso (uno de los personajes de sus libros), que necesitaría 24 horas para narrar lo que el día anterior le había ocurrido. Es decir 24 horas para contar que le había pasado las veinticuatro horas anteriores.</w:t>
      </w:r>
    </w:p>
    <w:p w14:paraId="208B76F0" w14:textId="77777777" w:rsidR="00727CE6" w:rsidRPr="000D3432" w:rsidRDefault="00727CE6" w:rsidP="00A95498">
      <w:pPr>
        <w:rPr>
          <w:rFonts w:asciiTheme="minorHAnsi" w:hAnsiTheme="minorHAnsi"/>
          <w:szCs w:val="24"/>
        </w:rPr>
      </w:pPr>
    </w:p>
    <w:p w14:paraId="215EAAFC" w14:textId="77777777" w:rsidR="00727CE6" w:rsidRPr="000D3432" w:rsidRDefault="00727CE6" w:rsidP="00A95498">
      <w:pPr>
        <w:rPr>
          <w:rFonts w:asciiTheme="minorHAnsi" w:hAnsiTheme="minorHAnsi"/>
          <w:szCs w:val="24"/>
        </w:rPr>
      </w:pPr>
    </w:p>
    <w:p w14:paraId="47D23833" w14:textId="77777777" w:rsidR="00727CE6" w:rsidRPr="000D3432" w:rsidRDefault="00727CE6" w:rsidP="00A95498">
      <w:pPr>
        <w:rPr>
          <w:rFonts w:asciiTheme="minorHAnsi" w:hAnsiTheme="minorHAnsi"/>
          <w:szCs w:val="24"/>
        </w:rPr>
      </w:pPr>
    </w:p>
    <w:p w14:paraId="66C2CE46" w14:textId="77777777" w:rsidR="00727CE6" w:rsidRPr="000D3432" w:rsidRDefault="00727CE6" w:rsidP="00A95498">
      <w:pPr>
        <w:tabs>
          <w:tab w:val="left" w:pos="4725"/>
        </w:tabs>
        <w:jc w:val="both"/>
        <w:rPr>
          <w:rFonts w:asciiTheme="minorHAnsi" w:hAnsiTheme="minorHAnsi"/>
          <w:szCs w:val="24"/>
        </w:rPr>
      </w:pPr>
    </w:p>
    <w:p w14:paraId="5A7033C9" w14:textId="77777777" w:rsidR="00FD54CD" w:rsidRPr="000D3432" w:rsidRDefault="00FD54CD" w:rsidP="00A95498">
      <w:pPr>
        <w:tabs>
          <w:tab w:val="left" w:pos="4725"/>
        </w:tabs>
        <w:jc w:val="both"/>
        <w:rPr>
          <w:rFonts w:asciiTheme="minorHAnsi" w:hAnsiTheme="minorHAnsi"/>
          <w:szCs w:val="24"/>
        </w:rPr>
      </w:pPr>
    </w:p>
    <w:p w14:paraId="1D7F967D" w14:textId="77777777" w:rsidR="00FD54CD" w:rsidRPr="000D3432" w:rsidRDefault="00FD54CD" w:rsidP="00A95498">
      <w:pPr>
        <w:tabs>
          <w:tab w:val="left" w:pos="4725"/>
        </w:tabs>
        <w:jc w:val="both"/>
        <w:rPr>
          <w:rFonts w:asciiTheme="minorHAnsi" w:hAnsiTheme="minorHAnsi"/>
          <w:szCs w:val="24"/>
        </w:rPr>
      </w:pPr>
    </w:p>
    <w:p w14:paraId="42BD058A" w14:textId="77777777" w:rsidR="00FD54CD" w:rsidRPr="000D3432" w:rsidRDefault="00FD54CD" w:rsidP="00A95498">
      <w:pPr>
        <w:jc w:val="both"/>
        <w:rPr>
          <w:rFonts w:asciiTheme="minorHAnsi" w:hAnsiTheme="minorHAnsi"/>
          <w:szCs w:val="24"/>
        </w:rPr>
      </w:pPr>
    </w:p>
    <w:p w14:paraId="3ADA4A9C" w14:textId="77777777" w:rsidR="0050116F" w:rsidRPr="000D3432" w:rsidRDefault="0050116F" w:rsidP="00A95498">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636D0AAD" w14:textId="77777777" w:rsidR="0050116F" w:rsidRPr="000D3432" w:rsidRDefault="0050116F" w:rsidP="00A95498">
      <w:pPr>
        <w:rPr>
          <w:rFonts w:asciiTheme="minorHAnsi" w:hAnsiTheme="minorHAnsi"/>
          <w:szCs w:val="24"/>
        </w:rPr>
      </w:pPr>
    </w:p>
    <w:p w14:paraId="693F7E0A" w14:textId="77777777" w:rsidR="0050116F" w:rsidRPr="000D3432" w:rsidRDefault="0050116F" w:rsidP="00A95498">
      <w:pPr>
        <w:rPr>
          <w:rFonts w:asciiTheme="minorHAnsi" w:hAnsiTheme="minorHAnsi"/>
          <w:szCs w:val="24"/>
        </w:rPr>
      </w:pPr>
    </w:p>
    <w:p w14:paraId="4D8B156E" w14:textId="77777777" w:rsidR="0082775B" w:rsidRPr="000D3432" w:rsidRDefault="0082775B" w:rsidP="00A95498">
      <w:pPr>
        <w:numPr>
          <w:ilvl w:val="12"/>
          <w:numId w:val="0"/>
        </w:numPr>
        <w:ind w:firstLine="426"/>
        <w:jc w:val="center"/>
        <w:rPr>
          <w:rFonts w:asciiTheme="minorHAnsi" w:hAnsiTheme="minorHAnsi"/>
          <w:color w:val="000000"/>
          <w:szCs w:val="24"/>
        </w:rPr>
      </w:pPr>
    </w:p>
    <w:p w14:paraId="6BC1F526" w14:textId="77777777" w:rsidR="0082775B" w:rsidRPr="000D3432" w:rsidRDefault="0082775B" w:rsidP="00A95498">
      <w:pPr>
        <w:numPr>
          <w:ilvl w:val="12"/>
          <w:numId w:val="0"/>
        </w:numPr>
        <w:ind w:firstLine="426"/>
        <w:jc w:val="center"/>
        <w:rPr>
          <w:rFonts w:asciiTheme="minorHAnsi" w:hAnsiTheme="minorHAnsi"/>
          <w:color w:val="000000"/>
          <w:szCs w:val="24"/>
        </w:rPr>
      </w:pPr>
    </w:p>
    <w:p w14:paraId="0AE6AAFE" w14:textId="77777777" w:rsidR="0082775B" w:rsidRPr="000D3432" w:rsidRDefault="0082775B" w:rsidP="00A95498">
      <w:pPr>
        <w:numPr>
          <w:ilvl w:val="12"/>
          <w:numId w:val="0"/>
        </w:numPr>
        <w:ind w:firstLine="426"/>
        <w:jc w:val="center"/>
        <w:rPr>
          <w:rFonts w:asciiTheme="minorHAnsi" w:hAnsiTheme="minorHAnsi"/>
          <w:color w:val="000000"/>
          <w:szCs w:val="24"/>
        </w:rPr>
      </w:pPr>
    </w:p>
    <w:p w14:paraId="4E3A933C" w14:textId="77777777" w:rsidR="0082775B" w:rsidRPr="000D3432" w:rsidRDefault="0082775B" w:rsidP="00A95498">
      <w:pPr>
        <w:numPr>
          <w:ilvl w:val="12"/>
          <w:numId w:val="0"/>
        </w:numPr>
        <w:ind w:firstLine="426"/>
        <w:jc w:val="center"/>
        <w:rPr>
          <w:rFonts w:asciiTheme="minorHAnsi" w:hAnsiTheme="minorHAnsi"/>
          <w:color w:val="000000"/>
          <w:szCs w:val="24"/>
        </w:rPr>
      </w:pPr>
    </w:p>
    <w:p w14:paraId="382F5125" w14:textId="77777777" w:rsidR="0082775B" w:rsidRPr="000D3432" w:rsidRDefault="0082775B" w:rsidP="00A95498">
      <w:pPr>
        <w:numPr>
          <w:ilvl w:val="12"/>
          <w:numId w:val="0"/>
        </w:numPr>
        <w:ind w:firstLine="426"/>
        <w:jc w:val="center"/>
        <w:rPr>
          <w:rFonts w:asciiTheme="minorHAnsi" w:hAnsiTheme="minorHAnsi"/>
          <w:color w:val="000000"/>
          <w:szCs w:val="24"/>
        </w:rPr>
      </w:pPr>
    </w:p>
    <w:p w14:paraId="0A48C4F2" w14:textId="77777777" w:rsidR="0082775B" w:rsidRPr="000D3432" w:rsidRDefault="0082775B" w:rsidP="00A95498">
      <w:pPr>
        <w:numPr>
          <w:ilvl w:val="12"/>
          <w:numId w:val="0"/>
        </w:numPr>
        <w:ind w:firstLine="426"/>
        <w:jc w:val="center"/>
        <w:rPr>
          <w:rFonts w:asciiTheme="minorHAnsi" w:hAnsiTheme="minorHAnsi"/>
          <w:b/>
          <w:color w:val="000000"/>
          <w:szCs w:val="24"/>
        </w:rPr>
      </w:pPr>
      <w:r w:rsidRPr="000D3432">
        <w:rPr>
          <w:rFonts w:asciiTheme="minorHAnsi" w:hAnsiTheme="minorHAnsi"/>
          <w:b/>
          <w:color w:val="000000"/>
          <w:szCs w:val="24"/>
          <w:u w:val="single"/>
        </w:rPr>
        <w:t>TERCERA PARTE</w:t>
      </w:r>
    </w:p>
    <w:p w14:paraId="24B83CDA" w14:textId="77777777" w:rsidR="0082775B" w:rsidRPr="000D3432" w:rsidRDefault="0082775B" w:rsidP="00A95498">
      <w:pPr>
        <w:numPr>
          <w:ilvl w:val="12"/>
          <w:numId w:val="0"/>
        </w:numPr>
        <w:jc w:val="center"/>
        <w:rPr>
          <w:rFonts w:asciiTheme="minorHAnsi" w:hAnsiTheme="minorHAnsi"/>
          <w:b/>
          <w:szCs w:val="24"/>
        </w:rPr>
      </w:pPr>
      <w:r w:rsidRPr="000D3432">
        <w:rPr>
          <w:rFonts w:asciiTheme="minorHAnsi" w:hAnsiTheme="minorHAnsi"/>
          <w:b/>
          <w:szCs w:val="24"/>
        </w:rPr>
        <w:br w:type="page"/>
      </w:r>
    </w:p>
    <w:p w14:paraId="4B032EDE" w14:textId="77777777" w:rsidR="0082775B" w:rsidRPr="000D3432" w:rsidRDefault="0082775B" w:rsidP="00A95498">
      <w:pPr>
        <w:numPr>
          <w:ilvl w:val="12"/>
          <w:numId w:val="0"/>
        </w:numPr>
        <w:jc w:val="center"/>
        <w:rPr>
          <w:rFonts w:asciiTheme="minorHAnsi" w:hAnsiTheme="minorHAnsi"/>
          <w:b/>
          <w:szCs w:val="24"/>
        </w:rPr>
      </w:pPr>
    </w:p>
    <w:p w14:paraId="5429D2EA" w14:textId="77777777" w:rsidR="0082775B" w:rsidRPr="000D3432" w:rsidRDefault="0082775B" w:rsidP="00A95498">
      <w:pPr>
        <w:numPr>
          <w:ilvl w:val="12"/>
          <w:numId w:val="0"/>
        </w:numPr>
        <w:jc w:val="center"/>
        <w:rPr>
          <w:rFonts w:asciiTheme="minorHAnsi" w:hAnsiTheme="minorHAnsi"/>
          <w:b/>
          <w:szCs w:val="24"/>
        </w:rPr>
      </w:pPr>
    </w:p>
    <w:p w14:paraId="638D33CC" w14:textId="77777777" w:rsidR="0082775B" w:rsidRPr="000D3432" w:rsidRDefault="0082775B" w:rsidP="00A95498">
      <w:pPr>
        <w:numPr>
          <w:ilvl w:val="12"/>
          <w:numId w:val="0"/>
        </w:numPr>
        <w:jc w:val="center"/>
        <w:rPr>
          <w:rFonts w:asciiTheme="minorHAnsi" w:hAnsiTheme="minorHAnsi"/>
          <w:b/>
          <w:szCs w:val="24"/>
        </w:rPr>
      </w:pPr>
    </w:p>
    <w:p w14:paraId="3B08FC51" w14:textId="77777777" w:rsidR="0082775B" w:rsidRPr="000D3432" w:rsidRDefault="0082775B" w:rsidP="00A95498">
      <w:pPr>
        <w:numPr>
          <w:ilvl w:val="12"/>
          <w:numId w:val="0"/>
        </w:numPr>
        <w:jc w:val="center"/>
        <w:rPr>
          <w:rFonts w:asciiTheme="minorHAnsi" w:hAnsiTheme="minorHAnsi"/>
          <w:b/>
          <w:szCs w:val="24"/>
        </w:rPr>
      </w:pPr>
    </w:p>
    <w:p w14:paraId="62C475C8" w14:textId="77777777" w:rsidR="0082775B" w:rsidRPr="000D3432" w:rsidRDefault="0082775B" w:rsidP="00A95498">
      <w:pPr>
        <w:numPr>
          <w:ilvl w:val="12"/>
          <w:numId w:val="0"/>
        </w:numPr>
        <w:jc w:val="center"/>
        <w:rPr>
          <w:rFonts w:asciiTheme="minorHAnsi" w:hAnsiTheme="minorHAnsi"/>
          <w:b/>
          <w:szCs w:val="24"/>
        </w:rPr>
      </w:pPr>
    </w:p>
    <w:p w14:paraId="25E76900" w14:textId="77777777" w:rsidR="0082775B" w:rsidRPr="000D3432" w:rsidRDefault="0082775B" w:rsidP="00A95498">
      <w:pPr>
        <w:numPr>
          <w:ilvl w:val="12"/>
          <w:numId w:val="0"/>
        </w:numPr>
        <w:jc w:val="center"/>
        <w:rPr>
          <w:rFonts w:asciiTheme="minorHAnsi" w:hAnsiTheme="minorHAnsi"/>
          <w:b/>
          <w:szCs w:val="24"/>
        </w:rPr>
      </w:pPr>
    </w:p>
    <w:p w14:paraId="39B3FBB1" w14:textId="77777777" w:rsidR="0082775B" w:rsidRPr="000D3432" w:rsidRDefault="0082775B" w:rsidP="00A95498">
      <w:pPr>
        <w:numPr>
          <w:ilvl w:val="12"/>
          <w:numId w:val="0"/>
        </w:numPr>
        <w:jc w:val="center"/>
        <w:rPr>
          <w:rFonts w:asciiTheme="minorHAnsi" w:hAnsiTheme="minorHAnsi"/>
          <w:b/>
          <w:szCs w:val="24"/>
        </w:rPr>
      </w:pPr>
    </w:p>
    <w:p w14:paraId="48CB9535" w14:textId="77777777" w:rsidR="0082775B" w:rsidRPr="000D3432" w:rsidRDefault="0082775B" w:rsidP="00A95498">
      <w:pPr>
        <w:numPr>
          <w:ilvl w:val="12"/>
          <w:numId w:val="0"/>
        </w:numPr>
        <w:jc w:val="center"/>
        <w:rPr>
          <w:rFonts w:asciiTheme="minorHAnsi" w:hAnsiTheme="minorHAnsi"/>
          <w:b/>
          <w:szCs w:val="24"/>
        </w:rPr>
      </w:pPr>
    </w:p>
    <w:p w14:paraId="4527FF46" w14:textId="77777777" w:rsidR="0082775B" w:rsidRPr="000D3432" w:rsidRDefault="0082775B" w:rsidP="00A95498">
      <w:pPr>
        <w:numPr>
          <w:ilvl w:val="12"/>
          <w:numId w:val="0"/>
        </w:numPr>
        <w:jc w:val="center"/>
        <w:rPr>
          <w:rFonts w:asciiTheme="minorHAnsi" w:hAnsiTheme="minorHAnsi"/>
          <w:b/>
          <w:szCs w:val="24"/>
        </w:rPr>
      </w:pPr>
    </w:p>
    <w:p w14:paraId="2A790549" w14:textId="77777777" w:rsidR="0082775B" w:rsidRPr="000D3432" w:rsidRDefault="0082775B" w:rsidP="00A95498">
      <w:pPr>
        <w:numPr>
          <w:ilvl w:val="12"/>
          <w:numId w:val="0"/>
        </w:numPr>
        <w:jc w:val="center"/>
        <w:rPr>
          <w:rFonts w:asciiTheme="minorHAnsi" w:hAnsiTheme="minorHAnsi"/>
          <w:b/>
          <w:szCs w:val="24"/>
        </w:rPr>
      </w:pPr>
    </w:p>
    <w:p w14:paraId="7FCC87B9" w14:textId="77777777" w:rsidR="0082775B" w:rsidRPr="000D3432" w:rsidRDefault="0082775B" w:rsidP="00A95498">
      <w:pPr>
        <w:numPr>
          <w:ilvl w:val="12"/>
          <w:numId w:val="0"/>
        </w:numPr>
        <w:jc w:val="center"/>
        <w:rPr>
          <w:rFonts w:asciiTheme="minorHAnsi" w:hAnsiTheme="minorHAnsi"/>
          <w:b/>
          <w:szCs w:val="24"/>
        </w:rPr>
      </w:pPr>
    </w:p>
    <w:p w14:paraId="647FCBFA" w14:textId="77777777" w:rsidR="0082775B" w:rsidRPr="000D3432" w:rsidRDefault="0082775B" w:rsidP="00A95498">
      <w:pPr>
        <w:numPr>
          <w:ilvl w:val="12"/>
          <w:numId w:val="0"/>
        </w:numPr>
        <w:jc w:val="center"/>
        <w:rPr>
          <w:rFonts w:asciiTheme="minorHAnsi" w:hAnsiTheme="minorHAnsi"/>
          <w:b/>
          <w:szCs w:val="24"/>
        </w:rPr>
      </w:pPr>
      <w:r w:rsidRPr="000D3432">
        <w:rPr>
          <w:rFonts w:asciiTheme="minorHAnsi" w:hAnsiTheme="minorHAnsi"/>
          <w:b/>
          <w:szCs w:val="24"/>
        </w:rPr>
        <w:t>_____________ EL NUEVO CÓDIGO PROCESAL PENAL _____________</w:t>
      </w:r>
    </w:p>
    <w:p w14:paraId="15C114C2" w14:textId="77777777" w:rsidR="0082775B" w:rsidRPr="000D3432" w:rsidRDefault="0082775B" w:rsidP="00A95498">
      <w:pPr>
        <w:numPr>
          <w:ilvl w:val="12"/>
          <w:numId w:val="0"/>
        </w:numPr>
        <w:jc w:val="center"/>
        <w:rPr>
          <w:rFonts w:asciiTheme="minorHAnsi" w:hAnsiTheme="minorHAnsi"/>
          <w:b/>
          <w:szCs w:val="24"/>
        </w:rPr>
      </w:pPr>
    </w:p>
    <w:p w14:paraId="2B460F46" w14:textId="77777777" w:rsidR="0082775B" w:rsidRPr="000D3432" w:rsidRDefault="0082775B" w:rsidP="00A95498">
      <w:pPr>
        <w:numPr>
          <w:ilvl w:val="12"/>
          <w:numId w:val="0"/>
        </w:numPr>
        <w:jc w:val="center"/>
        <w:rPr>
          <w:rFonts w:asciiTheme="minorHAnsi" w:hAnsiTheme="minorHAnsi"/>
          <w:b/>
          <w:szCs w:val="24"/>
        </w:rPr>
      </w:pPr>
    </w:p>
    <w:p w14:paraId="39C4BE22" w14:textId="77777777" w:rsidR="0082775B" w:rsidRPr="000D3432" w:rsidRDefault="0082775B" w:rsidP="00A95498">
      <w:pPr>
        <w:numPr>
          <w:ilvl w:val="12"/>
          <w:numId w:val="0"/>
        </w:numPr>
        <w:jc w:val="center"/>
        <w:rPr>
          <w:rFonts w:asciiTheme="minorHAnsi" w:hAnsiTheme="minorHAnsi"/>
          <w:b/>
          <w:szCs w:val="24"/>
        </w:rPr>
      </w:pPr>
    </w:p>
    <w:p w14:paraId="4BBEDFB0" w14:textId="77777777" w:rsidR="0082775B" w:rsidRPr="000D3432" w:rsidRDefault="0082775B" w:rsidP="00A95498">
      <w:pPr>
        <w:numPr>
          <w:ilvl w:val="12"/>
          <w:numId w:val="0"/>
        </w:numPr>
        <w:jc w:val="center"/>
        <w:rPr>
          <w:rFonts w:asciiTheme="minorHAnsi" w:hAnsiTheme="minorHAnsi"/>
          <w:b/>
          <w:szCs w:val="24"/>
        </w:rPr>
      </w:pPr>
    </w:p>
    <w:p w14:paraId="74984BC2"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Es oportuno expresar que estamos hoy asistiendo a un momento histórico en la construcción del desarrollo de nuestra nación. Y digo histórico, porque es una trascendental posición y transformación mental sobre cómo se actuará a partir del momento presente, para “procesar” todos aquellos fenómenos que involucren una infracción o delito penal”. </w:t>
      </w:r>
    </w:p>
    <w:p w14:paraId="119F561A" w14:textId="77777777" w:rsidR="0082775B" w:rsidRPr="000D3432" w:rsidRDefault="0082775B" w:rsidP="00A95498">
      <w:pPr>
        <w:numPr>
          <w:ilvl w:val="12"/>
          <w:numId w:val="0"/>
        </w:numPr>
        <w:jc w:val="both"/>
        <w:rPr>
          <w:rFonts w:asciiTheme="minorHAnsi" w:hAnsiTheme="minorHAnsi"/>
          <w:szCs w:val="24"/>
        </w:rPr>
      </w:pPr>
    </w:p>
    <w:p w14:paraId="28B6EA67"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Esto significa un cambio en la estructura mental de los que aplican la nueva norma procesal penal, y además un cambio y reformulación del tratamiento de todas aquellas conductas que se configuran delictivas. Por ello, el presente fenómeno social jurídico representa una nueva dimensión del pensamiento jurídico, que propone encontrar el sentido histórico de nuestra vida, como dijera el lúcido pensador Isahias Berlín, es decir, la conciencia de que algo extraordinario se está produciendo y que necesitamos adaptarnos a esa transformación para lograr el desarrollo social. O en otras palabras, se puede decir, que tenemos la necesidad de tener conciencia histórica de nuestro tiempo. O dicho en términos de un gran jurista peruano, de origen tacneño, Jorge Basadre Grohmann, “estamos ante una nueva promesa” de progreso, que debe convertirse en una realidad firme y sostenible en el tiempo.</w:t>
      </w:r>
    </w:p>
    <w:p w14:paraId="0C4B4BC9" w14:textId="77777777" w:rsidR="0082775B" w:rsidRPr="000D3432" w:rsidRDefault="0082775B" w:rsidP="00A95498">
      <w:pPr>
        <w:numPr>
          <w:ilvl w:val="12"/>
          <w:numId w:val="0"/>
        </w:numPr>
        <w:jc w:val="both"/>
        <w:rPr>
          <w:rFonts w:asciiTheme="minorHAnsi" w:hAnsiTheme="minorHAnsi"/>
          <w:szCs w:val="24"/>
        </w:rPr>
      </w:pPr>
    </w:p>
    <w:p w14:paraId="3FA713BE"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La implementación del Nuevo Código Procesal Penal supone pues un fenómeno sísmico fundamental en nuestra historia: la existencia de un antes y de un después de la Reforma Procesal Penal. El mundo y el tiempo, en Tacna, se parte en dos, en un antes y en un después; puesto que la Justicia Penal cambia radicalmente en sus métodos, en la forma cómo se determina el delito y cómo se procesa el mismo, para lograr una Justicia Penal eficaz, rápida, transparente, pública, oral, oportuna y equilibrada. Hoy tendremos la imperiosa necesidad de refutar, con la fuerza de los hechos, y con los instrumentos de la modernidad, aquella frase tan aciaga, frágil y penosa de que “todo pasado fue mejor”, y construiremos una nueva frase: “todo presente y futuro será siempre mejor”, y esto es cierto en grado evidente, o pregunto: ¿No somos más civilizados hoy que antaño? Somos el producto de Reformas como la venidera, que construyen nuestra mente, nuestras conductas y nos direccionan hacia el desarrollo </w:t>
      </w:r>
      <w:r w:rsidRPr="000D3432">
        <w:rPr>
          <w:rFonts w:asciiTheme="minorHAnsi" w:hAnsiTheme="minorHAnsi"/>
          <w:szCs w:val="24"/>
        </w:rPr>
        <w:lastRenderedPageBreak/>
        <w:t>permanente y progresivo.</w:t>
      </w:r>
    </w:p>
    <w:p w14:paraId="07AD42EF" w14:textId="77777777" w:rsidR="0082775B" w:rsidRPr="000D3432" w:rsidRDefault="0082775B" w:rsidP="00A95498">
      <w:pPr>
        <w:numPr>
          <w:ilvl w:val="12"/>
          <w:numId w:val="0"/>
        </w:numPr>
        <w:jc w:val="both"/>
        <w:rPr>
          <w:rFonts w:asciiTheme="minorHAnsi" w:hAnsiTheme="minorHAnsi"/>
          <w:szCs w:val="24"/>
        </w:rPr>
      </w:pPr>
    </w:p>
    <w:p w14:paraId="1CED7550" w14:textId="77777777" w:rsidR="0082775B" w:rsidRPr="000D3432" w:rsidRDefault="0082775B" w:rsidP="00A95498">
      <w:pPr>
        <w:numPr>
          <w:ilvl w:val="12"/>
          <w:numId w:val="0"/>
        </w:numPr>
        <w:jc w:val="both"/>
        <w:rPr>
          <w:rFonts w:asciiTheme="minorHAnsi" w:hAnsiTheme="minorHAnsi"/>
          <w:b/>
          <w:szCs w:val="24"/>
        </w:rPr>
      </w:pPr>
      <w:r w:rsidRPr="000D3432">
        <w:rPr>
          <w:rFonts w:asciiTheme="minorHAnsi" w:hAnsiTheme="minorHAnsi"/>
          <w:b/>
          <w:szCs w:val="24"/>
        </w:rPr>
        <w:t xml:space="preserve">UN NUEVO SISTEMA PROCESAL PENAL </w:t>
      </w:r>
    </w:p>
    <w:p w14:paraId="5CBA312A" w14:textId="77777777" w:rsidR="0082775B" w:rsidRPr="000D3432" w:rsidRDefault="0082775B" w:rsidP="00A95498">
      <w:pPr>
        <w:numPr>
          <w:ilvl w:val="12"/>
          <w:numId w:val="0"/>
        </w:numPr>
        <w:jc w:val="both"/>
        <w:rPr>
          <w:rFonts w:asciiTheme="minorHAnsi" w:hAnsiTheme="minorHAnsi"/>
          <w:szCs w:val="24"/>
        </w:rPr>
      </w:pPr>
    </w:p>
    <w:p w14:paraId="6DFCED73" w14:textId="77777777" w:rsidR="0082775B" w:rsidRPr="000D3432" w:rsidRDefault="0082775B" w:rsidP="00A95498">
      <w:pPr>
        <w:numPr>
          <w:ilvl w:val="12"/>
          <w:numId w:val="0"/>
        </w:numPr>
        <w:jc w:val="both"/>
        <w:rPr>
          <w:rFonts w:asciiTheme="minorHAnsi" w:hAnsiTheme="minorHAnsi"/>
          <w:b/>
          <w:szCs w:val="24"/>
        </w:rPr>
      </w:pPr>
      <w:r w:rsidRPr="000D3432">
        <w:rPr>
          <w:rFonts w:asciiTheme="minorHAnsi" w:hAnsiTheme="minorHAnsi"/>
          <w:b/>
          <w:szCs w:val="24"/>
        </w:rPr>
        <w:t>ANTECEDENTES HISTÓRICOS</w:t>
      </w:r>
    </w:p>
    <w:p w14:paraId="1B2E42C6" w14:textId="77777777" w:rsidR="0082775B" w:rsidRPr="000D3432" w:rsidRDefault="0082775B" w:rsidP="00A95498">
      <w:pPr>
        <w:numPr>
          <w:ilvl w:val="12"/>
          <w:numId w:val="0"/>
        </w:numPr>
        <w:jc w:val="both"/>
        <w:rPr>
          <w:rFonts w:asciiTheme="minorHAnsi" w:hAnsiTheme="minorHAnsi"/>
          <w:szCs w:val="24"/>
        </w:rPr>
      </w:pPr>
    </w:p>
    <w:p w14:paraId="58C47248"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El Nuevo Código Procesal Penal fue promulgado por el Decreto Legislativo N° 957, publicado el 29 de julio del 2004, a fin que entrara en vigencia progresivamente.</w:t>
      </w:r>
    </w:p>
    <w:p w14:paraId="03611185" w14:textId="77777777" w:rsidR="0082775B" w:rsidRPr="000D3432" w:rsidRDefault="0082775B" w:rsidP="00A95498">
      <w:pPr>
        <w:numPr>
          <w:ilvl w:val="12"/>
          <w:numId w:val="0"/>
        </w:numPr>
        <w:jc w:val="both"/>
        <w:rPr>
          <w:rFonts w:asciiTheme="minorHAnsi" w:hAnsiTheme="minorHAnsi"/>
          <w:szCs w:val="24"/>
        </w:rPr>
      </w:pPr>
    </w:p>
    <w:p w14:paraId="3DE9DB3B"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Eso significa que el Poder Ejecutivo, quien, a través de la delegación legislativa que le dio el Congreso, fue el encargado para legislar la creación y construcción del nuevo sistema procesal penal, edificando normativamente un moderno método de control y sanción de las infracciones a la Ley Penal. Fue mediante la Ley N° 28269, publicada en el Diario Oficial el Peruano el día 04 de julio del 2004 que el Poder Legislativo delegó en el Ejecutivo la facultad de dictar el Nuevo Código Procesal Penal a través del Decreto Legislativo N° 957, y en mérito al artículo 104 de la Constitución Política del Perú, lo que le da a la presente norma transparencia, solidez y vigencia. </w:t>
      </w:r>
    </w:p>
    <w:p w14:paraId="4F8C3DF3" w14:textId="77777777" w:rsidR="0082775B" w:rsidRPr="000D3432" w:rsidRDefault="0082775B" w:rsidP="00A95498">
      <w:pPr>
        <w:numPr>
          <w:ilvl w:val="12"/>
          <w:numId w:val="0"/>
        </w:numPr>
        <w:jc w:val="both"/>
        <w:rPr>
          <w:rFonts w:asciiTheme="minorHAnsi" w:hAnsiTheme="minorHAnsi"/>
          <w:szCs w:val="24"/>
        </w:rPr>
      </w:pPr>
    </w:p>
    <w:p w14:paraId="5231731C"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Cabe una pregunta: el origen de nuestra nueva norma procesal penal ha recaído en el Ejecutivo, por delegación del Legislativo, y no en el Judicial. La propuesta viene pues desde fuera del mismo fenómeno jurídico. He querido enfocar esto porque creemos que toda reforma debe partir desde las entrañas de sus propios actores, porque son estos los que conocen por la sabiduría que les brinda la experiencia cómo mejorar el sistema que a ellos les compete; ellos saben de sus virtudes y sus desajustes. Esto por supuesto no es una crítica. Lo cierto es que el Poder Judicial y todos aquellas instituciones que tienen que ven con el desarrollo y buen funcionamiento de la administración de justicia tenemos el reto de la implementación del nuevo sistema procesal penal, y estamos empeñados en hacerlo bien, independientemente de quien haya dado las normas.</w:t>
      </w:r>
    </w:p>
    <w:p w14:paraId="4E19DF39" w14:textId="77777777" w:rsidR="0082775B" w:rsidRPr="000D3432" w:rsidRDefault="0082775B" w:rsidP="00A95498">
      <w:pPr>
        <w:numPr>
          <w:ilvl w:val="12"/>
          <w:numId w:val="0"/>
        </w:numPr>
        <w:jc w:val="both"/>
        <w:rPr>
          <w:rFonts w:asciiTheme="minorHAnsi" w:hAnsiTheme="minorHAnsi"/>
          <w:szCs w:val="24"/>
        </w:rPr>
      </w:pPr>
    </w:p>
    <w:p w14:paraId="519576AE"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Además, es necesaria una anotación a nuestro parecer básica. Esta decisión normativa para cambiar todo el sistema procesal penal, como se expresara, tiene una característica fundamental: se implementará progresivamente. ¿Y por qué progresivamente? Por estrategia cultural, económica y jurídica. Es el reconocimiento a nuestra pluriculturalidad, a nuestra variopinta condición social, a la mezcla y confluencia de “todas las razas”.</w:t>
      </w:r>
    </w:p>
    <w:p w14:paraId="6DF6DD68" w14:textId="77777777" w:rsidR="0082775B" w:rsidRPr="000D3432" w:rsidRDefault="0082775B" w:rsidP="00A95498">
      <w:pPr>
        <w:numPr>
          <w:ilvl w:val="12"/>
          <w:numId w:val="0"/>
        </w:numPr>
        <w:jc w:val="both"/>
        <w:rPr>
          <w:rFonts w:asciiTheme="minorHAnsi" w:hAnsiTheme="minorHAnsi"/>
          <w:szCs w:val="24"/>
        </w:rPr>
      </w:pPr>
    </w:p>
    <w:p w14:paraId="3298C3B6"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El nuevo Código Procesal Penal entrará en vigencia progresivamente en todo el Perú, esto de acuerdo con los numerales 1 y 2 de la Primera Disposición Complementaria Final del Decreto Legislativo N° 957. </w:t>
      </w:r>
    </w:p>
    <w:p w14:paraId="2998EA5F" w14:textId="77777777" w:rsidR="0082775B" w:rsidRPr="000D3432" w:rsidRDefault="0082775B" w:rsidP="00A95498">
      <w:pPr>
        <w:numPr>
          <w:ilvl w:val="12"/>
          <w:numId w:val="0"/>
        </w:numPr>
        <w:jc w:val="both"/>
        <w:rPr>
          <w:rFonts w:asciiTheme="minorHAnsi" w:hAnsiTheme="minorHAnsi"/>
          <w:szCs w:val="24"/>
        </w:rPr>
      </w:pPr>
    </w:p>
    <w:p w14:paraId="6A63FC66"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En Tacna la implementación se empezó el 01 de abril del 2008.  </w:t>
      </w:r>
    </w:p>
    <w:p w14:paraId="18D6D69C" w14:textId="77777777" w:rsidR="0082775B" w:rsidRPr="000D3432" w:rsidRDefault="0082775B" w:rsidP="00A95498">
      <w:pPr>
        <w:numPr>
          <w:ilvl w:val="12"/>
          <w:numId w:val="0"/>
        </w:numPr>
        <w:jc w:val="both"/>
        <w:rPr>
          <w:rFonts w:asciiTheme="minorHAnsi" w:hAnsiTheme="minorHAnsi"/>
          <w:szCs w:val="24"/>
        </w:rPr>
      </w:pPr>
    </w:p>
    <w:p w14:paraId="04F3D453"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La implementación fue programada en el gobierno anterior, para ser ejecutada en el presente gobierno</w:t>
      </w:r>
    </w:p>
    <w:p w14:paraId="192529BB" w14:textId="77777777" w:rsidR="0082775B" w:rsidRPr="000D3432" w:rsidRDefault="0082775B" w:rsidP="00A95498">
      <w:pPr>
        <w:numPr>
          <w:ilvl w:val="12"/>
          <w:numId w:val="0"/>
        </w:numPr>
        <w:shd w:val="clear" w:color="auto" w:fill="FFFFFF"/>
        <w:rPr>
          <w:rFonts w:asciiTheme="minorHAnsi" w:hAnsiTheme="minorHAnsi"/>
          <w:color w:val="000000"/>
          <w:szCs w:val="24"/>
        </w:rPr>
      </w:pPr>
    </w:p>
    <w:p w14:paraId="41BE998A"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 xml:space="preserve">Esto supuso una necesidad imperiosa de modificar, en diversas oportunidades, el Código de Procedimientos Penales anterior, puesto que las disposiciones enunciadas allí ya no respondían a la realidad de los hechos actuales. El Código Procesal Penal, surge, también como una medida de corrección de los vacíos o deficiencias de la norma de procedimientos penales anterior, y de sus limitaciones. </w:t>
      </w:r>
    </w:p>
    <w:p w14:paraId="48151C39" w14:textId="77777777" w:rsidR="0082775B" w:rsidRPr="000D3432" w:rsidRDefault="0082775B" w:rsidP="00A95498">
      <w:pPr>
        <w:numPr>
          <w:ilvl w:val="12"/>
          <w:numId w:val="0"/>
        </w:numPr>
        <w:shd w:val="clear" w:color="auto" w:fill="FFFFFF"/>
        <w:rPr>
          <w:rFonts w:asciiTheme="minorHAnsi" w:hAnsiTheme="minorHAnsi"/>
          <w:color w:val="000000"/>
          <w:szCs w:val="24"/>
        </w:rPr>
      </w:pPr>
    </w:p>
    <w:p w14:paraId="6CE88F6B"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 xml:space="preserve">El más grande cambio de la reforma procesal penal en el Perú es su paso del sistema inquisitivo hacia un sistema acusatorio, modelo en el cual las funciones de los actores en el proceso cambian sustancialmente, y se identifican y delimitan las mismas. Así el fiscal es ahora quien investiga, y el Juez quien resuelve y sentencia. Se libera al juez de la subjetividad que le revestía el hacer la investigación, y luego dar la sentencia. </w:t>
      </w:r>
    </w:p>
    <w:p w14:paraId="30D2FE79" w14:textId="77777777" w:rsidR="0082775B" w:rsidRPr="000D3432" w:rsidRDefault="0082775B" w:rsidP="00A95498">
      <w:pPr>
        <w:numPr>
          <w:ilvl w:val="12"/>
          <w:numId w:val="0"/>
        </w:numPr>
        <w:shd w:val="clear" w:color="auto" w:fill="FFFFFF"/>
        <w:rPr>
          <w:rFonts w:asciiTheme="minorHAnsi" w:hAnsiTheme="minorHAnsi"/>
          <w:color w:val="000000"/>
          <w:szCs w:val="24"/>
        </w:rPr>
      </w:pPr>
    </w:p>
    <w:p w14:paraId="29793283"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Se modifica el sistema procesal penal para priorizar y subordinar el proceso a la oralidad, que permite lograr una mayor rapidez de los procesos. La medida es pues la velocidad de la palabra, que niega o vence a la velocidad de la escritura y de la lectura del expediente. El sistema procesal penal utiliza nuevos métodos para lograr la verdad jurídica, utiliza otras velocidades, la de la oralidad, que a la vez le da una nueva dinámica procesal y permite observar el proceso penal, constituyéndose las partes y la sociedad misma en factores de control del debido proceso, de la legalidad del mismo, y de la correspondencia de lo expuesto oralmente por las partes con la sentencia emitida por el Juez. Este es pues un logro y éxito del imperio de los sistemas de control social, la sociedad podrá controlar, a través de su presencia y observación y audiencia, la legalidad e imparcialidad de la justicia penal.</w:t>
      </w:r>
    </w:p>
    <w:p w14:paraId="29939B2A"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1EB4705A" w14:textId="77777777" w:rsidR="0082775B" w:rsidRPr="000D3432" w:rsidRDefault="0082775B" w:rsidP="00A95498">
      <w:pPr>
        <w:numPr>
          <w:ilvl w:val="12"/>
          <w:numId w:val="0"/>
        </w:numPr>
        <w:shd w:val="clear" w:color="auto" w:fill="FFFFFF"/>
        <w:jc w:val="both"/>
        <w:rPr>
          <w:rFonts w:asciiTheme="minorHAnsi" w:hAnsiTheme="minorHAnsi"/>
          <w:b/>
          <w:color w:val="000000"/>
          <w:szCs w:val="24"/>
        </w:rPr>
      </w:pPr>
      <w:r w:rsidRPr="000D3432">
        <w:rPr>
          <w:rFonts w:asciiTheme="minorHAnsi" w:hAnsiTheme="minorHAnsi"/>
          <w:b/>
          <w:color w:val="000000"/>
          <w:szCs w:val="24"/>
        </w:rPr>
        <w:t>Antecedentes:</w:t>
      </w:r>
    </w:p>
    <w:p w14:paraId="0B46FB39"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3D207AF8"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 xml:space="preserve">Escribe Víctor Cubas que el Código de Procedimientos Penales se configuraba como un modelo procesal penal mixto en donde los delitos eran perseguibles por acción pública, implicando un proceso ordinario, que consistía en dos etapas: la instrucción, inquisitivo (escrito, reservado, con restricción de la defensa, dirigida por el Juez Penal en el ámbito de la provincia). </w:t>
      </w:r>
    </w:p>
    <w:p w14:paraId="221A5DF4"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689315A8"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En 1963 se produjo una modificación al sistema procesal penal, que consistió en otorgar facultad de fallo a los jueces instructores para resolver las querellas.</w:t>
      </w:r>
    </w:p>
    <w:p w14:paraId="6DB2BAD3"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7CB626F6"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En 1969 se produjo otra modificación donde se introdujo el proceso penal sumario, mediante Decreto Ley N° 17110</w:t>
      </w:r>
    </w:p>
    <w:p w14:paraId="7301A460"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210BDE34"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 xml:space="preserve">Visto el Código de Procedimientos Penales, el mismo no habría servido suficientemente para hacer frente a los problemas de criminalidad organizada, recurriéndose para ello a los procedimientos especiales, trayendo como consecuencia: “policialización” de la investigación; restricción de garantías procesales, “sobrecriminilización”, extensión de la pena privativa de libertad hasta cadena perpetua, modificación del régimen penitenciario. </w:t>
      </w:r>
    </w:p>
    <w:p w14:paraId="5F5836F2"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5640DBBF"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r w:rsidRPr="000D3432">
        <w:rPr>
          <w:rFonts w:asciiTheme="minorHAnsi" w:hAnsiTheme="minorHAnsi"/>
          <w:color w:val="000000"/>
          <w:szCs w:val="24"/>
        </w:rPr>
        <w:t xml:space="preserve">Con el nuevo Código Procesal Penal, por el contrario se priorizan algunos básicos principios: </w:t>
      </w:r>
    </w:p>
    <w:p w14:paraId="113B1591" w14:textId="77777777" w:rsidR="0082775B" w:rsidRPr="000D3432" w:rsidRDefault="0082775B" w:rsidP="00A95498">
      <w:pPr>
        <w:numPr>
          <w:ilvl w:val="12"/>
          <w:numId w:val="0"/>
        </w:numPr>
        <w:shd w:val="clear" w:color="auto" w:fill="FFFFFF"/>
        <w:jc w:val="both"/>
        <w:rPr>
          <w:rFonts w:asciiTheme="minorHAnsi" w:hAnsiTheme="minorHAnsi"/>
          <w:color w:val="000000"/>
          <w:szCs w:val="24"/>
        </w:rPr>
      </w:pPr>
    </w:p>
    <w:p w14:paraId="22B713B9"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 xml:space="preserve">1.- El Principio de Imparcialidad de la Justicia, que significa: “Decisiones justas sin presiones ni ingerencias políticas, económicas, ideológicas u otras”. </w:t>
      </w:r>
    </w:p>
    <w:p w14:paraId="647C74F3" w14:textId="77777777" w:rsidR="0082775B" w:rsidRPr="000D3432" w:rsidRDefault="0082775B" w:rsidP="00A95498">
      <w:pPr>
        <w:numPr>
          <w:ilvl w:val="12"/>
          <w:numId w:val="0"/>
        </w:numPr>
        <w:rPr>
          <w:rFonts w:asciiTheme="minorHAnsi" w:hAnsiTheme="minorHAnsi"/>
          <w:szCs w:val="24"/>
        </w:rPr>
      </w:pPr>
    </w:p>
    <w:p w14:paraId="159F78D4"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2.- Principio de Oficialidad, que significa la “Persecución penal pública de los delitos”</w:t>
      </w:r>
    </w:p>
    <w:p w14:paraId="21EB1BBC" w14:textId="77777777" w:rsidR="0082775B" w:rsidRPr="000D3432" w:rsidRDefault="0082775B" w:rsidP="00A95498">
      <w:pPr>
        <w:numPr>
          <w:ilvl w:val="12"/>
          <w:numId w:val="0"/>
        </w:numPr>
        <w:rPr>
          <w:rFonts w:asciiTheme="minorHAnsi" w:hAnsiTheme="minorHAnsi"/>
          <w:szCs w:val="24"/>
        </w:rPr>
      </w:pPr>
    </w:p>
    <w:p w14:paraId="5393B00C"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 xml:space="preserve">3.- Principio de Investigación Oficial y Aportación de partes, indicando que “El tribunal que juzga queda sometido a la prueba que presente y produzcan las partes”. </w:t>
      </w:r>
    </w:p>
    <w:p w14:paraId="63D59167" w14:textId="77777777" w:rsidR="0082775B" w:rsidRPr="000D3432" w:rsidRDefault="0082775B" w:rsidP="00A95498">
      <w:pPr>
        <w:numPr>
          <w:ilvl w:val="12"/>
          <w:numId w:val="0"/>
        </w:numPr>
        <w:ind w:left="708"/>
        <w:rPr>
          <w:rFonts w:asciiTheme="minorHAnsi" w:hAnsiTheme="minorHAnsi"/>
          <w:szCs w:val="24"/>
        </w:rPr>
      </w:pPr>
    </w:p>
    <w:p w14:paraId="1337FC7B"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4.- Principio Acusatorio, significa la “distribución de los poderes de persecución penal, donde se puede observar la diferencia y delimitación siguiente: </w:t>
      </w:r>
    </w:p>
    <w:p w14:paraId="65DDA8EA"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Fiscal: Acusa</w:t>
      </w:r>
    </w:p>
    <w:p w14:paraId="03A5F5A0"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Juez:   Juzga</w:t>
      </w:r>
    </w:p>
    <w:p w14:paraId="10CC9BB9" w14:textId="77777777" w:rsidR="0082775B" w:rsidRPr="000D3432" w:rsidRDefault="0082775B" w:rsidP="00A95498">
      <w:pPr>
        <w:numPr>
          <w:ilvl w:val="12"/>
          <w:numId w:val="0"/>
        </w:numPr>
        <w:ind w:left="708"/>
        <w:rPr>
          <w:rFonts w:asciiTheme="minorHAnsi" w:hAnsiTheme="minorHAnsi"/>
          <w:szCs w:val="24"/>
        </w:rPr>
      </w:pPr>
    </w:p>
    <w:p w14:paraId="147EBC36"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5.- Principio de Oportunidad: que indica que: “La Fiscalía puede no iniciar, suspender, interrumpir el curso de la persecución penal por motivos de utilidad social”</w:t>
      </w:r>
    </w:p>
    <w:p w14:paraId="5D071957" w14:textId="77777777" w:rsidR="0082775B" w:rsidRPr="000D3432" w:rsidRDefault="0082775B" w:rsidP="00A95498">
      <w:pPr>
        <w:numPr>
          <w:ilvl w:val="12"/>
          <w:numId w:val="0"/>
        </w:numPr>
        <w:ind w:left="708"/>
        <w:rPr>
          <w:rFonts w:asciiTheme="minorHAnsi" w:hAnsiTheme="minorHAnsi"/>
          <w:szCs w:val="24"/>
        </w:rPr>
      </w:pPr>
    </w:p>
    <w:p w14:paraId="74640182"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6.- Principio de publicidad: mediante la cual: “La sociedad tiene el derecho a observar el proceso penal y la forma en que se deciden las causas”.</w:t>
      </w:r>
    </w:p>
    <w:p w14:paraId="3B9ACF70" w14:textId="77777777" w:rsidR="0082775B" w:rsidRPr="000D3432" w:rsidRDefault="0082775B" w:rsidP="00A95498">
      <w:pPr>
        <w:numPr>
          <w:ilvl w:val="12"/>
          <w:numId w:val="0"/>
        </w:numPr>
        <w:ind w:left="708"/>
        <w:rPr>
          <w:rFonts w:asciiTheme="minorHAnsi" w:hAnsiTheme="minorHAnsi"/>
          <w:szCs w:val="24"/>
        </w:rPr>
      </w:pPr>
    </w:p>
    <w:p w14:paraId="3D14D53A"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7.- Principio de inmediación: Por medio de la cual se enuncia que: “El Juez sentencie en mérito a los medios probatorios que han sido rendidos ante él”</w:t>
      </w:r>
    </w:p>
    <w:p w14:paraId="6344EE3B" w14:textId="77777777" w:rsidR="0082775B" w:rsidRPr="000D3432" w:rsidRDefault="0082775B" w:rsidP="00A95498">
      <w:pPr>
        <w:numPr>
          <w:ilvl w:val="12"/>
          <w:numId w:val="0"/>
        </w:numPr>
        <w:ind w:left="708"/>
        <w:rPr>
          <w:rFonts w:asciiTheme="minorHAnsi" w:hAnsiTheme="minorHAnsi"/>
          <w:szCs w:val="24"/>
        </w:rPr>
      </w:pPr>
    </w:p>
    <w:p w14:paraId="6674374E"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 xml:space="preserve">8.- Principio de Oralidad que constituye, por ejemplo los siguientes hechos: </w:t>
      </w:r>
    </w:p>
    <w:p w14:paraId="137A9E6E"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El fiscal alega oralmente</w:t>
      </w:r>
    </w:p>
    <w:p w14:paraId="621C956F"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El defensor está abogando oralmente</w:t>
      </w:r>
    </w:p>
    <w:p w14:paraId="7D9DBB5B"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El Juez sentencia oralmente</w:t>
      </w:r>
    </w:p>
    <w:p w14:paraId="272991D0"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Las partes declaran oralmente</w:t>
      </w:r>
    </w:p>
    <w:p w14:paraId="00CBA6DE" w14:textId="77777777" w:rsidR="0082775B" w:rsidRPr="000D3432" w:rsidRDefault="0082775B" w:rsidP="00A95498">
      <w:pPr>
        <w:numPr>
          <w:ilvl w:val="12"/>
          <w:numId w:val="0"/>
        </w:numPr>
        <w:ind w:left="708"/>
        <w:rPr>
          <w:rFonts w:asciiTheme="minorHAnsi" w:hAnsiTheme="minorHAnsi"/>
          <w:szCs w:val="24"/>
        </w:rPr>
      </w:pPr>
      <w:r w:rsidRPr="000D3432">
        <w:rPr>
          <w:rFonts w:asciiTheme="minorHAnsi" w:hAnsiTheme="minorHAnsi"/>
          <w:szCs w:val="24"/>
        </w:rPr>
        <w:t>- Los testigos atestiguan oralmente</w:t>
      </w:r>
    </w:p>
    <w:p w14:paraId="1FCD3F02" w14:textId="77777777" w:rsidR="0082775B" w:rsidRPr="000D3432" w:rsidRDefault="0082775B" w:rsidP="00A95498">
      <w:pPr>
        <w:numPr>
          <w:ilvl w:val="12"/>
          <w:numId w:val="0"/>
        </w:numPr>
        <w:ind w:left="708"/>
        <w:rPr>
          <w:rFonts w:asciiTheme="minorHAnsi" w:hAnsiTheme="minorHAnsi"/>
          <w:szCs w:val="24"/>
        </w:rPr>
      </w:pPr>
    </w:p>
    <w:p w14:paraId="1FF6F796" w14:textId="77777777" w:rsidR="0082775B" w:rsidRPr="000D3432" w:rsidRDefault="0082775B" w:rsidP="00A95498">
      <w:pPr>
        <w:numPr>
          <w:ilvl w:val="12"/>
          <w:numId w:val="0"/>
        </w:numPr>
        <w:rPr>
          <w:rFonts w:asciiTheme="minorHAnsi" w:hAnsiTheme="minorHAnsi"/>
          <w:szCs w:val="24"/>
        </w:rPr>
      </w:pPr>
      <w:r w:rsidRPr="000D3432">
        <w:rPr>
          <w:rFonts w:asciiTheme="minorHAnsi" w:hAnsiTheme="minorHAnsi"/>
          <w:szCs w:val="24"/>
        </w:rPr>
        <w:t>9.- Principio de Contradicción; que significa dar la posibilidad de que las partes procesales deben y proponen la actuación de sus medios de defensa.</w:t>
      </w:r>
    </w:p>
    <w:p w14:paraId="6084FBE3" w14:textId="77777777" w:rsidR="0082775B" w:rsidRPr="000D3432" w:rsidRDefault="0082775B" w:rsidP="00A95498">
      <w:pPr>
        <w:numPr>
          <w:ilvl w:val="12"/>
          <w:numId w:val="0"/>
        </w:numPr>
        <w:jc w:val="both"/>
        <w:rPr>
          <w:rFonts w:asciiTheme="minorHAnsi" w:hAnsiTheme="minorHAnsi"/>
          <w:szCs w:val="24"/>
        </w:rPr>
      </w:pPr>
    </w:p>
    <w:p w14:paraId="68C0131C" w14:textId="77777777" w:rsidR="0082775B" w:rsidRPr="000D3432" w:rsidRDefault="0082775B" w:rsidP="00A95498">
      <w:pPr>
        <w:numPr>
          <w:ilvl w:val="12"/>
          <w:numId w:val="0"/>
        </w:numPr>
        <w:jc w:val="both"/>
        <w:rPr>
          <w:rFonts w:asciiTheme="minorHAnsi" w:hAnsiTheme="minorHAnsi"/>
          <w:b/>
          <w:szCs w:val="24"/>
        </w:rPr>
      </w:pPr>
      <w:r w:rsidRPr="000D3432">
        <w:rPr>
          <w:rFonts w:asciiTheme="minorHAnsi" w:hAnsiTheme="minorHAnsi"/>
          <w:b/>
          <w:szCs w:val="24"/>
        </w:rPr>
        <w:t>LA SANCIÓN PENAL CON EL NUEVO SISTEMA PROCESAL PENAL</w:t>
      </w:r>
    </w:p>
    <w:p w14:paraId="2BAA0106" w14:textId="77777777" w:rsidR="0082775B" w:rsidRPr="000D3432" w:rsidRDefault="0082775B" w:rsidP="00A95498">
      <w:pPr>
        <w:numPr>
          <w:ilvl w:val="12"/>
          <w:numId w:val="0"/>
        </w:numPr>
        <w:jc w:val="both"/>
        <w:rPr>
          <w:rFonts w:asciiTheme="minorHAnsi" w:hAnsiTheme="minorHAnsi"/>
          <w:szCs w:val="24"/>
        </w:rPr>
      </w:pPr>
    </w:p>
    <w:p w14:paraId="33F61394"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Es necesario aclarar que el proceso tiene un objetivo. Por ello explicaremos sucintamente el fenómeno penal para entender el proceso penal en su conjunto. </w:t>
      </w:r>
    </w:p>
    <w:p w14:paraId="0259EACA" w14:textId="77777777" w:rsidR="0082775B" w:rsidRPr="000D3432" w:rsidRDefault="0082775B" w:rsidP="00A95498">
      <w:pPr>
        <w:numPr>
          <w:ilvl w:val="12"/>
          <w:numId w:val="0"/>
        </w:numPr>
        <w:jc w:val="both"/>
        <w:rPr>
          <w:rFonts w:asciiTheme="minorHAnsi" w:hAnsiTheme="minorHAnsi"/>
          <w:szCs w:val="24"/>
        </w:rPr>
      </w:pPr>
    </w:p>
    <w:p w14:paraId="4E90E893"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La concepción de la sanción penal, de castigar al delincuente (aquel que ha cometido un delito) suele tener una relación directa con el pensamiento dominante (la política de gobierno, etc.) de la época, y con el fin que persigue en cada tiempo: el castigo. Así, a medida que evolucionaba el pensamiento sobre el </w:t>
      </w:r>
      <w:r w:rsidRPr="000D3432">
        <w:rPr>
          <w:rFonts w:asciiTheme="minorHAnsi" w:hAnsiTheme="minorHAnsi"/>
          <w:szCs w:val="24"/>
        </w:rPr>
        <w:lastRenderedPageBreak/>
        <w:t xml:space="preserve">fin que cumple la pena, el castigo también evolucionaba el tipo de sanción y el proceso para llegar a él. En ese supuesto, el acto delictivo definía a la persona, y su condición social (su relación con la sociedad). La persona queda pues definida por el delito, esto supondría que no la persona en su integridad, sino sólo aquella parte más resaltante, supuestamente más representativa (ser un delincuente) era lo importante para el sistema penal, y en base a ello se imponía la pena, sanción o castigo. </w:t>
      </w:r>
    </w:p>
    <w:p w14:paraId="28373B27" w14:textId="77777777" w:rsidR="0082775B" w:rsidRPr="000D3432" w:rsidRDefault="0082775B" w:rsidP="00A95498">
      <w:pPr>
        <w:numPr>
          <w:ilvl w:val="12"/>
          <w:numId w:val="0"/>
        </w:numPr>
        <w:jc w:val="both"/>
        <w:rPr>
          <w:rFonts w:asciiTheme="minorHAnsi" w:hAnsiTheme="minorHAnsi"/>
          <w:szCs w:val="24"/>
        </w:rPr>
      </w:pPr>
    </w:p>
    <w:p w14:paraId="69E5194A"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El fin dominante de los anteriores sistemas procesales penales eran pues más que de resocialización o rehabilitación, un acto definitorio: el castigo, que tenía como finalidad servir como una estrategia para subordinar a los individuos delictivos antes que perseguir la readaptación del delincuente. Esa posición tuvo que cambiar porque no correspondía ya pues con la modernidad, sino con los sistemas monárquicos, imperialistas, o dictatoriales. </w:t>
      </w:r>
    </w:p>
    <w:p w14:paraId="150808B9" w14:textId="77777777" w:rsidR="0082775B" w:rsidRPr="000D3432" w:rsidRDefault="0082775B" w:rsidP="00A95498">
      <w:pPr>
        <w:numPr>
          <w:ilvl w:val="12"/>
          <w:numId w:val="0"/>
        </w:numPr>
        <w:jc w:val="both"/>
        <w:rPr>
          <w:rFonts w:asciiTheme="minorHAnsi" w:hAnsiTheme="minorHAnsi"/>
          <w:szCs w:val="24"/>
        </w:rPr>
      </w:pPr>
    </w:p>
    <w:p w14:paraId="704356B4"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Con el tiempo la aparición del concepto del Tercer Estado (la sociedad) como el elemento social más importante que los otros grupos sociales (monarca, nobleza), transformó todo el sistema punitivo, y por consiguiente la finalidad de la sanción. Así pues el castigo ya no sería un acto de subordinación del individuo al monarca, dictador, etc., sino un acto de acatamiento de los órdenes jurídicos de la sociedad, del pueblo que requería vivir en paz y sin delincuencia. Se transforma el acto punitivo en bien de una persona (el monarca) en un sistema en bien de la sociedad. Todo parece subvertirse en una estructuración punitiva diferente, en un nuevo sistema de ingenios para desarrollar la nueva teoría: El Tercer Estado es lo importante (diría Sieyes), o en otros términos lo importante de combatir a la delincuencia y al delincuente no es ya el monarca, sino la sociedad. Cambio cismático que hoy nos ha permitido entrar en lo que se llama la Implementación del Nuevo Código Procesal Penal. </w:t>
      </w:r>
    </w:p>
    <w:p w14:paraId="62622BC1" w14:textId="77777777" w:rsidR="0082775B" w:rsidRPr="000D3432" w:rsidRDefault="0082775B" w:rsidP="00A95498">
      <w:pPr>
        <w:numPr>
          <w:ilvl w:val="12"/>
          <w:numId w:val="0"/>
        </w:numPr>
        <w:jc w:val="both"/>
        <w:rPr>
          <w:rFonts w:asciiTheme="minorHAnsi" w:hAnsiTheme="minorHAnsi"/>
          <w:szCs w:val="24"/>
        </w:rPr>
      </w:pPr>
    </w:p>
    <w:p w14:paraId="6B356866"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Con el anterior sistema procesal penal, sistema inquisitivo, teníamos una presentación aritmética del proceso penal y de la penalidad, donde se sumaban los actos delictivos, se restaban las acciones de redención como el trabajo o la educación, como expresaba la teoría absoluta de la pena, y sucedía que “…por ejemplo, la negación del mal, producido por el delito, mediante la imposición de un mal al responsable constituía una ficción, puesto que, en la realidad, los efectos negativos se acumulaban, en lugar de que el castigo hiciera desaparecer el delito realizado”, según explica Hurtado Pozo. </w:t>
      </w:r>
    </w:p>
    <w:p w14:paraId="7AF2F05C" w14:textId="77777777" w:rsidR="0082775B" w:rsidRPr="000D3432" w:rsidRDefault="0082775B" w:rsidP="00A95498">
      <w:pPr>
        <w:numPr>
          <w:ilvl w:val="12"/>
          <w:numId w:val="0"/>
        </w:numPr>
        <w:rPr>
          <w:rFonts w:asciiTheme="minorHAnsi" w:hAnsiTheme="minorHAnsi"/>
          <w:szCs w:val="24"/>
        </w:rPr>
      </w:pPr>
    </w:p>
    <w:p w14:paraId="54FBFB6C"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La nueva concepción de la pena y del proceso penal no es ya simplemente aritmética (suma, resta, multiplicación o división de la pena, del investigado o acusado, por determinados factores) sino es una concepción geométrica de la sanción, es decir, toma en cuenta otros elementos que no son planos, como las sumas o restas, etc., sino toma en cuenta el espacio, el tiempo, la historia, el azar, la responsabilidad penal, la imputabilidad, tipicidad, el interés social, etc., elementos no necesariamente cuantificables, o planos, sino amplios y dimensionales. </w:t>
      </w:r>
    </w:p>
    <w:p w14:paraId="61E93DC4" w14:textId="77777777" w:rsidR="0082775B" w:rsidRPr="000D3432" w:rsidRDefault="0082775B" w:rsidP="00A95498">
      <w:pPr>
        <w:numPr>
          <w:ilvl w:val="12"/>
          <w:numId w:val="0"/>
        </w:numPr>
        <w:jc w:val="both"/>
        <w:rPr>
          <w:rFonts w:asciiTheme="minorHAnsi" w:hAnsiTheme="minorHAnsi"/>
          <w:szCs w:val="24"/>
        </w:rPr>
      </w:pPr>
    </w:p>
    <w:p w14:paraId="4BF378BF"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Es claro identificar que en la doctrina, a la explicación del derecho a castigar, del </w:t>
      </w:r>
      <w:r w:rsidRPr="000D3432">
        <w:rPr>
          <w:rFonts w:asciiTheme="minorHAnsi" w:hAnsiTheme="minorHAnsi"/>
          <w:i/>
          <w:szCs w:val="24"/>
        </w:rPr>
        <w:lastRenderedPageBreak/>
        <w:t>ius puniendi</w:t>
      </w:r>
      <w:r w:rsidRPr="000D3432">
        <w:rPr>
          <w:rFonts w:asciiTheme="minorHAnsi" w:hAnsiTheme="minorHAnsi"/>
          <w:szCs w:val="24"/>
        </w:rPr>
        <w:t>, del Estado se le llaman teorías de la pena, dentro de las cuales tenemos a las teorías absolutas, “que niegan que la pena cumpla con alguna función utilitaria específica”. “La pena es concebida, así, como un fin en sí mismo”, según describe Hurtado Pozo, quien agrega:“La influencia de la concepción absoluta de la pena se debió, en gran parte, a su sólido fundamento filosófico. Éste fue establecido, en particular, por Kant y Hegel. Según el primero, castigar al culpable es una exigencia esencial de la moral, un “imperativo categórico” que no debe ser mancillado por ningún utilitarismo. Para Hegel, la restauración del derecho objetivo violado voluntariamente requiere la anulación de la voluntad del delincuente mediante la violencia de la pena. Así, la negación (expresada mediante la pena) de la negación del derecho (mediante la comisión del delito) permite restablecer el derecho. Si Kant invoca la Ley del Talión, Hegel prefiere referirse a la equivalencia entre la gravedad del delito y la severidad de la pena. Sin embargo, ambos coinciden en negar a la pena otro fin que el de la redistribución.” Pero antes de aplicar estas penas es necesario un método que las justifique, que impida la arbitrariedad; este método es el proceso penal.</w:t>
      </w:r>
    </w:p>
    <w:p w14:paraId="566C0A7B" w14:textId="77777777" w:rsidR="0082775B" w:rsidRPr="000D3432" w:rsidRDefault="0082775B" w:rsidP="00A95498">
      <w:pPr>
        <w:numPr>
          <w:ilvl w:val="12"/>
          <w:numId w:val="0"/>
        </w:numPr>
        <w:jc w:val="both"/>
        <w:rPr>
          <w:rFonts w:asciiTheme="minorHAnsi" w:hAnsiTheme="minorHAnsi"/>
          <w:szCs w:val="24"/>
        </w:rPr>
      </w:pPr>
    </w:p>
    <w:p w14:paraId="09DAFB63" w14:textId="77777777" w:rsidR="0082775B" w:rsidRPr="000D3432" w:rsidRDefault="0082775B" w:rsidP="00A95498">
      <w:pPr>
        <w:numPr>
          <w:ilvl w:val="12"/>
          <w:numId w:val="0"/>
        </w:numPr>
        <w:jc w:val="both"/>
        <w:rPr>
          <w:rFonts w:asciiTheme="minorHAnsi" w:hAnsiTheme="minorHAnsi"/>
          <w:b/>
          <w:szCs w:val="24"/>
        </w:rPr>
      </w:pPr>
      <w:r w:rsidRPr="000D3432">
        <w:rPr>
          <w:rFonts w:asciiTheme="minorHAnsi" w:hAnsiTheme="minorHAnsi"/>
          <w:b/>
          <w:szCs w:val="24"/>
        </w:rPr>
        <w:t>UNA NUEVA CONCEPCIÓN DE LA LIBERTAD EN EL CÓDIGO PROCESAL PENAL</w:t>
      </w:r>
    </w:p>
    <w:p w14:paraId="30EAAB41" w14:textId="77777777" w:rsidR="0082775B" w:rsidRPr="000D3432" w:rsidRDefault="0082775B" w:rsidP="00A95498">
      <w:pPr>
        <w:numPr>
          <w:ilvl w:val="12"/>
          <w:numId w:val="0"/>
        </w:numPr>
        <w:jc w:val="both"/>
        <w:rPr>
          <w:rFonts w:asciiTheme="minorHAnsi" w:hAnsiTheme="minorHAnsi"/>
          <w:szCs w:val="24"/>
        </w:rPr>
      </w:pPr>
    </w:p>
    <w:p w14:paraId="35B8AF7C"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Quiero sin embargo ingresar en una reflexión importante sobre lo que producirá el nuevo sistema procesal penal en uno de los valores fundamentales con los que trabaja la penalidad: La Libertad.</w:t>
      </w:r>
    </w:p>
    <w:p w14:paraId="0930FDD8" w14:textId="77777777" w:rsidR="0082775B" w:rsidRPr="000D3432" w:rsidRDefault="0082775B" w:rsidP="00A95498">
      <w:pPr>
        <w:numPr>
          <w:ilvl w:val="12"/>
          <w:numId w:val="0"/>
        </w:numPr>
        <w:jc w:val="both"/>
        <w:rPr>
          <w:rFonts w:asciiTheme="minorHAnsi" w:hAnsiTheme="minorHAnsi"/>
          <w:szCs w:val="24"/>
        </w:rPr>
      </w:pPr>
    </w:p>
    <w:p w14:paraId="3786FA1F"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Como puede verse de la estructura procesal y punitiva anterior, de acuerdo al Código Penal, como una pirámide, en la cúspide tenemos a las penas privativas de la libertad. Eso supone poner en el más alto nivel valorativo la libertad. La función que cumple la pena es por ello doble: por un lado aísla al delincuente del resto de la sociedad, y por otro, castiga al delincuente. Luis Diez Picazo diría que la ley penal no pretende rehabilitar, sino castigar; siendo este su fin, y no otro (podría estar dentro de la teoría absoluta de la pena). Sin embargo nada puede escapar a los efectos que produce una acción. La Ley penal, independientemente de su finalidad (que castigue buscando hacer cumplir la justicia – teorías absoluta de la pena; o que prevenga o tenga una finalidad utilitaria – teoría relativa de la pena) surte ciertos efectos colaterales, o, en otros términos podríamos decir, externalidades, para con el individuo o la sociedad. Estos efectos son los que no se pueden medir matemáticamente. La sanción penal no puede medirse en sus efectos, porque los efectos son más allá de los numéricamente percibidos; los efectos pueden ser por ejemplo aquella irradiación de desconfianza, frustración o todo lo contrario en las personas, confianza en la justicia.</w:t>
      </w:r>
    </w:p>
    <w:p w14:paraId="50364902" w14:textId="77777777" w:rsidR="0082775B" w:rsidRPr="000D3432" w:rsidRDefault="0082775B" w:rsidP="00A95498">
      <w:pPr>
        <w:numPr>
          <w:ilvl w:val="12"/>
          <w:numId w:val="0"/>
        </w:numPr>
        <w:jc w:val="both"/>
        <w:rPr>
          <w:rFonts w:asciiTheme="minorHAnsi" w:hAnsiTheme="minorHAnsi"/>
          <w:szCs w:val="24"/>
        </w:rPr>
      </w:pPr>
    </w:p>
    <w:p w14:paraId="4D9BB215"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Por otro lado, los sentenciados a pena privativa de libertad responden mayoritariamente de cierta forma; la cárcel surte ciertos efectos característicos que influyen en su comportamiento en la sociedad, pero esa es sólo la regla, no se puede medir el daño moral, o psicológico que se instaura en el agente delictivo, en el inculpado, sentenciado, reo libre o reo en cárcel. Esas categorías </w:t>
      </w:r>
      <w:r w:rsidRPr="000D3432">
        <w:rPr>
          <w:rFonts w:asciiTheme="minorHAnsi" w:hAnsiTheme="minorHAnsi"/>
          <w:szCs w:val="24"/>
        </w:rPr>
        <w:lastRenderedPageBreak/>
        <w:t xml:space="preserve">no se pueden medir racionalmente, con estadísticas o encuestas; sin embargo puede hacerse una aproximación al destino de los excarcelados, que siempre parece ser negativa. </w:t>
      </w:r>
    </w:p>
    <w:p w14:paraId="690BC018" w14:textId="77777777" w:rsidR="0082775B" w:rsidRPr="000D3432" w:rsidRDefault="0082775B" w:rsidP="00A95498">
      <w:pPr>
        <w:numPr>
          <w:ilvl w:val="12"/>
          <w:numId w:val="0"/>
        </w:numPr>
        <w:jc w:val="both"/>
        <w:rPr>
          <w:rFonts w:asciiTheme="minorHAnsi" w:hAnsiTheme="minorHAnsi"/>
          <w:szCs w:val="24"/>
        </w:rPr>
      </w:pPr>
    </w:p>
    <w:p w14:paraId="02D54B37"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Desde otro enfoque, no es vano afirmar que la libertad no es el mayor valor jurídico, sino la vida; pero “la vida es intocable”, puesto que no tenemos forma de recuperarla como la libertad. Sin embargo “la libertad” a los 20 años, no es igual que a los 45 ó 50 años, después de haber estado “interno” en algún penal. Un año en prisión implica imponer al lado del castigo en sí (la privación de la libertad) otros castigos adheridos, como el tipo de “relaciones sociales” que se desarrollan en la reclusión. Y este tipo de relación es obligatoria. Por hábito, las malas conductas se aprenden inconscientemente. La cárcel no cumple un fin readaptador, ni podría cumplirlo porque la sola privación de la libertad no genera readaptación. La prisión genera sus propios “desvaríos”, sus propias “perturbaciones” que se interiorizan por la fuerza de la cotidianeidad creando “sus propios valores”, que no por ser negativos a la sociedad ordinaria dejan de tener los efectos de un valor delictivo, es decir, de un factor que tiene peso y condiciona, influye o direcciona la conducta del encarcelado. El costo de las prisiones puede ser altamente corrosivo a la propia sociedad, porque es como una bomba de tiempo, se mantiene el delito dentro de un recinto, pero no se lo anula. La prisión es por definición aquel lugar donde se acumulan los males, las conductas nocivas al orden social. ¿Cómo pues ingresar a él sin contaminarse? Por eso quien debe prevenir todo esto es el proceso penal, que debe castigar sólo al culpable.</w:t>
      </w:r>
    </w:p>
    <w:p w14:paraId="4BB31F13" w14:textId="77777777" w:rsidR="0082775B" w:rsidRPr="000D3432" w:rsidRDefault="0082775B" w:rsidP="00A95498">
      <w:pPr>
        <w:numPr>
          <w:ilvl w:val="12"/>
          <w:numId w:val="0"/>
        </w:numPr>
        <w:jc w:val="both"/>
        <w:rPr>
          <w:rFonts w:asciiTheme="minorHAnsi" w:hAnsiTheme="minorHAnsi"/>
          <w:szCs w:val="24"/>
        </w:rPr>
      </w:pPr>
    </w:p>
    <w:p w14:paraId="31BBE82F"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t xml:space="preserve">La sociedad tiene la obligación y hasta la necesidad de invertir en el aislamiento y prisión de los delincuentes “incorregibles”; pero para que esto no sea una arbitrariedad se ha creado un método llamado proceso. </w:t>
      </w:r>
    </w:p>
    <w:p w14:paraId="10C71A1C" w14:textId="77777777" w:rsidR="0082775B" w:rsidRPr="000D3432" w:rsidRDefault="0082775B" w:rsidP="00A95498">
      <w:pPr>
        <w:numPr>
          <w:ilvl w:val="12"/>
          <w:numId w:val="0"/>
        </w:numPr>
        <w:jc w:val="both"/>
        <w:rPr>
          <w:rFonts w:asciiTheme="minorHAnsi" w:hAnsiTheme="minorHAnsi"/>
          <w:szCs w:val="24"/>
        </w:rPr>
      </w:pPr>
      <w:r w:rsidRPr="000D3432">
        <w:rPr>
          <w:rFonts w:asciiTheme="minorHAnsi" w:hAnsiTheme="minorHAnsi"/>
          <w:szCs w:val="24"/>
        </w:rPr>
        <w:br w:type="page"/>
      </w:r>
    </w:p>
    <w:p w14:paraId="41415F24" w14:textId="77777777" w:rsidR="0082775B" w:rsidRPr="000D3432" w:rsidRDefault="0082775B" w:rsidP="00A95498">
      <w:pPr>
        <w:widowControl/>
        <w:ind w:left="540"/>
        <w:jc w:val="center"/>
        <w:rPr>
          <w:rFonts w:asciiTheme="minorHAnsi" w:hAnsiTheme="minorHAnsi"/>
          <w:szCs w:val="24"/>
          <w:lang w:val="es-ES_tradnl"/>
        </w:rPr>
      </w:pPr>
    </w:p>
    <w:p w14:paraId="03EBC00C" w14:textId="77777777" w:rsidR="0082775B" w:rsidRPr="000D3432" w:rsidRDefault="0082775B" w:rsidP="00A95498">
      <w:pPr>
        <w:widowControl/>
        <w:ind w:left="540"/>
        <w:jc w:val="center"/>
        <w:rPr>
          <w:rFonts w:asciiTheme="minorHAnsi" w:hAnsiTheme="minorHAnsi"/>
          <w:szCs w:val="24"/>
          <w:lang w:val="es-ES_tradnl"/>
        </w:rPr>
      </w:pPr>
    </w:p>
    <w:p w14:paraId="06334948" w14:textId="77777777" w:rsidR="0082775B" w:rsidRPr="000D3432" w:rsidRDefault="0082775B" w:rsidP="00A95498">
      <w:pPr>
        <w:widowControl/>
        <w:ind w:left="540"/>
        <w:jc w:val="center"/>
        <w:rPr>
          <w:rFonts w:asciiTheme="minorHAnsi" w:hAnsiTheme="minorHAnsi"/>
          <w:szCs w:val="24"/>
          <w:lang w:val="es-ES_tradnl"/>
        </w:rPr>
      </w:pPr>
    </w:p>
    <w:p w14:paraId="788EF61E" w14:textId="77777777" w:rsidR="0082775B" w:rsidRPr="000D3432" w:rsidRDefault="0082775B" w:rsidP="00A95498">
      <w:pPr>
        <w:widowControl/>
        <w:ind w:left="540"/>
        <w:jc w:val="center"/>
        <w:rPr>
          <w:rFonts w:asciiTheme="minorHAnsi" w:hAnsiTheme="minorHAnsi"/>
          <w:szCs w:val="24"/>
          <w:lang w:val="es-ES_tradnl"/>
        </w:rPr>
      </w:pPr>
    </w:p>
    <w:p w14:paraId="1F84C820" w14:textId="77777777" w:rsidR="0082775B" w:rsidRPr="000D3432" w:rsidRDefault="0082775B" w:rsidP="00A95498">
      <w:pPr>
        <w:widowControl/>
        <w:ind w:left="540"/>
        <w:jc w:val="center"/>
        <w:rPr>
          <w:rFonts w:asciiTheme="minorHAnsi" w:hAnsiTheme="minorHAnsi"/>
          <w:szCs w:val="24"/>
          <w:lang w:val="es-ES_tradnl"/>
        </w:rPr>
      </w:pPr>
    </w:p>
    <w:p w14:paraId="43FE2467" w14:textId="77777777" w:rsidR="0082775B" w:rsidRPr="000D3432" w:rsidRDefault="0082775B" w:rsidP="00A95498">
      <w:pPr>
        <w:widowControl/>
        <w:ind w:left="540"/>
        <w:jc w:val="center"/>
        <w:rPr>
          <w:rFonts w:asciiTheme="minorHAnsi" w:hAnsiTheme="minorHAnsi"/>
          <w:szCs w:val="24"/>
          <w:lang w:val="es-ES_tradnl"/>
        </w:rPr>
      </w:pPr>
    </w:p>
    <w:p w14:paraId="07C766C7" w14:textId="77777777" w:rsidR="0082775B" w:rsidRPr="000D3432" w:rsidRDefault="0082775B" w:rsidP="00A95498">
      <w:pPr>
        <w:widowControl/>
        <w:ind w:left="540"/>
        <w:jc w:val="center"/>
        <w:rPr>
          <w:rFonts w:asciiTheme="minorHAnsi" w:hAnsiTheme="minorHAnsi"/>
          <w:szCs w:val="24"/>
          <w:lang w:val="es-ES_tradnl"/>
        </w:rPr>
      </w:pPr>
    </w:p>
    <w:p w14:paraId="07BE8E3A" w14:textId="77777777" w:rsidR="0082775B" w:rsidRPr="000D3432" w:rsidRDefault="0082775B" w:rsidP="00A95498">
      <w:pPr>
        <w:widowControl/>
        <w:jc w:val="center"/>
        <w:rPr>
          <w:rFonts w:asciiTheme="minorHAnsi" w:hAnsiTheme="minorHAnsi"/>
          <w:b/>
          <w:szCs w:val="24"/>
          <w:lang w:val="es-ES_tradnl"/>
        </w:rPr>
      </w:pPr>
      <w:r w:rsidRPr="000D3432">
        <w:rPr>
          <w:rFonts w:asciiTheme="minorHAnsi" w:hAnsiTheme="minorHAnsi"/>
          <w:b/>
          <w:szCs w:val="24"/>
          <w:lang w:val="es-ES_tradnl"/>
        </w:rPr>
        <w:t>LA PROPIEDAD</w:t>
      </w:r>
    </w:p>
    <w:p w14:paraId="346307CF" w14:textId="77777777" w:rsidR="0082775B" w:rsidRPr="000D3432" w:rsidRDefault="0082775B" w:rsidP="00A95498">
      <w:pPr>
        <w:widowControl/>
        <w:jc w:val="center"/>
        <w:rPr>
          <w:rFonts w:asciiTheme="minorHAnsi" w:hAnsiTheme="minorHAnsi"/>
          <w:b/>
          <w:szCs w:val="24"/>
          <w:lang w:val="es-ES_tradnl"/>
        </w:rPr>
      </w:pPr>
      <w:r w:rsidRPr="000D3432">
        <w:rPr>
          <w:rFonts w:asciiTheme="minorHAnsi" w:hAnsiTheme="minorHAnsi"/>
          <w:b/>
          <w:szCs w:val="24"/>
        </w:rPr>
        <w:t>_________________</w:t>
      </w:r>
      <w:r w:rsidRPr="000D3432">
        <w:rPr>
          <w:rFonts w:asciiTheme="minorHAnsi" w:hAnsiTheme="minorHAnsi"/>
          <w:b/>
          <w:szCs w:val="24"/>
          <w:lang w:val="es-ES_tradnl"/>
        </w:rPr>
        <w:t xml:space="preserve">  (Tráfico ilícito de predios urbanos )</w:t>
      </w:r>
      <w:r w:rsidRPr="000D3432">
        <w:rPr>
          <w:rFonts w:asciiTheme="minorHAnsi" w:hAnsiTheme="minorHAnsi"/>
          <w:b/>
          <w:szCs w:val="24"/>
        </w:rPr>
        <w:t xml:space="preserve"> _________________</w:t>
      </w:r>
      <w:r w:rsidRPr="000D3432">
        <w:rPr>
          <w:rFonts w:asciiTheme="minorHAnsi" w:hAnsiTheme="minorHAnsi"/>
          <w:b/>
          <w:szCs w:val="24"/>
          <w:lang w:val="es-ES_tradnl"/>
        </w:rPr>
        <w:t xml:space="preserve">  </w:t>
      </w:r>
    </w:p>
    <w:p w14:paraId="562F67A4" w14:textId="77777777" w:rsidR="0082775B" w:rsidRPr="000D3432" w:rsidRDefault="0082775B" w:rsidP="00A95498">
      <w:pPr>
        <w:widowControl/>
        <w:jc w:val="center"/>
        <w:rPr>
          <w:rFonts w:asciiTheme="minorHAnsi" w:hAnsiTheme="minorHAnsi"/>
          <w:b/>
          <w:szCs w:val="24"/>
          <w:lang w:val="es-ES_tradnl"/>
        </w:rPr>
      </w:pPr>
    </w:p>
    <w:p w14:paraId="73A7D771" w14:textId="77777777" w:rsidR="0082775B" w:rsidRPr="000D3432" w:rsidRDefault="0082775B" w:rsidP="00A95498">
      <w:pPr>
        <w:widowControl/>
        <w:jc w:val="center"/>
        <w:rPr>
          <w:rFonts w:asciiTheme="minorHAnsi" w:hAnsiTheme="minorHAnsi"/>
          <w:b/>
          <w:szCs w:val="24"/>
          <w:lang w:val="es-ES_tradnl"/>
        </w:rPr>
      </w:pPr>
    </w:p>
    <w:p w14:paraId="04A61763" w14:textId="77777777" w:rsidR="0082775B" w:rsidRPr="000D3432" w:rsidRDefault="0082775B" w:rsidP="00A95498">
      <w:pPr>
        <w:widowControl/>
        <w:jc w:val="center"/>
        <w:rPr>
          <w:rFonts w:asciiTheme="minorHAnsi" w:hAnsiTheme="minorHAnsi"/>
          <w:szCs w:val="24"/>
          <w:lang w:val="es-ES_tradnl"/>
        </w:rPr>
      </w:pPr>
    </w:p>
    <w:p w14:paraId="72DBDAEC"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El móvil más radical de la conducta humana es el interés, y no estamos hablando del interés como sinónimo de dinero, o utilidad, sino como principio motor del movimiento humano, interés como criterio de decisión. Pero este móvil (el interés) puede ser objetivado, observado en un medio, o a través de un medio: el mercado; el mercado no como un lugar donde se intercambian productos a cambio de dinero, ni cómo transacciones comerciales entre los seres humanos, sino como “un mecanismo que permite aprovisionar y mantener a la sociedad entera.”</w:t>
      </w:r>
      <w:r w:rsidRPr="000D3432">
        <w:rPr>
          <w:rStyle w:val="Refdenotaalpie"/>
          <w:rFonts w:asciiTheme="minorHAnsi" w:hAnsiTheme="minorHAnsi"/>
          <w:sz w:val="24"/>
          <w:szCs w:val="24"/>
          <w:lang w:val="es-ES_tradnl"/>
        </w:rPr>
        <w:footnoteReference w:id="698"/>
      </w:r>
      <w:r w:rsidRPr="000D3432">
        <w:rPr>
          <w:rFonts w:asciiTheme="minorHAnsi" w:hAnsiTheme="minorHAnsi"/>
          <w:szCs w:val="24"/>
          <w:lang w:val="es-ES_tradnl"/>
        </w:rPr>
        <w:t xml:space="preserve"> Fenómeno general e individual a la vez. </w:t>
      </w:r>
    </w:p>
    <w:p w14:paraId="776A8525" w14:textId="77777777" w:rsidR="0082775B" w:rsidRPr="000D3432" w:rsidRDefault="0082775B" w:rsidP="00A95498">
      <w:pPr>
        <w:widowControl/>
        <w:jc w:val="both"/>
        <w:rPr>
          <w:rFonts w:asciiTheme="minorHAnsi" w:hAnsiTheme="minorHAnsi"/>
          <w:szCs w:val="24"/>
          <w:lang w:val="es-ES_tradnl"/>
        </w:rPr>
      </w:pPr>
    </w:p>
    <w:p w14:paraId="4C82CE8F"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Es entonces el mercado el que nos servirá como referencia para poder obtener una idea general y global de cómo organizarnos, y en eso último entra el derecho, puesto que no hay organización sin normatividad, aunque esta normatividad no tiene que ser necesariamente escrita. Pues bien, el mercado como marco general de nuestro estudio puede ser muy amplio e imposible de asir, así que tendremos que usar algunos acontecimientos u hechos que pasan precisamente en ese mercado, por una sólo razón, hemos visto que todo se da dentro de ese contexto, del mercado: oferta y demanda, en fin, son simplemente “relaciones de consumo”. Esos dos elementos, que no son más que medios son los más adecuados para plantear nuestro problema: La propiedad y el “Tráfico ilícito de predios adjudicados y abuso del Derecho”. O simplemente “Tráfico ilícito de predios adjudicados”, o “Abuso del Derecho en el tráfico de predios adjudicados”.</w:t>
      </w:r>
    </w:p>
    <w:p w14:paraId="513B1000" w14:textId="77777777" w:rsidR="0082775B" w:rsidRPr="000D3432" w:rsidRDefault="0082775B" w:rsidP="00A95498">
      <w:pPr>
        <w:widowControl/>
        <w:jc w:val="both"/>
        <w:rPr>
          <w:rFonts w:asciiTheme="minorHAnsi" w:hAnsiTheme="minorHAnsi"/>
          <w:szCs w:val="24"/>
          <w:lang w:val="es-ES_tradnl"/>
        </w:rPr>
      </w:pPr>
    </w:p>
    <w:p w14:paraId="61E1B7D9" w14:textId="77777777" w:rsidR="0082775B" w:rsidRPr="000D3432" w:rsidRDefault="0082775B" w:rsidP="00A95498">
      <w:pPr>
        <w:pStyle w:val="Textodecuerpo"/>
        <w:widowControl/>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 xml:space="preserve">Hay una primera contradicción que queremos resolver: ¿por qué el Derecho tiene que intervenir en la regulación del tráfico, o comercio de predios adjudicados?, ¿Qué importa que unos cuantos adquieran la adjudicación de predios urbanos y luego los vendan, casi inmediatamente?,  ¿porqué afectaría esto a la sociedad y por lo tanto tendría que entrar el derecho para solucionarlo?, ¿cómo se constituye esto en un problema jurídico que hay que intentar resolver planteándolo primero? </w:t>
      </w:r>
    </w:p>
    <w:p w14:paraId="2B56F698" w14:textId="77777777" w:rsidR="0082775B" w:rsidRPr="000D3432" w:rsidRDefault="0082775B" w:rsidP="00A95498">
      <w:pPr>
        <w:widowControl/>
        <w:jc w:val="both"/>
        <w:rPr>
          <w:rFonts w:asciiTheme="minorHAnsi" w:hAnsiTheme="minorHAnsi"/>
          <w:szCs w:val="24"/>
          <w:lang w:val="es-ES_tradnl"/>
        </w:rPr>
      </w:pPr>
    </w:p>
    <w:p w14:paraId="423EFB3D"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lastRenderedPageBreak/>
        <w:t>Hay varios términos eje que tenemos que definir primero, son términos que constituyen instituciones jurídicas, es decir son válidas y tienen un fin, una estructura y la determinación de los elementos necesarios para su existencia. Estos términos son: la propiedad y su objeto, la libertad de comercio, la facultad de adjudicación de terrenos por parte del Estado, y, el abuso del Derecho; todos los conceptos que de estos se desprendan.</w:t>
      </w:r>
    </w:p>
    <w:p w14:paraId="05391AB8" w14:textId="77777777" w:rsidR="0082775B" w:rsidRPr="000D3432" w:rsidRDefault="0082775B" w:rsidP="00A95498">
      <w:pPr>
        <w:widowControl/>
        <w:jc w:val="both"/>
        <w:rPr>
          <w:rFonts w:asciiTheme="minorHAnsi" w:hAnsiTheme="minorHAnsi"/>
          <w:szCs w:val="24"/>
          <w:lang w:val="es-ES_tradnl"/>
        </w:rPr>
      </w:pPr>
    </w:p>
    <w:p w14:paraId="7AC2CA39"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Todos esos conceptos e instituciones jurídicas entran en contradicción inconciliable en determinados casos. Pero eso no importaría (el tráfico ilícito de predios urbanos) si no entrara en colisión con la misma estructura constitutiva de la sociedad. Lo trascendente aquí es que al atentar contra la sociedad se lo hace no por medios ilegales, porque el asunto queda fuera -incluso- de la legalidad, es anterior a él, sino porque afecta a la sociedad a posteriori, sociedad que se organiza como un todo, y por lo tanto con acciones que intentan lograr, por igual, el desarrollo y el progreso de todos, la defensa de los intereses colectivos antes que los intereses particulares, privados, por una idea. Si el Estado tiene la titularidad de todo el territorio nacional, es porque todos aceptamos que lo repartirá equitativamente, y no permitirá el lucro indebido, es decir, a costa de algún o algunos individuos. Esa es la función que se le pide al Estado, que garantice la igualdad de oportunidades, que nos proteja contra la avaricia de todos, y que posibilite y efectivice una adecuada e igualitaria repartición de la riqueza nacional. Y eso es sólo por el hecho de existir el Estado; que si no existiera no habría problema: determinación de si existe o no tráfico de predios urbanos que atenta contra el bienestar común, contra la sociedad en su totalidad. El punto es estadístico, es decir, que si un pequeño grupo se beneficia, el resto queda “desbeneficiado”, eso provoca una transgresión a la sociedad, porque la riqueza nacional es para el beneficio de la mayoría y no de la minoría.</w:t>
      </w:r>
    </w:p>
    <w:p w14:paraId="1DD4F48E" w14:textId="77777777" w:rsidR="0082775B" w:rsidRPr="000D3432" w:rsidRDefault="0082775B" w:rsidP="00A95498">
      <w:pPr>
        <w:widowControl/>
        <w:jc w:val="both"/>
        <w:rPr>
          <w:rFonts w:asciiTheme="minorHAnsi" w:hAnsiTheme="minorHAnsi"/>
          <w:szCs w:val="24"/>
          <w:lang w:val="es-ES_tradnl"/>
        </w:rPr>
      </w:pPr>
    </w:p>
    <w:p w14:paraId="0DB6AB34"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Lo que está alterado aquí es el consumo, o cómo y cuánto consumen las personas, y si ese consumo es el equivalente a sus derechos. Habrá que establecer si tienen derecho o no (si sus beneficios son equivalentes a su aportación al Estado) a lucrar con la compra venta de bienes adjudicados. Por eso analizaremos el asunto desde dos perspectivas, desde el mercado y desde el consumo. Sin embargo utilizaremos como prueba de nuestra hipótesis más bien las estadísticas de flujo de compra venta de predios urbanos, y específicamente de predios urbanos adjudicados. En realidad lo que queremos demostrar es la capacidad de consumo y si esta es benéfica para la sociedad o no, y si otro tipo de consumo debe ser permitido en relación a la necesidad social, antes que la reglamentación legal, como por ejemplo la organización de compra venta, uso y servicios de celulares, la de la piratería que no es más que un reflejo no de una intención delictiva sino de una necesidad laboral. Nuestra investigación va más allá de la simple compra venta de predios urbanos, intenta describir y plantear el movimiento del ser humano en relación a sus necesidades de consumo.                                    </w:t>
      </w:r>
    </w:p>
    <w:p w14:paraId="33D2A589" w14:textId="77777777" w:rsidR="0082775B" w:rsidRPr="000D3432" w:rsidRDefault="0082775B" w:rsidP="00A95498">
      <w:pPr>
        <w:widowControl/>
        <w:jc w:val="both"/>
        <w:rPr>
          <w:rFonts w:asciiTheme="minorHAnsi" w:hAnsiTheme="minorHAnsi"/>
          <w:szCs w:val="24"/>
          <w:lang w:val="es-ES_tradnl"/>
        </w:rPr>
      </w:pPr>
    </w:p>
    <w:p w14:paraId="332542BA" w14:textId="77777777" w:rsidR="0082775B" w:rsidRPr="000D3432" w:rsidRDefault="0082775B" w:rsidP="00A95498">
      <w:pPr>
        <w:widowControl/>
        <w:jc w:val="center"/>
        <w:rPr>
          <w:rFonts w:asciiTheme="minorHAnsi" w:hAnsiTheme="minorHAnsi"/>
          <w:szCs w:val="24"/>
          <w:lang w:val="es-ES_tradnl"/>
        </w:rPr>
      </w:pPr>
    </w:p>
    <w:p w14:paraId="377D97C3" w14:textId="77777777" w:rsidR="0082775B" w:rsidRPr="000D3432" w:rsidRDefault="0082775B" w:rsidP="00A95498">
      <w:pPr>
        <w:widowControl/>
        <w:jc w:val="center"/>
        <w:rPr>
          <w:rFonts w:asciiTheme="minorHAnsi" w:hAnsiTheme="minorHAnsi"/>
          <w:szCs w:val="24"/>
          <w:lang w:val="es-ES_tradnl"/>
        </w:rPr>
      </w:pPr>
      <w:r w:rsidRPr="000D3432">
        <w:rPr>
          <w:rFonts w:asciiTheme="minorHAnsi" w:hAnsiTheme="minorHAnsi"/>
          <w:szCs w:val="24"/>
          <w:lang w:val="es-ES_tradnl"/>
        </w:rPr>
        <w:t>* * *</w:t>
      </w:r>
    </w:p>
    <w:p w14:paraId="6833E489" w14:textId="77777777" w:rsidR="0082775B" w:rsidRPr="000D3432" w:rsidRDefault="0082775B" w:rsidP="00A95498">
      <w:pPr>
        <w:widowControl/>
        <w:jc w:val="center"/>
        <w:rPr>
          <w:rFonts w:asciiTheme="minorHAnsi" w:hAnsiTheme="minorHAnsi"/>
          <w:szCs w:val="24"/>
          <w:lang w:val="es-ES_tradnl"/>
        </w:rPr>
      </w:pPr>
    </w:p>
    <w:p w14:paraId="29D34DAA" w14:textId="77777777" w:rsidR="0082775B" w:rsidRPr="000D3432" w:rsidRDefault="0082775B" w:rsidP="00A95498">
      <w:pPr>
        <w:widowControl/>
        <w:jc w:val="center"/>
        <w:rPr>
          <w:rFonts w:asciiTheme="minorHAnsi" w:hAnsiTheme="minorHAnsi"/>
          <w:szCs w:val="24"/>
          <w:lang w:val="es-ES_tradnl"/>
        </w:rPr>
      </w:pPr>
    </w:p>
    <w:p w14:paraId="2A5729D5"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mallCaps/>
          <w:szCs w:val="24"/>
          <w:lang w:val="es-ES_tradnl"/>
        </w:rPr>
        <w:t>El t</w:t>
      </w:r>
      <w:r w:rsidRPr="000D3432">
        <w:rPr>
          <w:rFonts w:asciiTheme="minorHAnsi" w:hAnsiTheme="minorHAnsi"/>
          <w:szCs w:val="24"/>
          <w:lang w:val="es-ES_tradnl"/>
        </w:rPr>
        <w:t xml:space="preserve">ráfico ilícito de predios adjudicados por el Estado y abuso del derecho a la propiedad, es el tema planteado. Existe allí una contradicción entre el derecho a la propiedad y el derecho al libre comercio, entre la salud privada y la salud pública que como tal atañe al derecho a preservar. </w:t>
      </w:r>
      <w:r w:rsidRPr="000D3432">
        <w:rPr>
          <w:rFonts w:asciiTheme="minorHAnsi" w:hAnsiTheme="minorHAnsi"/>
          <w:szCs w:val="24"/>
          <w:lang w:val="es-ES_tradnl"/>
        </w:rPr>
        <w:tab/>
      </w:r>
    </w:p>
    <w:p w14:paraId="6CEC9742" w14:textId="77777777" w:rsidR="0082775B" w:rsidRPr="000D3432" w:rsidRDefault="0082775B" w:rsidP="00A95498">
      <w:pPr>
        <w:ind w:firstLine="425"/>
        <w:jc w:val="both"/>
        <w:rPr>
          <w:rFonts w:asciiTheme="minorHAnsi" w:hAnsiTheme="minorHAnsi"/>
          <w:szCs w:val="24"/>
          <w:lang w:val="es-ES_tradnl"/>
        </w:rPr>
      </w:pPr>
    </w:p>
    <w:p w14:paraId="4B73B8BC"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 xml:space="preserve">El Estado, como dijimos anteriormente,  al ser tal tiene la potestad de regular la organización social; se estructura como una especie de todo, y tiene la facultad de hacer cierta distribución, de determinar a quien le corresponde un determinado derecho, como el derecho de propiedad, de acuerdo a ciertos lineamientos que se han preestablecido previamente, y que se han legitimado por  la voluntad social. Así, el presente trabajo es fruto de un problema, ¿es justo que unos pocos accedan a predios adjudicados por el Estado con fines de satisfacer las necesidades de vivienda de los más necesitados? Pues, esta opción, la de que todo el mundo pueda titularse ha venido siendo usada, como siempre, con visos de mercado, del más diestro y salvaje, por que ha de saberse que  como siempre los peruanos hacemos de todo beneficio una especulación, y miles de personas aprovechan de esta oportunidad para hacer tráfico ilícito de predios adjudicados por el Estado. </w:t>
      </w:r>
    </w:p>
    <w:p w14:paraId="3182E495"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Ese es el motivo de la presente, y con ella se intenta plantear un problema, más que resolverlo, esperamos se haya logrado al menos poner la duda, y el camino de desentrañar parte del problema de la especulación con los bienes sociales, de interés social, con los beneficios que concede el Estado.</w:t>
      </w:r>
    </w:p>
    <w:p w14:paraId="0587EB45" w14:textId="77777777" w:rsidR="0082775B" w:rsidRPr="000D3432" w:rsidRDefault="0082775B" w:rsidP="00A95498">
      <w:pPr>
        <w:ind w:firstLine="425"/>
        <w:jc w:val="both"/>
        <w:rPr>
          <w:rFonts w:asciiTheme="minorHAnsi" w:hAnsiTheme="minorHAnsi"/>
          <w:szCs w:val="24"/>
          <w:lang w:val="es-ES_tradnl"/>
        </w:rPr>
      </w:pPr>
    </w:p>
    <w:p w14:paraId="4A595FF3"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El fenómeno jurídico ha venido siendo estudiado desde diversas perspectivas, como por ejemplo desde el positivismo (aquel que cree que el Derecho existe, sí y solo sí, hay una ley escrita puesta por el Estado), o desde el iusnaturalismo, que se adecua más bien a la idea de la preexistencia de ciertas normas inmutables, existentes desde siempre y para siempre. Sin embargo no se ha estudiado el asunto desde el eje del movimiento, ¿qué mueve al ser humano a hacer esto y aquello, o a no hacer esto o aquello? estudiar al Derecho debe partir desde las causas del movimiento, de las causas de la conducta. ¿Por qué un ser humano adopta cierta conducta, cierto comportamiento? En esa idea el Derecho se ha planteado desde la perspectiva económica, mediante la cual se dice que es el interés económico lo que en primer lugar mueve al hombre. El Derecho debería, por tal motivo, implementar su aplicación, también con una respuesta económica: ¿Qué tipo de procedimiento, método, conclusiones, y respuestas jurídicas se pueden usar para lograr una “maximización de los beneficios y una minimización de los costos”?</w:t>
      </w:r>
    </w:p>
    <w:p w14:paraId="61C2DBB8"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 xml:space="preserve">Si lo que mueve al hombre a hacer o no hacer algo es el interés económico, es decir hay un hecho económico; este tiene que regularse mediante un hecho jurídico, tiene que haber una transformación del hecho económico en hecho jurídico para poder legitimar esas operaciones. </w:t>
      </w:r>
    </w:p>
    <w:p w14:paraId="0B741802"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Y si nosotros observamos esas motivaciones, las soluciones jurídicas podrán ser eficaces, efectivas, o al menos lo suficientemente planteadas como para lograr la paz y seguridad social, el bien común.</w:t>
      </w:r>
    </w:p>
    <w:p w14:paraId="7FC9C95B"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 xml:space="preserve">El problema que existe es esa contradicción existente entre el acceso a la adjudicación de una propiedad, por parte del Estado y la posterior </w:t>
      </w:r>
      <w:r w:rsidRPr="000D3432">
        <w:rPr>
          <w:rFonts w:asciiTheme="minorHAnsi" w:hAnsiTheme="minorHAnsi"/>
          <w:szCs w:val="24"/>
          <w:lang w:val="es-ES_tradnl"/>
        </w:rPr>
        <w:lastRenderedPageBreak/>
        <w:t xml:space="preserve">comercialización de este bien, constituyendo un abuso del Derecho a la propiedad. </w:t>
      </w:r>
    </w:p>
    <w:p w14:paraId="7B3EB6F2"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Para analizar nuestro problema hemos usado como fuente los registros de las notarías públicas,  escrituras públicas de adjudicación de terrenos.</w:t>
      </w:r>
    </w:p>
    <w:p w14:paraId="2FFD4ABD"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Los límites que hemos tenido han sido la imposibilidad de verificar la existencia de intermediarios que se encargan de hacer ese tráfico de lotes, adjudicados por el Estado.</w:t>
      </w:r>
    </w:p>
    <w:p w14:paraId="232912FF" w14:textId="77777777" w:rsidR="0082775B" w:rsidRPr="000D3432" w:rsidRDefault="0082775B" w:rsidP="00A95498">
      <w:pPr>
        <w:ind w:firstLine="425"/>
        <w:jc w:val="both"/>
        <w:rPr>
          <w:rFonts w:asciiTheme="minorHAnsi" w:hAnsiTheme="minorHAnsi"/>
          <w:szCs w:val="24"/>
          <w:lang w:val="es-ES_tradnl"/>
        </w:rPr>
      </w:pPr>
      <w:r w:rsidRPr="000D3432">
        <w:rPr>
          <w:rFonts w:asciiTheme="minorHAnsi" w:hAnsiTheme="minorHAnsi"/>
          <w:szCs w:val="24"/>
          <w:lang w:val="es-ES_tradnl"/>
        </w:rPr>
        <w:t>Por último, hemos de decir que el presente trabajo de investigación ha sido estructurado de acuerdo a los lineamientos de la investigación científico jurídico.</w:t>
      </w:r>
    </w:p>
    <w:p w14:paraId="79CA8E69" w14:textId="77777777" w:rsidR="0082775B" w:rsidRPr="000D3432" w:rsidRDefault="0082775B" w:rsidP="00A95498">
      <w:pPr>
        <w:ind w:firstLine="425"/>
        <w:jc w:val="both"/>
        <w:rPr>
          <w:rFonts w:asciiTheme="minorHAnsi" w:hAnsiTheme="minorHAnsi"/>
          <w:szCs w:val="24"/>
          <w:lang w:val="es-ES_tradnl"/>
        </w:rPr>
      </w:pPr>
    </w:p>
    <w:p w14:paraId="6AC640D0"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 xml:space="preserve">1.- </w:t>
      </w:r>
      <w:r w:rsidRPr="000D3432">
        <w:rPr>
          <w:rFonts w:asciiTheme="minorHAnsi" w:hAnsiTheme="minorHAnsi"/>
          <w:b/>
          <w:szCs w:val="24"/>
          <w:lang w:val="es-ES_tradnl"/>
        </w:rPr>
        <w:tab/>
        <w:t>EL PROBLEMA JURÍDICO SOCIAL DE LA PROPIEDAD COMO VIVIENDA</w:t>
      </w:r>
    </w:p>
    <w:p w14:paraId="52B15057" w14:textId="77777777" w:rsidR="0082775B" w:rsidRPr="000D3432" w:rsidRDefault="0082775B" w:rsidP="00A95498">
      <w:pPr>
        <w:jc w:val="both"/>
        <w:rPr>
          <w:rFonts w:asciiTheme="minorHAnsi" w:hAnsiTheme="minorHAnsi"/>
          <w:szCs w:val="24"/>
          <w:lang w:val="es-ES_tradnl"/>
        </w:rPr>
      </w:pPr>
    </w:p>
    <w:p w14:paraId="7763FF4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1.- DESCRIPCIÓN DEL PROBLEMA</w:t>
      </w:r>
    </w:p>
    <w:p w14:paraId="524559A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p>
    <w:p w14:paraId="498D361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Un principio de vida es poder satisfacer nuestras necesidades mínimas, y dentro de ellas se encuentra la de vivienda, es decir, la de tener un lugar donde poder vivir y cobijarnos, protegernos del frío, del calor (fenómenos naturales), de los demás, de la inestabilidad de las actitudes y conductas de los demás seres humanos (como la seguridad, el derecho a vivir en paz, etc, que son más bien necesidades sociales y se constituyen en jurídicas). Este derecho a vivienda tiene su representación jurídica en la propiedad, pero antes que un fenómeno jurídico, que es más una respuesta a un hecho social determinado, la configuración social y total de ese fenómeno,  el problema a investigar es social, es decir, nace dentro de la sociedad, y como tal responde a sus vinculaciones o constitución, organización y estructura. Eso indica que todos los miembros e integrantes de una sociedad determinada tienen que, para poder convivir, acatar ciertas reglas de organización, de convivencia y coexistencia, las cuales han de respetar si se quiere lograr el objetivo último de toda sociedad: su existencia.</w:t>
      </w:r>
    </w:p>
    <w:p w14:paraId="49618CDD" w14:textId="77777777" w:rsidR="0082775B" w:rsidRPr="000D3432" w:rsidRDefault="0082775B" w:rsidP="00A95498">
      <w:pPr>
        <w:jc w:val="both"/>
        <w:rPr>
          <w:rFonts w:asciiTheme="minorHAnsi" w:hAnsiTheme="minorHAnsi"/>
          <w:szCs w:val="24"/>
          <w:lang w:val="es-ES_tradnl"/>
        </w:rPr>
      </w:pPr>
    </w:p>
    <w:p w14:paraId="3E65D91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Pero si bien el problema tiene su marco de acción dentro de conceptos generales como la propiedad privada, el libre comercio, etc, el fenómeno es más simple dentro de las particularidades, por lo cual describiremos el hecho o problema a investigar.</w:t>
      </w:r>
    </w:p>
    <w:p w14:paraId="644558C2" w14:textId="77777777" w:rsidR="0082775B" w:rsidRPr="000D3432" w:rsidRDefault="0082775B" w:rsidP="00A95498">
      <w:pPr>
        <w:jc w:val="both"/>
        <w:rPr>
          <w:rFonts w:asciiTheme="minorHAnsi" w:hAnsiTheme="minorHAnsi"/>
          <w:szCs w:val="24"/>
          <w:lang w:val="es-ES_tradnl"/>
        </w:rPr>
      </w:pPr>
    </w:p>
    <w:p w14:paraId="536B06C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Se trata del enlazamiento de ciertas funciones del Estado, con las necesidades no directamente vinculadas a tener la propiedad para vivienda. El hecho es que en nuestra realidad el Estado ha ido adjudicando terrenos que antes eran eriazos, desérticos, o libres, a las personas que lo han solicitado, a través de la constitución de asociaciones de vivienda, por ejemplo, o a los que han llevado a cabo un mecanismo más rígido, como son las invasiones. El Estado, en el afán de coordinar sus fines, con las de la sociedad ha adjudicado lotes, terrenos, o predios urbanos. Pero estos predios urbanos, que tenían un destino fijado (la vivienda) han sido adquiridos por familias, o por personas que tenían, si no propiedad, si la tenencia o posesión de otros lotes. Así se ha llevado una especie de tráfico de lotes, que consiste en vender lotes adjudicados por el Estado a personas que lo requieran, usando estos lotes adjudicados como un bien </w:t>
      </w:r>
      <w:r w:rsidRPr="000D3432">
        <w:rPr>
          <w:rFonts w:asciiTheme="minorHAnsi" w:hAnsiTheme="minorHAnsi"/>
          <w:szCs w:val="24"/>
          <w:lang w:val="es-ES_tradnl"/>
        </w:rPr>
        <w:lastRenderedPageBreak/>
        <w:t>comercial, es decir, sólo tenidos para transferencia y no para uso, cuando el real motivo de su adjudicación requiere de un requisito indispensable: la necesidad de vivienda.</w:t>
      </w:r>
    </w:p>
    <w:p w14:paraId="4BF00D9B" w14:textId="77777777" w:rsidR="0082775B" w:rsidRPr="000D3432" w:rsidRDefault="0082775B" w:rsidP="00A95498">
      <w:pPr>
        <w:jc w:val="both"/>
        <w:rPr>
          <w:rFonts w:asciiTheme="minorHAnsi" w:hAnsiTheme="minorHAnsi"/>
          <w:szCs w:val="24"/>
          <w:lang w:val="es-ES_tradnl"/>
        </w:rPr>
      </w:pPr>
    </w:p>
    <w:p w14:paraId="5346E32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Eso al parecer no produce ningún efecto social, porque entraría en el juego del libre mercado, pero nosotros no pensamos así, no si estamos en un país sub desarrollado, donde lo importante es distribuir equitativamente las riquezas (las pocas o casi nulas) de la nación. </w:t>
      </w:r>
    </w:p>
    <w:p w14:paraId="61861674" w14:textId="77777777" w:rsidR="0082775B" w:rsidRPr="000D3432" w:rsidRDefault="0082775B" w:rsidP="00A95498">
      <w:pPr>
        <w:jc w:val="both"/>
        <w:rPr>
          <w:rFonts w:asciiTheme="minorHAnsi" w:hAnsiTheme="minorHAnsi"/>
          <w:szCs w:val="24"/>
          <w:lang w:val="es-ES_tradnl"/>
        </w:rPr>
      </w:pPr>
    </w:p>
    <w:p w14:paraId="7018499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Este principio, el de justa distribución de la riqueza de las naciones, ha sido el que se ha ido violando, constituyéndose en un abuso del derecho, y específicamente en el uso y abuso del derecho a la propiedad que tenemos todos y no sólo unos. Lo trascendente es que usando ese derecho a tener la propiedad de una vivienda, muchos individuos, grupos familiares, etc., han cambiado la dirección del fin de este programa, y se han convertido en mercaderes de bienes o predios urbanos. </w:t>
      </w:r>
    </w:p>
    <w:p w14:paraId="6ECB08F4" w14:textId="77777777" w:rsidR="0082775B" w:rsidRPr="000D3432" w:rsidRDefault="0082775B" w:rsidP="00A95498">
      <w:pPr>
        <w:jc w:val="both"/>
        <w:rPr>
          <w:rFonts w:asciiTheme="minorHAnsi" w:hAnsiTheme="minorHAnsi"/>
          <w:szCs w:val="24"/>
          <w:lang w:val="es-ES_tradnl"/>
        </w:rPr>
      </w:pPr>
    </w:p>
    <w:p w14:paraId="7E236B5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Esto no parece tener mayor relevancia, pero si la tiene si partimos del hecho en el cual todos tenemos derecho a una vivienda, a la propiedad para vivir en ella. Eso significa que sí hay tráfico, y no llegan a todos, sino sólo a algunos, que no son precisamente los más necesitados, sino los más mercaderes, esto afecta a la organización y composición social, y a la acordada distribución equitativa que tiene que hacer el Estado. </w:t>
      </w:r>
    </w:p>
    <w:p w14:paraId="2FDA5F7F" w14:textId="77777777" w:rsidR="0082775B" w:rsidRPr="000D3432" w:rsidRDefault="0082775B" w:rsidP="00A95498">
      <w:pPr>
        <w:jc w:val="both"/>
        <w:rPr>
          <w:rFonts w:asciiTheme="minorHAnsi" w:hAnsiTheme="minorHAnsi"/>
          <w:b/>
          <w:szCs w:val="24"/>
          <w:lang w:val="es-ES_tradnl"/>
        </w:rPr>
      </w:pPr>
    </w:p>
    <w:p w14:paraId="678E521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ab/>
        <w:t>1.2.- LA FUNDAMENTACIÓN DEL PROBLEMA PARA EL DERECHO</w:t>
      </w:r>
    </w:p>
    <w:p w14:paraId="59F03D15" w14:textId="77777777" w:rsidR="0082775B" w:rsidRPr="000D3432" w:rsidRDefault="0082775B" w:rsidP="00A95498">
      <w:pPr>
        <w:jc w:val="both"/>
        <w:rPr>
          <w:rFonts w:asciiTheme="minorHAnsi" w:hAnsiTheme="minorHAnsi"/>
          <w:szCs w:val="24"/>
          <w:lang w:val="es-ES_tradnl"/>
        </w:rPr>
      </w:pPr>
    </w:p>
    <w:p w14:paraId="70642AB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El problema es una contradicción, un conflicto entre la realidad y el derecho. Nuestro problema a investigar está en el Derecho de la Propiedad y el Abuso del Derecho; el abuso del derecho a la propiedad, y específicamente a la posibilidad de adquirir la propiedad, y más específicamente, a la propiedad predial, para vivienda.</w:t>
      </w:r>
    </w:p>
    <w:p w14:paraId="4DC79163" w14:textId="77777777" w:rsidR="0082775B" w:rsidRPr="000D3432" w:rsidRDefault="0082775B" w:rsidP="00A95498">
      <w:pPr>
        <w:jc w:val="both"/>
        <w:rPr>
          <w:rFonts w:asciiTheme="minorHAnsi" w:hAnsiTheme="minorHAnsi"/>
          <w:szCs w:val="24"/>
          <w:lang w:val="es-ES_tradnl"/>
        </w:rPr>
      </w:pPr>
    </w:p>
    <w:p w14:paraId="7C2153C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¿En qué fundamentamos la investigación de este problema? ¿por qué sería un problema para el derecho este tráfico o comercio de lotes adjudicados? Podríamos empezar con un principio, fin del Estado o valor: El bien común; u otro: la Igualdad; o la justicia.</w:t>
      </w:r>
    </w:p>
    <w:p w14:paraId="25992C07" w14:textId="77777777" w:rsidR="0082775B" w:rsidRPr="000D3432" w:rsidRDefault="0082775B" w:rsidP="00A95498">
      <w:pPr>
        <w:jc w:val="both"/>
        <w:rPr>
          <w:rFonts w:asciiTheme="minorHAnsi" w:hAnsiTheme="minorHAnsi"/>
          <w:szCs w:val="24"/>
          <w:lang w:val="es-ES_tradnl"/>
        </w:rPr>
      </w:pPr>
    </w:p>
    <w:p w14:paraId="003ADDE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Si fundamentamos nuestra investigación, desde el bien común, tendríamos que decir, primero, que cuando hay distribución de la riqueza, en este caso de los predios urbanos, terrenos, o lotes, tiene que darse de tal forma que todos puedan tener acceso a él, que todos puedan requerirlos y bajo el cumplimiento de un planteamiento, la necesidad de usar el bien para vivienda. El bien común funciona cuando esta repartición se hace en beneficio de la sociedad, es decir de toda la sociedad, y no mediante privilegios, o en todo caso,  esta repartición tiene su fundamento en que la sociedad como un todo necesita darle a cada ente que lo conforma, que conforma el todo, un medio para su subsistencia, como es la vivienda. </w:t>
      </w:r>
    </w:p>
    <w:p w14:paraId="6D5F2308" w14:textId="77777777" w:rsidR="0082775B" w:rsidRPr="000D3432" w:rsidRDefault="0082775B" w:rsidP="00A95498">
      <w:pPr>
        <w:jc w:val="both"/>
        <w:rPr>
          <w:rFonts w:asciiTheme="minorHAnsi" w:hAnsiTheme="minorHAnsi"/>
          <w:szCs w:val="24"/>
          <w:lang w:val="es-ES_tradnl"/>
        </w:rPr>
      </w:pPr>
    </w:p>
    <w:p w14:paraId="75CFD46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Aquí nos podríamos preguntar, ¿por qué el individuo, la persona tiene que obtener la propiedad de un bien si puede tomarlo por sus propios bienes? ¿porqué tiene que legitimar su pretensión? Eso es explicado en base al hecho de que si el hombre para disfrutar de un bien, necesita que el resto acepte la propiedad ajena, es decir, que sólo el reconocimiento del resto impone la  existencia del derecho de la propiedad, pero cómo este reconocimiento no se puede hacer a cada rato, se le ha dado esa facultad de reconocer la propiedad al Estado, que como un todo abstracto, cumple las funciones de organización social, fundamentándose en el bien común, es decir, en la posibilidad de que todos los miembros de la sociedad puedan vivir en paz, y seguros. El bien común, es entonces una referencia al todo, a toda la sociedad. Y esto es así porque sería imposible organizar a una sociedad en relación a cada individuo. Se organizan, pues, las necesidades comunes a todos, y se transforman en bienes que el Estado se encarga -en nombre de todos- de proteger o posibilitar su existencia. El bien común representa la voluntad de todos, o ese tener en cuenta que la sociedad se organiza como sociedad, es decir como el conjunto o sistema de seres humanos que conviven e interactúan necesariamente e imprescindiblemente. Por lo tanto la distribución de la riqueza no debe darse para algunos sino para todos, es decir de acuerdo al bien común.</w:t>
      </w:r>
    </w:p>
    <w:p w14:paraId="411379CF" w14:textId="77777777" w:rsidR="0082775B" w:rsidRPr="000D3432" w:rsidRDefault="0082775B" w:rsidP="00A95498">
      <w:pPr>
        <w:jc w:val="both"/>
        <w:rPr>
          <w:rFonts w:asciiTheme="minorHAnsi" w:hAnsiTheme="minorHAnsi"/>
          <w:szCs w:val="24"/>
          <w:lang w:val="es-ES_tradnl"/>
        </w:rPr>
      </w:pPr>
    </w:p>
    <w:p w14:paraId="2334DBA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Podemos fundamentar nuestra investigación también en el principio de igualdad, eso significa que no habrá discriminación a priori. La igualdad es una categoría, un tipo de relación, “un instrumento lógico del pensamiento” (Del Vecchio). Si todos debemos tener derechos iguales, eso implica que no se puede discriminar a quien entregar un bien o no, cuando se hace la distribución de la riqueza, pero cuando se hace la distribución de los bienes, o predios urbanos es específicamente para aquellos que no tengan mayores posibilidades de adquirirlos de otra manera, más que a través del Estado. El principio de igualdad es aquella que permite la relación entre las personas, en una generalidad que nos hace manejable la distribución de la riqueza de una nación. </w:t>
      </w:r>
    </w:p>
    <w:p w14:paraId="3DDC881D" w14:textId="77777777" w:rsidR="0082775B" w:rsidRPr="000D3432" w:rsidRDefault="0082775B" w:rsidP="00A95498">
      <w:pPr>
        <w:jc w:val="both"/>
        <w:rPr>
          <w:rFonts w:asciiTheme="minorHAnsi" w:hAnsiTheme="minorHAnsi"/>
          <w:szCs w:val="24"/>
          <w:lang w:val="es-ES_tradnl"/>
        </w:rPr>
      </w:pPr>
    </w:p>
    <w:p w14:paraId="505E9B9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Y podemos fundamentar también nuestro problema, su investigación, en la justicia, en su sentido ético, como sentido y contenido ético jurídico de las relaciones sociales, como “regla que permite la armonía entre las partes de un todo”, como proporción equitativa, como orden más conveniente para facilitar y fomentar la convivencia, como “regla determinada de convivencia en las relaciones entre sujeto y sujeto”(Del Vechio, Giorgio. Derecho y Vida. Pp. 48). pero esta regla no sólo es entre sujeto y otro sujeto, sino que la relación no es sumatoria sino de relación, de referencia al otro, así puede constituirse en una virtud en referencia al otro. En ese sentido la justicia establece cómo deben ser las relaciones entre sujetos, y por lo tanto debe haber el “reconocimiento de la subjetividad ajena”.</w:t>
      </w:r>
      <w:r w:rsidRPr="000D3432">
        <w:rPr>
          <w:rStyle w:val="Refdenotaalpie"/>
          <w:rFonts w:asciiTheme="minorHAnsi" w:hAnsiTheme="minorHAnsi"/>
          <w:sz w:val="24"/>
          <w:szCs w:val="24"/>
          <w:lang w:val="es-ES_tradnl"/>
        </w:rPr>
        <w:footnoteReference w:id="699"/>
      </w:r>
      <w:r w:rsidRPr="000D3432">
        <w:rPr>
          <w:rFonts w:asciiTheme="minorHAnsi" w:hAnsiTheme="minorHAnsi"/>
          <w:szCs w:val="24"/>
          <w:lang w:val="es-ES_tradnl"/>
        </w:rPr>
        <w:t xml:space="preserve"> </w:t>
      </w:r>
    </w:p>
    <w:p w14:paraId="5883247A" w14:textId="77777777" w:rsidR="0082775B" w:rsidRPr="000D3432" w:rsidRDefault="0082775B" w:rsidP="00A95498">
      <w:pPr>
        <w:jc w:val="both"/>
        <w:rPr>
          <w:rFonts w:asciiTheme="minorHAnsi" w:hAnsiTheme="minorHAnsi"/>
          <w:szCs w:val="24"/>
          <w:lang w:val="es-ES_tradnl"/>
        </w:rPr>
      </w:pPr>
    </w:p>
    <w:p w14:paraId="3A1B408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La fundamentación está en el hecho de ser una exigencia social el distribuir equitativamente la riqueza de la nación, en este caso, los predios urbanos. Y como se irá analizando hay cierto mal uso, o tráfico de predios urbanos que no </w:t>
      </w:r>
      <w:r w:rsidRPr="000D3432">
        <w:rPr>
          <w:rFonts w:asciiTheme="minorHAnsi" w:hAnsiTheme="minorHAnsi"/>
          <w:szCs w:val="24"/>
          <w:lang w:val="es-ES_tradnl"/>
        </w:rPr>
        <w:lastRenderedPageBreak/>
        <w:t>van de acuerdo con los principios del Derecho, es decir, no actúan de acuerdo al bienestar común, sino del bienestar en particular “con desmedro del bienestar de los demás”. Lo puesto en crítica no es, entonces, el bienestar particular, sino el daño causado a la sociedad, tipificado en el bien común.</w:t>
      </w:r>
    </w:p>
    <w:p w14:paraId="428642B8" w14:textId="77777777" w:rsidR="0082775B" w:rsidRPr="000D3432" w:rsidRDefault="0082775B" w:rsidP="00A95498">
      <w:pPr>
        <w:jc w:val="both"/>
        <w:rPr>
          <w:rFonts w:asciiTheme="minorHAnsi" w:hAnsiTheme="minorHAnsi"/>
          <w:szCs w:val="24"/>
          <w:lang w:val="es-ES_tradnl"/>
        </w:rPr>
      </w:pPr>
    </w:p>
    <w:p w14:paraId="33BA6CFA" w14:textId="77777777" w:rsidR="0082775B" w:rsidRPr="000D3432" w:rsidRDefault="0082775B" w:rsidP="00A95498">
      <w:pPr>
        <w:ind w:firstLine="425"/>
        <w:jc w:val="both"/>
        <w:rPr>
          <w:rFonts w:asciiTheme="minorHAnsi" w:hAnsiTheme="minorHAnsi"/>
          <w:b/>
          <w:szCs w:val="24"/>
          <w:lang w:val="es-ES_tradnl"/>
        </w:rPr>
      </w:pPr>
      <w:r w:rsidRPr="000D3432">
        <w:rPr>
          <w:rFonts w:asciiTheme="minorHAnsi" w:hAnsiTheme="minorHAnsi"/>
          <w:b/>
          <w:szCs w:val="24"/>
          <w:lang w:val="es-ES_tradnl"/>
        </w:rPr>
        <w:t>1.3.</w:t>
      </w:r>
      <w:r w:rsidRPr="000D3432">
        <w:rPr>
          <w:rFonts w:asciiTheme="minorHAnsi" w:hAnsiTheme="minorHAnsi"/>
          <w:b/>
          <w:szCs w:val="24"/>
          <w:lang w:val="es-ES_tradnl"/>
        </w:rPr>
        <w:tab/>
        <w:t xml:space="preserve">LA MATERIA JURÍDICA ESPECÍFICA QUE TRATA EL DERECHO. </w:t>
      </w:r>
    </w:p>
    <w:p w14:paraId="11F38E63" w14:textId="77777777" w:rsidR="0082775B" w:rsidRPr="000D3432" w:rsidRDefault="0082775B" w:rsidP="00A95498">
      <w:pPr>
        <w:jc w:val="both"/>
        <w:rPr>
          <w:rFonts w:asciiTheme="minorHAnsi" w:hAnsiTheme="minorHAnsi"/>
          <w:b/>
          <w:szCs w:val="24"/>
          <w:lang w:val="es-ES_tradnl"/>
        </w:rPr>
      </w:pPr>
    </w:p>
    <w:p w14:paraId="47AA1E17"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 xml:space="preserve">El presente proyecto tiene como bases al Derecho de propiedad, las formas de adquisición de la propiedad inmueble, el libre comercio, y el abuso del derecho. Pero tenemos que anotar que no podemos desligar el tema tan ásperamente, tan groseramente, porque el derecho no es una unidad que se puede descomponer independientemente, sino que es más bien todo, un compuesto orgánico y sistemático, por lo que las especificaciones, o clasificaciones son meramente operativas, pero no definitivas o concluyentes. Los temas específicos significan, en nuestro caso un método de ubicación del problema, pero no el problema completo, y menos la reducción del problema al mero tema. Al decir específicos lo único que pretendemos es darle un marco de acción y operación a nuestros razonamientos, para enfocar y mejor plantear el problema, porque el asunto siempre será -en el derecho- de regulación de las conductas humanas,  y de organización de esa regulación de las conductas humanas; así de simple. </w:t>
      </w:r>
    </w:p>
    <w:p w14:paraId="6451460C" w14:textId="77777777" w:rsidR="0082775B" w:rsidRPr="000D3432" w:rsidRDefault="0082775B" w:rsidP="00A95498">
      <w:pPr>
        <w:jc w:val="both"/>
        <w:rPr>
          <w:rFonts w:asciiTheme="minorHAnsi" w:hAnsiTheme="minorHAnsi"/>
          <w:szCs w:val="24"/>
          <w:lang w:val="es-ES_tradnl"/>
        </w:rPr>
      </w:pPr>
    </w:p>
    <w:p w14:paraId="1CF9379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Usaremos para nuestra investigación la legislación nacional y doctrina.</w:t>
      </w:r>
    </w:p>
    <w:p w14:paraId="1FD57D29" w14:textId="77777777" w:rsidR="0082775B" w:rsidRPr="000D3432" w:rsidRDefault="0082775B" w:rsidP="00A95498">
      <w:pPr>
        <w:jc w:val="both"/>
        <w:rPr>
          <w:rFonts w:asciiTheme="minorHAnsi" w:hAnsiTheme="minorHAnsi"/>
          <w:szCs w:val="24"/>
          <w:lang w:val="es-ES_tradnl"/>
        </w:rPr>
      </w:pPr>
    </w:p>
    <w:p w14:paraId="5C2F4C4F"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 xml:space="preserve">2.- </w:t>
      </w:r>
      <w:r w:rsidRPr="000D3432">
        <w:rPr>
          <w:rFonts w:asciiTheme="minorHAnsi" w:hAnsiTheme="minorHAnsi"/>
          <w:b/>
          <w:szCs w:val="24"/>
          <w:lang w:val="es-ES_tradnl"/>
        </w:rPr>
        <w:tab/>
        <w:t>LAS TEORÍAS JURÍDICAS Y LAS DOCTRINAS QUE ANALIZAN EL PROBLEMA DE LA PROPIEDAD</w:t>
      </w:r>
    </w:p>
    <w:p w14:paraId="1D8F584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p>
    <w:p w14:paraId="1F3B678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El Código Civil peruano define a la propiedad de la siguiente manera:</w:t>
      </w:r>
    </w:p>
    <w:p w14:paraId="44FE780F"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“Artículo 923°. La propiedad es el poder jurídico que permite usar, disfrutar, disponer y reivindicar un bien. Debe ejercerse en armonía con el interés social y dentro de los límites de la ley.”</w:t>
      </w:r>
    </w:p>
    <w:p w14:paraId="7150BA21" w14:textId="77777777" w:rsidR="0082775B" w:rsidRPr="000D3432" w:rsidRDefault="0082775B" w:rsidP="00A95498">
      <w:pPr>
        <w:jc w:val="both"/>
        <w:rPr>
          <w:rFonts w:asciiTheme="minorHAnsi" w:hAnsiTheme="minorHAnsi"/>
          <w:szCs w:val="24"/>
          <w:lang w:val="es-ES_tradnl"/>
        </w:rPr>
      </w:pPr>
    </w:p>
    <w:p w14:paraId="4101664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Cuando hablamos sobre algún fenómeno social, y luego intentamos investigarlo, en Derecho, es necesario siempre referirlo a su forma expresa, es decir a su positivización; y no porque seamos positivistas, sino porque tenemos que partir de dos factores: la realidad y el texto jurídico. La realidad nos permite descubrir ciertos tipos de comportamientos, y a través del análisis y estadística, podemos llegar a ciertas conclusiones sobre la reiteración de ciertas conductas o hechos sociales; pero no podemos olvidar que el derecho ha pretendido regular todas las formas de organización de la sociedad, de los individuos entre sí, y no como un límite a la libertad del ser humano, sino como camino o guía por medio del cual se pueda intercomunicarse, interrelacionarse en forma adecuada, conveniente y no perjudicial para la sociedad y el individuo. El derecho pretende ser siempre “el deber ser”, y este “deber ser”, tiene que ser verificado en la realidad, de lo contrario no tendría sentido el derecho. Así el derecho impone ciertos marcos de operación, pero no determina toda la vida.</w:t>
      </w:r>
    </w:p>
    <w:p w14:paraId="6DBE3112" w14:textId="77777777" w:rsidR="0082775B" w:rsidRPr="000D3432" w:rsidRDefault="0082775B" w:rsidP="00A95498">
      <w:pPr>
        <w:jc w:val="both"/>
        <w:rPr>
          <w:rFonts w:asciiTheme="minorHAnsi" w:hAnsiTheme="minorHAnsi"/>
          <w:szCs w:val="24"/>
          <w:lang w:val="es-ES_tradnl"/>
        </w:rPr>
      </w:pPr>
    </w:p>
    <w:p w14:paraId="346D79F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No obstante el inicio que hemos dado a este acápite, el objeto es mas bien </w:t>
      </w:r>
      <w:r w:rsidRPr="000D3432">
        <w:rPr>
          <w:rFonts w:asciiTheme="minorHAnsi" w:hAnsiTheme="minorHAnsi"/>
          <w:szCs w:val="24"/>
          <w:lang w:val="es-ES_tradnl"/>
        </w:rPr>
        <w:lastRenderedPageBreak/>
        <w:t xml:space="preserve">explicar cómo una concepción legal tiene necesariamente su explicación y fundamento en la doctrina. A diferencia del sistema de Connom Law (Derecho Común), en nuestro sistema de Derecho Civil, es la doctrina y los doctrinarios quienes imponen el derecho, aunque no sea tan directamente como se pretende. La interpretación siempre pasa por un jurista o teórico del Derecho que da algo así como el contenido y sentido a una norma determinada. </w:t>
      </w:r>
    </w:p>
    <w:p w14:paraId="66ED17CD" w14:textId="77777777" w:rsidR="0082775B" w:rsidRPr="000D3432" w:rsidRDefault="0082775B" w:rsidP="00A95498">
      <w:pPr>
        <w:jc w:val="both"/>
        <w:rPr>
          <w:rFonts w:asciiTheme="minorHAnsi" w:hAnsiTheme="minorHAnsi"/>
          <w:szCs w:val="24"/>
          <w:lang w:val="es-ES_tradnl"/>
        </w:rPr>
      </w:pPr>
    </w:p>
    <w:p w14:paraId="30B7053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La propiedad, puede decirse parafraseando a Vittorio Scialoja, que “(…) es el derecho real en virtud del cual una cosa, como pertenencia de una persona, está enteramente sujeta a su voluntad dentro de los límites provenientes de la ley o de la concurrencia de derechos ajenos”.</w:t>
      </w:r>
      <w:r w:rsidRPr="000D3432">
        <w:rPr>
          <w:rStyle w:val="Refdenotaalpie"/>
          <w:rFonts w:asciiTheme="minorHAnsi" w:hAnsiTheme="minorHAnsi"/>
          <w:sz w:val="24"/>
          <w:szCs w:val="24"/>
          <w:lang w:val="es-ES_tradnl"/>
        </w:rPr>
        <w:footnoteReference w:id="700"/>
      </w:r>
    </w:p>
    <w:p w14:paraId="784FDE7A" w14:textId="77777777" w:rsidR="0082775B" w:rsidRPr="000D3432" w:rsidRDefault="0082775B" w:rsidP="00A95498">
      <w:pPr>
        <w:jc w:val="both"/>
        <w:rPr>
          <w:rFonts w:asciiTheme="minorHAnsi" w:hAnsiTheme="minorHAnsi"/>
          <w:b/>
          <w:szCs w:val="24"/>
          <w:lang w:val="es-ES_tradnl"/>
        </w:rPr>
      </w:pPr>
    </w:p>
    <w:p w14:paraId="2B16E3CF"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LÍMITES DE LA PROPIEDAD</w:t>
      </w:r>
    </w:p>
    <w:p w14:paraId="282E4ED9" w14:textId="77777777" w:rsidR="0082775B" w:rsidRPr="000D3432" w:rsidRDefault="0082775B" w:rsidP="00A95498">
      <w:pPr>
        <w:jc w:val="both"/>
        <w:rPr>
          <w:rFonts w:asciiTheme="minorHAnsi" w:hAnsiTheme="minorHAnsi"/>
          <w:szCs w:val="24"/>
          <w:lang w:val="es-ES_tradnl"/>
        </w:rPr>
      </w:pPr>
    </w:p>
    <w:p w14:paraId="13939BB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Tenemos las siguientes razones a los límites de la propiedad:</w:t>
      </w:r>
    </w:p>
    <w:p w14:paraId="20C9C739" w14:textId="77777777" w:rsidR="0082775B" w:rsidRPr="000D3432" w:rsidRDefault="0082775B" w:rsidP="00A95498">
      <w:pPr>
        <w:jc w:val="both"/>
        <w:rPr>
          <w:rFonts w:asciiTheme="minorHAnsi" w:hAnsiTheme="minorHAnsi"/>
          <w:szCs w:val="24"/>
          <w:lang w:val="es-ES_tradnl"/>
        </w:rPr>
      </w:pPr>
    </w:p>
    <w:p w14:paraId="77ECA65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a)</w:t>
      </w:r>
      <w:r w:rsidRPr="000D3432">
        <w:rPr>
          <w:rFonts w:asciiTheme="minorHAnsi" w:hAnsiTheme="minorHAnsi"/>
          <w:szCs w:val="24"/>
          <w:lang w:val="es-ES_tradnl"/>
        </w:rPr>
        <w:t xml:space="preserve"> El derecho privado, y la propiedad en especial, no debe constituir un instrumento de ofensa ni un vehículo de daño.</w:t>
      </w:r>
    </w:p>
    <w:p w14:paraId="4CB5CF70" w14:textId="77777777" w:rsidR="0082775B" w:rsidRPr="000D3432" w:rsidRDefault="0082775B" w:rsidP="00A95498">
      <w:pPr>
        <w:jc w:val="both"/>
        <w:rPr>
          <w:rFonts w:asciiTheme="minorHAnsi" w:hAnsiTheme="minorHAnsi"/>
          <w:szCs w:val="24"/>
          <w:lang w:val="es-ES_tradnl"/>
        </w:rPr>
      </w:pPr>
    </w:p>
    <w:p w14:paraId="75E3DD5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 xml:space="preserve">b) </w:t>
      </w:r>
      <w:r w:rsidRPr="000D3432">
        <w:rPr>
          <w:rFonts w:asciiTheme="minorHAnsi" w:hAnsiTheme="minorHAnsi"/>
          <w:szCs w:val="24"/>
          <w:lang w:val="es-ES_tradnl"/>
        </w:rPr>
        <w:t>El Derecho privado no debe ser de impedimento para la realización de intereses públicos, o aún solamente individuales (expropiaciones, etc.)</w:t>
      </w:r>
    </w:p>
    <w:p w14:paraId="41AE6044" w14:textId="77777777" w:rsidR="0082775B" w:rsidRPr="000D3432" w:rsidRDefault="0082775B" w:rsidP="00A95498">
      <w:pPr>
        <w:jc w:val="both"/>
        <w:rPr>
          <w:rFonts w:asciiTheme="minorHAnsi" w:hAnsiTheme="minorHAnsi"/>
          <w:szCs w:val="24"/>
          <w:lang w:val="es-ES_tradnl"/>
        </w:rPr>
      </w:pPr>
    </w:p>
    <w:p w14:paraId="59AFE3A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c)</w:t>
      </w:r>
      <w:r w:rsidRPr="000D3432">
        <w:rPr>
          <w:rFonts w:asciiTheme="minorHAnsi" w:hAnsiTheme="minorHAnsi"/>
          <w:szCs w:val="24"/>
          <w:lang w:val="es-ES_tradnl"/>
        </w:rPr>
        <w:t xml:space="preserve"> El Derecho privado, y en especial la propiedad, debe funcionar, además, como instrumento eficaz del bien común. </w:t>
      </w:r>
    </w:p>
    <w:p w14:paraId="4BBD3411" w14:textId="77777777" w:rsidR="0082775B" w:rsidRPr="000D3432" w:rsidRDefault="0082775B" w:rsidP="00A95498">
      <w:pPr>
        <w:jc w:val="both"/>
        <w:rPr>
          <w:rFonts w:asciiTheme="minorHAnsi" w:hAnsiTheme="minorHAnsi"/>
          <w:szCs w:val="24"/>
          <w:lang w:val="es-ES_tradnl"/>
        </w:rPr>
      </w:pPr>
    </w:p>
    <w:p w14:paraId="3483451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 xml:space="preserve">LA PROPIEDAD COMO CONCEPTO </w:t>
      </w:r>
    </w:p>
    <w:p w14:paraId="2AFD95A9" w14:textId="77777777" w:rsidR="0082775B" w:rsidRPr="000D3432" w:rsidRDefault="0082775B" w:rsidP="00A95498">
      <w:pPr>
        <w:ind w:left="850"/>
        <w:jc w:val="both"/>
        <w:rPr>
          <w:rFonts w:asciiTheme="minorHAnsi" w:hAnsiTheme="minorHAnsi"/>
          <w:b/>
          <w:smallCaps/>
          <w:szCs w:val="24"/>
          <w:lang w:val="es-ES_tradnl"/>
        </w:rPr>
      </w:pPr>
    </w:p>
    <w:p w14:paraId="5D63513B" w14:textId="77777777" w:rsidR="0082775B" w:rsidRPr="000D3432" w:rsidRDefault="0082775B" w:rsidP="00A95498">
      <w:pPr>
        <w:jc w:val="both"/>
        <w:rPr>
          <w:rFonts w:asciiTheme="minorHAnsi" w:hAnsiTheme="minorHAnsi"/>
          <w:b/>
          <w:smallCaps/>
          <w:szCs w:val="24"/>
          <w:lang w:val="es-ES_tradnl"/>
        </w:rPr>
      </w:pPr>
      <w:r w:rsidRPr="000D3432">
        <w:rPr>
          <w:rFonts w:asciiTheme="minorHAnsi" w:hAnsiTheme="minorHAnsi"/>
          <w:b/>
          <w:smallCaps/>
          <w:szCs w:val="24"/>
          <w:lang w:val="es-ES_tradnl"/>
        </w:rPr>
        <w:t xml:space="preserve">La propiedad según Alfredo Bullard: </w:t>
      </w:r>
    </w:p>
    <w:p w14:paraId="4630204C" w14:textId="77777777" w:rsidR="0082775B" w:rsidRPr="000D3432" w:rsidRDefault="0082775B" w:rsidP="00A95498">
      <w:pPr>
        <w:ind w:left="850"/>
        <w:jc w:val="both"/>
        <w:rPr>
          <w:rFonts w:asciiTheme="minorHAnsi" w:hAnsiTheme="minorHAnsi"/>
          <w:szCs w:val="24"/>
          <w:lang w:val="es-ES_tradnl"/>
        </w:rPr>
      </w:pPr>
    </w:p>
    <w:p w14:paraId="3F53D19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Este autor escribe respecto a la propiedad: “</w:t>
      </w:r>
      <w:r w:rsidRPr="000D3432">
        <w:rPr>
          <w:rFonts w:asciiTheme="minorHAnsi" w:hAnsiTheme="minorHAnsi"/>
          <w:szCs w:val="24"/>
          <w:lang w:val="es-ES_tradnl"/>
        </w:rPr>
        <w:tab/>
        <w:t>Quizá la relación jurídica cuyo estudio resulta más importante sea la propiedad, regulada en el Código en el Titulo II de la Sección III del Libro Quinto.</w:t>
      </w:r>
    </w:p>
    <w:p w14:paraId="0D9D2AE3" w14:textId="77777777" w:rsidR="0082775B" w:rsidRPr="000D3432" w:rsidRDefault="0082775B" w:rsidP="00A95498">
      <w:pPr>
        <w:jc w:val="both"/>
        <w:rPr>
          <w:rFonts w:asciiTheme="minorHAnsi" w:hAnsiTheme="minorHAnsi"/>
          <w:szCs w:val="24"/>
          <w:lang w:val="es-ES_tradnl"/>
        </w:rPr>
      </w:pPr>
    </w:p>
    <w:p w14:paraId="6182F87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Nadie puede negar la trascendencia que la propiedad, y más cortamente, los distintos tipos de relaciones jurídicas que han recibido, a lo largo de la historia, tal denominación, tiene para la organización de cualquier sistema jurídico patrimonial.</w:t>
      </w:r>
    </w:p>
    <w:p w14:paraId="7881E6CE" w14:textId="77777777" w:rsidR="0082775B" w:rsidRPr="000D3432" w:rsidRDefault="0082775B" w:rsidP="00A95498">
      <w:pPr>
        <w:ind w:left="850"/>
        <w:jc w:val="both"/>
        <w:rPr>
          <w:rFonts w:asciiTheme="minorHAnsi" w:hAnsiTheme="minorHAnsi"/>
          <w:szCs w:val="24"/>
          <w:lang w:val="es-ES_tradnl"/>
        </w:rPr>
      </w:pPr>
    </w:p>
    <w:p w14:paraId="2A807249"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Nuestro Código la define en su artículo 923:</w:t>
      </w:r>
    </w:p>
    <w:p w14:paraId="1CAD2154" w14:textId="77777777" w:rsidR="0082775B" w:rsidRPr="000D3432" w:rsidRDefault="0082775B" w:rsidP="00A95498">
      <w:pPr>
        <w:ind w:left="850" w:firstLine="425"/>
        <w:jc w:val="both"/>
        <w:rPr>
          <w:rFonts w:asciiTheme="minorHAnsi" w:hAnsiTheme="minorHAnsi"/>
          <w:szCs w:val="24"/>
          <w:lang w:val="es-ES_tradnl"/>
        </w:rPr>
      </w:pPr>
      <w:r w:rsidRPr="000D3432">
        <w:rPr>
          <w:rFonts w:asciiTheme="minorHAnsi" w:hAnsiTheme="minorHAnsi"/>
          <w:szCs w:val="24"/>
          <w:lang w:val="es-ES_tradnl"/>
        </w:rPr>
        <w:t>“Artículo 923.- La propiedad es el poder jurídico que permite usar, disfrutar, disponer y reivindicar un bien. Debe ejercitarse en armonía con el interés social y dentro de los límites de la ley.”</w:t>
      </w:r>
    </w:p>
    <w:p w14:paraId="38E45FF1" w14:textId="77777777" w:rsidR="0082775B" w:rsidRPr="000D3432" w:rsidRDefault="0082775B" w:rsidP="00A95498">
      <w:pPr>
        <w:ind w:left="850" w:firstLine="425"/>
        <w:jc w:val="both"/>
        <w:rPr>
          <w:rFonts w:asciiTheme="minorHAnsi" w:hAnsiTheme="minorHAnsi"/>
          <w:szCs w:val="24"/>
          <w:lang w:val="es-ES_tradnl"/>
        </w:rPr>
      </w:pPr>
    </w:p>
    <w:p w14:paraId="2C4184E2" w14:textId="77777777" w:rsidR="0082775B" w:rsidRPr="000D3432" w:rsidRDefault="0082775B" w:rsidP="00A95498">
      <w:pPr>
        <w:ind w:left="850" w:firstLine="425"/>
        <w:jc w:val="both"/>
        <w:rPr>
          <w:rFonts w:asciiTheme="minorHAnsi" w:hAnsiTheme="minorHAnsi"/>
          <w:szCs w:val="24"/>
          <w:lang w:val="es-ES_tradnl"/>
        </w:rPr>
      </w:pPr>
      <w:r w:rsidRPr="000D3432">
        <w:rPr>
          <w:rFonts w:asciiTheme="minorHAnsi" w:hAnsiTheme="minorHAnsi"/>
          <w:szCs w:val="24"/>
          <w:lang w:val="es-ES_tradnl"/>
        </w:rPr>
        <w:t xml:space="preserve">Una primera constatación importante es que la propiedad es una relación jurídica que no sólo concede al propietario poderes, sino que le </w:t>
      </w:r>
      <w:r w:rsidRPr="000D3432">
        <w:rPr>
          <w:rFonts w:asciiTheme="minorHAnsi" w:hAnsiTheme="minorHAnsi"/>
          <w:szCs w:val="24"/>
          <w:lang w:val="es-ES_tradnl"/>
        </w:rPr>
        <w:lastRenderedPageBreak/>
        <w:t>importa obligaciones.</w:t>
      </w:r>
    </w:p>
    <w:p w14:paraId="68938DE4" w14:textId="77777777" w:rsidR="0082775B" w:rsidRPr="000D3432" w:rsidRDefault="0082775B" w:rsidP="00A95498">
      <w:pPr>
        <w:ind w:left="850" w:firstLine="425"/>
        <w:jc w:val="both"/>
        <w:rPr>
          <w:rFonts w:asciiTheme="minorHAnsi" w:hAnsiTheme="minorHAnsi"/>
          <w:szCs w:val="24"/>
          <w:lang w:val="es-ES_tradnl"/>
        </w:rPr>
      </w:pPr>
    </w:p>
    <w:p w14:paraId="7FB76214" w14:textId="77777777" w:rsidR="0082775B" w:rsidRPr="000D3432" w:rsidRDefault="0082775B" w:rsidP="00A95498">
      <w:pPr>
        <w:ind w:left="850" w:firstLine="425"/>
        <w:jc w:val="both"/>
        <w:rPr>
          <w:rFonts w:asciiTheme="minorHAnsi" w:hAnsiTheme="minorHAnsi"/>
          <w:szCs w:val="24"/>
          <w:lang w:val="es-ES_tradnl"/>
        </w:rPr>
      </w:pPr>
      <w:r w:rsidRPr="000D3432">
        <w:rPr>
          <w:rFonts w:asciiTheme="minorHAnsi" w:hAnsiTheme="minorHAnsi"/>
          <w:szCs w:val="24"/>
          <w:lang w:val="es-ES_tradnl"/>
        </w:rPr>
        <w:t>No sólo es sujeto activo de su derecho, sino sujeto pasivo de los derechos que los demás tienen en cuanto a su comportamiento a propósito del bien  (ejercitado en armonía con el interés social y dentro de los límites de la ley).</w:t>
      </w:r>
    </w:p>
    <w:p w14:paraId="393A9BF1" w14:textId="77777777" w:rsidR="0082775B" w:rsidRPr="000D3432" w:rsidRDefault="0082775B" w:rsidP="00A95498">
      <w:pPr>
        <w:ind w:left="850" w:firstLine="425"/>
        <w:jc w:val="both"/>
        <w:rPr>
          <w:rFonts w:asciiTheme="minorHAnsi" w:hAnsiTheme="minorHAnsi"/>
          <w:szCs w:val="24"/>
          <w:lang w:val="es-ES_tradnl"/>
        </w:rPr>
      </w:pPr>
    </w:p>
    <w:p w14:paraId="187D3E00" w14:textId="77777777" w:rsidR="0082775B" w:rsidRPr="000D3432" w:rsidRDefault="0082775B" w:rsidP="00A95498">
      <w:pPr>
        <w:ind w:left="850" w:firstLine="425"/>
        <w:jc w:val="both"/>
        <w:rPr>
          <w:rFonts w:asciiTheme="minorHAnsi" w:hAnsiTheme="minorHAnsi"/>
          <w:szCs w:val="24"/>
          <w:lang w:val="es-ES_tradnl"/>
        </w:rPr>
      </w:pPr>
      <w:r w:rsidRPr="000D3432">
        <w:rPr>
          <w:rFonts w:asciiTheme="minorHAnsi" w:hAnsiTheme="minorHAnsi"/>
          <w:szCs w:val="24"/>
          <w:lang w:val="es-ES_tradnl"/>
        </w:rPr>
        <w:t>Un segundo asunto es que la definición de propiedad parecería establecer como objeto y contenido de la relación jurídico facultades positivas concediendo al titular ‘permiso’ para comportarse de esa manera. Creemos que no es exacto. (…) La propiedad genera un ‘halo’ protector que impide a los terceros desarrollar determinados comportamientos perturbadores respecto al bien. Producto de esa protección es que el propietario puede usar, disfrutar y disponer del bien. (…) La propiedad es el ‘poder ‘que tengo sobre los demás. No es uso, disfrute y disposición en sí mismos.”</w:t>
      </w:r>
      <w:r w:rsidRPr="000D3432">
        <w:rPr>
          <w:rStyle w:val="Refdenotaalpie"/>
          <w:rFonts w:asciiTheme="minorHAnsi" w:hAnsiTheme="minorHAnsi"/>
          <w:sz w:val="24"/>
          <w:szCs w:val="24"/>
          <w:lang w:val="es-ES_tradnl"/>
        </w:rPr>
        <w:footnoteReference w:id="701"/>
      </w:r>
    </w:p>
    <w:p w14:paraId="17C04A7D" w14:textId="77777777" w:rsidR="0082775B" w:rsidRPr="000D3432" w:rsidRDefault="0082775B" w:rsidP="00A95498">
      <w:pPr>
        <w:ind w:left="850"/>
        <w:jc w:val="both"/>
        <w:rPr>
          <w:rFonts w:asciiTheme="minorHAnsi" w:hAnsiTheme="minorHAnsi"/>
          <w:b/>
          <w:szCs w:val="24"/>
          <w:lang w:val="es-ES_tradnl"/>
        </w:rPr>
      </w:pPr>
    </w:p>
    <w:p w14:paraId="46F651A3"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b/>
          <w:szCs w:val="24"/>
          <w:lang w:val="es-ES_tradnl"/>
        </w:rPr>
        <w:t xml:space="preserve">FRANCESCO CARNELUTTI diría: </w:t>
      </w:r>
      <w:r w:rsidRPr="000D3432">
        <w:rPr>
          <w:rFonts w:asciiTheme="minorHAnsi" w:hAnsiTheme="minorHAnsi"/>
          <w:szCs w:val="24"/>
          <w:lang w:val="es-ES_tradnl"/>
        </w:rPr>
        <w:t xml:space="preserve">“La propiedad es un fenómeno económico antes que jurídico (…); en latín la voz correspondiente a propiedad es </w:t>
      </w:r>
      <w:r w:rsidRPr="000D3432">
        <w:rPr>
          <w:rFonts w:asciiTheme="minorHAnsi" w:hAnsiTheme="minorHAnsi"/>
          <w:i/>
          <w:szCs w:val="24"/>
          <w:lang w:val="es-ES_tradnl"/>
        </w:rPr>
        <w:t>dominium,</w:t>
      </w:r>
      <w:r w:rsidRPr="000D3432">
        <w:rPr>
          <w:rFonts w:asciiTheme="minorHAnsi" w:hAnsiTheme="minorHAnsi"/>
          <w:szCs w:val="24"/>
          <w:lang w:val="es-ES_tradnl"/>
        </w:rPr>
        <w:t xml:space="preserve"> y dominium viene de domus, que quiere decir casa. El hecho económico es aquel en virtud del cual alguien, cuando ha tomado algo que le sirve para satisfacer una necesidad, </w:t>
      </w:r>
      <w:r w:rsidRPr="000D3432">
        <w:rPr>
          <w:rFonts w:asciiTheme="minorHAnsi" w:hAnsiTheme="minorHAnsi"/>
          <w:i/>
          <w:szCs w:val="24"/>
          <w:lang w:val="es-ES_tradnl"/>
        </w:rPr>
        <w:t>quiere retenerlo para sí</w:t>
      </w:r>
      <w:r w:rsidRPr="000D3432">
        <w:rPr>
          <w:rFonts w:asciiTheme="minorHAnsi" w:hAnsiTheme="minorHAnsi"/>
          <w:szCs w:val="24"/>
          <w:lang w:val="es-ES_tradnl"/>
        </w:rPr>
        <w:t xml:space="preserve">: el esfuerzo para tomarlo se prolonga en el esfuerzo para conservarlo. Se establece una relación física entre el hombre y el bien. 8..) </w:t>
      </w:r>
      <w:r w:rsidRPr="000D3432">
        <w:rPr>
          <w:rFonts w:asciiTheme="minorHAnsi" w:hAnsiTheme="minorHAnsi"/>
          <w:i/>
          <w:szCs w:val="24"/>
          <w:lang w:val="es-ES_tradnl"/>
        </w:rPr>
        <w:t>la domus,</w:t>
      </w:r>
      <w:r w:rsidRPr="000D3432">
        <w:rPr>
          <w:rFonts w:asciiTheme="minorHAnsi" w:hAnsiTheme="minorHAnsi"/>
          <w:szCs w:val="24"/>
          <w:lang w:val="es-ES_tradnl"/>
        </w:rPr>
        <w:t xml:space="preserve"> la casa, entendida no sólo como cobijo, sino como conjunto de cosas que le sirven para la vida.”</w:t>
      </w:r>
      <w:r w:rsidRPr="000D3432">
        <w:rPr>
          <w:rStyle w:val="Refdenotaalpie"/>
          <w:rFonts w:asciiTheme="minorHAnsi" w:hAnsiTheme="minorHAnsi"/>
          <w:sz w:val="24"/>
          <w:szCs w:val="24"/>
          <w:lang w:val="es-ES_tradnl"/>
        </w:rPr>
        <w:footnoteReference w:id="702"/>
      </w:r>
    </w:p>
    <w:p w14:paraId="72A6A4D7" w14:textId="77777777" w:rsidR="0082775B" w:rsidRPr="000D3432" w:rsidRDefault="0082775B" w:rsidP="00A95498">
      <w:pPr>
        <w:ind w:left="850"/>
        <w:jc w:val="both"/>
        <w:rPr>
          <w:rFonts w:asciiTheme="minorHAnsi" w:hAnsiTheme="minorHAnsi"/>
          <w:szCs w:val="24"/>
          <w:lang w:val="es-ES_tradnl"/>
        </w:rPr>
      </w:pPr>
    </w:p>
    <w:p w14:paraId="7E0EC902"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b/>
          <w:smallCaps/>
          <w:szCs w:val="24"/>
          <w:lang w:val="es-ES_tradnl"/>
        </w:rPr>
        <w:t xml:space="preserve">Concepto jurídico de la propiedad: </w:t>
      </w:r>
      <w:r w:rsidRPr="000D3432">
        <w:rPr>
          <w:rFonts w:asciiTheme="minorHAnsi" w:hAnsiTheme="minorHAnsi"/>
          <w:szCs w:val="24"/>
          <w:lang w:val="es-ES_tradnl"/>
        </w:rPr>
        <w:t xml:space="preserve">Según el concepto jurídico de propiedad: “Es el derecho real por excelencia del que se desprenden todos los demás derechos reales y sobre el que ha girado todo el desarrollo del derecho sobre las cosas. </w:t>
      </w:r>
    </w:p>
    <w:p w14:paraId="18424A24" w14:textId="77777777" w:rsidR="0082775B" w:rsidRPr="000D3432" w:rsidRDefault="0082775B" w:rsidP="00A95498">
      <w:pPr>
        <w:ind w:left="850"/>
        <w:jc w:val="both"/>
        <w:rPr>
          <w:rFonts w:asciiTheme="minorHAnsi" w:hAnsiTheme="minorHAnsi"/>
          <w:szCs w:val="24"/>
          <w:lang w:val="es-ES_tradnl"/>
        </w:rPr>
      </w:pPr>
    </w:p>
    <w:p w14:paraId="4222F6A8"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 xml:space="preserve">El propietario ejerce un derecho subjetivo que le permite imponer a todos el respeto de la cosa que le pertenece. Como cualquier otro titular de derecho subjetivo en su ámbito, tiene el propietario el monopolio de la explotación de la cosa y obtiene de ella una ventaja cierta (esto permite a la literatura política oponer a los poseedores y propietarios contra los no poseedores y proletarios). Como se ha visto en los capítulos anteriores de la propiedad, ésta tiene una función social y tiende a hacer extensiva la propiedad a todos: habitaciones baratas, patrimonio de familia, propiedad agrícola y ganadera, reservas hereditarias o legítimas para la protección de los hijos. Con razón decía Chesterton que su oposición a las teorías liberales no era porque </w:t>
      </w:r>
      <w:r w:rsidRPr="000D3432">
        <w:rPr>
          <w:rFonts w:asciiTheme="minorHAnsi" w:hAnsiTheme="minorHAnsi"/>
          <w:szCs w:val="24"/>
          <w:lang w:val="es-ES_tradnl"/>
        </w:rPr>
        <w:lastRenderedPageBreak/>
        <w:t>hubiera propietarios, sino porque hubiera tan pocos.”</w:t>
      </w:r>
      <w:r w:rsidRPr="000D3432">
        <w:rPr>
          <w:rStyle w:val="Refdenotaalpie"/>
          <w:rFonts w:asciiTheme="minorHAnsi" w:hAnsiTheme="minorHAnsi"/>
          <w:sz w:val="24"/>
          <w:szCs w:val="24"/>
          <w:lang w:val="es-ES_tradnl"/>
        </w:rPr>
        <w:footnoteReference w:id="703"/>
      </w:r>
    </w:p>
    <w:p w14:paraId="525D71FB" w14:textId="77777777" w:rsidR="0082775B" w:rsidRPr="000D3432" w:rsidRDefault="0082775B" w:rsidP="00A95498">
      <w:pPr>
        <w:ind w:left="850"/>
        <w:jc w:val="both"/>
        <w:rPr>
          <w:rFonts w:asciiTheme="minorHAnsi" w:hAnsiTheme="minorHAnsi"/>
          <w:szCs w:val="24"/>
          <w:lang w:val="es-ES_tradnl"/>
        </w:rPr>
      </w:pPr>
    </w:p>
    <w:p w14:paraId="65EA9A0D"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b/>
          <w:smallCaps/>
          <w:szCs w:val="24"/>
          <w:lang w:val="es-ES_tradnl"/>
        </w:rPr>
        <w:t xml:space="preserve">Definición de la propiedad en el Código Civil: </w:t>
      </w:r>
      <w:r w:rsidRPr="000D3432">
        <w:rPr>
          <w:rFonts w:asciiTheme="minorHAnsi" w:hAnsiTheme="minorHAnsi"/>
          <w:szCs w:val="24"/>
          <w:lang w:val="es-ES_tradnl"/>
        </w:rPr>
        <w:t>En el Código Civil se establece: “Artículo 923.- La propiedad es el poder jurídico que permite usar, disfrutar, disponer y reivindicar un bien. Debe ejercitarse en armonía con el interés social y dentro de los límites de la ley.”</w:t>
      </w:r>
    </w:p>
    <w:p w14:paraId="7424C5D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41C63F7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smallCaps/>
          <w:szCs w:val="24"/>
        </w:rPr>
      </w:pPr>
      <w:r w:rsidRPr="000D3432">
        <w:rPr>
          <w:rFonts w:asciiTheme="minorHAnsi" w:hAnsiTheme="minorHAnsi"/>
          <w:b/>
          <w:smallCaps/>
          <w:szCs w:val="24"/>
        </w:rPr>
        <w:t xml:space="preserve">locke, y la propiedad.-  </w:t>
      </w:r>
      <w:r w:rsidRPr="000D3432">
        <w:rPr>
          <w:rFonts w:asciiTheme="minorHAnsi" w:hAnsiTheme="minorHAnsi"/>
          <w:szCs w:val="24"/>
        </w:rPr>
        <w:t>Explica Locke que la sociedad política, o lo que podríamos denominar el “Estado” según la descripción que nos hace Grondona sobre el Liberalismo, se forma debido a que los hombres frente a una sociedad gobernada por leyes naturales (o sea donde cada cual tiene el derecho a su propiedad, pero además tiene que él mismo protegerla, sin intermediación alguna) y en donde las personas viven en estado confuso, incierto, "donde nadie conoce exactamente sus derechos y deberes", el hombre prefiere agruparse en lo que se llama “sociedad política”, porque según Locke: "han querido abandonar una condición en la cual, si bien eran libres, estaban llenos de miedos y peligros".</w:t>
      </w:r>
    </w:p>
    <w:p w14:paraId="6D7C9B67" w14:textId="77777777" w:rsidR="0082775B" w:rsidRPr="000D3432" w:rsidRDefault="0082775B" w:rsidP="00A95498">
      <w:pPr>
        <w:rPr>
          <w:rFonts w:asciiTheme="minorHAnsi" w:hAnsiTheme="minorHAnsi"/>
          <w:szCs w:val="24"/>
        </w:rPr>
      </w:pPr>
    </w:p>
    <w:p w14:paraId="6062B7F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Locke trata la división de los poderes que había sido planteada ya por Montesquieu</w:t>
      </w:r>
      <w:r w:rsidRPr="000D3432">
        <w:rPr>
          <w:rStyle w:val="Refdenotaalpie"/>
          <w:rFonts w:asciiTheme="minorHAnsi" w:hAnsiTheme="minorHAnsi"/>
          <w:sz w:val="24"/>
          <w:szCs w:val="24"/>
        </w:rPr>
        <w:footnoteReference w:id="704"/>
      </w:r>
      <w:r w:rsidRPr="000D3432">
        <w:rPr>
          <w:rFonts w:asciiTheme="minorHAnsi" w:hAnsiTheme="minorHAnsi"/>
          <w:szCs w:val="24"/>
        </w:rPr>
        <w:t>. Cree en Dios y en la propiedad. Cree que Dios nos dio la tierra a todos colectivamente, pero entonces ¿cómo existe la propiedad privada? Locke cree también en la legitimidad de la propiedad privada, y la fundamenta explicando que la extensión de la propiedad, es decir añadir su valor agregado a algo por mérito del trabajo, hace que ese algo extendido nos pertenezca. La propiedad viene a ser, entonces, el producto de nuestro trabajo. Eso cree Locke. A diferencia de Aristóteles que condenó toda propiedad que excediera los límites de lo necesario. La moneda por lo tanto pervierte al hombre porque permite la acumulación de la riqueza, el hombre empieza a vivir para lo que tiene, por lo tanto pervierte lo natural. Locke no cree que el acto de acumular riquezas sea malo, pero la creación de la moneda y su consecuencia tienen una serie de fenómenos. La acumulación de riqueza por ser bienes no perecibles hacen indefinida la posesión, propiedad y la desigualdad  funciona en ese mecanismo de acumulación, sólo que la gente misma ha creado ese sistema. Al aceptar la creación de la moneda se crea también la desigualdad conscientemente y tácitamente admitida.</w:t>
      </w:r>
    </w:p>
    <w:p w14:paraId="4637D718" w14:textId="77777777" w:rsidR="0082775B" w:rsidRPr="000D3432" w:rsidRDefault="0082775B" w:rsidP="00A95498">
      <w:pPr>
        <w:ind w:firstLine="426"/>
        <w:jc w:val="both"/>
        <w:rPr>
          <w:rFonts w:asciiTheme="minorHAnsi" w:hAnsiTheme="minorHAnsi"/>
          <w:szCs w:val="24"/>
        </w:rPr>
      </w:pPr>
    </w:p>
    <w:p w14:paraId="67438A2F"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Uno de los primeros elementos del ordenamiento jurídico es el nacimiento de la propiedad. Cuando alguien puso, por primera vez, una cerca, y dijo esto es mío, determinó también el nacimiento de la propiedad, parece decir Rousseau. Pero, en el pensamiento liberal, es Locke, quien explica este proceso de genealogía y creación de la propiedad.</w:t>
      </w:r>
    </w:p>
    <w:p w14:paraId="25191E71" w14:textId="77777777" w:rsidR="0082775B" w:rsidRPr="000D3432" w:rsidRDefault="0082775B" w:rsidP="00A95498">
      <w:pPr>
        <w:ind w:firstLine="425"/>
        <w:jc w:val="both"/>
        <w:rPr>
          <w:rFonts w:asciiTheme="minorHAnsi" w:hAnsiTheme="minorHAnsi"/>
          <w:szCs w:val="24"/>
        </w:rPr>
      </w:pPr>
      <w:r w:rsidRPr="000D3432">
        <w:rPr>
          <w:rFonts w:asciiTheme="minorHAnsi" w:hAnsiTheme="minorHAnsi"/>
          <w:szCs w:val="24"/>
        </w:rPr>
        <w:t xml:space="preserve">Para Grondona Locke es el fundador del liberalismo, pero lo que hizo Locke </w:t>
      </w:r>
      <w:r w:rsidRPr="000D3432">
        <w:rPr>
          <w:rFonts w:asciiTheme="minorHAnsi" w:hAnsiTheme="minorHAnsi"/>
          <w:szCs w:val="24"/>
        </w:rPr>
        <w:lastRenderedPageBreak/>
        <w:t>fue que -dicen- "sistematizó y vulgarizó un pensamiento que ya estaba en el ambiente".</w:t>
      </w:r>
    </w:p>
    <w:p w14:paraId="4FB1A812"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Para Locke la propiedad provenía del trabajo. El razonamiento era que si Dios nos había dado todo, entonces todo era de todos, por lo tanto yo era sólo propietario de mi mismo y de mi cuerpo; pero al trabajar ponía parte de mí en el trabajo, por lo que al ser parte mía era también mío, así que me lo apropiaba; Locke pensaba que "el trabajo es el origen de la propiedad". Es decir, si con mi trabajo estoy "creando algo", ese "algo" es de mi propiedad, por ser mi creación. Aquí la primera observación: la idea es que estoy creando algo no de la nada, sino utilizando lo que existía y mi fuerza creadora, por lo que surge una condición: permitir que los demás tengan la misma posibilidad de creación, por ejemplo, si siembro la tierra, esta viene a ser ya mía si es que "dejo suficiente tierra para que los demás puedan hacer también lo que yo"; esto me permitiría tener un título justo.</w:t>
      </w:r>
    </w:p>
    <w:p w14:paraId="6D899E44"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 xml:space="preserve">Locke piensa que la propiedad sólo se debe tener hasta donde satisfaga mis necesidades, hasta donde me sea necesario,  tener más es un acto contrario al justo título. Grondona lo explica </w:t>
      </w:r>
      <w:r w:rsidRPr="000D3432">
        <w:rPr>
          <w:rFonts w:asciiTheme="minorHAnsi" w:hAnsiTheme="minorHAnsi"/>
          <w:szCs w:val="24"/>
        </w:rPr>
        <w:noBreakHyphen/>
        <w:t>citando a Locke</w:t>
      </w:r>
      <w:r w:rsidRPr="000D3432">
        <w:rPr>
          <w:rFonts w:asciiTheme="minorHAnsi" w:hAnsiTheme="minorHAnsi"/>
          <w:szCs w:val="24"/>
        </w:rPr>
        <w:noBreakHyphen/>
        <w:t>:</w:t>
      </w:r>
    </w:p>
    <w:p w14:paraId="53898DD7" w14:textId="77777777" w:rsidR="0082775B" w:rsidRPr="000D3432" w:rsidRDefault="0082775B" w:rsidP="00A95498">
      <w:pPr>
        <w:ind w:left="850"/>
        <w:jc w:val="both"/>
        <w:rPr>
          <w:rFonts w:asciiTheme="minorHAnsi" w:hAnsiTheme="minorHAnsi"/>
          <w:b/>
          <w:smallCaps/>
          <w:szCs w:val="24"/>
          <w:lang w:val="es-ES_tradnl"/>
        </w:rPr>
      </w:pPr>
      <w:r w:rsidRPr="000D3432">
        <w:rPr>
          <w:rFonts w:asciiTheme="minorHAnsi" w:hAnsiTheme="minorHAnsi"/>
          <w:szCs w:val="24"/>
        </w:rPr>
        <w:t>"si pretendo más de lo que puedo gozar, éste es un acto ilegítimo de apropiación. Habría así dos actos ilegítimos de apropiación: apropiarme sin dejar suficiente reserva para el otro y extenderme más allá de lo que puedo gozar, trabajar, fecundar."</w:t>
      </w:r>
      <w:r w:rsidRPr="000D3432">
        <w:rPr>
          <w:rStyle w:val="Refdenotaalpie"/>
          <w:rFonts w:asciiTheme="minorHAnsi" w:hAnsiTheme="minorHAnsi"/>
          <w:sz w:val="24"/>
          <w:szCs w:val="24"/>
        </w:rPr>
        <w:footnoteReference w:id="705"/>
      </w:r>
      <w:r w:rsidRPr="000D3432">
        <w:rPr>
          <w:rFonts w:asciiTheme="minorHAnsi" w:hAnsiTheme="minorHAnsi"/>
          <w:szCs w:val="24"/>
        </w:rPr>
        <w:t>.</w:t>
      </w:r>
    </w:p>
    <w:p w14:paraId="5F1343C0" w14:textId="77777777" w:rsidR="0082775B" w:rsidRPr="000D3432" w:rsidRDefault="0082775B" w:rsidP="00A95498">
      <w:pPr>
        <w:widowControl/>
        <w:jc w:val="both"/>
        <w:rPr>
          <w:rFonts w:asciiTheme="minorHAnsi" w:hAnsiTheme="minorHAnsi"/>
          <w:szCs w:val="24"/>
          <w:lang w:val="es-ES_tradnl"/>
        </w:rPr>
      </w:pPr>
    </w:p>
    <w:p w14:paraId="011B0401" w14:textId="77777777" w:rsidR="0082775B" w:rsidRPr="000D3432" w:rsidRDefault="0082775B" w:rsidP="00A95498">
      <w:pPr>
        <w:jc w:val="both"/>
        <w:rPr>
          <w:rFonts w:asciiTheme="minorHAnsi" w:hAnsiTheme="minorHAnsi"/>
          <w:b/>
          <w:smallCaps/>
          <w:szCs w:val="24"/>
        </w:rPr>
      </w:pPr>
    </w:p>
    <w:p w14:paraId="04755962" w14:textId="77777777" w:rsidR="0082775B" w:rsidRPr="000D3432" w:rsidRDefault="0082775B" w:rsidP="00A95498">
      <w:pPr>
        <w:jc w:val="both"/>
        <w:rPr>
          <w:rFonts w:asciiTheme="minorHAnsi" w:hAnsiTheme="minorHAnsi"/>
          <w:b/>
          <w:smallCaps/>
          <w:szCs w:val="24"/>
        </w:rPr>
      </w:pPr>
    </w:p>
    <w:p w14:paraId="24F2AEDD" w14:textId="77777777" w:rsidR="0082775B" w:rsidRPr="000D3432" w:rsidRDefault="0082775B" w:rsidP="00A95498">
      <w:pPr>
        <w:jc w:val="both"/>
        <w:rPr>
          <w:rFonts w:asciiTheme="minorHAnsi" w:hAnsiTheme="minorHAnsi"/>
          <w:szCs w:val="24"/>
        </w:rPr>
      </w:pPr>
      <w:r w:rsidRPr="000D3432">
        <w:rPr>
          <w:rFonts w:asciiTheme="minorHAnsi" w:hAnsiTheme="minorHAnsi"/>
          <w:b/>
          <w:smallCaps/>
          <w:szCs w:val="24"/>
        </w:rPr>
        <w:t xml:space="preserve">Propiedad, religión y derecho.- </w:t>
      </w:r>
      <w:r w:rsidRPr="000D3432">
        <w:rPr>
          <w:rFonts w:asciiTheme="minorHAnsi" w:hAnsiTheme="minorHAnsi"/>
          <w:szCs w:val="24"/>
        </w:rPr>
        <w:t>Hay que mencionar además la importancia que tuviera la religión en la antigüedad, en la organización social y en los procesos jurídicos de legitimación, por ejemplo, “el derecho de propiedad no fue, en principio, garantizado por las leyes, sino por la religión”</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706"/>
      </w:r>
      <w:r w:rsidRPr="000D3432">
        <w:rPr>
          <w:rStyle w:val="Refdenotaalpie"/>
          <w:rFonts w:asciiTheme="minorHAnsi" w:hAnsiTheme="minorHAnsi"/>
          <w:sz w:val="24"/>
          <w:szCs w:val="24"/>
        </w:rPr>
        <w:t>)</w:t>
      </w:r>
      <w:r w:rsidRPr="000D3432">
        <w:rPr>
          <w:rFonts w:asciiTheme="minorHAnsi" w:hAnsiTheme="minorHAnsi"/>
          <w:szCs w:val="24"/>
        </w:rPr>
        <w:t xml:space="preserve"> y es que en “la mayor parte de las sociedades primitivas, el derecho de propiedad fue establecido por la religión”</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707"/>
      </w:r>
      <w:r w:rsidRPr="000D3432">
        <w:rPr>
          <w:rFonts w:asciiTheme="minorHAnsi" w:hAnsiTheme="minorHAnsi"/>
          <w:szCs w:val="24"/>
        </w:rPr>
        <w:t>)</w:t>
      </w:r>
    </w:p>
    <w:p w14:paraId="0D2B2458" w14:textId="77777777" w:rsidR="0082775B" w:rsidRPr="000D3432" w:rsidRDefault="0082775B" w:rsidP="00A95498">
      <w:pPr>
        <w:jc w:val="both"/>
        <w:rPr>
          <w:rFonts w:asciiTheme="minorHAnsi" w:hAnsiTheme="minorHAnsi"/>
          <w:szCs w:val="24"/>
        </w:rPr>
      </w:pPr>
    </w:p>
    <w:p w14:paraId="4B1E062B" w14:textId="77777777" w:rsidR="0082775B" w:rsidRPr="000D3432" w:rsidRDefault="0082775B" w:rsidP="00A95498">
      <w:pPr>
        <w:widowControl/>
        <w:ind w:firstLine="425"/>
        <w:jc w:val="both"/>
        <w:rPr>
          <w:rFonts w:asciiTheme="minorHAnsi" w:hAnsiTheme="minorHAnsi"/>
          <w:szCs w:val="24"/>
        </w:rPr>
      </w:pPr>
      <w:r w:rsidRPr="000D3432">
        <w:rPr>
          <w:rFonts w:asciiTheme="minorHAnsi" w:hAnsiTheme="minorHAnsi"/>
          <w:szCs w:val="24"/>
        </w:rPr>
        <w:t>Como se sabe en la antigüedad ley y religión estaban íntimamente ligados. “Al principio, entre los griegos y los romanos, como entre los indios, la ley formó parte de la religión. Los antiguos códigos de las ciudades eran un conjunto de ritos, de prescripciones litúrgicas, de oraciones, al mismo tiempo que de disposiciones legislativas”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708"/>
      </w:r>
      <w:r w:rsidRPr="000D3432">
        <w:rPr>
          <w:rStyle w:val="Refdenotaalpie"/>
          <w:rFonts w:asciiTheme="minorHAnsi" w:hAnsiTheme="minorHAnsi"/>
          <w:sz w:val="24"/>
          <w:szCs w:val="24"/>
        </w:rPr>
        <w:t>)</w:t>
      </w:r>
    </w:p>
    <w:p w14:paraId="59DF78AC" w14:textId="77777777" w:rsidR="0082775B" w:rsidRPr="000D3432" w:rsidRDefault="0082775B" w:rsidP="00A95498">
      <w:pPr>
        <w:widowControl/>
        <w:ind w:firstLine="425"/>
        <w:jc w:val="both"/>
        <w:rPr>
          <w:rFonts w:asciiTheme="minorHAnsi" w:hAnsiTheme="minorHAnsi"/>
          <w:szCs w:val="24"/>
        </w:rPr>
      </w:pPr>
    </w:p>
    <w:p w14:paraId="6D2546EF" w14:textId="77777777" w:rsidR="0082775B" w:rsidRPr="000D3432" w:rsidRDefault="0082775B" w:rsidP="00A95498">
      <w:pPr>
        <w:widowControl/>
        <w:ind w:firstLine="425"/>
        <w:jc w:val="both"/>
        <w:rPr>
          <w:rFonts w:asciiTheme="minorHAnsi" w:hAnsiTheme="minorHAnsi"/>
          <w:szCs w:val="24"/>
        </w:rPr>
      </w:pPr>
      <w:r w:rsidRPr="000D3432">
        <w:rPr>
          <w:rFonts w:asciiTheme="minorHAnsi" w:hAnsiTheme="minorHAnsi"/>
          <w:szCs w:val="24"/>
        </w:rPr>
        <w:t>Podemos además decir que: “Durante muchas generaciones, las leyes no estuvieron escritas; se transmitieron de padres a hijos, con la creencia y la fórmula de la oración”(</w:t>
      </w:r>
      <w:r w:rsidRPr="000D3432">
        <w:rPr>
          <w:rStyle w:val="Refdenotaalpie"/>
          <w:rFonts w:asciiTheme="minorHAnsi" w:hAnsiTheme="minorHAnsi"/>
          <w:sz w:val="24"/>
          <w:szCs w:val="24"/>
        </w:rPr>
        <w:footnoteReference w:id="709"/>
      </w:r>
      <w:r w:rsidRPr="000D3432">
        <w:rPr>
          <w:rFonts w:asciiTheme="minorHAnsi" w:hAnsiTheme="minorHAnsi"/>
          <w:szCs w:val="24"/>
        </w:rPr>
        <w:t>), además no había un sólo acto de la vida pública en que no se hiciese intervenir a los dioses”(</w:t>
      </w:r>
      <w:r w:rsidRPr="000D3432">
        <w:rPr>
          <w:rStyle w:val="Refdenotaalpie"/>
          <w:rFonts w:asciiTheme="minorHAnsi" w:hAnsiTheme="minorHAnsi"/>
          <w:sz w:val="24"/>
          <w:szCs w:val="24"/>
        </w:rPr>
        <w:footnoteReference w:id="710"/>
      </w:r>
      <w:r w:rsidRPr="000D3432">
        <w:rPr>
          <w:rFonts w:asciiTheme="minorHAnsi" w:hAnsiTheme="minorHAnsi"/>
          <w:szCs w:val="24"/>
        </w:rPr>
        <w:t xml:space="preserve">), e incluso la justicia estaba ligada a esta cosmovisión teológica, puesto que: “En Roma, como en Atenas, sólo se </w:t>
      </w:r>
      <w:r w:rsidRPr="000D3432">
        <w:rPr>
          <w:rFonts w:asciiTheme="minorHAnsi" w:hAnsiTheme="minorHAnsi"/>
          <w:szCs w:val="24"/>
        </w:rPr>
        <w:lastRenderedPageBreak/>
        <w:t>dictaba justicia los días que la religión indicaba como favorables” (</w:t>
      </w:r>
      <w:r w:rsidRPr="000D3432">
        <w:rPr>
          <w:rStyle w:val="Refdenotaalpie"/>
          <w:rFonts w:asciiTheme="minorHAnsi" w:hAnsiTheme="minorHAnsi"/>
          <w:sz w:val="24"/>
          <w:szCs w:val="24"/>
        </w:rPr>
        <w:footnoteReference w:id="711"/>
      </w:r>
      <w:r w:rsidRPr="000D3432">
        <w:rPr>
          <w:rFonts w:asciiTheme="minorHAnsi" w:hAnsiTheme="minorHAnsi"/>
          <w:szCs w:val="24"/>
        </w:rPr>
        <w:t>). El Derecho y la religión tenían que ser compatibles y no existían la una sin la otra, así: “En Roma era una verdad reconocida que no se podía ser buen pontífice si se desconocía el derecho, y, recíprocamente, que no se podía conocer el derecho si se ignoraba la religión”. (</w:t>
      </w:r>
      <w:r w:rsidRPr="000D3432">
        <w:rPr>
          <w:rStyle w:val="Refdenotaalpie"/>
          <w:rFonts w:asciiTheme="minorHAnsi" w:hAnsiTheme="minorHAnsi"/>
          <w:sz w:val="24"/>
          <w:szCs w:val="24"/>
        </w:rPr>
        <w:footnoteReference w:id="712"/>
      </w:r>
      <w:r w:rsidRPr="000D3432">
        <w:rPr>
          <w:rFonts w:asciiTheme="minorHAnsi" w:hAnsiTheme="minorHAnsi"/>
          <w:szCs w:val="24"/>
        </w:rPr>
        <w:t>)</w:t>
      </w:r>
    </w:p>
    <w:p w14:paraId="4A1F209B" w14:textId="77777777" w:rsidR="0082775B" w:rsidRPr="000D3432" w:rsidRDefault="0082775B" w:rsidP="00A95498">
      <w:pPr>
        <w:widowControl/>
        <w:ind w:firstLine="425"/>
        <w:jc w:val="both"/>
        <w:rPr>
          <w:rFonts w:asciiTheme="minorHAnsi" w:hAnsiTheme="minorHAnsi"/>
          <w:szCs w:val="24"/>
        </w:rPr>
      </w:pPr>
    </w:p>
    <w:p w14:paraId="2732B5CC" w14:textId="77777777" w:rsidR="0082775B" w:rsidRPr="000D3432" w:rsidRDefault="0082775B" w:rsidP="00A95498">
      <w:pPr>
        <w:widowControl/>
        <w:ind w:firstLine="425"/>
        <w:jc w:val="both"/>
        <w:rPr>
          <w:rFonts w:asciiTheme="minorHAnsi" w:hAnsiTheme="minorHAnsi"/>
          <w:szCs w:val="24"/>
        </w:rPr>
      </w:pPr>
      <w:r w:rsidRPr="000D3432">
        <w:rPr>
          <w:rFonts w:asciiTheme="minorHAnsi" w:hAnsiTheme="minorHAnsi"/>
          <w:szCs w:val="24"/>
        </w:rPr>
        <w:t>En los antiguos primitivos las decisiones de los jueces no tenían que ser motivados, justificados, por ser de carácter divino, mágico, es decir que: “En los pueblos primitivos…el juez, en virtud de una concepción mágica del mundo, es una especie de oráculo que está en comunicación directa con la divinidad. El juez se halla investido de un poder mágico o sacerdotal, de carácter religioso o casi religioso y no tiene por ello, por qué explicar las razones de la decisión que pronuncia”.</w:t>
      </w:r>
      <w:r w:rsidRPr="000D3432">
        <w:rPr>
          <w:rStyle w:val="Refdenotaalpie"/>
          <w:rFonts w:asciiTheme="minorHAnsi" w:hAnsiTheme="minorHAnsi"/>
          <w:sz w:val="24"/>
          <w:szCs w:val="24"/>
        </w:rPr>
        <w:footnoteReference w:id="713"/>
      </w:r>
      <w:r w:rsidRPr="000D3432">
        <w:rPr>
          <w:rFonts w:asciiTheme="minorHAnsi" w:hAnsiTheme="minorHAnsi"/>
          <w:szCs w:val="24"/>
        </w:rPr>
        <w:t xml:space="preserve"> Como veremos todo fue negado por el pensamiento de la modernidad y tuvo que cambiar.</w:t>
      </w:r>
    </w:p>
    <w:p w14:paraId="5F7524A1" w14:textId="77777777" w:rsidR="0082775B" w:rsidRPr="000D3432" w:rsidRDefault="0082775B" w:rsidP="00A95498">
      <w:pPr>
        <w:jc w:val="both"/>
        <w:rPr>
          <w:rFonts w:asciiTheme="minorHAnsi" w:hAnsiTheme="minorHAnsi"/>
          <w:b/>
          <w:szCs w:val="24"/>
        </w:rPr>
      </w:pPr>
    </w:p>
    <w:p w14:paraId="2C0B264E" w14:textId="77777777" w:rsidR="0082775B" w:rsidRPr="000D3432" w:rsidRDefault="0082775B" w:rsidP="00A95498">
      <w:pPr>
        <w:jc w:val="center"/>
        <w:rPr>
          <w:rFonts w:asciiTheme="minorHAnsi" w:hAnsiTheme="minorHAnsi"/>
          <w:b/>
          <w:szCs w:val="24"/>
          <w:lang w:val="es-ES_tradnl"/>
        </w:rPr>
      </w:pPr>
      <w:r w:rsidRPr="000D3432">
        <w:rPr>
          <w:rFonts w:asciiTheme="minorHAnsi" w:hAnsiTheme="minorHAnsi"/>
          <w:b/>
          <w:szCs w:val="24"/>
          <w:lang w:val="es-ES_tradnl"/>
        </w:rPr>
        <w:t>***</w:t>
      </w:r>
    </w:p>
    <w:p w14:paraId="42C954CE"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szCs w:val="24"/>
        </w:rPr>
        <w:t>La religión era objeto de tratamiento jurídico en diversas formas, por ejemplo, cuenta también Basadre que la propiedad y la herencia persistía en los Incas aún después de muertos, por la creencia en la “supervivencia del cuerpo humano en el otro mundo”</w:t>
      </w:r>
      <w:r w:rsidRPr="000D3432">
        <w:rPr>
          <w:rStyle w:val="Refdenotaalpie"/>
          <w:rFonts w:asciiTheme="minorHAnsi" w:hAnsiTheme="minorHAnsi"/>
          <w:sz w:val="24"/>
          <w:szCs w:val="24"/>
        </w:rPr>
        <w:footnoteReference w:id="714"/>
      </w:r>
      <w:r w:rsidRPr="000D3432">
        <w:rPr>
          <w:rFonts w:asciiTheme="minorHAnsi" w:hAnsiTheme="minorHAnsi"/>
          <w:szCs w:val="24"/>
        </w:rPr>
        <w:t>, por este entendido los objetos del muerto acompañaron a las momias, lo que supone una obligación o derecho, una relación jurídica.</w:t>
      </w:r>
    </w:p>
    <w:p w14:paraId="40C72DD7" w14:textId="77777777" w:rsidR="0082775B" w:rsidRPr="000D3432" w:rsidRDefault="0082775B" w:rsidP="00A95498">
      <w:pPr>
        <w:jc w:val="both"/>
        <w:rPr>
          <w:rFonts w:asciiTheme="minorHAnsi" w:hAnsiTheme="minorHAnsi"/>
          <w:b/>
          <w:szCs w:val="24"/>
          <w:lang w:val="es-ES_tradnl"/>
        </w:rPr>
      </w:pPr>
    </w:p>
    <w:p w14:paraId="34366421" w14:textId="77777777" w:rsidR="0082775B" w:rsidRPr="000D3432" w:rsidRDefault="0082775B" w:rsidP="00A95498">
      <w:pPr>
        <w:jc w:val="both"/>
        <w:rPr>
          <w:rFonts w:asciiTheme="minorHAnsi" w:hAnsiTheme="minorHAnsi"/>
          <w:b/>
          <w:smallCaps/>
          <w:szCs w:val="24"/>
          <w:lang w:val="es-ES_tradnl"/>
        </w:rPr>
      </w:pPr>
      <w:r w:rsidRPr="000D3432">
        <w:rPr>
          <w:rFonts w:asciiTheme="minorHAnsi" w:hAnsiTheme="minorHAnsi"/>
          <w:b/>
          <w:smallCaps/>
          <w:szCs w:val="24"/>
          <w:lang w:val="es-ES_tradnl"/>
        </w:rPr>
        <w:t>Propiedad privada:</w:t>
      </w:r>
    </w:p>
    <w:p w14:paraId="25AC035B" w14:textId="77777777" w:rsidR="0082775B" w:rsidRPr="000D3432" w:rsidRDefault="0082775B" w:rsidP="00A95498">
      <w:pPr>
        <w:jc w:val="both"/>
        <w:rPr>
          <w:rFonts w:asciiTheme="minorHAnsi" w:hAnsiTheme="minorHAnsi"/>
          <w:b/>
          <w:szCs w:val="24"/>
          <w:lang w:val="es-ES_tradnl"/>
        </w:rPr>
      </w:pPr>
    </w:p>
    <w:p w14:paraId="53098AD5" w14:textId="77777777" w:rsidR="0082775B" w:rsidRPr="000D3432" w:rsidRDefault="0082775B" w:rsidP="00A95498">
      <w:pPr>
        <w:widowControl/>
        <w:ind w:firstLine="425"/>
        <w:jc w:val="both"/>
        <w:rPr>
          <w:rFonts w:asciiTheme="minorHAnsi" w:hAnsiTheme="minorHAnsi"/>
          <w:szCs w:val="24"/>
        </w:rPr>
      </w:pPr>
      <w:r w:rsidRPr="000D3432">
        <w:rPr>
          <w:rFonts w:asciiTheme="minorHAnsi" w:hAnsiTheme="minorHAnsi"/>
          <w:szCs w:val="24"/>
        </w:rPr>
        <w:t>Existe en la perspectiva individualista que propone la modernidad una cierta antinomia, puesto que, al afirmarse los derechos del individuo, la libertad de contratar, la propiedad absoluta, el derecho a que cada uno organice su vida como mejor le parezca, y a la vez esbozar le necesidad ineludible de la existencia de una autoridad, de leyes que determinen los límites de la libertad contractual, de la limitación y restricciones a la propiedad con el justificante de resguardar el interés general, además de la necesidad del sometimiento de todos los individuos a leyes generales y comunes, y la supresión de la diversidad cultural, justamente para poder lograr construir una sociedad libre, nos hace llegar a la conclusión de que realmente existe una antinomia en la modernidad, específicamente en la perspectiva individual, es decir entre el planteamiento de la individualidad ganada por derecho, por el hombre moderno, y la necesidad de someterse, para mantener esta individualidad latente, funcionando.</w:t>
      </w:r>
      <w:r w:rsidRPr="000D3432">
        <w:rPr>
          <w:rStyle w:val="Refdenotaalpie"/>
          <w:rFonts w:asciiTheme="minorHAnsi" w:hAnsiTheme="minorHAnsi"/>
          <w:sz w:val="24"/>
          <w:szCs w:val="24"/>
        </w:rPr>
        <w:footnoteReference w:id="715"/>
      </w:r>
      <w:r w:rsidRPr="000D3432">
        <w:rPr>
          <w:rFonts w:asciiTheme="minorHAnsi" w:hAnsiTheme="minorHAnsi"/>
          <w:szCs w:val="24"/>
        </w:rPr>
        <w:t xml:space="preserve"> Lo que, además, expondría la clara y evidente antinomia que presenta el pensamiento liberal que se expuso en la modernidad. La exaltación del individuo ha sido un planteamiento de la modernidad, que además propugna la libertad creadora, la originalidad, y todo aquello que pueda desarrollarse con la subjetividad, es la ponderación de esa facultad, y la negación de cualquier valor objetivo, que más </w:t>
      </w:r>
      <w:r w:rsidRPr="000D3432">
        <w:rPr>
          <w:rFonts w:asciiTheme="minorHAnsi" w:hAnsiTheme="minorHAnsi"/>
          <w:szCs w:val="24"/>
        </w:rPr>
        <w:lastRenderedPageBreak/>
        <w:t>bien es puesto en duda, y llevado a laboratorio crítico de la razón; ya no habrá objetividades preconstituidas, como en la tradición; sin embargo “estos intereses individuales, fragmentarios, deben ser organizados de acuerdo con ciertos criterios: el individuo tiene que guardar una coherencia entre sus intereses y entre estos y sus actos; y el conjunto de individuos, la sociedad, tiene a su vez que compatibilizar esos intereses de los individuos. De ello se deducen una serie de situaciones y de imperativos ineludibles: deben haber leyes comunes, las leyes tienen que ser respetadas por todos, etc.”</w:t>
      </w:r>
      <w:r w:rsidRPr="000D3432">
        <w:rPr>
          <w:rStyle w:val="Refdenotaalpie"/>
          <w:rFonts w:asciiTheme="minorHAnsi" w:hAnsiTheme="minorHAnsi"/>
          <w:sz w:val="24"/>
          <w:szCs w:val="24"/>
        </w:rPr>
        <w:footnoteReference w:id="716"/>
      </w:r>
      <w:r w:rsidRPr="000D3432">
        <w:rPr>
          <w:rFonts w:asciiTheme="minorHAnsi" w:hAnsiTheme="minorHAnsi"/>
          <w:szCs w:val="24"/>
        </w:rPr>
        <w:t xml:space="preserve"> Lo </w:t>
      </w:r>
      <w:r w:rsidRPr="000D3432">
        <w:rPr>
          <w:rFonts w:asciiTheme="minorHAnsi" w:hAnsiTheme="minorHAnsi"/>
          <w:szCs w:val="24"/>
        </w:rPr>
        <w:tab/>
        <w:t>que otra vez demuestra la antinomia que existe entre individualidad y sociabilidad.</w:t>
      </w:r>
    </w:p>
    <w:p w14:paraId="301FDFE0" w14:textId="77777777" w:rsidR="0082775B" w:rsidRPr="000D3432" w:rsidRDefault="0082775B" w:rsidP="00A95498">
      <w:pPr>
        <w:widowControl/>
        <w:jc w:val="both"/>
        <w:rPr>
          <w:rFonts w:asciiTheme="minorHAnsi" w:hAnsiTheme="minorHAnsi"/>
          <w:szCs w:val="24"/>
        </w:rPr>
      </w:pPr>
    </w:p>
    <w:p w14:paraId="51DC6DB0" w14:textId="77777777" w:rsidR="0082775B" w:rsidRPr="000D3432" w:rsidRDefault="0082775B" w:rsidP="00A95498">
      <w:pPr>
        <w:widowControl/>
        <w:jc w:val="both"/>
        <w:rPr>
          <w:rFonts w:asciiTheme="minorHAnsi" w:hAnsiTheme="minorHAnsi"/>
          <w:smallCaps/>
          <w:szCs w:val="24"/>
        </w:rPr>
      </w:pPr>
      <w:r w:rsidRPr="000D3432">
        <w:rPr>
          <w:rFonts w:asciiTheme="minorHAnsi" w:hAnsiTheme="minorHAnsi"/>
          <w:b/>
          <w:smallCaps/>
          <w:szCs w:val="24"/>
        </w:rPr>
        <w:t>Michel Foucault y el Postulado de la propiedad:</w:t>
      </w:r>
    </w:p>
    <w:p w14:paraId="1068E690" w14:textId="77777777" w:rsidR="0082775B" w:rsidRPr="000D3432" w:rsidRDefault="0082775B" w:rsidP="00A95498">
      <w:pPr>
        <w:widowControl/>
        <w:ind w:firstLine="425"/>
        <w:jc w:val="both"/>
        <w:rPr>
          <w:rFonts w:asciiTheme="minorHAnsi" w:hAnsiTheme="minorHAnsi"/>
          <w:szCs w:val="24"/>
        </w:rPr>
      </w:pPr>
    </w:p>
    <w:p w14:paraId="2361CBD3"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Michel Foucault explicaría sobre la propiedad que existen los siguientes postulados:</w:t>
      </w:r>
    </w:p>
    <w:p w14:paraId="79D52940" w14:textId="77777777" w:rsidR="0082775B" w:rsidRPr="000D3432" w:rsidRDefault="0082775B" w:rsidP="00A95498">
      <w:pPr>
        <w:ind w:firstLine="426"/>
        <w:jc w:val="both"/>
        <w:rPr>
          <w:rFonts w:asciiTheme="minorHAnsi" w:hAnsiTheme="minorHAnsi"/>
          <w:szCs w:val="24"/>
        </w:rPr>
      </w:pPr>
    </w:p>
    <w:p w14:paraId="019C8705"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1</w:t>
      </w:r>
      <w:r w:rsidRPr="000D3432">
        <w:rPr>
          <w:rFonts w:asciiTheme="minorHAnsi" w:hAnsiTheme="minorHAnsi"/>
          <w:b/>
          <w:szCs w:val="24"/>
        </w:rPr>
        <w:t>.-</w:t>
      </w:r>
      <w:r w:rsidRPr="000D3432">
        <w:rPr>
          <w:rFonts w:asciiTheme="minorHAnsi" w:hAnsiTheme="minorHAnsi"/>
          <w:b/>
          <w:szCs w:val="24"/>
        </w:rPr>
        <w:tab/>
        <w:t>El Postulado de la Propiedad:</w:t>
      </w:r>
    </w:p>
    <w:p w14:paraId="6CF48D93" w14:textId="77777777" w:rsidR="0082775B" w:rsidRPr="000D3432" w:rsidRDefault="0082775B" w:rsidP="00A95498">
      <w:pPr>
        <w:ind w:left="425" w:firstLine="426"/>
        <w:jc w:val="both"/>
        <w:rPr>
          <w:rFonts w:asciiTheme="minorHAnsi" w:hAnsiTheme="minorHAnsi"/>
          <w:szCs w:val="24"/>
        </w:rPr>
      </w:pPr>
    </w:p>
    <w:p w14:paraId="7CE83A89" w14:textId="77777777" w:rsidR="0082775B" w:rsidRPr="000D3432" w:rsidRDefault="0082775B" w:rsidP="00A95498">
      <w:pPr>
        <w:ind w:left="425" w:firstLine="426"/>
        <w:jc w:val="both"/>
        <w:rPr>
          <w:rFonts w:asciiTheme="minorHAnsi" w:hAnsiTheme="minorHAnsi"/>
          <w:szCs w:val="24"/>
        </w:rPr>
      </w:pPr>
      <w:r w:rsidRPr="000D3432">
        <w:rPr>
          <w:rFonts w:asciiTheme="minorHAnsi" w:hAnsiTheme="minorHAnsi"/>
          <w:szCs w:val="24"/>
        </w:rPr>
        <w:t>Por el cual el poder sería la “propiedad de una clase que lo habría conquistado.</w:t>
      </w:r>
    </w:p>
    <w:p w14:paraId="741A81FE" w14:textId="77777777" w:rsidR="0082775B" w:rsidRPr="000D3432" w:rsidRDefault="0082775B" w:rsidP="00A95498">
      <w:pPr>
        <w:jc w:val="both"/>
        <w:rPr>
          <w:rFonts w:asciiTheme="minorHAnsi" w:hAnsiTheme="minorHAnsi"/>
          <w:szCs w:val="24"/>
        </w:rPr>
      </w:pPr>
    </w:p>
    <w:p w14:paraId="37F9E09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problema de la desigualdad partía de este supuesto: la propiedad era la que daba el poder y creaba la desigualdad. Era necesario acceder a la propiedad para progresar</w:t>
      </w:r>
    </w:p>
    <w:p w14:paraId="0829C951" w14:textId="77777777" w:rsidR="0082775B" w:rsidRPr="000D3432" w:rsidRDefault="0082775B" w:rsidP="00A95498">
      <w:pPr>
        <w:ind w:left="720"/>
        <w:jc w:val="both"/>
        <w:rPr>
          <w:rFonts w:asciiTheme="minorHAnsi" w:hAnsiTheme="minorHAnsi"/>
          <w:szCs w:val="24"/>
        </w:rPr>
      </w:pPr>
    </w:p>
    <w:p w14:paraId="461CCE57" w14:textId="77777777" w:rsidR="0082775B" w:rsidRPr="000D3432" w:rsidRDefault="0082775B" w:rsidP="00A95498">
      <w:pPr>
        <w:ind w:left="720"/>
        <w:jc w:val="both"/>
        <w:rPr>
          <w:rFonts w:asciiTheme="minorHAnsi" w:hAnsiTheme="minorHAnsi"/>
          <w:szCs w:val="24"/>
        </w:rPr>
      </w:pPr>
      <w:r w:rsidRPr="000D3432">
        <w:rPr>
          <w:rFonts w:asciiTheme="minorHAnsi" w:hAnsiTheme="minorHAnsi"/>
          <w:szCs w:val="24"/>
        </w:rPr>
        <w:t>“En el siglo XIX, Marx pensaba que quien poseyera las herramientas y la tecnología -los “medios de producción”- controlaría la sociedad.”</w:t>
      </w:r>
      <w:r w:rsidRPr="000D3432">
        <w:rPr>
          <w:rStyle w:val="Refdenotaalpie"/>
          <w:rFonts w:asciiTheme="minorHAnsi" w:hAnsiTheme="minorHAnsi"/>
          <w:sz w:val="24"/>
          <w:szCs w:val="24"/>
        </w:rPr>
        <w:footnoteReference w:id="717"/>
      </w:r>
    </w:p>
    <w:p w14:paraId="5A24B5FF" w14:textId="77777777" w:rsidR="0082775B" w:rsidRPr="000D3432" w:rsidRDefault="0082775B" w:rsidP="00A95498">
      <w:pPr>
        <w:jc w:val="both"/>
        <w:rPr>
          <w:rFonts w:asciiTheme="minorHAnsi" w:hAnsiTheme="minorHAnsi"/>
          <w:szCs w:val="24"/>
        </w:rPr>
      </w:pPr>
    </w:p>
    <w:p w14:paraId="4D66E20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Más abajo Toffler refiere que Marx se equivocó. No era la propiedad lo que daría el poder sino el control. Eran los integradores los que tenía el poder. Las empresas eran tan grandes y complejas que no se podía comprender todo su funcionamiento. Fueron, por tanto, los integradores los que moldeando las decisiones del propietario controlaban el poder. Lo que importaba ya no era la propiedad, sino el control. La idea de que la propiedad era la fuente del poder puede provenir de aquellas nociones anteriores a la </w:t>
      </w:r>
      <w:r w:rsidRPr="000D3432">
        <w:rPr>
          <w:rFonts w:asciiTheme="minorHAnsi" w:hAnsiTheme="minorHAnsi"/>
          <w:b/>
          <w:szCs w:val="24"/>
        </w:rPr>
        <w:t>modernidad.</w:t>
      </w:r>
      <w:r w:rsidRPr="000D3432">
        <w:rPr>
          <w:rFonts w:asciiTheme="minorHAnsi" w:hAnsiTheme="minorHAnsi"/>
          <w:szCs w:val="24"/>
        </w:rPr>
        <w:t xml:space="preserve"> Cuando había reyes, monarcas, </w:t>
      </w:r>
    </w:p>
    <w:p w14:paraId="7EFA4A68" w14:textId="77777777" w:rsidR="0082775B" w:rsidRPr="000D3432" w:rsidRDefault="0082775B" w:rsidP="00A95498">
      <w:pPr>
        <w:jc w:val="both"/>
        <w:rPr>
          <w:rFonts w:asciiTheme="minorHAnsi" w:hAnsiTheme="minorHAnsi"/>
          <w:szCs w:val="24"/>
        </w:rPr>
      </w:pPr>
    </w:p>
    <w:p w14:paraId="6305817F" w14:textId="77777777" w:rsidR="0082775B" w:rsidRPr="000D3432" w:rsidRDefault="0082775B" w:rsidP="00A95498">
      <w:pPr>
        <w:ind w:left="720"/>
        <w:jc w:val="both"/>
        <w:rPr>
          <w:rFonts w:asciiTheme="minorHAnsi" w:hAnsiTheme="minorHAnsi"/>
          <w:szCs w:val="24"/>
        </w:rPr>
      </w:pPr>
      <w:r w:rsidRPr="000D3432">
        <w:rPr>
          <w:rFonts w:asciiTheme="minorHAnsi" w:hAnsiTheme="minorHAnsi"/>
          <w:szCs w:val="24"/>
        </w:rPr>
        <w:t>“El interrogante “¿Quién gobierna las cosas?” es una pregunta típica de la segunda ola. Pues hasta la revolución industrial no hubo apenas razones para formularla. Ya gobernaran reyes o chamanes, señores de la guerra, dioses del sol o santos, las gentes rara vez sentían la menor duda respecto a quién ejercía el poder sobre ellas. El harapiento aldeano, al levantar la vista de los campos, veía el palacio o el monasterio destacarse, esplendorosos, en el horizonte. No necesitaba ningún científico político ni editorialista de periódico para resolver el enigma del poder. Todo el mundo sabía quién tenía el control.</w:t>
      </w:r>
    </w:p>
    <w:p w14:paraId="6545DFF1" w14:textId="77777777" w:rsidR="0082775B" w:rsidRPr="000D3432" w:rsidRDefault="0082775B" w:rsidP="00A95498">
      <w:pPr>
        <w:ind w:left="720"/>
        <w:jc w:val="both"/>
        <w:rPr>
          <w:rFonts w:asciiTheme="minorHAnsi" w:hAnsiTheme="minorHAnsi"/>
          <w:szCs w:val="24"/>
        </w:rPr>
      </w:pPr>
    </w:p>
    <w:p w14:paraId="44AD1597" w14:textId="77777777" w:rsidR="0082775B" w:rsidRPr="000D3432" w:rsidRDefault="0082775B" w:rsidP="00A95498">
      <w:pPr>
        <w:ind w:left="720"/>
        <w:jc w:val="both"/>
        <w:rPr>
          <w:rFonts w:asciiTheme="minorHAnsi" w:hAnsiTheme="minorHAnsi"/>
          <w:szCs w:val="24"/>
        </w:rPr>
      </w:pPr>
      <w:r w:rsidRPr="000D3432">
        <w:rPr>
          <w:rFonts w:asciiTheme="minorHAnsi" w:hAnsiTheme="minorHAnsi"/>
          <w:szCs w:val="24"/>
        </w:rPr>
        <w:t>Pero allá donde llegó la segunda ola emergió una nueva clase de poder, difuso y sin rostro. Los que ostentaban el poder se convirtieron en los anónimos “ellos”. ¿Quiénes eran “ellos”?”</w:t>
      </w:r>
      <w:r w:rsidRPr="000D3432">
        <w:rPr>
          <w:rStyle w:val="Refdenotaalpie"/>
          <w:rFonts w:asciiTheme="minorHAnsi" w:hAnsiTheme="minorHAnsi"/>
          <w:sz w:val="24"/>
          <w:szCs w:val="24"/>
        </w:rPr>
        <w:footnoteReference w:id="718"/>
      </w:r>
    </w:p>
    <w:p w14:paraId="3F22110E" w14:textId="77777777" w:rsidR="0082775B" w:rsidRPr="000D3432" w:rsidRDefault="0082775B" w:rsidP="00A95498">
      <w:pPr>
        <w:ind w:firstLine="426"/>
        <w:jc w:val="both"/>
        <w:rPr>
          <w:rFonts w:asciiTheme="minorHAnsi" w:hAnsiTheme="minorHAnsi"/>
          <w:szCs w:val="24"/>
        </w:rPr>
      </w:pPr>
    </w:p>
    <w:p w14:paraId="18F51FB4" w14:textId="77777777" w:rsidR="0082775B" w:rsidRPr="000D3432" w:rsidRDefault="0082775B" w:rsidP="00A95498">
      <w:pPr>
        <w:ind w:left="850"/>
        <w:jc w:val="both"/>
        <w:rPr>
          <w:rFonts w:asciiTheme="minorHAnsi" w:hAnsiTheme="minorHAnsi"/>
          <w:szCs w:val="24"/>
        </w:rPr>
      </w:pPr>
      <w:r w:rsidRPr="000D3432">
        <w:rPr>
          <w:rFonts w:asciiTheme="minorHAnsi" w:hAnsiTheme="minorHAnsi"/>
          <w:szCs w:val="24"/>
        </w:rPr>
        <w:t>Volviendo a la concepción de que el poder era una propiedad,</w:t>
      </w:r>
    </w:p>
    <w:p w14:paraId="0ECDF929" w14:textId="77777777" w:rsidR="0082775B" w:rsidRPr="000D3432" w:rsidRDefault="0082775B" w:rsidP="00A95498">
      <w:pPr>
        <w:ind w:left="1275"/>
        <w:jc w:val="both"/>
        <w:rPr>
          <w:rFonts w:asciiTheme="minorHAnsi" w:hAnsiTheme="minorHAnsi"/>
          <w:szCs w:val="24"/>
        </w:rPr>
      </w:pPr>
      <w:r w:rsidRPr="000D3432">
        <w:rPr>
          <w:rFonts w:asciiTheme="minorHAnsi" w:hAnsiTheme="minorHAnsi"/>
          <w:szCs w:val="24"/>
        </w:rPr>
        <w:t>“Foucault muestra que el poder no procede de ese modo, ni de ahí: no es tanto una propiedad como una estrategia, y sus efectos no son atribuibles a una apropiación, “sino a disposiciones, maniobras, tácticas, técnicas, funcionamientos”; “se ejerce más que se posee, no es el privilegio adquirido o conservado de la clase dominante, sino el efecto de conjunto de sus posiciones estratégicas”.</w:t>
      </w:r>
      <w:r w:rsidRPr="000D3432">
        <w:rPr>
          <w:rStyle w:val="Refdenotaalpie"/>
          <w:rFonts w:asciiTheme="minorHAnsi" w:hAnsiTheme="minorHAnsi"/>
          <w:sz w:val="24"/>
          <w:szCs w:val="24"/>
        </w:rPr>
        <w:footnoteReference w:id="719"/>
      </w:r>
    </w:p>
    <w:p w14:paraId="0EDC594A" w14:textId="77777777" w:rsidR="0082775B" w:rsidRPr="000D3432" w:rsidRDefault="0082775B" w:rsidP="00A95498">
      <w:pPr>
        <w:widowControl/>
        <w:ind w:firstLine="425"/>
        <w:jc w:val="both"/>
        <w:rPr>
          <w:rFonts w:asciiTheme="minorHAnsi" w:hAnsiTheme="minorHAnsi"/>
          <w:szCs w:val="24"/>
        </w:rPr>
      </w:pPr>
    </w:p>
    <w:p w14:paraId="365A129F" w14:textId="77777777" w:rsidR="0082775B" w:rsidRPr="000D3432" w:rsidRDefault="0082775B" w:rsidP="00A95498">
      <w:pPr>
        <w:widowControl/>
        <w:ind w:firstLine="425"/>
        <w:jc w:val="both"/>
        <w:rPr>
          <w:rFonts w:asciiTheme="minorHAnsi" w:hAnsiTheme="minorHAnsi"/>
          <w:smallCaps/>
          <w:szCs w:val="24"/>
        </w:rPr>
      </w:pPr>
      <w:r w:rsidRPr="000D3432">
        <w:rPr>
          <w:rFonts w:asciiTheme="minorHAnsi" w:hAnsiTheme="minorHAnsi"/>
          <w:b/>
          <w:smallCaps/>
          <w:szCs w:val="24"/>
        </w:rPr>
        <w:t>Imperio de los Incas y la propiedad:</w:t>
      </w:r>
    </w:p>
    <w:p w14:paraId="38893414" w14:textId="77777777" w:rsidR="0082775B" w:rsidRPr="000D3432" w:rsidRDefault="0082775B" w:rsidP="00A95498">
      <w:pPr>
        <w:widowControl/>
        <w:ind w:firstLine="425"/>
        <w:jc w:val="both"/>
        <w:rPr>
          <w:rFonts w:asciiTheme="minorHAnsi" w:hAnsiTheme="minorHAnsi"/>
          <w:szCs w:val="24"/>
        </w:rPr>
      </w:pPr>
    </w:p>
    <w:p w14:paraId="029FC6B3" w14:textId="77777777" w:rsidR="0082775B" w:rsidRPr="000D3432" w:rsidRDefault="0082775B" w:rsidP="00A95498">
      <w:pPr>
        <w:widowControl/>
        <w:ind w:firstLine="425"/>
        <w:jc w:val="both"/>
        <w:rPr>
          <w:rFonts w:asciiTheme="minorHAnsi" w:hAnsiTheme="minorHAnsi"/>
          <w:szCs w:val="24"/>
        </w:rPr>
      </w:pPr>
      <w:r w:rsidRPr="000D3432">
        <w:rPr>
          <w:rFonts w:asciiTheme="minorHAnsi" w:hAnsiTheme="minorHAnsi"/>
          <w:szCs w:val="24"/>
        </w:rPr>
        <w:t xml:space="preserve">Por otro lado, el carácter que algunos autores le han dado al imperio de socialista -como Louis Baudin-, nos determina una visión política de la sociedad incaica, que puede explicar, a grandes rasgos, el carácter jurídico con el que podrían haber estado equipados, por eso es utilitario decir que esa denominación del régimen político de los incas (socialismo) parece provenir de una simple explicación del régimen propietario en el imperio; lo que significa que la propiedad privada de la tierra no existió entre los incas, de ahí que se haya clasificado de socialista su sistema; puesto que las tierras pertenecían al Inca, al culto y a los ayllus. Ahora bien, en una sociedad así políticamente establecida, ¿qué idea o concepción del Derecho podía existir? Si no hay propiedad privada, porque todo pertenece al Estado, hasta los hombres, ¿qué concepción tenían ellos del Derecho? Eran acaso capaces de concebirlo como algo propio, inherente al hombre? La respuesta parece negativa. Si el Estado es el dueño de todo, el único Derecho existente sería el del Estado; con la consecuente anulación en los indios de toda capacidad de pensar, obrar o manejarse libremente. El Estado lo era todo, el indio actuaba colectivamente, era parte de la masa, del grupo trabajador, no individualizado, sino sumado al resto. El individuo no existía como tal, sino como conjunto. </w:t>
      </w:r>
    </w:p>
    <w:p w14:paraId="469675ED" w14:textId="77777777" w:rsidR="0082775B" w:rsidRPr="000D3432" w:rsidRDefault="0082775B" w:rsidP="00A95498">
      <w:pPr>
        <w:pStyle w:val="Parraffffo"/>
        <w:spacing w:line="240" w:lineRule="auto"/>
        <w:rPr>
          <w:rFonts w:asciiTheme="minorHAnsi" w:hAnsiTheme="minorHAnsi"/>
          <w:color w:val="auto"/>
          <w:sz w:val="24"/>
          <w:szCs w:val="24"/>
        </w:rPr>
      </w:pPr>
      <w:r w:rsidRPr="000D3432">
        <w:rPr>
          <w:rFonts w:asciiTheme="minorHAnsi" w:hAnsiTheme="minorHAnsi"/>
          <w:color w:val="auto"/>
          <w:sz w:val="24"/>
          <w:szCs w:val="24"/>
        </w:rPr>
        <w:t>“El individuo no contaba, prácticamente no existía en aquella civilización piramidal y teocrática cuyas hazañas habían sido siempre colectivas y anónimas: izar hasta las cumbres más empinadas las ciclópeas piedras de Machu Picchu(...)</w:t>
      </w:r>
      <w:r w:rsidRPr="000D3432">
        <w:rPr>
          <w:rStyle w:val="Refdenotaalpie"/>
          <w:rFonts w:asciiTheme="minorHAnsi" w:hAnsiTheme="minorHAnsi"/>
          <w:color w:val="auto"/>
          <w:sz w:val="24"/>
          <w:szCs w:val="24"/>
        </w:rPr>
        <w:footnoteReference w:id="720"/>
      </w:r>
    </w:p>
    <w:p w14:paraId="1536E815" w14:textId="77777777" w:rsidR="0082775B" w:rsidRPr="000D3432" w:rsidRDefault="0082775B" w:rsidP="00A95498">
      <w:pPr>
        <w:widowControl/>
        <w:jc w:val="both"/>
        <w:rPr>
          <w:rFonts w:asciiTheme="minorHAnsi" w:hAnsiTheme="minorHAnsi"/>
          <w:szCs w:val="24"/>
        </w:rPr>
      </w:pPr>
    </w:p>
    <w:p w14:paraId="76723615" w14:textId="77777777" w:rsidR="0082775B" w:rsidRPr="000D3432" w:rsidRDefault="0082775B" w:rsidP="00A95498">
      <w:pPr>
        <w:widowControl/>
        <w:jc w:val="both"/>
        <w:rPr>
          <w:rFonts w:asciiTheme="minorHAnsi" w:hAnsiTheme="minorHAnsi"/>
          <w:b/>
          <w:szCs w:val="24"/>
        </w:rPr>
      </w:pPr>
      <w:r w:rsidRPr="000D3432">
        <w:rPr>
          <w:rFonts w:asciiTheme="minorHAnsi" w:hAnsiTheme="minorHAnsi"/>
          <w:b/>
          <w:smallCaps/>
          <w:szCs w:val="24"/>
        </w:rPr>
        <w:t>La Conquista y la propiedad:</w:t>
      </w:r>
    </w:p>
    <w:p w14:paraId="1691B646" w14:textId="77777777" w:rsidR="0082775B" w:rsidRPr="000D3432" w:rsidRDefault="0082775B" w:rsidP="00A95498">
      <w:pPr>
        <w:ind w:left="850"/>
        <w:jc w:val="both"/>
        <w:rPr>
          <w:rFonts w:asciiTheme="minorHAnsi" w:hAnsiTheme="minorHAnsi"/>
          <w:szCs w:val="24"/>
          <w:lang w:val="es-ES_tradnl"/>
        </w:rPr>
      </w:pPr>
    </w:p>
    <w:p w14:paraId="6F0A4B9B"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 xml:space="preserve">Al fenómeno de transformación de diverso matiz, biológica con el mestizaje; económica en los nuevos cultivos y en la minería; estructural en la nueva organización política; cultural en la adaptación de la lengua y costumbres españolas; y religiosa en la adaptación e implantación del cristianismo- Víctor </w:t>
      </w:r>
      <w:r w:rsidRPr="000D3432">
        <w:rPr>
          <w:rFonts w:asciiTheme="minorHAnsi" w:hAnsiTheme="minorHAnsi"/>
          <w:szCs w:val="24"/>
        </w:rPr>
        <w:lastRenderedPageBreak/>
        <w:t>Belaúnde responde, desde un análisis de la transformación económica, y describe sus caracteres más generales:</w:t>
      </w:r>
    </w:p>
    <w:p w14:paraId="790371A4" w14:textId="77777777" w:rsidR="0082775B" w:rsidRPr="000D3432" w:rsidRDefault="0082775B" w:rsidP="00A95498">
      <w:pPr>
        <w:ind w:firstLine="426"/>
        <w:jc w:val="both"/>
        <w:rPr>
          <w:rFonts w:asciiTheme="minorHAnsi" w:hAnsiTheme="minorHAnsi"/>
          <w:szCs w:val="24"/>
        </w:rPr>
      </w:pPr>
    </w:p>
    <w:p w14:paraId="142B95FE" w14:textId="77777777" w:rsidR="0082775B" w:rsidRPr="000D3432" w:rsidRDefault="0082775B" w:rsidP="00A95498">
      <w:pPr>
        <w:ind w:left="709" w:hanging="283"/>
        <w:jc w:val="both"/>
        <w:rPr>
          <w:rFonts w:asciiTheme="minorHAnsi" w:hAnsiTheme="minorHAnsi"/>
          <w:szCs w:val="24"/>
        </w:rPr>
      </w:pPr>
      <w:r w:rsidRPr="000D3432">
        <w:rPr>
          <w:rFonts w:asciiTheme="minorHAnsi" w:hAnsiTheme="minorHAnsi"/>
          <w:szCs w:val="24"/>
        </w:rPr>
        <w:t>1.- El nuevo régimen de la propiedad. Explica que "el que encontraron los españoles era un régimen mixto, de comunidades de aldea para la masa del pueblo, propiedad feudal o individual, a favor de caciques y principales y propiedad estatal de las tierras destinadas al culto y al Inca que suponía un sistema de trabajo obligatorio por parte de los vasallos"</w:t>
      </w:r>
      <w:r w:rsidRPr="000D3432">
        <w:rPr>
          <w:rStyle w:val="Refdenotaalpie"/>
          <w:rFonts w:asciiTheme="minorHAnsi" w:hAnsiTheme="minorHAnsi"/>
          <w:sz w:val="24"/>
          <w:szCs w:val="24"/>
        </w:rPr>
        <w:footnoteReference w:id="721"/>
      </w:r>
      <w:r w:rsidRPr="000D3432">
        <w:rPr>
          <w:rFonts w:asciiTheme="minorHAnsi" w:hAnsiTheme="minorHAnsi"/>
          <w:szCs w:val="24"/>
        </w:rPr>
        <w:t>. Luego de la conquista la Corona de Castilla es dueña de todas las tierras americanas. Sin embargo, hay un cierto respeto para las tierras de los indígenas, "...un hecho histórico inobjetable es que los indios no fueron absolutamente desposeídos de tierras. Muy al contrario, en alguna zona del país se les dejó el dominio de muchas tierras"</w:t>
      </w:r>
      <w:r w:rsidRPr="000D3432">
        <w:rPr>
          <w:rStyle w:val="Refdenotaalpie"/>
          <w:rFonts w:asciiTheme="minorHAnsi" w:hAnsiTheme="minorHAnsi"/>
          <w:sz w:val="24"/>
          <w:szCs w:val="24"/>
        </w:rPr>
        <w:footnoteReference w:id="722"/>
      </w:r>
      <w:r w:rsidRPr="000D3432">
        <w:rPr>
          <w:rFonts w:asciiTheme="minorHAnsi" w:hAnsiTheme="minorHAnsi"/>
          <w:szCs w:val="24"/>
        </w:rPr>
        <w:t xml:space="preserve">. </w:t>
      </w:r>
    </w:p>
    <w:p w14:paraId="6725FD06" w14:textId="77777777" w:rsidR="0082775B" w:rsidRPr="000D3432" w:rsidRDefault="0082775B" w:rsidP="00A95498">
      <w:pPr>
        <w:jc w:val="both"/>
        <w:rPr>
          <w:rFonts w:asciiTheme="minorHAnsi" w:hAnsiTheme="minorHAnsi"/>
          <w:szCs w:val="24"/>
          <w:lang w:val="es-ES_tradnl"/>
        </w:rPr>
      </w:pPr>
    </w:p>
    <w:p w14:paraId="3768C185" w14:textId="77777777" w:rsidR="0082775B" w:rsidRPr="000D3432" w:rsidRDefault="0082775B" w:rsidP="00A95498">
      <w:pPr>
        <w:jc w:val="both"/>
        <w:rPr>
          <w:rFonts w:asciiTheme="minorHAnsi" w:hAnsiTheme="minorHAnsi"/>
          <w:smallCaps/>
          <w:szCs w:val="24"/>
          <w:lang w:val="es-ES_tradnl"/>
        </w:rPr>
      </w:pPr>
      <w:r w:rsidRPr="000D3432">
        <w:rPr>
          <w:rFonts w:asciiTheme="minorHAnsi" w:hAnsiTheme="minorHAnsi"/>
          <w:b/>
          <w:smallCaps/>
          <w:szCs w:val="24"/>
          <w:lang w:val="es-ES_tradnl"/>
        </w:rPr>
        <w:t>El nacimiento de La república y el derecho de propiedad:</w:t>
      </w:r>
    </w:p>
    <w:p w14:paraId="48D4EC33" w14:textId="77777777" w:rsidR="0082775B" w:rsidRPr="000D3432" w:rsidRDefault="0082775B" w:rsidP="00A95498">
      <w:pPr>
        <w:ind w:left="850"/>
        <w:jc w:val="both"/>
        <w:rPr>
          <w:rFonts w:asciiTheme="minorHAnsi" w:hAnsiTheme="minorHAnsi"/>
          <w:szCs w:val="24"/>
          <w:lang w:val="es-ES_tradnl"/>
        </w:rPr>
      </w:pPr>
    </w:p>
    <w:p w14:paraId="2B76350C"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La primera Constitución tenía inspiración liberal; considera como puntos fundamentales "los derechos legítimos de todos los individuos, que tenían respaldo en el "pacto social" según la inspiración liberal que se basaba en las "ideas del individualismo contractualista", "la libertad" civil, la seguridad individual, la igualdad ante la Ley y la propiedad de los ciudadanos" según lo estipulaba  el Art. 149 de la Constitución de 1828. La sociedad en su primera Constitución, aún de inspiración liberal tenía matices restrictivos, excluyentes, limitativos, divisionistas o demarcatorios de clases sociales. La ciudadanía tenía requisitos propios y sólo accesibles a una clase económica dominante.</w:t>
      </w:r>
    </w:p>
    <w:p w14:paraId="70DDE300" w14:textId="77777777" w:rsidR="0082775B" w:rsidRPr="000D3432" w:rsidRDefault="0082775B" w:rsidP="00A95498">
      <w:pPr>
        <w:pStyle w:val="Parraffffo"/>
        <w:spacing w:line="240" w:lineRule="auto"/>
        <w:rPr>
          <w:rFonts w:asciiTheme="minorHAnsi" w:hAnsiTheme="minorHAnsi"/>
          <w:color w:val="auto"/>
          <w:sz w:val="24"/>
          <w:szCs w:val="24"/>
        </w:rPr>
      </w:pPr>
      <w:r w:rsidRPr="000D3432">
        <w:rPr>
          <w:rFonts w:asciiTheme="minorHAnsi" w:hAnsiTheme="minorHAnsi"/>
          <w:color w:val="auto"/>
          <w:sz w:val="24"/>
          <w:szCs w:val="24"/>
        </w:rPr>
        <w:t xml:space="preserve">"En la primera Constitución </w:t>
      </w:r>
      <w:r w:rsidRPr="000D3432">
        <w:rPr>
          <w:rFonts w:asciiTheme="minorHAnsi" w:hAnsiTheme="minorHAnsi"/>
          <w:color w:val="auto"/>
          <w:sz w:val="24"/>
          <w:szCs w:val="24"/>
        </w:rPr>
        <w:noBreakHyphen/>
        <w:t>de inspiración liberal</w:t>
      </w:r>
      <w:r w:rsidRPr="000D3432">
        <w:rPr>
          <w:rFonts w:asciiTheme="minorHAnsi" w:hAnsiTheme="minorHAnsi"/>
          <w:color w:val="auto"/>
          <w:sz w:val="24"/>
          <w:szCs w:val="24"/>
        </w:rPr>
        <w:noBreakHyphen/>
        <w:t xml:space="preserve"> para ser considerado ciudadano se requería la condición de tener una propiedad o realizar algún tipo de actividad económica, excluyéndose expresamente de la calidad de ciudadano a los obreros y a los domésticos"</w:t>
      </w:r>
      <w:r w:rsidRPr="000D3432">
        <w:rPr>
          <w:rStyle w:val="Refdenotaalpie"/>
          <w:rFonts w:asciiTheme="minorHAnsi" w:hAnsiTheme="minorHAnsi"/>
          <w:color w:val="auto"/>
          <w:sz w:val="24"/>
          <w:szCs w:val="24"/>
        </w:rPr>
        <w:footnoteReference w:id="723"/>
      </w:r>
      <w:r w:rsidRPr="000D3432">
        <w:rPr>
          <w:rFonts w:asciiTheme="minorHAnsi" w:hAnsiTheme="minorHAnsi"/>
          <w:color w:val="auto"/>
          <w:sz w:val="24"/>
          <w:szCs w:val="24"/>
        </w:rPr>
        <w:t>, según lo estipulaba en el Art. 17 de la Constitución de 1823.</w:t>
      </w:r>
    </w:p>
    <w:p w14:paraId="0B5A6872" w14:textId="77777777" w:rsidR="0082775B" w:rsidRPr="000D3432" w:rsidRDefault="0082775B" w:rsidP="00A95498">
      <w:pPr>
        <w:jc w:val="both"/>
        <w:rPr>
          <w:rFonts w:asciiTheme="minorHAnsi" w:hAnsiTheme="minorHAnsi"/>
          <w:szCs w:val="24"/>
        </w:rPr>
      </w:pPr>
    </w:p>
    <w:p w14:paraId="2665913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Las posteriores constituciones recortaron estas limitaciones a la ciudadanía y la exclusión de ciudadanía quedó limitada a los servidores domésticos y a los que no pagaban ningún tipo de impuesto; a fines del siglo desaparecieron estos requisitos subsistiendo solo la condición de saber leer y escribir.</w:t>
      </w:r>
    </w:p>
    <w:p w14:paraId="217FCBFC" w14:textId="77777777" w:rsidR="0082775B" w:rsidRPr="000D3432" w:rsidRDefault="0082775B" w:rsidP="00A95498">
      <w:pPr>
        <w:jc w:val="both"/>
        <w:rPr>
          <w:rFonts w:asciiTheme="minorHAnsi" w:hAnsiTheme="minorHAnsi"/>
          <w:szCs w:val="24"/>
        </w:rPr>
      </w:pPr>
    </w:p>
    <w:p w14:paraId="3EC14B7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Para ser elegido como representante del Congreso era requisito tener una propiedad o una renta o ser profesor, esos requisitos se extendieron un poco más. La Constitución de 1867 abolió tales requisitos, pero en corto tiempo fue reemplazada por la Constitución de 1860 hasta 1920 con lo que en esa fecha fueron anulados todos dichos requisitos.</w:t>
      </w:r>
      <w:r w:rsidRPr="000D3432">
        <w:rPr>
          <w:rStyle w:val="Refdenotaalpie"/>
          <w:rFonts w:asciiTheme="minorHAnsi" w:hAnsiTheme="minorHAnsi"/>
          <w:sz w:val="24"/>
          <w:szCs w:val="24"/>
        </w:rPr>
        <w:footnoteReference w:id="724"/>
      </w:r>
      <w:r w:rsidRPr="000D3432">
        <w:rPr>
          <w:rFonts w:asciiTheme="minorHAnsi" w:hAnsiTheme="minorHAnsi"/>
          <w:szCs w:val="24"/>
        </w:rPr>
        <w:t xml:space="preserve"> </w:t>
      </w:r>
    </w:p>
    <w:p w14:paraId="187870DE" w14:textId="77777777" w:rsidR="0082775B" w:rsidRPr="000D3432" w:rsidRDefault="0082775B" w:rsidP="00A95498">
      <w:pPr>
        <w:jc w:val="both"/>
        <w:rPr>
          <w:rFonts w:asciiTheme="minorHAnsi" w:hAnsiTheme="minorHAnsi"/>
          <w:szCs w:val="24"/>
        </w:rPr>
      </w:pPr>
    </w:p>
    <w:p w14:paraId="5F8EB25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Conservadores y liberales no distaban mucho, sólo en grados y medios para llegar a una política modernizadora; Los conservadores pensaban que esos medios eran un gobierno fuerte y los cambios tenían que hacerse lentamente, los liberales eran más acelerados en la transformación y el principio de la democracia liberal.</w:t>
      </w:r>
    </w:p>
    <w:p w14:paraId="005B93B6" w14:textId="77777777" w:rsidR="0082775B" w:rsidRPr="000D3432" w:rsidRDefault="0082775B" w:rsidP="00A95498">
      <w:pPr>
        <w:ind w:left="850"/>
        <w:jc w:val="both"/>
        <w:rPr>
          <w:rFonts w:asciiTheme="minorHAnsi" w:hAnsiTheme="minorHAnsi"/>
          <w:szCs w:val="24"/>
        </w:rPr>
      </w:pPr>
      <w:r w:rsidRPr="000D3432">
        <w:rPr>
          <w:rFonts w:asciiTheme="minorHAnsi" w:hAnsiTheme="minorHAnsi"/>
          <w:szCs w:val="24"/>
        </w:rPr>
        <w:t>A pesar de la tendencia liberal de la primera Constitución los cambios provocados por las leyes republicanas no entraban en franco lineamiento de economía liberal de mercado. La prioridad principal era el organizar el Estado, antes que cualquier tendencia para establecer la normatividad para las transacciones privadas. Por lo que quedaron mucho tiempo aún vigentes las leyes civiles españolas.</w:t>
      </w:r>
      <w:r w:rsidRPr="000D3432">
        <w:rPr>
          <w:rStyle w:val="Refdenotaalpie"/>
          <w:rFonts w:asciiTheme="minorHAnsi" w:hAnsiTheme="minorHAnsi"/>
          <w:sz w:val="24"/>
          <w:szCs w:val="24"/>
        </w:rPr>
        <w:footnoteReference w:id="725"/>
      </w:r>
    </w:p>
    <w:p w14:paraId="543E6F21" w14:textId="77777777" w:rsidR="0082775B" w:rsidRPr="000D3432" w:rsidRDefault="0082775B" w:rsidP="00A95498">
      <w:pPr>
        <w:ind w:left="850"/>
        <w:jc w:val="both"/>
        <w:rPr>
          <w:rFonts w:asciiTheme="minorHAnsi" w:hAnsiTheme="minorHAnsi"/>
          <w:szCs w:val="24"/>
        </w:rPr>
      </w:pPr>
    </w:p>
    <w:p w14:paraId="7A3A1FCD" w14:textId="77777777" w:rsidR="0082775B" w:rsidRPr="000D3432" w:rsidRDefault="0082775B" w:rsidP="00A95498">
      <w:pPr>
        <w:ind w:left="850"/>
        <w:jc w:val="both"/>
        <w:rPr>
          <w:rFonts w:asciiTheme="minorHAnsi" w:hAnsiTheme="minorHAnsi"/>
          <w:b/>
          <w:smallCaps/>
          <w:szCs w:val="24"/>
          <w:lang w:val="es-ES_tradnl"/>
        </w:rPr>
      </w:pPr>
      <w:r w:rsidRPr="000D3432">
        <w:rPr>
          <w:rFonts w:asciiTheme="minorHAnsi" w:hAnsiTheme="minorHAnsi"/>
          <w:b/>
          <w:smallCaps/>
          <w:szCs w:val="24"/>
          <w:lang w:val="es-ES_tradnl"/>
        </w:rPr>
        <w:t>Rousseau y la propiedad</w:t>
      </w:r>
    </w:p>
    <w:p w14:paraId="22E2E965" w14:textId="77777777" w:rsidR="0082775B" w:rsidRPr="000D3432" w:rsidRDefault="0082775B" w:rsidP="00A95498">
      <w:pPr>
        <w:ind w:left="850"/>
        <w:jc w:val="both"/>
        <w:rPr>
          <w:rFonts w:asciiTheme="minorHAnsi" w:hAnsiTheme="minorHAnsi"/>
          <w:b/>
          <w:smallCaps/>
          <w:szCs w:val="24"/>
          <w:lang w:val="es-ES_tradnl"/>
        </w:rPr>
      </w:pPr>
    </w:p>
    <w:p w14:paraId="76208D26"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Rousseau explica que el hombre en un principio, en el estado de naturaleza, vivía libre y era bueno, pero con la civilización se corrompe dicho estado natural. Al imponerse los hombres fuertes sobre los débiles y cercar sus tierras, expresando su posesión, se dio inicio a la propiedad y a la infelicidad. Es el inicio de la desigualdad. Para remediar estos males, era preciso retornar al estado de naturaleza, como ya lo dijimos, pero como no es posible, se establece un medio que garantice la seguridad de todos, este es el Contrato Social, como ya también lo dijimos. Esta fue una afirmación de la necesidad racional de ordenar jurídicamente a los hombres. Es esa la razón de ser del Estado. La ley, es por su parte, la expresión de la voluntad general, no un mandato arbitrario. Y los mandatos arbitrarios no son legítimos, puesto que no se fundamentan en la voluntad general, que se expresa a través de la ley. La importancia y relevancia de la ley, se desprende de la teoría de que el sometimiento de los hombres a las leyes, hace a los hombres libres, por ser estas leyes sólo manifestaciones de la voluntad general.</w:t>
      </w:r>
      <w:r w:rsidRPr="000D3432">
        <w:rPr>
          <w:rStyle w:val="Refdenotaalpie"/>
          <w:rFonts w:asciiTheme="minorHAnsi" w:hAnsiTheme="minorHAnsi"/>
          <w:sz w:val="24"/>
          <w:szCs w:val="24"/>
        </w:rPr>
        <w:footnoteReference w:id="726"/>
      </w:r>
      <w:r w:rsidRPr="000D3432">
        <w:rPr>
          <w:rFonts w:asciiTheme="minorHAnsi" w:hAnsiTheme="minorHAnsi"/>
          <w:szCs w:val="24"/>
        </w:rPr>
        <w:tab/>
        <w:t xml:space="preserve"> </w:t>
      </w:r>
    </w:p>
    <w:p w14:paraId="59D3D341" w14:textId="77777777" w:rsidR="0082775B" w:rsidRPr="000D3432" w:rsidRDefault="0082775B" w:rsidP="00A95498">
      <w:pPr>
        <w:ind w:left="850"/>
        <w:jc w:val="both"/>
        <w:rPr>
          <w:rFonts w:asciiTheme="minorHAnsi" w:hAnsiTheme="minorHAnsi"/>
          <w:b/>
          <w:smallCaps/>
          <w:szCs w:val="24"/>
          <w:lang w:val="es-ES_tradnl"/>
        </w:rPr>
      </w:pPr>
    </w:p>
    <w:p w14:paraId="2E5C468C" w14:textId="77777777" w:rsidR="0082775B" w:rsidRPr="000D3432" w:rsidRDefault="0082775B" w:rsidP="00A95498">
      <w:pPr>
        <w:jc w:val="both"/>
        <w:rPr>
          <w:rFonts w:asciiTheme="minorHAnsi" w:hAnsiTheme="minorHAnsi"/>
          <w:b/>
          <w:smallCaps/>
          <w:szCs w:val="24"/>
          <w:lang w:val="es-ES_tradnl"/>
        </w:rPr>
      </w:pPr>
      <w:r w:rsidRPr="000D3432">
        <w:rPr>
          <w:rFonts w:asciiTheme="minorHAnsi" w:hAnsiTheme="minorHAnsi"/>
          <w:b/>
          <w:smallCaps/>
          <w:szCs w:val="24"/>
          <w:lang w:val="es-ES_tradnl"/>
        </w:rPr>
        <w:t>Marx y el derecho de propiedad</w:t>
      </w:r>
    </w:p>
    <w:p w14:paraId="250B2BD9" w14:textId="77777777" w:rsidR="0082775B" w:rsidRPr="000D3432" w:rsidRDefault="0082775B" w:rsidP="00A95498">
      <w:pPr>
        <w:ind w:left="850"/>
        <w:jc w:val="both"/>
        <w:rPr>
          <w:rFonts w:asciiTheme="minorHAnsi" w:hAnsiTheme="minorHAnsi"/>
          <w:b/>
          <w:smallCaps/>
          <w:szCs w:val="24"/>
          <w:lang w:val="es-ES_tradnl"/>
        </w:rPr>
      </w:pPr>
    </w:p>
    <w:p w14:paraId="389DE625" w14:textId="77777777" w:rsidR="0082775B" w:rsidRPr="000D3432" w:rsidRDefault="0082775B" w:rsidP="00A95498">
      <w:pPr>
        <w:tabs>
          <w:tab w:val="left" w:pos="-1440"/>
        </w:tabs>
        <w:ind w:firstLine="426"/>
        <w:jc w:val="both"/>
        <w:rPr>
          <w:rFonts w:asciiTheme="minorHAnsi" w:hAnsiTheme="minorHAnsi"/>
          <w:szCs w:val="24"/>
        </w:rPr>
      </w:pPr>
      <w:r w:rsidRPr="000D3432">
        <w:rPr>
          <w:rFonts w:asciiTheme="minorHAnsi" w:hAnsiTheme="minorHAnsi"/>
          <w:szCs w:val="24"/>
        </w:rPr>
        <w:t xml:space="preserve">Según explica Melquiades Castillo, para Marx: “El Derecho sigue la evolución de la estructura económica de la sociedad. Toda forma de producción origina sus propias relaciones jurídicas. Cuando la estructura de la sociedad cambia, el Derecho se transforma y encuentra en la Ley su mejor expresión... El derecho que predomina en cada sociedad fija ante todo las relaciones de propiedad... </w:t>
      </w:r>
      <w:r w:rsidRPr="000D3432">
        <w:rPr>
          <w:rFonts w:asciiTheme="minorHAnsi" w:hAnsiTheme="minorHAnsi"/>
          <w:szCs w:val="24"/>
        </w:rPr>
        <w:lastRenderedPageBreak/>
        <w:t>Derecho y economía se influyen mutuamente.”</w:t>
      </w:r>
      <w:r w:rsidRPr="000D3432">
        <w:rPr>
          <w:rStyle w:val="Refdenotaalpie"/>
          <w:rFonts w:asciiTheme="minorHAnsi" w:hAnsiTheme="minorHAnsi"/>
          <w:sz w:val="24"/>
          <w:szCs w:val="24"/>
        </w:rPr>
        <w:footnoteReference w:id="727"/>
      </w:r>
    </w:p>
    <w:p w14:paraId="1C92E9C4" w14:textId="77777777" w:rsidR="0082775B" w:rsidRPr="000D3432" w:rsidRDefault="0082775B" w:rsidP="00A95498">
      <w:pPr>
        <w:ind w:left="850"/>
        <w:jc w:val="both"/>
        <w:rPr>
          <w:rFonts w:asciiTheme="minorHAnsi" w:hAnsiTheme="minorHAnsi"/>
          <w:b/>
          <w:smallCaps/>
          <w:szCs w:val="24"/>
          <w:lang w:val="es-ES_tradnl"/>
        </w:rPr>
      </w:pPr>
    </w:p>
    <w:p w14:paraId="4B1ED341" w14:textId="77777777" w:rsidR="0082775B" w:rsidRPr="000D3432" w:rsidRDefault="0082775B" w:rsidP="00A95498">
      <w:pPr>
        <w:jc w:val="both"/>
        <w:rPr>
          <w:rFonts w:asciiTheme="minorHAnsi" w:hAnsiTheme="minorHAnsi"/>
          <w:b/>
          <w:smallCaps/>
          <w:szCs w:val="24"/>
          <w:lang w:val="es-ES_tradnl"/>
        </w:rPr>
      </w:pPr>
      <w:r w:rsidRPr="000D3432">
        <w:rPr>
          <w:rFonts w:asciiTheme="minorHAnsi" w:hAnsiTheme="minorHAnsi"/>
          <w:b/>
          <w:smallCaps/>
          <w:szCs w:val="24"/>
          <w:lang w:val="es-ES_tradnl"/>
        </w:rPr>
        <w:t>aristóteles, economía y propiedad</w:t>
      </w:r>
    </w:p>
    <w:p w14:paraId="789B304A" w14:textId="77777777" w:rsidR="0082775B" w:rsidRPr="000D3432" w:rsidRDefault="0082775B" w:rsidP="00A95498">
      <w:pPr>
        <w:ind w:left="850"/>
        <w:jc w:val="both"/>
        <w:rPr>
          <w:rFonts w:asciiTheme="minorHAnsi" w:hAnsiTheme="minorHAnsi"/>
          <w:b/>
          <w:smallCaps/>
          <w:szCs w:val="24"/>
          <w:lang w:val="es-ES_tradnl"/>
        </w:rPr>
      </w:pPr>
    </w:p>
    <w:p w14:paraId="74987241"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Hemos preferido encerrar ciertas ideas acerca del orden dentro del término económico, por razones didácticas, y porque (según esta concepción) es en base a la economía que los pueblos se ordenaron. Anoto que me refiero a la economía como flujo de recursos para satisfacer, inteligentemente, las necesidades.</w:t>
      </w:r>
    </w:p>
    <w:p w14:paraId="17640CB2"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Encontramos en primer lugar a la sociedad griega que no tiene un buen antecedente. "La economía griega nos deja una lección por lo menos: la agricultura casera y patriarcal produce la sobrepoblación. Su misma virtud acaba por matarla.”</w:t>
      </w:r>
      <w:r w:rsidRPr="000D3432">
        <w:rPr>
          <w:rStyle w:val="Refdenotaalpie"/>
          <w:rFonts w:asciiTheme="minorHAnsi" w:hAnsiTheme="minorHAnsi"/>
          <w:sz w:val="24"/>
          <w:szCs w:val="24"/>
        </w:rPr>
        <w:footnoteReference w:id="728"/>
      </w:r>
    </w:p>
    <w:p w14:paraId="7447BD7C"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Grondona escribe: "Aristóteles condenó toda propiedad que excediera los límites de lo necesario porque consideraba a la economía como un medio al servicio del hombre, pero si ésta estimulaba más de lo necesario, es él quien pasa a ser un medio de la economía: vive para lo que tiene. Y esto, según Aristóteles, resultó posible por la creación de la moneda (...) que sin moneda no se puede acumular indefinidamente (...) Considera a la moneda una perversión del orden natural (...) "El médico ya no cobra por curar, sino que cura para cobrar".</w:t>
      </w:r>
    </w:p>
    <w:p w14:paraId="7F3D406B" w14:textId="77777777" w:rsidR="0082775B" w:rsidRPr="000D3432" w:rsidRDefault="0082775B" w:rsidP="00A95498">
      <w:pPr>
        <w:ind w:firstLine="426"/>
        <w:jc w:val="both"/>
        <w:rPr>
          <w:rFonts w:asciiTheme="minorHAnsi" w:hAnsiTheme="minorHAnsi"/>
          <w:szCs w:val="24"/>
        </w:rPr>
      </w:pPr>
      <w:r w:rsidRPr="000D3432">
        <w:rPr>
          <w:rFonts w:asciiTheme="minorHAnsi" w:hAnsiTheme="minorHAnsi"/>
          <w:szCs w:val="24"/>
        </w:rPr>
        <w:t>Mucho más arriba en la historia la economía era tomada por los marxistas académicos como la base de todo el estudio social. La economía era aquella que determinaba toda la existencia humana. En el Marxismo académico la economía era la causa principal, la fuente única, la razón de ser de todos los hechos, actos, acontecimientos, relaciones o no de poder. El hombre estaba determinado por un factor económico.</w:t>
      </w:r>
    </w:p>
    <w:p w14:paraId="6BDD4B2B" w14:textId="77777777" w:rsidR="0082775B" w:rsidRPr="000D3432" w:rsidRDefault="0082775B" w:rsidP="00A95498">
      <w:pPr>
        <w:jc w:val="both"/>
        <w:rPr>
          <w:rFonts w:asciiTheme="minorHAnsi" w:hAnsiTheme="minorHAnsi"/>
          <w:b/>
          <w:szCs w:val="24"/>
          <w:lang w:val="es-ES_tradnl"/>
        </w:rPr>
      </w:pPr>
    </w:p>
    <w:p w14:paraId="2399AC08"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 xml:space="preserve">3.- </w:t>
      </w:r>
      <w:r w:rsidRPr="000D3432">
        <w:rPr>
          <w:rFonts w:asciiTheme="minorHAnsi" w:hAnsiTheme="minorHAnsi"/>
          <w:b/>
          <w:szCs w:val="24"/>
          <w:lang w:val="es-ES_tradnl"/>
        </w:rPr>
        <w:tab/>
        <w:t>LA REVISIÓN HISTÓRICA DE LA LEGISLACIÓN NACIONAL SOBRE EL PROBLEMA</w:t>
      </w:r>
    </w:p>
    <w:p w14:paraId="596968AD" w14:textId="77777777" w:rsidR="0082775B" w:rsidRPr="000D3432" w:rsidRDefault="0082775B" w:rsidP="00A95498">
      <w:pPr>
        <w:jc w:val="both"/>
        <w:rPr>
          <w:rFonts w:asciiTheme="minorHAnsi" w:hAnsiTheme="minorHAnsi"/>
          <w:szCs w:val="24"/>
          <w:lang w:val="es-ES_tradnl"/>
        </w:rPr>
      </w:pPr>
    </w:p>
    <w:p w14:paraId="3BE1906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La legislación nacional ha respondido siempre a la política gubernamental de cada tiempo; baste recordar que uno de los mayores fenómenos sociales de la propiedad se produjo en el gobierno de Velásco, quien tenía una concepción socialista muy distinta a la actual.</w:t>
      </w:r>
    </w:p>
    <w:p w14:paraId="576DE4A2" w14:textId="77777777" w:rsidR="0082775B" w:rsidRPr="000D3432" w:rsidRDefault="0082775B" w:rsidP="00A95498">
      <w:pPr>
        <w:jc w:val="both"/>
        <w:rPr>
          <w:rFonts w:asciiTheme="minorHAnsi" w:hAnsiTheme="minorHAnsi"/>
          <w:szCs w:val="24"/>
          <w:lang w:val="es-ES_tradnl"/>
        </w:rPr>
      </w:pPr>
    </w:p>
    <w:p w14:paraId="2DE9088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Hagamos, pues, una reseña histórica, para luego hacerla a través de la legislación, comenzaremos en la conciencia, la política que precedió, de alguna forma, a la legislación.</w:t>
      </w:r>
    </w:p>
    <w:p w14:paraId="5FF9B9B3" w14:textId="77777777" w:rsidR="0082775B" w:rsidRPr="000D3432" w:rsidRDefault="0082775B" w:rsidP="00A95498">
      <w:pPr>
        <w:jc w:val="both"/>
        <w:rPr>
          <w:rFonts w:asciiTheme="minorHAnsi" w:hAnsiTheme="minorHAnsi"/>
          <w:szCs w:val="24"/>
          <w:lang w:val="es-ES_tradnl"/>
        </w:rPr>
      </w:pPr>
    </w:p>
    <w:p w14:paraId="0A55F5E0" w14:textId="77777777" w:rsidR="0082775B" w:rsidRPr="000D3432" w:rsidRDefault="0082775B" w:rsidP="00A95498">
      <w:pPr>
        <w:jc w:val="both"/>
        <w:rPr>
          <w:rFonts w:asciiTheme="minorHAnsi" w:hAnsiTheme="minorHAnsi"/>
          <w:szCs w:val="24"/>
          <w:lang w:val="es-ES_tradnl"/>
        </w:rPr>
      </w:pPr>
    </w:p>
    <w:p w14:paraId="1EC650C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Jorge Basadre habla sobre las formas de propiedad que existieron en ese tiempo.  La forma de obtener vivienda es muy curiosa en la época de los incas. Basadre reseñando a Santillán que “cuando algún curaca se sometía al Inca voluntariamente, mandaba éste que le entregaran vasos y ropa y que, además, le </w:t>
      </w:r>
      <w:r w:rsidRPr="000D3432">
        <w:rPr>
          <w:rFonts w:asciiTheme="minorHAnsi" w:hAnsiTheme="minorHAnsi"/>
          <w:szCs w:val="24"/>
          <w:lang w:val="es-ES_tradnl"/>
        </w:rPr>
        <w:lastRenderedPageBreak/>
        <w:t>hicieran una casa”</w:t>
      </w:r>
      <w:r w:rsidRPr="000D3432">
        <w:rPr>
          <w:rStyle w:val="Refdenotaalpie"/>
          <w:rFonts w:asciiTheme="minorHAnsi" w:hAnsiTheme="minorHAnsi"/>
          <w:sz w:val="24"/>
          <w:szCs w:val="24"/>
          <w:lang w:val="es-ES_tradnl"/>
        </w:rPr>
        <w:footnoteReference w:id="729"/>
      </w:r>
      <w:r w:rsidRPr="000D3432">
        <w:rPr>
          <w:rFonts w:asciiTheme="minorHAnsi" w:hAnsiTheme="minorHAnsi"/>
          <w:szCs w:val="24"/>
          <w:lang w:val="es-ES_tradnl"/>
        </w:rPr>
        <w:t xml:space="preserve">. Como vemos la vivienda era obsequiada por el Inca, a aquellos nobles que se sometían a la voluntad imperial, lo que indica que quien repartía la propiedad predial era el Estado, el Inca. </w:t>
      </w:r>
    </w:p>
    <w:p w14:paraId="39163AFC" w14:textId="77777777" w:rsidR="0082775B" w:rsidRPr="000D3432" w:rsidRDefault="0082775B" w:rsidP="00A95498">
      <w:pPr>
        <w:jc w:val="both"/>
        <w:rPr>
          <w:rFonts w:asciiTheme="minorHAnsi" w:hAnsiTheme="minorHAnsi"/>
          <w:szCs w:val="24"/>
          <w:lang w:val="es-ES_tradnl"/>
        </w:rPr>
      </w:pPr>
    </w:p>
    <w:p w14:paraId="24E1BB1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No puede decirse que hubo legislación escrita en el incanato, pero tampoco puede decirse que no hubo legislación, si consideramos que legislación es todo ordenamiento jurídico que impone el cumplimiento de ciertas conductas, y respecto a cierta forma de organización social, obligatorias y con carácter coactivo.</w:t>
      </w:r>
    </w:p>
    <w:p w14:paraId="02D2A677" w14:textId="77777777" w:rsidR="0082775B" w:rsidRPr="000D3432" w:rsidRDefault="0082775B" w:rsidP="00A95498">
      <w:pPr>
        <w:jc w:val="both"/>
        <w:rPr>
          <w:rFonts w:asciiTheme="minorHAnsi" w:hAnsiTheme="minorHAnsi"/>
          <w:szCs w:val="24"/>
          <w:lang w:val="es-ES_tradnl"/>
        </w:rPr>
      </w:pPr>
    </w:p>
    <w:p w14:paraId="6648DF8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La propiedad de tierras en el imperio de los incas, sin embargo, no era sólo para vivienda. Lo importante de la propiedad consistía en que podía ser usada como medio de producción, y el mismo como medio de riqueza y asentamiento del poder. Las categorías sociales determinaban los beneficios patrimoniales. Por ejemplo, los llamados yanacunas tenían propiedades correspondientes a su condición de funcionarios. Además las tierras eran usadas para otros fines como a la religión, o para el Inca. Los incas habían despojado a los jefes locales conquistados de sus tierras, con lo que se estaba disminuyendo el anterior tipo de propiedad privada incompatible con la propiedad imperial del Inca.</w:t>
      </w:r>
    </w:p>
    <w:p w14:paraId="14B4E02C" w14:textId="77777777" w:rsidR="0082775B" w:rsidRPr="000D3432" w:rsidRDefault="0082775B" w:rsidP="00A95498">
      <w:pPr>
        <w:jc w:val="both"/>
        <w:rPr>
          <w:rFonts w:asciiTheme="minorHAnsi" w:hAnsiTheme="minorHAnsi"/>
          <w:szCs w:val="24"/>
          <w:lang w:val="es-ES_tradnl"/>
        </w:rPr>
      </w:pPr>
    </w:p>
    <w:p w14:paraId="7A08A81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Como narra Basadre, los curacas poseían, tenían la propiedad tanto de mujeres, esclavos, tejidos, etc., y de tierras. Pero esa distribución, la de las tierras, era proporcional a la necesidad de cada familia noble. Todos los cargos tenían una consideración patrimonial. Pero lo importante era que la distribución estaba calculada aritméticamente por la configuración del número de mujeres, hijos y concubinas que tenían. Así, Basadre narra parafraseando a Garcilaso de la Vega: “A la gente noble como eran los Curacas, Señores Vasallos, les davan las tierras conforme a la familia que tenían de mujeres y hijos y concubinas, criados y criadas.”</w:t>
      </w:r>
      <w:r w:rsidRPr="000D3432">
        <w:rPr>
          <w:rStyle w:val="Refdenotaalpie"/>
          <w:rFonts w:asciiTheme="minorHAnsi" w:hAnsiTheme="minorHAnsi"/>
          <w:sz w:val="24"/>
          <w:szCs w:val="24"/>
          <w:lang w:val="es-ES_tradnl"/>
        </w:rPr>
        <w:footnoteReference w:id="730"/>
      </w:r>
      <w:r w:rsidRPr="000D3432">
        <w:rPr>
          <w:rFonts w:asciiTheme="minorHAnsi" w:hAnsiTheme="minorHAnsi"/>
          <w:szCs w:val="24"/>
          <w:lang w:val="es-ES_tradnl"/>
        </w:rPr>
        <w:t xml:space="preserve"> </w:t>
      </w:r>
    </w:p>
    <w:p w14:paraId="3925455C" w14:textId="77777777" w:rsidR="0082775B" w:rsidRPr="000D3432" w:rsidRDefault="0082775B" w:rsidP="00A95498">
      <w:pPr>
        <w:jc w:val="both"/>
        <w:rPr>
          <w:rFonts w:asciiTheme="minorHAnsi" w:hAnsiTheme="minorHAnsi"/>
          <w:szCs w:val="24"/>
          <w:lang w:val="es-ES_tradnl"/>
        </w:rPr>
      </w:pPr>
    </w:p>
    <w:p w14:paraId="65E2AD8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Esto significaba que tenían conciencia de la proporción, al menos de la proporción de las necesidades, aunque esto haya sido tan selecto y sólo en referencia a los nobles.</w:t>
      </w:r>
    </w:p>
    <w:p w14:paraId="44278BA7" w14:textId="77777777" w:rsidR="0082775B" w:rsidRPr="000D3432" w:rsidRDefault="0082775B" w:rsidP="00A95498">
      <w:pPr>
        <w:jc w:val="both"/>
        <w:rPr>
          <w:rFonts w:asciiTheme="minorHAnsi" w:hAnsiTheme="minorHAnsi"/>
          <w:szCs w:val="24"/>
          <w:lang w:val="es-ES_tradnl"/>
        </w:rPr>
      </w:pPr>
    </w:p>
    <w:p w14:paraId="3C25525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En el incanato había, no obstante, la propiedad privada, según Guamán Poma -reseñado por Basadre-, pero estaba reservada para la clase alta.</w:t>
      </w:r>
    </w:p>
    <w:p w14:paraId="7ED3E6A8" w14:textId="77777777" w:rsidR="0082775B" w:rsidRPr="000D3432" w:rsidRDefault="0082775B" w:rsidP="00A95498">
      <w:pPr>
        <w:jc w:val="both"/>
        <w:rPr>
          <w:rFonts w:asciiTheme="minorHAnsi" w:hAnsiTheme="minorHAnsi"/>
          <w:szCs w:val="24"/>
          <w:lang w:val="es-ES_tradnl"/>
        </w:rPr>
      </w:pPr>
    </w:p>
    <w:p w14:paraId="2244B73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Cuando de propiedad se habla en el Incanato, se alude más a las tierras para sembrío, para producirlas y trabajarlas, y estas tierras sólo podían ser dadas por el Inca, por que éste era el Estado. La propiedad era, entonces, lograda por “merced especial del inca”, ese era el único título, porque después no había forma de obtener la propiedad.</w:t>
      </w:r>
    </w:p>
    <w:p w14:paraId="41348587" w14:textId="77777777" w:rsidR="0082775B" w:rsidRPr="000D3432" w:rsidRDefault="0082775B" w:rsidP="00A95498">
      <w:pPr>
        <w:jc w:val="both"/>
        <w:rPr>
          <w:rFonts w:asciiTheme="minorHAnsi" w:hAnsiTheme="minorHAnsi"/>
          <w:szCs w:val="24"/>
          <w:lang w:val="es-ES_tradnl"/>
        </w:rPr>
      </w:pPr>
    </w:p>
    <w:p w14:paraId="16F364C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La propiedad en el incanato podemos explicarla y clasificarla según el esquema de Basadre:</w:t>
      </w:r>
    </w:p>
    <w:p w14:paraId="126D42B7"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lastRenderedPageBreak/>
        <w:t>“Procurando ubicar a los favorecidos con la propiedad inmueble dentro del marco social, se puede decir que ellos eran:</w:t>
      </w:r>
    </w:p>
    <w:p w14:paraId="04A530F7"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t>a) Los curacas y nobles imperiales.</w:t>
      </w:r>
    </w:p>
    <w:p w14:paraId="505415F9"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t>b) Los mitimaes</w:t>
      </w:r>
    </w:p>
    <w:p w14:paraId="44DBCBAC"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t>c) Los yanacunas</w:t>
      </w:r>
    </w:p>
    <w:p w14:paraId="3F2153A3"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t xml:space="preserve">d) Los expertos en ciertos oficios </w:t>
      </w:r>
    </w:p>
    <w:p w14:paraId="7C9258FF"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t>e) Los tributarios comunes.</w:t>
      </w:r>
    </w:p>
    <w:p w14:paraId="156D251A" w14:textId="77777777" w:rsidR="0082775B" w:rsidRPr="000D3432" w:rsidRDefault="0082775B" w:rsidP="00A95498">
      <w:pPr>
        <w:jc w:val="both"/>
        <w:rPr>
          <w:rFonts w:asciiTheme="minorHAnsi" w:hAnsiTheme="minorHAnsi"/>
          <w:szCs w:val="24"/>
          <w:lang w:val="es-ES_tradnl"/>
        </w:rPr>
      </w:pPr>
    </w:p>
    <w:p w14:paraId="173510A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Por otro lado, los privilegiados para tener propiedad eran los mitimaes, que  eran “pobladores transplantados de una región a otra, sea para colonizarla, sea para evitar sediciones.”</w:t>
      </w:r>
      <w:r w:rsidRPr="000D3432">
        <w:rPr>
          <w:rStyle w:val="Refdenotaalpie"/>
          <w:rFonts w:asciiTheme="minorHAnsi" w:hAnsiTheme="minorHAnsi"/>
          <w:sz w:val="24"/>
          <w:szCs w:val="24"/>
          <w:lang w:val="es-ES_tradnl"/>
        </w:rPr>
        <w:footnoteReference w:id="731"/>
      </w:r>
    </w:p>
    <w:p w14:paraId="69CD28C4" w14:textId="77777777" w:rsidR="0082775B" w:rsidRPr="000D3432" w:rsidRDefault="0082775B" w:rsidP="00A95498">
      <w:pPr>
        <w:jc w:val="both"/>
        <w:rPr>
          <w:rFonts w:asciiTheme="minorHAnsi" w:hAnsiTheme="minorHAnsi"/>
          <w:szCs w:val="24"/>
          <w:lang w:val="es-ES_tradnl"/>
        </w:rPr>
      </w:pPr>
    </w:p>
    <w:p w14:paraId="7EA1CD5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 los mitimaes colonizadores de desiertos y despoblados se les repartía los campos, pero además les daban ganado, etc.</w:t>
      </w:r>
    </w:p>
    <w:p w14:paraId="204EFF76" w14:textId="77777777" w:rsidR="0082775B" w:rsidRPr="000D3432" w:rsidRDefault="0082775B" w:rsidP="00A95498">
      <w:pPr>
        <w:jc w:val="both"/>
        <w:rPr>
          <w:rFonts w:asciiTheme="minorHAnsi" w:hAnsiTheme="minorHAnsi"/>
          <w:szCs w:val="24"/>
          <w:lang w:val="es-ES_tradnl"/>
        </w:rPr>
      </w:pPr>
    </w:p>
    <w:p w14:paraId="11AB13B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En resumen, quien daba la propiedad era el Inca, por diversos motivos. Parece que sólo los nobles obtenían la propiedad.</w:t>
      </w:r>
    </w:p>
    <w:p w14:paraId="6B20B9CF" w14:textId="77777777" w:rsidR="0082775B" w:rsidRPr="000D3432" w:rsidRDefault="0082775B" w:rsidP="00A95498">
      <w:pPr>
        <w:jc w:val="both"/>
        <w:rPr>
          <w:rFonts w:asciiTheme="minorHAnsi" w:hAnsiTheme="minorHAnsi"/>
          <w:szCs w:val="24"/>
          <w:lang w:val="es-ES_tradnl"/>
        </w:rPr>
      </w:pPr>
    </w:p>
    <w:p w14:paraId="618521F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En la conquista, los conquistadores vinieron en nombre de la Corona de Castilla y en nombre del Papado, así que una forma de obtener la propiedad era a través de la metrópoli. Colonizadores que vendrían a imponerse como dueños y señores de las nuevas tierras. La pretensión fue grande porque incluso se decían dueños de este mundo.</w:t>
      </w:r>
    </w:p>
    <w:p w14:paraId="4B753D53" w14:textId="77777777" w:rsidR="0082775B" w:rsidRPr="000D3432" w:rsidRDefault="0082775B" w:rsidP="00A95498">
      <w:pPr>
        <w:jc w:val="both"/>
        <w:rPr>
          <w:rFonts w:asciiTheme="minorHAnsi" w:hAnsiTheme="minorHAnsi"/>
          <w:szCs w:val="24"/>
          <w:lang w:val="es-ES_tradnl"/>
        </w:rPr>
      </w:pPr>
    </w:p>
    <w:p w14:paraId="6BBE7A4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Actualmente la propiedad está legislada en la Constitución, en el Código Civil, y demás leyes respectivas.</w:t>
      </w:r>
    </w:p>
    <w:p w14:paraId="05651F68" w14:textId="77777777" w:rsidR="0082775B" w:rsidRPr="000D3432" w:rsidRDefault="0082775B" w:rsidP="00A95498">
      <w:pPr>
        <w:jc w:val="both"/>
        <w:rPr>
          <w:rFonts w:asciiTheme="minorHAnsi" w:hAnsiTheme="minorHAnsi"/>
          <w:b/>
          <w:szCs w:val="24"/>
          <w:lang w:val="es-ES_tradnl"/>
        </w:rPr>
      </w:pPr>
    </w:p>
    <w:p w14:paraId="13727BC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LEGISLACIÓN NACIONAL</w:t>
      </w:r>
    </w:p>
    <w:p w14:paraId="2A032E1A" w14:textId="77777777" w:rsidR="0082775B" w:rsidRPr="000D3432" w:rsidRDefault="0082775B" w:rsidP="00A95498">
      <w:pPr>
        <w:jc w:val="both"/>
        <w:rPr>
          <w:rFonts w:asciiTheme="minorHAnsi" w:hAnsiTheme="minorHAnsi"/>
          <w:szCs w:val="24"/>
          <w:lang w:val="es-ES_tradnl"/>
        </w:rPr>
      </w:pPr>
    </w:p>
    <w:p w14:paraId="570C66BF"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DECRETOS LEYES</w:t>
      </w:r>
    </w:p>
    <w:p w14:paraId="11CE9C49" w14:textId="77777777" w:rsidR="0082775B" w:rsidRPr="000D3432" w:rsidRDefault="0082775B" w:rsidP="00A95498">
      <w:pPr>
        <w:jc w:val="both"/>
        <w:rPr>
          <w:rFonts w:asciiTheme="minorHAnsi" w:hAnsiTheme="minorHAnsi"/>
          <w:szCs w:val="24"/>
          <w:lang w:val="es-ES_tradnl"/>
        </w:rPr>
      </w:pPr>
    </w:p>
    <w:p w14:paraId="3E4E496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Disponiendo que es de propiedad del Estado todos los terrenos eriazos del territorio nacional, incluyéndose los de Municipalidades, Sociedades de Beneficencia Pública y Corporaciones Estatales</w:t>
      </w:r>
    </w:p>
    <w:p w14:paraId="5C62C6B0" w14:textId="77777777" w:rsidR="0082775B" w:rsidRPr="000D3432" w:rsidRDefault="0082775B" w:rsidP="00A95498">
      <w:pPr>
        <w:jc w:val="both"/>
        <w:rPr>
          <w:rFonts w:asciiTheme="minorHAnsi" w:hAnsiTheme="minorHAnsi"/>
          <w:szCs w:val="24"/>
          <w:lang w:val="es-ES_tradnl"/>
        </w:rPr>
      </w:pPr>
    </w:p>
    <w:p w14:paraId="546D38B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DECRETO LEY Nº 14197</w:t>
      </w:r>
    </w:p>
    <w:p w14:paraId="7D2571BC" w14:textId="77777777" w:rsidR="0082775B" w:rsidRPr="000D3432" w:rsidRDefault="0082775B" w:rsidP="00A95498">
      <w:pPr>
        <w:jc w:val="both"/>
        <w:rPr>
          <w:rFonts w:asciiTheme="minorHAnsi" w:hAnsiTheme="minorHAnsi"/>
          <w:szCs w:val="24"/>
          <w:lang w:val="es-ES_tradnl"/>
        </w:rPr>
      </w:pPr>
    </w:p>
    <w:p w14:paraId="20892E6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CONCORDANCIA: </w:t>
      </w:r>
      <w:r w:rsidRPr="000D3432">
        <w:rPr>
          <w:rFonts w:asciiTheme="minorHAnsi" w:hAnsiTheme="minorHAnsi"/>
          <w:szCs w:val="24"/>
          <w:lang w:val="es-ES_tradnl"/>
        </w:rPr>
        <w:tab/>
        <w:t>D.S. Nº 033-85-VC</w:t>
      </w:r>
    </w:p>
    <w:p w14:paraId="49C64863" w14:textId="77777777" w:rsidR="0082775B" w:rsidRPr="000D3432" w:rsidRDefault="0082775B" w:rsidP="00A95498">
      <w:pPr>
        <w:jc w:val="both"/>
        <w:rPr>
          <w:rFonts w:asciiTheme="minorHAnsi" w:hAnsiTheme="minorHAnsi"/>
          <w:szCs w:val="24"/>
          <w:lang w:val="es-ES_tradnl"/>
        </w:rPr>
      </w:pPr>
    </w:p>
    <w:p w14:paraId="56D3DA6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COMISIÓN DE FORMALIZACIÓN DE LA PROPIEDAD INFORMAL</w:t>
      </w:r>
    </w:p>
    <w:p w14:paraId="186F66FC" w14:textId="77777777" w:rsidR="0082775B" w:rsidRPr="000D3432" w:rsidRDefault="0082775B" w:rsidP="00A95498">
      <w:pPr>
        <w:jc w:val="both"/>
        <w:rPr>
          <w:rFonts w:asciiTheme="minorHAnsi" w:hAnsiTheme="minorHAnsi"/>
          <w:szCs w:val="24"/>
          <w:lang w:val="es-ES_tradnl"/>
        </w:rPr>
      </w:pPr>
    </w:p>
    <w:p w14:paraId="04CE8DC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el Estatuto de la Comisión de Formalización de la</w:t>
      </w:r>
    </w:p>
    <w:p w14:paraId="032259B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Propiedad Informal- COFOPRI</w:t>
      </w:r>
    </w:p>
    <w:p w14:paraId="57D8D1C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014-98-MTC</w:t>
      </w:r>
    </w:p>
    <w:p w14:paraId="33F52C72" w14:textId="77777777" w:rsidR="0082775B" w:rsidRPr="000D3432" w:rsidRDefault="0082775B" w:rsidP="00A95498">
      <w:pPr>
        <w:jc w:val="both"/>
        <w:rPr>
          <w:rFonts w:asciiTheme="minorHAnsi" w:hAnsiTheme="minorHAnsi"/>
          <w:szCs w:val="24"/>
          <w:lang w:val="es-ES_tradnl"/>
        </w:rPr>
      </w:pPr>
    </w:p>
    <w:p w14:paraId="5FB6D7C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el Reglamento de Organización y Funciones de la</w:t>
      </w:r>
    </w:p>
    <w:p w14:paraId="04808FE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b/>
      </w:r>
      <w:r w:rsidRPr="000D3432">
        <w:rPr>
          <w:rFonts w:asciiTheme="minorHAnsi" w:hAnsiTheme="minorHAnsi"/>
          <w:szCs w:val="24"/>
          <w:lang w:val="es-ES_tradnl"/>
        </w:rPr>
        <w:tab/>
        <w:t>COFOPRI RESOLUCION Nº 261-97-MTC-15.01</w:t>
      </w:r>
    </w:p>
    <w:p w14:paraId="531DB456" w14:textId="77777777" w:rsidR="0082775B" w:rsidRPr="000D3432" w:rsidRDefault="0082775B" w:rsidP="00A95498">
      <w:pPr>
        <w:jc w:val="both"/>
        <w:rPr>
          <w:rFonts w:asciiTheme="minorHAnsi" w:hAnsiTheme="minorHAnsi"/>
          <w:szCs w:val="24"/>
          <w:lang w:val="es-ES_tradnl"/>
        </w:rPr>
      </w:pPr>
    </w:p>
    <w:p w14:paraId="359C272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el  Texto Único de Procedimientos Administrativos de</w:t>
      </w:r>
    </w:p>
    <w:p w14:paraId="4296C9D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la Comisión de Formalización de la Propiedad Informal - COFOPRI</w:t>
      </w:r>
    </w:p>
    <w:p w14:paraId="2DC9888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027-2001-JUS</w:t>
      </w:r>
    </w:p>
    <w:p w14:paraId="2786A970" w14:textId="77777777" w:rsidR="0082775B" w:rsidRPr="000D3432" w:rsidRDefault="0082775B" w:rsidP="00A95498">
      <w:pPr>
        <w:jc w:val="both"/>
        <w:rPr>
          <w:rFonts w:asciiTheme="minorHAnsi" w:hAnsiTheme="minorHAnsi"/>
          <w:szCs w:val="24"/>
          <w:lang w:val="es-ES_tradnl"/>
        </w:rPr>
      </w:pPr>
    </w:p>
    <w:p w14:paraId="741EE8BA"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Reglamento de Normas que regulan la organización y funciones de los órganos de COFOPRI responsables del conocimiento y solución de medios impugnatorios</w:t>
      </w:r>
    </w:p>
    <w:p w14:paraId="60D32CD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039-2000-MTC</w:t>
      </w:r>
    </w:p>
    <w:p w14:paraId="206D1FE2" w14:textId="77777777" w:rsidR="0082775B" w:rsidRPr="000D3432" w:rsidRDefault="0082775B" w:rsidP="00A95498">
      <w:pPr>
        <w:jc w:val="both"/>
        <w:rPr>
          <w:rFonts w:asciiTheme="minorHAnsi" w:hAnsiTheme="minorHAnsi"/>
          <w:szCs w:val="24"/>
          <w:lang w:val="es-ES_tradnl"/>
        </w:rPr>
      </w:pPr>
    </w:p>
    <w:p w14:paraId="156CF5C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Modifican  Texto Único de Procedimientos Administrativos de</w:t>
      </w:r>
    </w:p>
    <w:p w14:paraId="101D6A2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 xml:space="preserve">la COFOPRI </w:t>
      </w:r>
      <w:r w:rsidRPr="000D3432">
        <w:rPr>
          <w:rFonts w:asciiTheme="minorHAnsi" w:hAnsiTheme="minorHAnsi"/>
          <w:szCs w:val="24"/>
          <w:lang w:val="es-ES_tradnl"/>
        </w:rPr>
        <w:tab/>
        <w:t>DECRETO SUPREMO Nº 006-2000-JUS</w:t>
      </w:r>
    </w:p>
    <w:p w14:paraId="537DF6A4" w14:textId="77777777" w:rsidR="0082775B" w:rsidRPr="000D3432" w:rsidRDefault="0082775B" w:rsidP="00A95498">
      <w:pPr>
        <w:jc w:val="both"/>
        <w:rPr>
          <w:rFonts w:asciiTheme="minorHAnsi" w:hAnsiTheme="minorHAnsi"/>
          <w:szCs w:val="24"/>
          <w:lang w:val="es-ES_tradnl"/>
        </w:rPr>
      </w:pPr>
    </w:p>
    <w:p w14:paraId="226BCC52"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el Reglamento de la Ley que amplía los alcances del Art. 6 del Texto Único Ordenado de la Ley de Promoción del Acceso a la Propiedad Formal</w:t>
      </w:r>
    </w:p>
    <w:p w14:paraId="1C8A17F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008-2000-JUS</w:t>
      </w:r>
    </w:p>
    <w:p w14:paraId="78C73992" w14:textId="77777777" w:rsidR="0082775B" w:rsidRPr="000D3432" w:rsidRDefault="0082775B" w:rsidP="00A95498">
      <w:pPr>
        <w:jc w:val="both"/>
        <w:rPr>
          <w:rFonts w:asciiTheme="minorHAnsi" w:hAnsiTheme="minorHAnsi"/>
          <w:szCs w:val="24"/>
          <w:lang w:val="es-ES_tradnl"/>
        </w:rPr>
      </w:pPr>
    </w:p>
    <w:p w14:paraId="0DF88F20"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Crean las Comisiones Provinciales de Formalización de la Propiedad Informal</w:t>
      </w:r>
    </w:p>
    <w:p w14:paraId="1397867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005-2001-JUS</w:t>
      </w:r>
    </w:p>
    <w:p w14:paraId="370EFDF1" w14:textId="77777777" w:rsidR="0082775B" w:rsidRPr="000D3432" w:rsidRDefault="0082775B" w:rsidP="00A95498">
      <w:pPr>
        <w:jc w:val="both"/>
        <w:rPr>
          <w:rFonts w:asciiTheme="minorHAnsi" w:hAnsiTheme="minorHAnsi"/>
          <w:szCs w:val="24"/>
          <w:lang w:val="es-ES_tradnl"/>
        </w:rPr>
      </w:pPr>
    </w:p>
    <w:p w14:paraId="5530D78C"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NORMAS COMPLEMENTARIAS</w:t>
      </w:r>
    </w:p>
    <w:p w14:paraId="4DC9FD43" w14:textId="77777777" w:rsidR="0082775B" w:rsidRPr="000D3432" w:rsidRDefault="0082775B" w:rsidP="00A95498">
      <w:pPr>
        <w:jc w:val="both"/>
        <w:rPr>
          <w:rFonts w:asciiTheme="minorHAnsi" w:hAnsiTheme="minorHAnsi"/>
          <w:szCs w:val="24"/>
          <w:lang w:val="es-ES_tradnl"/>
        </w:rPr>
      </w:pPr>
    </w:p>
    <w:p w14:paraId="5905C04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Ley complementaria de Promoción del Acceso a la Propiedad Formal</w:t>
      </w:r>
    </w:p>
    <w:p w14:paraId="4CAEC5A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LEY Nº 27046</w:t>
      </w:r>
    </w:p>
    <w:p w14:paraId="67E076CB" w14:textId="77777777" w:rsidR="0082775B" w:rsidRPr="000D3432" w:rsidRDefault="0082775B" w:rsidP="00A95498">
      <w:pPr>
        <w:jc w:val="both"/>
        <w:rPr>
          <w:rFonts w:asciiTheme="minorHAnsi" w:hAnsiTheme="minorHAnsi"/>
          <w:szCs w:val="24"/>
          <w:lang w:val="es-ES_tradnl"/>
        </w:rPr>
      </w:pPr>
    </w:p>
    <w:p w14:paraId="293A4AA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Precisan normas reglamentarias aplicables para el ejercicio de las</w:t>
      </w:r>
    </w:p>
    <w:p w14:paraId="3C4D9FC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competencias, funciones y atribuciones de COFOPRI establecidas en</w:t>
      </w:r>
    </w:p>
    <w:p w14:paraId="08F7BCB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la Ley Nº 27046</w:t>
      </w:r>
    </w:p>
    <w:p w14:paraId="230E572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005-99-MTC</w:t>
      </w:r>
    </w:p>
    <w:p w14:paraId="78330567" w14:textId="77777777" w:rsidR="0082775B" w:rsidRPr="000D3432" w:rsidRDefault="0082775B" w:rsidP="00A95498">
      <w:pPr>
        <w:jc w:val="both"/>
        <w:rPr>
          <w:rFonts w:asciiTheme="minorHAnsi" w:hAnsiTheme="minorHAnsi"/>
          <w:szCs w:val="24"/>
          <w:lang w:val="es-ES_tradnl"/>
        </w:rPr>
      </w:pPr>
    </w:p>
    <w:p w14:paraId="5863392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Establecen acciones que ejecutará la COFOPRI para aplicar</w:t>
      </w:r>
    </w:p>
    <w:p w14:paraId="7193727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progresivamente programa de formalización de la propiedad</w:t>
      </w:r>
    </w:p>
    <w:p w14:paraId="409A2F8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 289-96-MTC-15.01</w:t>
      </w:r>
    </w:p>
    <w:p w14:paraId="761DCC77" w14:textId="77777777" w:rsidR="0082775B" w:rsidRPr="000D3432" w:rsidRDefault="0082775B" w:rsidP="00A95498">
      <w:pPr>
        <w:jc w:val="both"/>
        <w:rPr>
          <w:rFonts w:asciiTheme="minorHAnsi" w:hAnsiTheme="minorHAnsi"/>
          <w:szCs w:val="24"/>
          <w:lang w:val="es-ES_tradnl"/>
        </w:rPr>
      </w:pPr>
    </w:p>
    <w:p w14:paraId="7039F88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que establece acciones que ejecutará COFOPRI</w:t>
      </w:r>
    </w:p>
    <w:p w14:paraId="7B0114D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para aplicar programa de formalización de la propiedad y asumir las</w:t>
      </w:r>
    </w:p>
    <w:p w14:paraId="738A1B7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competencias correspondientes</w:t>
      </w:r>
    </w:p>
    <w:p w14:paraId="144C21C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 372-96-MTC-15.01</w:t>
      </w:r>
    </w:p>
    <w:p w14:paraId="47B7E99D" w14:textId="77777777" w:rsidR="0082775B" w:rsidRPr="000D3432" w:rsidRDefault="0082775B" w:rsidP="00A95498">
      <w:pPr>
        <w:jc w:val="both"/>
        <w:rPr>
          <w:rFonts w:asciiTheme="minorHAnsi" w:hAnsiTheme="minorHAnsi"/>
          <w:szCs w:val="24"/>
          <w:lang w:val="es-ES_tradnl"/>
        </w:rPr>
      </w:pPr>
    </w:p>
    <w:p w14:paraId="758A199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Reglamento Interno sobre Régimen de fedatarios de COFOPRI</w:t>
      </w:r>
    </w:p>
    <w:p w14:paraId="4E04320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b/>
      </w:r>
      <w:r w:rsidRPr="000D3432">
        <w:rPr>
          <w:rFonts w:asciiTheme="minorHAnsi" w:hAnsiTheme="minorHAnsi"/>
          <w:szCs w:val="24"/>
          <w:lang w:val="es-ES_tradnl"/>
        </w:rPr>
        <w:tab/>
        <w:t>RESOLUCION MINISTERIAL Nº 486-2002-JUS</w:t>
      </w:r>
    </w:p>
    <w:p w14:paraId="12005312" w14:textId="77777777" w:rsidR="0082775B" w:rsidRPr="000D3432" w:rsidRDefault="0082775B" w:rsidP="00A95498">
      <w:pPr>
        <w:jc w:val="both"/>
        <w:rPr>
          <w:rFonts w:asciiTheme="minorHAnsi" w:hAnsiTheme="minorHAnsi"/>
          <w:szCs w:val="24"/>
          <w:lang w:val="es-ES_tradnl"/>
        </w:rPr>
      </w:pPr>
    </w:p>
    <w:p w14:paraId="317F9E2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referida al procedimiento para la formalización de</w:t>
      </w:r>
    </w:p>
    <w:p w14:paraId="07E3E68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títulos de propiedad correspondientes a asentamientos humanos</w:t>
      </w:r>
    </w:p>
    <w:p w14:paraId="4D0EF1F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 </w:t>
      </w:r>
      <w:r w:rsidRPr="000D3432">
        <w:rPr>
          <w:rFonts w:asciiTheme="minorHAnsi" w:hAnsiTheme="minorHAnsi"/>
          <w:szCs w:val="24"/>
          <w:lang w:val="es-ES_tradnl"/>
        </w:rPr>
        <w:tab/>
      </w:r>
      <w:r w:rsidRPr="000D3432">
        <w:rPr>
          <w:rFonts w:asciiTheme="minorHAnsi" w:hAnsiTheme="minorHAnsi"/>
          <w:szCs w:val="24"/>
          <w:lang w:val="es-ES_tradnl"/>
        </w:rPr>
        <w:tab/>
        <w:t>RESOLUCION MINISTERIAL N° 104-97-MTC/15.01</w:t>
      </w:r>
    </w:p>
    <w:p w14:paraId="5165DB1C" w14:textId="77777777" w:rsidR="0082775B" w:rsidRPr="000D3432" w:rsidRDefault="0082775B" w:rsidP="00A95498">
      <w:pPr>
        <w:jc w:val="both"/>
        <w:rPr>
          <w:rFonts w:asciiTheme="minorHAnsi" w:hAnsiTheme="minorHAnsi"/>
          <w:szCs w:val="24"/>
          <w:lang w:val="es-ES_tradnl"/>
        </w:rPr>
      </w:pPr>
    </w:p>
    <w:p w14:paraId="4B93B27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normas sobre adquisición de bienes y prestación de servicios</w:t>
      </w:r>
    </w:p>
    <w:p w14:paraId="7C324B4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no personales de la COFOPRI</w:t>
      </w:r>
    </w:p>
    <w:p w14:paraId="307EF10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 165-97-MTC-15.01</w:t>
      </w:r>
    </w:p>
    <w:p w14:paraId="10F0AA47" w14:textId="77777777" w:rsidR="0082775B" w:rsidRPr="000D3432" w:rsidRDefault="0082775B" w:rsidP="00A95498">
      <w:pPr>
        <w:jc w:val="both"/>
        <w:rPr>
          <w:rFonts w:asciiTheme="minorHAnsi" w:hAnsiTheme="minorHAnsi"/>
          <w:szCs w:val="24"/>
          <w:lang w:val="es-ES_tradnl"/>
        </w:rPr>
      </w:pPr>
    </w:p>
    <w:p w14:paraId="7BC1236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Texto Único Ordenado de la Directiva Nº 005-97- COFOPRI</w:t>
      </w:r>
    </w:p>
    <w:p w14:paraId="3B774C4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"Normas sobre adquisición de bienes y prestación de servicios no</w:t>
      </w:r>
    </w:p>
    <w:p w14:paraId="6AB62C5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personales"</w:t>
      </w:r>
    </w:p>
    <w:p w14:paraId="69D0CD3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501-98-MTC-15.01</w:t>
      </w:r>
    </w:p>
    <w:p w14:paraId="0A5CAFBD" w14:textId="77777777" w:rsidR="0082775B" w:rsidRPr="000D3432" w:rsidRDefault="0082775B" w:rsidP="00A95498">
      <w:pPr>
        <w:jc w:val="both"/>
        <w:rPr>
          <w:rFonts w:asciiTheme="minorHAnsi" w:hAnsiTheme="minorHAnsi"/>
          <w:szCs w:val="24"/>
          <w:lang w:val="es-ES_tradnl"/>
        </w:rPr>
      </w:pPr>
    </w:p>
    <w:p w14:paraId="20CE9E7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Regulan la transferencia de propiedad de lotes comerciales y de</w:t>
      </w:r>
    </w:p>
    <w:p w14:paraId="31A1BC3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lotes ocupados por mercados públicos ubicados en AA.HH.</w:t>
      </w:r>
    </w:p>
    <w:p w14:paraId="24BDFE9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formalizados por la COFOPRI</w:t>
      </w:r>
    </w:p>
    <w:p w14:paraId="27DCCFA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019-98-PCM</w:t>
      </w:r>
    </w:p>
    <w:p w14:paraId="5D182478" w14:textId="77777777" w:rsidR="0082775B" w:rsidRPr="000D3432" w:rsidRDefault="0082775B" w:rsidP="00A95498">
      <w:pPr>
        <w:jc w:val="both"/>
        <w:rPr>
          <w:rFonts w:asciiTheme="minorHAnsi" w:hAnsiTheme="minorHAnsi"/>
          <w:szCs w:val="24"/>
          <w:lang w:val="es-ES_tradnl"/>
        </w:rPr>
      </w:pPr>
    </w:p>
    <w:p w14:paraId="023BFCC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Crean la Gerencia de Proyectos de Derechos de la Propiedad Urbana</w:t>
      </w:r>
    </w:p>
    <w:p w14:paraId="525CB7A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262-98-MTC/15.01</w:t>
      </w:r>
    </w:p>
    <w:p w14:paraId="49FD7FD2" w14:textId="77777777" w:rsidR="0082775B" w:rsidRPr="000D3432" w:rsidRDefault="0082775B" w:rsidP="00A95498">
      <w:pPr>
        <w:jc w:val="both"/>
        <w:rPr>
          <w:rFonts w:asciiTheme="minorHAnsi" w:hAnsiTheme="minorHAnsi"/>
          <w:szCs w:val="24"/>
          <w:lang w:val="es-ES_tradnl"/>
        </w:rPr>
      </w:pPr>
    </w:p>
    <w:p w14:paraId="1D1D6E1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que regula mecanismos de prórroga y/o ampliación</w:t>
      </w:r>
    </w:p>
    <w:p w14:paraId="0D1510D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 objeto de contratos de servicios suscritos por COFOPRI durante 1998</w:t>
      </w:r>
    </w:p>
    <w:p w14:paraId="7C32FF0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525-98-MTC-15.01</w:t>
      </w:r>
    </w:p>
    <w:p w14:paraId="4B6FDA2F" w14:textId="77777777" w:rsidR="0082775B" w:rsidRPr="000D3432" w:rsidRDefault="0082775B" w:rsidP="00A95498">
      <w:pPr>
        <w:jc w:val="both"/>
        <w:rPr>
          <w:rFonts w:asciiTheme="minorHAnsi" w:hAnsiTheme="minorHAnsi"/>
          <w:szCs w:val="24"/>
          <w:lang w:val="es-ES_tradnl"/>
        </w:rPr>
      </w:pPr>
    </w:p>
    <w:p w14:paraId="1D12211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que identifica los supuestos de adjudicación a título</w:t>
      </w:r>
    </w:p>
    <w:p w14:paraId="5B8CCF1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oneroso de lotes de terreno ubicados en AA.HH. formalizados</w:t>
      </w:r>
    </w:p>
    <w:p w14:paraId="43F18DB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104-99-MTC-15.01</w:t>
      </w:r>
    </w:p>
    <w:p w14:paraId="24D719C0" w14:textId="77777777" w:rsidR="0082775B" w:rsidRPr="000D3432" w:rsidRDefault="0082775B" w:rsidP="00A95498">
      <w:pPr>
        <w:jc w:val="both"/>
        <w:rPr>
          <w:rFonts w:asciiTheme="minorHAnsi" w:hAnsiTheme="minorHAnsi"/>
          <w:szCs w:val="24"/>
          <w:lang w:val="es-ES_tradnl"/>
        </w:rPr>
      </w:pPr>
    </w:p>
    <w:p w14:paraId="6B0393E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que establece incorporaciones a la Directiva</w:t>
      </w:r>
    </w:p>
    <w:p w14:paraId="034E8EE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Nº 005-97-COFOPRI "Normas sobre Adquisición de Bienes y Prestación</w:t>
      </w:r>
    </w:p>
    <w:p w14:paraId="77CD7A4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 Servicios No Personales"</w:t>
      </w:r>
    </w:p>
    <w:p w14:paraId="20D7E1E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137-99-MTC-15.01</w:t>
      </w:r>
    </w:p>
    <w:p w14:paraId="15019CF5" w14:textId="77777777" w:rsidR="0082775B" w:rsidRPr="000D3432" w:rsidRDefault="0082775B" w:rsidP="00A95498">
      <w:pPr>
        <w:jc w:val="both"/>
        <w:rPr>
          <w:rFonts w:asciiTheme="minorHAnsi" w:hAnsiTheme="minorHAnsi"/>
          <w:szCs w:val="24"/>
          <w:lang w:val="es-ES_tradnl"/>
        </w:rPr>
      </w:pPr>
    </w:p>
    <w:p w14:paraId="79EF0E2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Precisan que facultad de COFOPRI sobre ejecución de procedimiento de</w:t>
      </w:r>
    </w:p>
    <w:p w14:paraId="62FF2CB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formalización individual de la propiedad, recae únicamente en terrenos</w:t>
      </w:r>
    </w:p>
    <w:p w14:paraId="726318A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b/>
      </w:r>
      <w:r w:rsidRPr="000D3432">
        <w:rPr>
          <w:rFonts w:asciiTheme="minorHAnsi" w:hAnsiTheme="minorHAnsi"/>
          <w:szCs w:val="24"/>
          <w:lang w:val="es-ES_tradnl"/>
        </w:rPr>
        <w:tab/>
        <w:t>urbanos</w:t>
      </w:r>
    </w:p>
    <w:p w14:paraId="5EB5DD5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011-99-MTC</w:t>
      </w:r>
    </w:p>
    <w:p w14:paraId="01FA2E34" w14:textId="77777777" w:rsidR="0082775B" w:rsidRPr="000D3432" w:rsidRDefault="0082775B" w:rsidP="00A95498">
      <w:pPr>
        <w:jc w:val="both"/>
        <w:rPr>
          <w:rFonts w:asciiTheme="minorHAnsi" w:hAnsiTheme="minorHAnsi"/>
          <w:szCs w:val="24"/>
          <w:lang w:val="es-ES_tradnl"/>
        </w:rPr>
      </w:pPr>
    </w:p>
    <w:p w14:paraId="75CB263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sobre normas y procedimientos para la ejecución de</w:t>
      </w:r>
    </w:p>
    <w:p w14:paraId="0D85844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obras por contrata</w:t>
      </w:r>
    </w:p>
    <w:p w14:paraId="562FFA5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162-99-MTC-15.01</w:t>
      </w:r>
    </w:p>
    <w:p w14:paraId="09A3F36A" w14:textId="77777777" w:rsidR="0082775B" w:rsidRPr="000D3432" w:rsidRDefault="0082775B" w:rsidP="00A95498">
      <w:pPr>
        <w:jc w:val="both"/>
        <w:rPr>
          <w:rFonts w:asciiTheme="minorHAnsi" w:hAnsiTheme="minorHAnsi"/>
          <w:szCs w:val="24"/>
          <w:lang w:val="es-ES_tradnl"/>
        </w:rPr>
      </w:pPr>
    </w:p>
    <w:p w14:paraId="71BDDD2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Precisan AA.HH., centros urbanos informales, centros poblados y/o</w:t>
      </w:r>
    </w:p>
    <w:p w14:paraId="1BD940F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programas municipales de vivienda ubicados en la provincia de Ica</w:t>
      </w:r>
    </w:p>
    <w:p w14:paraId="789DEE8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sobre los cuales COFOPRI asumió competencia en 1998</w:t>
      </w:r>
    </w:p>
    <w:p w14:paraId="5DD40CE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DE GERENCIA GENERAL Nº 123-99-COFOPRI-GG</w:t>
      </w:r>
    </w:p>
    <w:p w14:paraId="2B00CB52" w14:textId="77777777" w:rsidR="0082775B" w:rsidRPr="000D3432" w:rsidRDefault="0082775B" w:rsidP="00A95498">
      <w:pPr>
        <w:jc w:val="both"/>
        <w:rPr>
          <w:rFonts w:asciiTheme="minorHAnsi" w:hAnsiTheme="minorHAnsi"/>
          <w:szCs w:val="24"/>
          <w:lang w:val="es-ES_tradnl"/>
        </w:rPr>
      </w:pPr>
    </w:p>
    <w:p w14:paraId="5884DFD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normas que regulan el mecanismo de prórroga y, de ser el</w:t>
      </w:r>
    </w:p>
    <w:p w14:paraId="7C8CB0F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caso, la ampliación del objeto de los contratos de servicios que mantiene</w:t>
      </w:r>
    </w:p>
    <w:p w14:paraId="3C6D0C5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la COFOPRI</w:t>
      </w:r>
    </w:p>
    <w:p w14:paraId="3E7ED93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174-99-MTC-15.01</w:t>
      </w:r>
    </w:p>
    <w:p w14:paraId="2360FA7D" w14:textId="77777777" w:rsidR="0082775B" w:rsidRPr="000D3432" w:rsidRDefault="0082775B" w:rsidP="00A95498">
      <w:pPr>
        <w:jc w:val="both"/>
        <w:rPr>
          <w:rFonts w:asciiTheme="minorHAnsi" w:hAnsiTheme="minorHAnsi"/>
          <w:szCs w:val="24"/>
          <w:lang w:val="es-ES_tradnl"/>
        </w:rPr>
      </w:pPr>
    </w:p>
    <w:p w14:paraId="5A76548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Reglamento de Formalización de la Propiedad a cargo de</w:t>
      </w:r>
    </w:p>
    <w:p w14:paraId="0895344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la COFOPRI</w:t>
      </w:r>
    </w:p>
    <w:p w14:paraId="5F02757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013-99-MTC</w:t>
      </w:r>
    </w:p>
    <w:p w14:paraId="7C60ED28" w14:textId="77777777" w:rsidR="0082775B" w:rsidRPr="000D3432" w:rsidRDefault="0082775B" w:rsidP="00A95498">
      <w:pPr>
        <w:jc w:val="both"/>
        <w:rPr>
          <w:rFonts w:asciiTheme="minorHAnsi" w:hAnsiTheme="minorHAnsi"/>
          <w:szCs w:val="24"/>
          <w:lang w:val="es-ES_tradnl"/>
        </w:rPr>
      </w:pPr>
    </w:p>
    <w:p w14:paraId="2D7707B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Ley de acceso al crédito para la formalización de la propiedad</w:t>
      </w:r>
    </w:p>
    <w:p w14:paraId="4A6F34B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LEY Nº 27136</w:t>
      </w:r>
    </w:p>
    <w:p w14:paraId="274656C1" w14:textId="77777777" w:rsidR="0082775B" w:rsidRPr="000D3432" w:rsidRDefault="0082775B" w:rsidP="00A95498">
      <w:pPr>
        <w:jc w:val="both"/>
        <w:rPr>
          <w:rFonts w:asciiTheme="minorHAnsi" w:hAnsiTheme="minorHAnsi"/>
          <w:szCs w:val="24"/>
          <w:lang w:val="es-ES_tradnl"/>
        </w:rPr>
      </w:pPr>
    </w:p>
    <w:p w14:paraId="507AF0C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Reglamento de la Ley de Acceso al Crédito para la</w:t>
      </w:r>
    </w:p>
    <w:p w14:paraId="17739A6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Formalización de la Propiedad</w:t>
      </w:r>
    </w:p>
    <w:p w14:paraId="48F7E77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025-99-MTC</w:t>
      </w:r>
    </w:p>
    <w:p w14:paraId="6976BB75" w14:textId="77777777" w:rsidR="0082775B" w:rsidRPr="000D3432" w:rsidRDefault="0082775B" w:rsidP="00A95498">
      <w:pPr>
        <w:jc w:val="both"/>
        <w:rPr>
          <w:rFonts w:asciiTheme="minorHAnsi" w:hAnsiTheme="minorHAnsi"/>
          <w:szCs w:val="24"/>
          <w:lang w:val="es-ES_tradnl"/>
        </w:rPr>
      </w:pPr>
    </w:p>
    <w:p w14:paraId="0B02567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Reglamento de Formalización de la Propiedad Informal en</w:t>
      </w:r>
    </w:p>
    <w:p w14:paraId="73BAE5D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Urbanizaciones Populares</w:t>
      </w:r>
    </w:p>
    <w:p w14:paraId="6410838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031-99-MTC</w:t>
      </w:r>
    </w:p>
    <w:p w14:paraId="6892E02E" w14:textId="77777777" w:rsidR="0082775B" w:rsidRPr="000D3432" w:rsidRDefault="0082775B" w:rsidP="00A95498">
      <w:pPr>
        <w:jc w:val="both"/>
        <w:rPr>
          <w:rFonts w:asciiTheme="minorHAnsi" w:hAnsiTheme="minorHAnsi"/>
          <w:szCs w:val="24"/>
          <w:lang w:val="es-ES_tradnl"/>
        </w:rPr>
      </w:pPr>
    </w:p>
    <w:p w14:paraId="65AF348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Reglamento de Procedimientos Administrativos de</w:t>
      </w:r>
    </w:p>
    <w:p w14:paraId="0D7E130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Declaración de Propiedad mediante Prescripción Adquisitiva</w:t>
      </w:r>
    </w:p>
    <w:p w14:paraId="38ABD48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 Dominio y la Regularización del Tracto Sucesivo, así como</w:t>
      </w:r>
    </w:p>
    <w:p w14:paraId="3305C7C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 Declaración de Reversión sobre Predios Matrices o Lotes</w:t>
      </w:r>
    </w:p>
    <w:p w14:paraId="7FCD79E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adjudicados por entidades del Estado</w:t>
      </w:r>
    </w:p>
    <w:p w14:paraId="08CB5D2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032-99-MTC</w:t>
      </w:r>
    </w:p>
    <w:p w14:paraId="7CC08158" w14:textId="77777777" w:rsidR="0082775B" w:rsidRPr="000D3432" w:rsidRDefault="0082775B" w:rsidP="00A95498">
      <w:pPr>
        <w:jc w:val="both"/>
        <w:rPr>
          <w:rFonts w:asciiTheme="minorHAnsi" w:hAnsiTheme="minorHAnsi"/>
          <w:szCs w:val="24"/>
          <w:lang w:val="es-ES_tradnl"/>
        </w:rPr>
      </w:pPr>
    </w:p>
    <w:p w14:paraId="002EFC5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Formatos de Solicitudes de incorporación a Procedimientos</w:t>
      </w:r>
    </w:p>
    <w:p w14:paraId="25925FE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b/>
      </w:r>
      <w:r w:rsidRPr="000D3432">
        <w:rPr>
          <w:rFonts w:asciiTheme="minorHAnsi" w:hAnsiTheme="minorHAnsi"/>
          <w:szCs w:val="24"/>
          <w:lang w:val="es-ES_tradnl"/>
        </w:rPr>
        <w:tab/>
        <w:t>de Declaración de Propiedad y al Programa de Formalización de la</w:t>
      </w:r>
    </w:p>
    <w:p w14:paraId="7B760EC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Propiedad en Urbanizaciones Populares</w:t>
      </w:r>
    </w:p>
    <w:p w14:paraId="7B21420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DE GERENCIA DE PLANEAMIENTO Y OPERACIONES</w:t>
      </w:r>
    </w:p>
    <w:p w14:paraId="45EE013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Nº 098-99-COFOPRI-GPO</w:t>
      </w:r>
    </w:p>
    <w:p w14:paraId="56B2A27B" w14:textId="77777777" w:rsidR="0082775B" w:rsidRPr="000D3432" w:rsidRDefault="0082775B" w:rsidP="00A95498">
      <w:pPr>
        <w:jc w:val="both"/>
        <w:rPr>
          <w:rFonts w:asciiTheme="minorHAnsi" w:hAnsiTheme="minorHAnsi"/>
          <w:szCs w:val="24"/>
          <w:lang w:val="es-ES_tradnl"/>
        </w:rPr>
      </w:pPr>
    </w:p>
    <w:p w14:paraId="1E10254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Establecen servicio de Certificación de Inscripción de Transferencias</w:t>
      </w:r>
    </w:p>
    <w:p w14:paraId="6C739B9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 inmuebles en Urbanizaciones Populares formalizados por COFOPRI</w:t>
      </w:r>
    </w:p>
    <w:p w14:paraId="2A23E40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JEFATURAL Nº 156-99-RPU-JEF</w:t>
      </w:r>
    </w:p>
    <w:p w14:paraId="3DF02FDF" w14:textId="77777777" w:rsidR="0082775B" w:rsidRPr="000D3432" w:rsidRDefault="0082775B" w:rsidP="00A95498">
      <w:pPr>
        <w:jc w:val="both"/>
        <w:rPr>
          <w:rFonts w:asciiTheme="minorHAnsi" w:hAnsiTheme="minorHAnsi"/>
          <w:szCs w:val="24"/>
          <w:lang w:val="es-ES_tradnl"/>
        </w:rPr>
      </w:pPr>
    </w:p>
    <w:p w14:paraId="4269487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sobre adjudicación de lotes de vivienda, en casos</w:t>
      </w:r>
    </w:p>
    <w:p w14:paraId="5C0ED26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que poseedor sea propietario de otro lote en la misma provincia</w:t>
      </w:r>
    </w:p>
    <w:p w14:paraId="3FA9AD7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465-99-MTC-15.01</w:t>
      </w:r>
    </w:p>
    <w:p w14:paraId="6B70094A" w14:textId="77777777" w:rsidR="0082775B" w:rsidRPr="000D3432" w:rsidRDefault="0082775B" w:rsidP="00A95498">
      <w:pPr>
        <w:jc w:val="both"/>
        <w:rPr>
          <w:rFonts w:asciiTheme="minorHAnsi" w:hAnsiTheme="minorHAnsi"/>
          <w:szCs w:val="24"/>
          <w:lang w:val="es-ES_tradnl"/>
        </w:rPr>
      </w:pPr>
    </w:p>
    <w:p w14:paraId="4421470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de COFOPRI que establece Normas Complementarias</w:t>
      </w:r>
    </w:p>
    <w:p w14:paraId="4BAECE2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para la Formalización de la Propiedad en Centros Poblados</w:t>
      </w:r>
    </w:p>
    <w:p w14:paraId="0C279C9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474-99-MTC-15.01</w:t>
      </w:r>
    </w:p>
    <w:p w14:paraId="66B002D5" w14:textId="77777777" w:rsidR="0082775B" w:rsidRPr="000D3432" w:rsidRDefault="0082775B" w:rsidP="00A95498">
      <w:pPr>
        <w:jc w:val="both"/>
        <w:rPr>
          <w:rFonts w:asciiTheme="minorHAnsi" w:hAnsiTheme="minorHAnsi"/>
          <w:szCs w:val="24"/>
          <w:lang w:val="es-ES_tradnl"/>
        </w:rPr>
      </w:pPr>
    </w:p>
    <w:p w14:paraId="0969906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Autorizan a la COFOPRI desarrollar acciones de formalización en programas de vivienda ejecutados sobre predios de propiedad del FONAVI y de empresas del Estado en liquidación.</w:t>
      </w:r>
    </w:p>
    <w:p w14:paraId="31D49B6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DE URGENCIA Nº 014-2000</w:t>
      </w:r>
    </w:p>
    <w:p w14:paraId="445A80CE" w14:textId="77777777" w:rsidR="0082775B" w:rsidRPr="000D3432" w:rsidRDefault="0082775B" w:rsidP="00A95498">
      <w:pPr>
        <w:jc w:val="both"/>
        <w:rPr>
          <w:rFonts w:asciiTheme="minorHAnsi" w:hAnsiTheme="minorHAnsi"/>
          <w:szCs w:val="24"/>
          <w:lang w:val="es-ES_tradnl"/>
        </w:rPr>
      </w:pPr>
    </w:p>
    <w:p w14:paraId="5F0C3620"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Instrumento de Inscripción y/o Rectificación de Título de Propiedad, a utilizarse en formalización de propiedad en programas de vivienda del Estado a cargo de COFOPRI</w:t>
      </w:r>
    </w:p>
    <w:p w14:paraId="72855AE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DE GERENCIA GENERAL Nº 052-2000-COFOPRI-GG</w:t>
      </w:r>
    </w:p>
    <w:p w14:paraId="00FDB56D" w14:textId="77777777" w:rsidR="0082775B" w:rsidRPr="000D3432" w:rsidRDefault="0082775B" w:rsidP="00A95498">
      <w:pPr>
        <w:jc w:val="both"/>
        <w:rPr>
          <w:rFonts w:asciiTheme="minorHAnsi" w:hAnsiTheme="minorHAnsi"/>
          <w:szCs w:val="24"/>
          <w:lang w:val="es-ES_tradnl"/>
        </w:rPr>
      </w:pPr>
    </w:p>
    <w:p w14:paraId="2025D82A"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características y contenido de diversos formatos relativos a proceso</w:t>
      </w:r>
      <w:r w:rsidRPr="000D3432">
        <w:rPr>
          <w:rFonts w:asciiTheme="minorHAnsi" w:hAnsiTheme="minorHAnsi"/>
          <w:szCs w:val="24"/>
          <w:lang w:val="es-ES_tradnl"/>
        </w:rPr>
        <w:tab/>
        <w:t>de formalización de propiedad a cargo de COFOPRI</w:t>
      </w:r>
    </w:p>
    <w:p w14:paraId="66E2744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 xml:space="preserve">RESOLUCION DE GERENCIA DE PLANEAMIENTO Y OPERACIONES </w:t>
      </w:r>
    </w:p>
    <w:p w14:paraId="18930BB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Nº 078-00-COFOPRI-GPO</w:t>
      </w:r>
    </w:p>
    <w:p w14:paraId="5C362847" w14:textId="77777777" w:rsidR="0082775B" w:rsidRPr="000D3432" w:rsidRDefault="0082775B" w:rsidP="00A95498">
      <w:pPr>
        <w:jc w:val="both"/>
        <w:rPr>
          <w:rFonts w:asciiTheme="minorHAnsi" w:hAnsiTheme="minorHAnsi"/>
          <w:szCs w:val="24"/>
          <w:lang w:val="es-ES_tradnl"/>
        </w:rPr>
      </w:pPr>
    </w:p>
    <w:p w14:paraId="24B404B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 xml:space="preserve">Aprueban normas reglamentarias a disposiciones previstas en el D.U. </w:t>
      </w:r>
    </w:p>
    <w:p w14:paraId="29266B1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 xml:space="preserve">Nº 014-2000 y a las que se refieren a la regularización del derecho de </w:t>
      </w:r>
    </w:p>
    <w:p w14:paraId="41E69C6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propiedad en programas de vivienda del Estado</w:t>
      </w:r>
    </w:p>
    <w:p w14:paraId="470A255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007-2000-PCM</w:t>
      </w:r>
    </w:p>
    <w:p w14:paraId="6B46FD86" w14:textId="77777777" w:rsidR="0082775B" w:rsidRPr="000D3432" w:rsidRDefault="0082775B" w:rsidP="00A95498">
      <w:pPr>
        <w:jc w:val="both"/>
        <w:rPr>
          <w:rFonts w:asciiTheme="minorHAnsi" w:hAnsiTheme="minorHAnsi"/>
          <w:szCs w:val="24"/>
          <w:lang w:val="es-ES_tradnl"/>
        </w:rPr>
      </w:pPr>
    </w:p>
    <w:p w14:paraId="1D79011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Formatos de Declaración Jurada de Veracidad y de Solicitud</w:t>
      </w:r>
    </w:p>
    <w:p w14:paraId="462C335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 xml:space="preserve">de Incorporación al Procedimiento de Declaración de Propiedad mediante </w:t>
      </w:r>
    </w:p>
    <w:p w14:paraId="28BB465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la Regularización del Tracto Sucesivo</w:t>
      </w:r>
    </w:p>
    <w:p w14:paraId="33870D8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b/>
      </w:r>
      <w:r w:rsidRPr="000D3432">
        <w:rPr>
          <w:rFonts w:asciiTheme="minorHAnsi" w:hAnsiTheme="minorHAnsi"/>
          <w:szCs w:val="24"/>
          <w:lang w:val="es-ES_tradnl"/>
        </w:rPr>
        <w:tab/>
        <w:t>RESOLUCION DE GERENCIA DE PLANEAMIENTO Y OPERACIONES N°</w:t>
      </w:r>
    </w:p>
    <w:p w14:paraId="5F1E4F7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101-2000-COFOPRI-GPO</w:t>
      </w:r>
    </w:p>
    <w:p w14:paraId="28DBE2F3" w14:textId="77777777" w:rsidR="0082775B" w:rsidRPr="000D3432" w:rsidRDefault="0082775B" w:rsidP="00A95498">
      <w:pPr>
        <w:jc w:val="both"/>
        <w:rPr>
          <w:rFonts w:asciiTheme="minorHAnsi" w:hAnsiTheme="minorHAnsi"/>
          <w:szCs w:val="24"/>
          <w:lang w:val="es-ES_tradnl"/>
        </w:rPr>
      </w:pPr>
    </w:p>
    <w:p w14:paraId="169E3FC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"Normas Complementarias para la adjudicación de lotes</w:t>
      </w:r>
      <w:r w:rsidRPr="000D3432">
        <w:rPr>
          <w:rFonts w:asciiTheme="minorHAnsi" w:hAnsiTheme="minorHAnsi"/>
          <w:szCs w:val="24"/>
          <w:lang w:val="es-ES_tradnl"/>
        </w:rPr>
        <w:tab/>
        <w:t>mediante Subasta Pública en Posesiones Informales Formalizadas</w:t>
      </w:r>
    </w:p>
    <w:p w14:paraId="50014AF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267-2000-MTC-15.01</w:t>
      </w:r>
    </w:p>
    <w:p w14:paraId="5CA512B5" w14:textId="77777777" w:rsidR="0082775B" w:rsidRPr="000D3432" w:rsidRDefault="0082775B" w:rsidP="00A95498">
      <w:pPr>
        <w:jc w:val="both"/>
        <w:rPr>
          <w:rFonts w:asciiTheme="minorHAnsi" w:hAnsiTheme="minorHAnsi"/>
          <w:szCs w:val="24"/>
          <w:lang w:val="es-ES_tradnl"/>
        </w:rPr>
      </w:pPr>
    </w:p>
    <w:p w14:paraId="43CBA01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Aprueban Directiva de COFOPRI sobre Procedimiento para la inscripción y Control de Proveedores</w:t>
      </w:r>
    </w:p>
    <w:p w14:paraId="75C87EB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285-2000-MTC-15.01</w:t>
      </w:r>
    </w:p>
    <w:p w14:paraId="27B345AC" w14:textId="77777777" w:rsidR="0082775B" w:rsidRPr="000D3432" w:rsidRDefault="0082775B" w:rsidP="00A95498">
      <w:pPr>
        <w:jc w:val="both"/>
        <w:rPr>
          <w:rFonts w:asciiTheme="minorHAnsi" w:hAnsiTheme="minorHAnsi"/>
          <w:szCs w:val="24"/>
          <w:lang w:val="es-ES_tradnl"/>
        </w:rPr>
      </w:pPr>
    </w:p>
    <w:p w14:paraId="23849AB2"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Directiva de COFOPRI que establece Normas Complementarias para la Formalización de la Propiedad en Centros Poblados</w:t>
      </w:r>
    </w:p>
    <w:p w14:paraId="312F75E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474-99-MTC-15.01</w:t>
      </w:r>
    </w:p>
    <w:p w14:paraId="04CA2311" w14:textId="77777777" w:rsidR="0082775B" w:rsidRPr="000D3432" w:rsidRDefault="0082775B" w:rsidP="00A95498">
      <w:pPr>
        <w:jc w:val="both"/>
        <w:rPr>
          <w:rFonts w:asciiTheme="minorHAnsi" w:hAnsiTheme="minorHAnsi"/>
          <w:szCs w:val="24"/>
          <w:lang w:val="es-ES_tradnl"/>
        </w:rPr>
      </w:pPr>
    </w:p>
    <w:p w14:paraId="59AFECFC"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Amplían alcances de Directiva Nº 046-99-COFOPRI y aprueban la Directiva "Normas Complementarias para el Acondicionamiento Físico o Remodelación de Posesiones Informales"</w:t>
      </w:r>
    </w:p>
    <w:p w14:paraId="4D23670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270-2000-JUS</w:t>
      </w:r>
    </w:p>
    <w:p w14:paraId="62342519" w14:textId="77777777" w:rsidR="0082775B" w:rsidRPr="000D3432" w:rsidRDefault="0082775B" w:rsidP="00A95498">
      <w:pPr>
        <w:jc w:val="both"/>
        <w:rPr>
          <w:rFonts w:asciiTheme="minorHAnsi" w:hAnsiTheme="minorHAnsi"/>
          <w:szCs w:val="24"/>
          <w:lang w:val="es-ES_tradnl"/>
        </w:rPr>
      </w:pPr>
    </w:p>
    <w:p w14:paraId="05801AB5"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características y contenido de formatos a ser utilizados por COFOPRI en proceso de adjudicación de lotes de terreno mediante subasta pública</w:t>
      </w:r>
    </w:p>
    <w:p w14:paraId="1E8D5771"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RESOLUCION DE GERENCIA DE PLANEAMIENTO Y OPERACIONES Nº 234-00-COFOPRI-GPO</w:t>
      </w:r>
    </w:p>
    <w:p w14:paraId="2F603AAE" w14:textId="77777777" w:rsidR="0082775B" w:rsidRPr="000D3432" w:rsidRDefault="0082775B" w:rsidP="00A95498">
      <w:pPr>
        <w:jc w:val="both"/>
        <w:rPr>
          <w:rFonts w:asciiTheme="minorHAnsi" w:hAnsiTheme="minorHAnsi"/>
          <w:szCs w:val="24"/>
          <w:lang w:val="es-ES_tradnl"/>
        </w:rPr>
      </w:pPr>
    </w:p>
    <w:p w14:paraId="19B7FAA2"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 xml:space="preserve">Aprueban formatos de notificación  previstos en el Reglamento de Normas que regulan la organización y </w:t>
      </w:r>
      <w:r w:rsidRPr="000D3432">
        <w:rPr>
          <w:rFonts w:asciiTheme="minorHAnsi" w:hAnsiTheme="minorHAnsi"/>
          <w:szCs w:val="24"/>
          <w:lang w:val="es-ES_tradnl"/>
        </w:rPr>
        <w:tab/>
        <w:t>funciones de órganos del COFOPRI responsables del conocimiento y solución de medios impugnatorios</w:t>
      </w:r>
    </w:p>
    <w:p w14:paraId="4216CF0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DE GERENCIA  GENERAL Nº 158-2000-COFOPRI-GG</w:t>
      </w:r>
    </w:p>
    <w:p w14:paraId="0010FF89" w14:textId="77777777" w:rsidR="0082775B" w:rsidRPr="000D3432" w:rsidRDefault="0082775B" w:rsidP="00A95498">
      <w:pPr>
        <w:jc w:val="both"/>
        <w:rPr>
          <w:rFonts w:asciiTheme="minorHAnsi" w:hAnsiTheme="minorHAnsi"/>
          <w:szCs w:val="24"/>
          <w:lang w:val="es-ES_tradnl"/>
        </w:rPr>
      </w:pPr>
    </w:p>
    <w:p w14:paraId="2727E2E5"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el Reglamento de Conciliación de Conflictos que surjan en el Proceso de Formalización de la Propiedad a cargo de COFOPRI y modifican el Reglamento de Formalización de la Propiedad</w:t>
      </w:r>
    </w:p>
    <w:p w14:paraId="4038208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DECRETO SUPREMO Nº 010-2000-JUS</w:t>
      </w:r>
    </w:p>
    <w:p w14:paraId="44454232" w14:textId="77777777" w:rsidR="0082775B" w:rsidRPr="000D3432" w:rsidRDefault="0082775B" w:rsidP="00A95498">
      <w:pPr>
        <w:jc w:val="both"/>
        <w:rPr>
          <w:rFonts w:asciiTheme="minorHAnsi" w:hAnsiTheme="minorHAnsi"/>
          <w:szCs w:val="24"/>
          <w:lang w:val="es-ES_tradnl"/>
        </w:rPr>
      </w:pPr>
    </w:p>
    <w:p w14:paraId="30095FDE"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 xml:space="preserve">Aprueban contenido y formato de documentos  para Procesos de Formalización de la Propiedad y de </w:t>
      </w:r>
      <w:r w:rsidRPr="000D3432">
        <w:rPr>
          <w:rFonts w:asciiTheme="minorHAnsi" w:hAnsiTheme="minorHAnsi"/>
          <w:szCs w:val="24"/>
          <w:lang w:val="es-ES_tradnl"/>
        </w:rPr>
        <w:tab/>
        <w:t>Acondicionamiento Físico o Remodelación de Posesiones</w:t>
      </w:r>
    </w:p>
    <w:p w14:paraId="72AF8A1B"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RESOLUCION DE GERENCIA DE PLANEAMIENTO Y OPERACIONES Nº 277-2000-COFOPRI-GPO</w:t>
      </w:r>
    </w:p>
    <w:p w14:paraId="5352326E" w14:textId="77777777" w:rsidR="0082775B" w:rsidRPr="000D3432" w:rsidRDefault="0082775B" w:rsidP="00A95498">
      <w:pPr>
        <w:jc w:val="both"/>
        <w:rPr>
          <w:rFonts w:asciiTheme="minorHAnsi" w:hAnsiTheme="minorHAnsi"/>
          <w:szCs w:val="24"/>
          <w:lang w:val="es-ES_tradnl"/>
        </w:rPr>
      </w:pPr>
    </w:p>
    <w:p w14:paraId="13659349"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 xml:space="preserve">Aprueban Directiva que establece lineamientos para resolución de casos tipo de litigios sobre mejor derecho de posesión de lotes </w:t>
      </w:r>
      <w:r w:rsidRPr="000D3432">
        <w:rPr>
          <w:rFonts w:asciiTheme="minorHAnsi" w:hAnsiTheme="minorHAnsi"/>
          <w:szCs w:val="24"/>
          <w:lang w:val="es-ES_tradnl"/>
        </w:rPr>
        <w:lastRenderedPageBreak/>
        <w:t>individuales ubicados en posesiones informales formalizadas por COFOPRI</w:t>
      </w:r>
    </w:p>
    <w:p w14:paraId="3AD00B8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MINISTERIAL Nº 348-2000-JUS</w:t>
      </w:r>
    </w:p>
    <w:p w14:paraId="5A56C967" w14:textId="77777777" w:rsidR="0082775B" w:rsidRPr="000D3432" w:rsidRDefault="0082775B" w:rsidP="00A95498">
      <w:pPr>
        <w:jc w:val="both"/>
        <w:rPr>
          <w:rFonts w:asciiTheme="minorHAnsi" w:hAnsiTheme="minorHAnsi"/>
          <w:szCs w:val="24"/>
          <w:lang w:val="es-ES_tradnl"/>
        </w:rPr>
      </w:pPr>
    </w:p>
    <w:p w14:paraId="4E795753"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 xml:space="preserve">Modifican instrumento de inscripción o rectificación de título de propiedad de predios ubicados en AA.HH. y </w:t>
      </w:r>
      <w:r w:rsidRPr="000D3432">
        <w:rPr>
          <w:rFonts w:asciiTheme="minorHAnsi" w:hAnsiTheme="minorHAnsi"/>
          <w:szCs w:val="24"/>
          <w:lang w:val="es-ES_tradnl"/>
        </w:rPr>
        <w:tab/>
        <w:t>el utilizado en procedimientos de declaración de propiedad mediante prescripción adquisitiva en posesiones informales formalizados por COFOPRI</w:t>
      </w:r>
    </w:p>
    <w:p w14:paraId="2017DC0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DE GERENCIA GENERAL Nº 205-2000-COFOPRI-GG</w:t>
      </w:r>
    </w:p>
    <w:p w14:paraId="4E5FC577" w14:textId="77777777" w:rsidR="0082775B" w:rsidRPr="000D3432" w:rsidRDefault="0082775B" w:rsidP="00A95498">
      <w:pPr>
        <w:jc w:val="both"/>
        <w:rPr>
          <w:rFonts w:asciiTheme="minorHAnsi" w:hAnsiTheme="minorHAnsi"/>
          <w:szCs w:val="24"/>
          <w:lang w:val="es-ES_tradnl"/>
        </w:rPr>
      </w:pPr>
    </w:p>
    <w:p w14:paraId="4B273B6C"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modelos de Formularios Registrales para la Inscripción de Propiedad y/o Regularización</w:t>
      </w:r>
      <w:r w:rsidRPr="000D3432">
        <w:rPr>
          <w:rFonts w:asciiTheme="minorHAnsi" w:hAnsiTheme="minorHAnsi"/>
          <w:szCs w:val="24"/>
          <w:lang w:val="es-ES_tradnl"/>
        </w:rPr>
        <w:tab/>
        <w:t>de Edificaciones</w:t>
      </w:r>
    </w:p>
    <w:p w14:paraId="3B1F8C3B"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 xml:space="preserve">RESOLUCION DE LA SUPERINTENDENTE NACIONAL DE LOS REGISTROS PUBLICOS Nº 023-2001-SUNARP-SN </w:t>
      </w:r>
    </w:p>
    <w:p w14:paraId="44537FC9" w14:textId="77777777" w:rsidR="0082775B" w:rsidRPr="000D3432" w:rsidRDefault="0082775B" w:rsidP="00A95498">
      <w:pPr>
        <w:jc w:val="both"/>
        <w:rPr>
          <w:rFonts w:asciiTheme="minorHAnsi" w:hAnsiTheme="minorHAnsi"/>
          <w:szCs w:val="24"/>
          <w:lang w:val="es-ES_tradnl"/>
        </w:rPr>
      </w:pPr>
    </w:p>
    <w:p w14:paraId="525A1F61" w14:textId="77777777" w:rsidR="0082775B" w:rsidRPr="000D3432" w:rsidRDefault="0082775B" w:rsidP="00A95498">
      <w:pPr>
        <w:ind w:left="850"/>
        <w:jc w:val="both"/>
        <w:rPr>
          <w:rFonts w:asciiTheme="minorHAnsi" w:hAnsiTheme="minorHAnsi"/>
          <w:szCs w:val="24"/>
          <w:lang w:val="es-ES_tradnl"/>
        </w:rPr>
      </w:pPr>
      <w:r w:rsidRPr="000D3432">
        <w:rPr>
          <w:rFonts w:asciiTheme="minorHAnsi" w:hAnsiTheme="minorHAnsi"/>
          <w:szCs w:val="24"/>
          <w:lang w:val="es-ES_tradnl"/>
        </w:rPr>
        <w:t>Aprueban características, contenido y formatos de Título de Propiedad Registrados, de Afectación en Uso y de Instrumento de Inscripción y/o Rectificación de Título</w:t>
      </w:r>
    </w:p>
    <w:p w14:paraId="6672B28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RESOLUCION DE GERENCIA GENERAL Nº 010-COFOPRI-2002-GG</w:t>
      </w:r>
    </w:p>
    <w:p w14:paraId="59374978" w14:textId="77777777" w:rsidR="0082775B" w:rsidRPr="000D3432" w:rsidRDefault="0082775B" w:rsidP="00A95498">
      <w:pPr>
        <w:jc w:val="both"/>
        <w:rPr>
          <w:rFonts w:asciiTheme="minorHAnsi" w:hAnsiTheme="minorHAnsi"/>
          <w:szCs w:val="24"/>
          <w:lang w:val="es-ES_tradnl"/>
        </w:rPr>
      </w:pPr>
    </w:p>
    <w:p w14:paraId="390A606E" w14:textId="77777777" w:rsidR="0082775B" w:rsidRPr="000D3432" w:rsidRDefault="0082775B" w:rsidP="00A95498">
      <w:pPr>
        <w:jc w:val="both"/>
        <w:rPr>
          <w:rFonts w:asciiTheme="minorHAnsi" w:hAnsiTheme="minorHAnsi"/>
          <w:b/>
          <w:szCs w:val="24"/>
          <w:lang w:val="es-ES_tradnl"/>
        </w:rPr>
      </w:pPr>
      <w:r w:rsidRPr="000D3432">
        <w:rPr>
          <w:rFonts w:asciiTheme="minorHAnsi" w:hAnsiTheme="minorHAnsi"/>
          <w:b/>
          <w:szCs w:val="24"/>
          <w:lang w:val="es-ES_tradnl"/>
        </w:rPr>
        <w:t>PROPIEDAD PRIVADA</w:t>
      </w:r>
    </w:p>
    <w:p w14:paraId="5E221BA6" w14:textId="77777777" w:rsidR="0082775B" w:rsidRPr="000D3432" w:rsidRDefault="0082775B" w:rsidP="00A95498">
      <w:pPr>
        <w:jc w:val="both"/>
        <w:rPr>
          <w:rFonts w:asciiTheme="minorHAnsi" w:hAnsiTheme="minorHAnsi"/>
          <w:szCs w:val="24"/>
          <w:lang w:val="es-ES_tradnl"/>
        </w:rPr>
      </w:pPr>
    </w:p>
    <w:p w14:paraId="5D8B984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Aprueban el Reglamento de los Regímenes de Garantía a la Inversión Privada</w:t>
      </w:r>
    </w:p>
    <w:p w14:paraId="4F5DC7F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DECRETO SUPREMO N° 162-92-EF</w:t>
      </w:r>
    </w:p>
    <w:p w14:paraId="5BCE19D6" w14:textId="77777777" w:rsidR="0082775B" w:rsidRPr="000D3432" w:rsidRDefault="0082775B" w:rsidP="00A95498">
      <w:pPr>
        <w:jc w:val="both"/>
        <w:rPr>
          <w:rFonts w:asciiTheme="minorHAnsi" w:hAnsiTheme="minorHAnsi"/>
          <w:szCs w:val="24"/>
          <w:lang w:val="es-ES_tradnl"/>
        </w:rPr>
      </w:pPr>
    </w:p>
    <w:p w14:paraId="0CC21A4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Ley de Promoción del acceso de la población a la propiedad privada</w:t>
      </w:r>
    </w:p>
    <w:p w14:paraId="0D77197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 vivienda y fomento del ahorro, mediante mecanismos de financiamiento</w:t>
      </w:r>
    </w:p>
    <w:p w14:paraId="2D17E35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con participación del sector privado</w:t>
      </w:r>
    </w:p>
    <w:p w14:paraId="087A1C1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LEY Nº 26912</w:t>
      </w:r>
    </w:p>
    <w:p w14:paraId="4F934AE8" w14:textId="77777777" w:rsidR="0082775B" w:rsidRPr="000D3432" w:rsidRDefault="0082775B" w:rsidP="00A95498">
      <w:pPr>
        <w:jc w:val="both"/>
        <w:rPr>
          <w:rFonts w:asciiTheme="minorHAnsi" w:hAnsiTheme="minorHAnsi"/>
          <w:szCs w:val="24"/>
          <w:lang w:val="es-ES_tradnl"/>
        </w:rPr>
      </w:pPr>
    </w:p>
    <w:p w14:paraId="60AD8FD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Aprueban el Reglamento del Fondo Hipotecario de Promoción de la Vivienda</w:t>
      </w:r>
    </w:p>
    <w:p w14:paraId="7D749BC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Fondo MIVIVIENDA</w:t>
      </w:r>
    </w:p>
    <w:p w14:paraId="7D88E54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DECRETO SUPREMO Nº 001-99-MTC</w:t>
      </w:r>
    </w:p>
    <w:p w14:paraId="07CFBEDE" w14:textId="77777777" w:rsidR="0082775B" w:rsidRPr="000D3432" w:rsidRDefault="0082775B" w:rsidP="00A95498">
      <w:pPr>
        <w:jc w:val="both"/>
        <w:rPr>
          <w:rFonts w:asciiTheme="minorHAnsi" w:hAnsiTheme="minorHAnsi"/>
          <w:szCs w:val="24"/>
          <w:lang w:val="es-ES_tradnl"/>
        </w:rPr>
      </w:pPr>
    </w:p>
    <w:p w14:paraId="47D9EC7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Autorizan al Ministerio para que a través de la UTE-FONAVI proceda a venta</w:t>
      </w:r>
    </w:p>
    <w:p w14:paraId="0E5081D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 unidades inmobiliarias destinadas a viviendas conformantes de Proyectos</w:t>
      </w:r>
    </w:p>
    <w:p w14:paraId="419115C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Habitacionales FONAVI</w:t>
      </w:r>
    </w:p>
    <w:p w14:paraId="75FE425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DECRETO SUPREMO N° 003-98-PRES</w:t>
      </w:r>
    </w:p>
    <w:p w14:paraId="36451BBE" w14:textId="77777777" w:rsidR="0082775B" w:rsidRPr="000D3432" w:rsidRDefault="0082775B" w:rsidP="00A95498">
      <w:pPr>
        <w:jc w:val="both"/>
        <w:rPr>
          <w:rFonts w:asciiTheme="minorHAnsi" w:hAnsiTheme="minorHAnsi"/>
          <w:szCs w:val="24"/>
          <w:lang w:val="es-ES_tradnl"/>
        </w:rPr>
      </w:pPr>
    </w:p>
    <w:p w14:paraId="14460AC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Aprueban el Reglamento de las Operaciones de Cofinanciamiento FONAVI y</w:t>
      </w:r>
    </w:p>
    <w:p w14:paraId="5E1894C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entidades del sector privado para la venta, vía adjudicación de unidades</w:t>
      </w:r>
    </w:p>
    <w:p w14:paraId="7010E61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inmobiliarias destinadas a viviendas</w:t>
      </w:r>
    </w:p>
    <w:p w14:paraId="53570E7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ab/>
        <w:t>RESOLUCION MINISTERIAL Nº 162-98-PRES</w:t>
      </w:r>
    </w:p>
    <w:p w14:paraId="4DD2C179" w14:textId="77777777" w:rsidR="0082775B" w:rsidRPr="000D3432" w:rsidRDefault="0082775B" w:rsidP="00A95498">
      <w:pPr>
        <w:jc w:val="both"/>
        <w:rPr>
          <w:rFonts w:asciiTheme="minorHAnsi" w:hAnsiTheme="minorHAnsi"/>
          <w:szCs w:val="24"/>
          <w:lang w:val="es-ES_tradnl"/>
        </w:rPr>
      </w:pPr>
    </w:p>
    <w:p w14:paraId="29551B6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Aprueban Reglamento de Habilitación y Construcción Urbana Especial</w:t>
      </w:r>
    </w:p>
    <w:p w14:paraId="4109B74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DECRETO SUPREMO Nº 053-98-PCM</w:t>
      </w:r>
    </w:p>
    <w:p w14:paraId="2CC81B38" w14:textId="77777777" w:rsidR="0082775B" w:rsidRPr="000D3432" w:rsidRDefault="0082775B" w:rsidP="00A95498">
      <w:pPr>
        <w:jc w:val="both"/>
        <w:rPr>
          <w:rFonts w:asciiTheme="minorHAnsi" w:hAnsiTheme="minorHAnsi"/>
          <w:szCs w:val="24"/>
          <w:lang w:val="es-ES_tradnl"/>
        </w:rPr>
      </w:pPr>
    </w:p>
    <w:p w14:paraId="13C90EA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Aprueban Directiva sobre aspectos de procedimiento para transferencia</w:t>
      </w:r>
    </w:p>
    <w:p w14:paraId="2345132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 terrenos estatales con fines de vivienda, identificados por COFOPRI,</w:t>
      </w:r>
    </w:p>
    <w:p w14:paraId="2BFCDF9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a favor del Fondo Mi Vivienda </w:t>
      </w:r>
    </w:p>
    <w:p w14:paraId="1F1A799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RESOLUCION MINISTERIAL Nº 438-99-MTC-15.01</w:t>
      </w:r>
    </w:p>
    <w:p w14:paraId="55B6CE73" w14:textId="77777777" w:rsidR="0082775B" w:rsidRPr="000D3432" w:rsidRDefault="0082775B" w:rsidP="00A95498">
      <w:pPr>
        <w:jc w:val="both"/>
        <w:rPr>
          <w:rFonts w:asciiTheme="minorHAnsi" w:hAnsiTheme="minorHAnsi"/>
          <w:szCs w:val="24"/>
          <w:lang w:val="es-ES_tradnl"/>
        </w:rPr>
      </w:pPr>
    </w:p>
    <w:p w14:paraId="611AE7A5" w14:textId="77777777" w:rsidR="0082775B" w:rsidRPr="000D3432" w:rsidRDefault="0082775B" w:rsidP="00A95498">
      <w:pPr>
        <w:ind w:left="425"/>
        <w:jc w:val="both"/>
        <w:rPr>
          <w:rFonts w:asciiTheme="minorHAnsi" w:hAnsiTheme="minorHAnsi"/>
          <w:szCs w:val="24"/>
          <w:lang w:val="es-ES_tradnl"/>
        </w:rPr>
      </w:pPr>
      <w:r w:rsidRPr="000D3432">
        <w:rPr>
          <w:rFonts w:asciiTheme="minorHAnsi" w:hAnsiTheme="minorHAnsi"/>
          <w:szCs w:val="24"/>
          <w:lang w:val="es-ES_tradnl"/>
        </w:rPr>
        <w:t>Aprueban Reglamento del Fondo Hipotecario de Promoción de la Vivienda - Fondo Mivivienda</w:t>
      </w:r>
    </w:p>
    <w:p w14:paraId="603584E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DECRETO SUPREMO Nº 006-2002-EF</w:t>
      </w:r>
    </w:p>
    <w:p w14:paraId="003945BA" w14:textId="77777777" w:rsidR="0082775B" w:rsidRPr="000D3432" w:rsidRDefault="0082775B" w:rsidP="00A95498">
      <w:pPr>
        <w:jc w:val="both"/>
        <w:rPr>
          <w:rFonts w:asciiTheme="minorHAnsi" w:hAnsiTheme="minorHAnsi"/>
          <w:szCs w:val="24"/>
          <w:lang w:val="es-ES_tradnl"/>
        </w:rPr>
      </w:pPr>
    </w:p>
    <w:p w14:paraId="3034AAF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Establecen disposiciones para actualizar la base imponible del Impuesto Predial</w:t>
      </w:r>
    </w:p>
    <w:p w14:paraId="6F8EA62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DECRETO SUPREMO Nº 012-2002-EF</w:t>
      </w:r>
    </w:p>
    <w:p w14:paraId="4E88529F" w14:textId="77777777" w:rsidR="0082775B" w:rsidRPr="000D3432" w:rsidRDefault="0082775B" w:rsidP="00A95498">
      <w:pPr>
        <w:jc w:val="both"/>
        <w:rPr>
          <w:rFonts w:asciiTheme="minorHAnsi" w:hAnsiTheme="minorHAnsi"/>
          <w:szCs w:val="24"/>
          <w:lang w:val="es-ES_tradnl"/>
        </w:rPr>
      </w:pPr>
    </w:p>
    <w:p w14:paraId="5ED689B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4.- LA LEGISLACIÓN COMPARADA SOBRE EL PROBLEMA</w:t>
      </w:r>
    </w:p>
    <w:p w14:paraId="676EC151" w14:textId="77777777" w:rsidR="0082775B" w:rsidRPr="000D3432" w:rsidRDefault="0082775B" w:rsidP="00A95498">
      <w:pPr>
        <w:jc w:val="both"/>
        <w:rPr>
          <w:rFonts w:asciiTheme="minorHAnsi" w:hAnsiTheme="minorHAnsi"/>
          <w:szCs w:val="24"/>
          <w:lang w:val="es-ES_tradnl"/>
        </w:rPr>
      </w:pPr>
    </w:p>
    <w:p w14:paraId="1EFB405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u w:val="single"/>
          <w:lang w:val="es-ES_tradnl"/>
        </w:rPr>
        <w:t>CÓDIGO CIVIL DE ESPAÑA</w:t>
      </w:r>
    </w:p>
    <w:p w14:paraId="27DFB2AE" w14:textId="77777777" w:rsidR="0082775B" w:rsidRPr="000D3432" w:rsidRDefault="0082775B" w:rsidP="00A95498">
      <w:pPr>
        <w:jc w:val="both"/>
        <w:rPr>
          <w:rFonts w:asciiTheme="minorHAnsi" w:hAnsiTheme="minorHAnsi"/>
          <w:szCs w:val="24"/>
          <w:lang w:val="es-ES_tradnl"/>
        </w:rPr>
      </w:pPr>
    </w:p>
    <w:p w14:paraId="4BD680B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LIBRO SEGUNDO. De los bienes, de la propiedad y de sus modificaciones.</w:t>
      </w:r>
    </w:p>
    <w:p w14:paraId="7F1505EE" w14:textId="77777777" w:rsidR="0082775B" w:rsidRPr="000D3432" w:rsidRDefault="0082775B" w:rsidP="00A95498">
      <w:pPr>
        <w:jc w:val="both"/>
        <w:rPr>
          <w:rFonts w:asciiTheme="minorHAnsi" w:hAnsiTheme="minorHAnsi"/>
          <w:szCs w:val="24"/>
          <w:lang w:val="es-ES_tradnl"/>
        </w:rPr>
      </w:pPr>
    </w:p>
    <w:p w14:paraId="64917BA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TÍTULO PRIMERO. De la clasificación de los bienes</w:t>
      </w:r>
    </w:p>
    <w:p w14:paraId="3C41FA8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Disposiciones preliminares.</w:t>
      </w:r>
    </w:p>
    <w:p w14:paraId="4A34073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CAPÍTULO PRIMERO. De los bienes inmuebles.</w:t>
      </w:r>
    </w:p>
    <w:p w14:paraId="4905DFD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CAPÍTULO II.  De los bienes muebles.</w:t>
      </w:r>
    </w:p>
    <w:p w14:paraId="0167FAB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CAPÍTULO III. De los bienes según las personas a que pertenecen.</w:t>
      </w:r>
    </w:p>
    <w:p w14:paraId="0D0920C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Disposiciones comunes a los tres capítulos anteriores.</w:t>
      </w:r>
    </w:p>
    <w:p w14:paraId="323A7EC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TÍTULO II. De la propiedad.</w:t>
      </w:r>
    </w:p>
    <w:p w14:paraId="091D940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CAPÍTULO PRIMERO. De la propiedad en general.</w:t>
      </w:r>
    </w:p>
    <w:p w14:paraId="4EC3E36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CAPÍTULO II. Del derecho de accesión.</w:t>
      </w:r>
    </w:p>
    <w:p w14:paraId="4BF80AB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Disposición general.</w:t>
      </w:r>
    </w:p>
    <w:p w14:paraId="05BF453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     Sección 1.  Del derecho de accesión respecto al producto de los bienes.</w:t>
      </w:r>
    </w:p>
    <w:p w14:paraId="15CE9D0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     Sección 2.  Del derecho de la accesión respecto a los bienes inmuebles.</w:t>
      </w:r>
    </w:p>
    <w:p w14:paraId="326A0349" w14:textId="77777777" w:rsidR="0082775B" w:rsidRPr="000D3432" w:rsidRDefault="0082775B" w:rsidP="00A95498">
      <w:pPr>
        <w:jc w:val="both"/>
        <w:rPr>
          <w:rFonts w:asciiTheme="minorHAnsi" w:hAnsiTheme="minorHAnsi"/>
          <w:szCs w:val="24"/>
          <w:lang w:val="es-ES_tradnl"/>
        </w:rPr>
      </w:pPr>
    </w:p>
    <w:p w14:paraId="280CCBC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u w:val="single"/>
          <w:lang w:val="es-ES_tradnl"/>
        </w:rPr>
        <w:t>CÓDIGO CIVIL BOLIVIANO</w:t>
      </w:r>
    </w:p>
    <w:p w14:paraId="0DF27D58" w14:textId="77777777" w:rsidR="0082775B" w:rsidRPr="000D3432" w:rsidRDefault="0082775B" w:rsidP="00A95498">
      <w:pPr>
        <w:jc w:val="both"/>
        <w:rPr>
          <w:rFonts w:asciiTheme="minorHAnsi" w:hAnsiTheme="minorHAnsi"/>
          <w:szCs w:val="24"/>
          <w:lang w:val="es-ES_tradnl"/>
        </w:rPr>
      </w:pPr>
    </w:p>
    <w:p w14:paraId="2ABF499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LIBRO SEGUNDO</w:t>
      </w:r>
    </w:p>
    <w:p w14:paraId="0777480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DE LOS BIENES, DE LA PROPIEDAD Y DE LOS DERECHOS REALES SOBRE LA COSA AJENA</w:t>
      </w:r>
    </w:p>
    <w:p w14:paraId="0612048A" w14:textId="77777777" w:rsidR="0082775B" w:rsidRPr="000D3432" w:rsidRDefault="0082775B" w:rsidP="00A95498">
      <w:pPr>
        <w:jc w:val="both"/>
        <w:rPr>
          <w:rFonts w:asciiTheme="minorHAnsi" w:hAnsiTheme="minorHAnsi"/>
          <w:szCs w:val="24"/>
          <w:lang w:val="es-ES_tradnl"/>
        </w:rPr>
      </w:pPr>
    </w:p>
    <w:p w14:paraId="7C44E21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TÍTULO III</w:t>
      </w:r>
    </w:p>
    <w:p w14:paraId="79A39DB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DE LA PROPIEDAD </w:t>
      </w:r>
    </w:p>
    <w:p w14:paraId="14E7842D" w14:textId="77777777" w:rsidR="0082775B" w:rsidRPr="000D3432" w:rsidRDefault="0082775B" w:rsidP="00A95498">
      <w:pPr>
        <w:jc w:val="both"/>
        <w:rPr>
          <w:rFonts w:asciiTheme="minorHAnsi" w:hAnsiTheme="minorHAnsi"/>
          <w:szCs w:val="24"/>
          <w:lang w:val="es-ES_tradnl"/>
        </w:rPr>
      </w:pPr>
    </w:p>
    <w:p w14:paraId="10C6797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CAPÍTULO I </w:t>
      </w:r>
    </w:p>
    <w:p w14:paraId="292E3F7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DISPOSICIONES GENERALES</w:t>
      </w:r>
    </w:p>
    <w:p w14:paraId="6E44A5E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 xml:space="preserve">Artículo 105.- (CONCEPTO Y ALCANCE GENERAL). </w:t>
      </w:r>
    </w:p>
    <w:p w14:paraId="5A9D25D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 La propiedad es un poder jurídico que permite usar, gozar y disponer de una cosa y debe ejercerse en forma compatible con el interés colectivo, dentro de los límites y con las obligaciones que establece el ordenamiento jurídico. </w:t>
      </w:r>
    </w:p>
    <w:p w14:paraId="59C1BFC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22 de la Const. Pol. del Estado. Artículo 85 del Código Civil) </w:t>
      </w:r>
    </w:p>
    <w:p w14:paraId="78E76692" w14:textId="77777777" w:rsidR="0082775B" w:rsidRPr="000D3432" w:rsidRDefault="0082775B" w:rsidP="00A95498">
      <w:pPr>
        <w:jc w:val="both"/>
        <w:rPr>
          <w:rFonts w:asciiTheme="minorHAnsi" w:hAnsiTheme="minorHAnsi"/>
          <w:szCs w:val="24"/>
          <w:lang w:val="es-ES_tradnl"/>
        </w:rPr>
      </w:pPr>
    </w:p>
    <w:p w14:paraId="6056E61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 El propietario puede reivindicar la cosa de manos de un tercero y ejercer otras acciones en defensa de su propiedad con arreglo a lo dispuesto en el libro V del Código presente. </w:t>
      </w:r>
    </w:p>
    <w:p w14:paraId="00C63F0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(Arts. 881, 1279, 1453, 1459 del Código Civil) </w:t>
      </w:r>
    </w:p>
    <w:p w14:paraId="506D93C3" w14:textId="77777777" w:rsidR="0082775B" w:rsidRPr="000D3432" w:rsidRDefault="0082775B" w:rsidP="00A95498">
      <w:pPr>
        <w:jc w:val="both"/>
        <w:rPr>
          <w:rFonts w:asciiTheme="minorHAnsi" w:hAnsiTheme="minorHAnsi"/>
          <w:szCs w:val="24"/>
          <w:lang w:val="es-ES_tradnl"/>
        </w:rPr>
      </w:pPr>
    </w:p>
    <w:p w14:paraId="16CA88F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106.- (FUNCION SOCIAL DE LA PROPIEDAD). </w:t>
      </w:r>
    </w:p>
    <w:p w14:paraId="72F54AF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La propiedad debe cumplir una función social. </w:t>
      </w:r>
    </w:p>
    <w:p w14:paraId="4749BA66" w14:textId="77777777" w:rsidR="0082775B" w:rsidRPr="000D3432" w:rsidRDefault="0082775B" w:rsidP="00A95498">
      <w:pPr>
        <w:jc w:val="both"/>
        <w:rPr>
          <w:rFonts w:asciiTheme="minorHAnsi" w:hAnsiTheme="minorHAnsi"/>
          <w:szCs w:val="24"/>
          <w:lang w:val="es-ES_tradnl"/>
        </w:rPr>
      </w:pPr>
    </w:p>
    <w:p w14:paraId="7280BEC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107.- (ABUSO DEL DERECHO). </w:t>
      </w:r>
    </w:p>
    <w:p w14:paraId="5023F5C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El propietario no puede realizar actos con el único propósito de perjudicar o de ocasionar molestias a otros y. en general. no le está permitido ejercer su derecho en forma contraria al fin económico o social en vista al cual se le ha conferido el derecho. </w:t>
      </w:r>
    </w:p>
    <w:p w14:paraId="0E993F6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(Arts. 115, 117 Código Civil). </w:t>
      </w:r>
    </w:p>
    <w:p w14:paraId="2821C695" w14:textId="77777777" w:rsidR="0082775B" w:rsidRPr="000D3432" w:rsidRDefault="0082775B" w:rsidP="00A95498">
      <w:pPr>
        <w:jc w:val="both"/>
        <w:rPr>
          <w:rFonts w:asciiTheme="minorHAnsi" w:hAnsiTheme="minorHAnsi"/>
          <w:szCs w:val="24"/>
          <w:lang w:val="es-ES_tradnl"/>
        </w:rPr>
      </w:pPr>
    </w:p>
    <w:p w14:paraId="32CC012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108.- (EXPROPIACIÓN). </w:t>
      </w:r>
    </w:p>
    <w:p w14:paraId="5754B91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 La expropiación sólo procede con pago de una justa y previa indemnización, en los casos siguientes: </w:t>
      </w:r>
    </w:p>
    <w:p w14:paraId="684C85BC" w14:textId="77777777" w:rsidR="0082775B" w:rsidRPr="000D3432" w:rsidRDefault="0082775B" w:rsidP="00A95498">
      <w:pPr>
        <w:jc w:val="both"/>
        <w:rPr>
          <w:rFonts w:asciiTheme="minorHAnsi" w:hAnsiTheme="minorHAnsi"/>
          <w:szCs w:val="24"/>
          <w:lang w:val="es-ES_tradnl"/>
        </w:rPr>
      </w:pPr>
    </w:p>
    <w:p w14:paraId="5AB35ED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1) Por causa de utilidad pública. </w:t>
      </w:r>
    </w:p>
    <w:p w14:paraId="2E4ABE1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2) Cuando la propiedad no cumple una función social. </w:t>
      </w:r>
    </w:p>
    <w:p w14:paraId="046A6919" w14:textId="77777777" w:rsidR="0082775B" w:rsidRPr="000D3432" w:rsidRDefault="0082775B" w:rsidP="00A95498">
      <w:pPr>
        <w:jc w:val="both"/>
        <w:rPr>
          <w:rFonts w:asciiTheme="minorHAnsi" w:hAnsiTheme="minorHAnsi"/>
          <w:szCs w:val="24"/>
          <w:lang w:val="es-ES_tradnl"/>
        </w:rPr>
      </w:pPr>
    </w:p>
    <w:p w14:paraId="014E8C2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 La utilidad pública y el incumplimiento de una función social se califican con arreglo a leyes especiales, las mismas que regulan las condiciones y el procedimiento para la expropiación. </w:t>
      </w:r>
    </w:p>
    <w:p w14:paraId="3D642E4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22 Const. Pol. del Estado). </w:t>
      </w:r>
    </w:p>
    <w:p w14:paraId="47503FC5" w14:textId="77777777" w:rsidR="0082775B" w:rsidRPr="000D3432" w:rsidRDefault="0082775B" w:rsidP="00A95498">
      <w:pPr>
        <w:jc w:val="both"/>
        <w:rPr>
          <w:rFonts w:asciiTheme="minorHAnsi" w:hAnsiTheme="minorHAnsi"/>
          <w:szCs w:val="24"/>
          <w:lang w:val="es-ES_tradnl"/>
        </w:rPr>
      </w:pPr>
    </w:p>
    <w:p w14:paraId="6CAB560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III. Si el bien expropiado por causa de utilidad pública no se destina al objeto que motivó la expropiación, el propietario o sus causahabientes pueden retraerlo devolviendo la indemnización recibida. Los detrimentos se compensarán previa evaluación pericial. </w:t>
      </w:r>
    </w:p>
    <w:p w14:paraId="04107F9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60 Código Civil) </w:t>
      </w:r>
    </w:p>
    <w:p w14:paraId="07FAD7E3" w14:textId="77777777" w:rsidR="0082775B" w:rsidRPr="000D3432" w:rsidRDefault="0082775B" w:rsidP="00A95498">
      <w:pPr>
        <w:jc w:val="both"/>
        <w:rPr>
          <w:rFonts w:asciiTheme="minorHAnsi" w:hAnsiTheme="minorHAnsi"/>
          <w:szCs w:val="24"/>
          <w:lang w:val="es-ES_tradnl"/>
        </w:rPr>
      </w:pPr>
    </w:p>
    <w:p w14:paraId="3D38DCC2"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109.- (PROHIBICIONES DE ENAJENAR). </w:t>
      </w:r>
    </w:p>
    <w:p w14:paraId="4979C848"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Las prohibiciones legales de enajenar se rigen por las leyes que las establecen. Las prohibiciones voluntarias sólo se admiten cuando son temporales y están justificadas por un interés legítimo y serio. </w:t>
      </w:r>
    </w:p>
    <w:p w14:paraId="600548C6" w14:textId="77777777" w:rsidR="0082775B" w:rsidRPr="000D3432" w:rsidRDefault="0082775B" w:rsidP="00A95498">
      <w:pPr>
        <w:jc w:val="both"/>
        <w:rPr>
          <w:rFonts w:asciiTheme="minorHAnsi" w:hAnsiTheme="minorHAnsi"/>
          <w:szCs w:val="24"/>
          <w:lang w:val="es-ES_tradnl"/>
        </w:rPr>
      </w:pPr>
    </w:p>
    <w:p w14:paraId="45C5ACD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110.- (MODOS DE ADQUIRIR LA PROPIEDAD). </w:t>
      </w:r>
    </w:p>
    <w:p w14:paraId="4B85B1C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La propiedad se adquiere por ocupación, por accesión, por usucapión, por efecto de los contratos, por sucesión mortis causa, por la posesión de buena fe y por los otros modos establecidos por la ley. </w:t>
      </w:r>
    </w:p>
    <w:p w14:paraId="630276DC" w14:textId="77777777" w:rsidR="0082775B" w:rsidRPr="000D3432" w:rsidRDefault="0082775B" w:rsidP="00A95498">
      <w:pPr>
        <w:jc w:val="both"/>
        <w:rPr>
          <w:rFonts w:asciiTheme="minorHAnsi" w:hAnsiTheme="minorHAnsi"/>
          <w:szCs w:val="24"/>
          <w:lang w:val="es-ES_tradnl"/>
        </w:rPr>
      </w:pPr>
    </w:p>
    <w:p w14:paraId="7096C60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CAPÍTULO II</w:t>
      </w:r>
    </w:p>
    <w:p w14:paraId="6337571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De la propiedad inmueble</w:t>
      </w:r>
    </w:p>
    <w:p w14:paraId="5D155D94" w14:textId="77777777" w:rsidR="0082775B" w:rsidRPr="000D3432" w:rsidRDefault="0082775B" w:rsidP="00A95498">
      <w:pPr>
        <w:jc w:val="both"/>
        <w:rPr>
          <w:rFonts w:asciiTheme="minorHAnsi" w:hAnsiTheme="minorHAnsi"/>
          <w:szCs w:val="24"/>
          <w:lang w:val="es-ES_tradnl"/>
        </w:rPr>
      </w:pPr>
    </w:p>
    <w:p w14:paraId="17B3EE8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SECCIÓN I</w:t>
      </w:r>
    </w:p>
    <w:p w14:paraId="6CD1886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Disposiciones generales</w:t>
      </w:r>
    </w:p>
    <w:p w14:paraId="3D69CFF3" w14:textId="77777777" w:rsidR="0082775B" w:rsidRPr="000D3432" w:rsidRDefault="0082775B" w:rsidP="00A95498">
      <w:pPr>
        <w:jc w:val="both"/>
        <w:rPr>
          <w:rFonts w:asciiTheme="minorHAnsi" w:hAnsiTheme="minorHAnsi"/>
          <w:szCs w:val="24"/>
          <w:lang w:val="es-ES_tradnl"/>
        </w:rPr>
      </w:pPr>
    </w:p>
    <w:p w14:paraId="1F5B678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111.- (SUBSUELO Y SOBRESUELO). </w:t>
      </w:r>
    </w:p>
    <w:p w14:paraId="109FA67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 La propiedad del suelo se extiende al subsuelo y sobresuelo, prolongados desde el área limitada por el perímetro superficial hasta donde tenga interés el propietario para el ejercicio de su derecho. </w:t>
      </w:r>
    </w:p>
    <w:p w14:paraId="57C2302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136 Const. Pol. del Estado, Artículo 127 Código Civil) </w:t>
      </w:r>
    </w:p>
    <w:p w14:paraId="4FBED503" w14:textId="77777777" w:rsidR="0082775B" w:rsidRPr="000D3432" w:rsidRDefault="0082775B" w:rsidP="00A95498">
      <w:pPr>
        <w:jc w:val="both"/>
        <w:rPr>
          <w:rFonts w:asciiTheme="minorHAnsi" w:hAnsiTheme="minorHAnsi"/>
          <w:szCs w:val="24"/>
          <w:lang w:val="es-ES_tradnl"/>
        </w:rPr>
      </w:pPr>
    </w:p>
    <w:p w14:paraId="66FEA37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 Esta disposición no se aplica a las substancias minerales, a los hidrocarburos, a los objetos arqueológicos y a otros bienes regidos por leyes especiales. </w:t>
      </w:r>
    </w:p>
    <w:p w14:paraId="51D0E73D" w14:textId="77777777" w:rsidR="0082775B" w:rsidRPr="000D3432" w:rsidRDefault="0082775B" w:rsidP="00A95498">
      <w:pPr>
        <w:jc w:val="both"/>
        <w:rPr>
          <w:rFonts w:asciiTheme="minorHAnsi" w:hAnsiTheme="minorHAnsi"/>
          <w:szCs w:val="24"/>
          <w:lang w:val="es-ES_tradnl"/>
        </w:rPr>
      </w:pPr>
    </w:p>
    <w:p w14:paraId="5643EA0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112.- (ACCESO AL FUNDO). </w:t>
      </w:r>
    </w:p>
    <w:p w14:paraId="0676B4D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El propietario debe permitir el acceso y el tránsito por su fundo al vecino que necesite hacer construir o reparar un muro, o realiza otra obra propia o común, e igualmente a quien quiera recobrar una cosa suya que se encuentre allí accidentalmente salvo que se le entregue la cosa reclamada. Si el acceso ocasiona algún daño debe ser resarcido. </w:t>
      </w:r>
    </w:p>
    <w:p w14:paraId="13054859" w14:textId="77777777" w:rsidR="0082775B" w:rsidRPr="000D3432" w:rsidRDefault="0082775B" w:rsidP="00A95498">
      <w:pPr>
        <w:jc w:val="both"/>
        <w:rPr>
          <w:rFonts w:asciiTheme="minorHAnsi" w:hAnsiTheme="minorHAnsi"/>
          <w:szCs w:val="24"/>
          <w:lang w:val="es-ES_tradnl"/>
        </w:rPr>
      </w:pPr>
    </w:p>
    <w:p w14:paraId="4CB52B7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113.- (DESLINDE Y AMOJONAMIENTO). </w:t>
      </w:r>
    </w:p>
    <w:p w14:paraId="5D504ED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El dueño de un fundo puede obligar a su vecino, en cualquier tiempo, al deslinde y amojonamiento. </w:t>
      </w:r>
    </w:p>
    <w:p w14:paraId="6CEE52B1" w14:textId="77777777" w:rsidR="0082775B" w:rsidRPr="000D3432" w:rsidRDefault="0082775B" w:rsidP="00A95498">
      <w:pPr>
        <w:jc w:val="both"/>
        <w:rPr>
          <w:rFonts w:asciiTheme="minorHAnsi" w:hAnsiTheme="minorHAnsi"/>
          <w:szCs w:val="24"/>
          <w:lang w:val="es-ES_tradnl"/>
        </w:rPr>
      </w:pPr>
    </w:p>
    <w:p w14:paraId="0DE74B6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114.- (CERRAMIENTO). </w:t>
      </w:r>
    </w:p>
    <w:p w14:paraId="7D44BF6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El propietario puede cerrar su fundo en cualquier tiempo. </w:t>
      </w:r>
    </w:p>
    <w:p w14:paraId="516FBE7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(Arts. 105, 123 Código Civil). </w:t>
      </w:r>
    </w:p>
    <w:p w14:paraId="46EAB25F" w14:textId="77777777" w:rsidR="0082775B" w:rsidRPr="000D3432" w:rsidRDefault="0082775B" w:rsidP="00A95498">
      <w:pPr>
        <w:jc w:val="both"/>
        <w:rPr>
          <w:rFonts w:asciiTheme="minorHAnsi" w:hAnsiTheme="minorHAnsi"/>
          <w:szCs w:val="24"/>
          <w:lang w:val="es-ES_tradnl"/>
        </w:rPr>
      </w:pPr>
    </w:p>
    <w:p w14:paraId="34C9C9D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SECCION II</w:t>
      </w:r>
    </w:p>
    <w:p w14:paraId="3C521DF1"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Limitaciones derivadas de las relaciones de vecindad</w:t>
      </w:r>
    </w:p>
    <w:p w14:paraId="35538DA7" w14:textId="77777777" w:rsidR="0082775B" w:rsidRPr="000D3432" w:rsidRDefault="0082775B" w:rsidP="00A95498">
      <w:pPr>
        <w:jc w:val="both"/>
        <w:rPr>
          <w:rFonts w:asciiTheme="minorHAnsi" w:hAnsiTheme="minorHAnsi"/>
          <w:szCs w:val="24"/>
          <w:lang w:val="es-ES_tradnl"/>
        </w:rPr>
      </w:pPr>
    </w:p>
    <w:p w14:paraId="616E171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SUBSECCION I</w:t>
      </w:r>
    </w:p>
    <w:p w14:paraId="5779660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Del uso nocivo de la propiedad</w:t>
      </w:r>
    </w:p>
    <w:p w14:paraId="674C5171" w14:textId="77777777" w:rsidR="0082775B" w:rsidRPr="000D3432" w:rsidRDefault="0082775B" w:rsidP="00A95498">
      <w:pPr>
        <w:jc w:val="both"/>
        <w:rPr>
          <w:rFonts w:asciiTheme="minorHAnsi" w:hAnsiTheme="minorHAnsi"/>
          <w:szCs w:val="24"/>
          <w:lang w:val="es-ES_tradnl"/>
        </w:rPr>
      </w:pPr>
    </w:p>
    <w:p w14:paraId="75DD44A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115.- (EJERCICIO DE LA PROPIEDAD EN PERJUICIO DE LOS VECINOS). </w:t>
      </w:r>
    </w:p>
    <w:p w14:paraId="449F840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 El propietario al ejercer su derecho y especialmente al explotar una industria o negocio debe abstenerse de todo lo que pueda perjudicar a la propiedades vecinas, a la seguridad, a la salud o al sosiego de quienes en ellas viven. </w:t>
      </w:r>
    </w:p>
    <w:p w14:paraId="3698AD6D" w14:textId="77777777" w:rsidR="0082775B" w:rsidRPr="000D3432" w:rsidRDefault="0082775B" w:rsidP="00A95498">
      <w:pPr>
        <w:jc w:val="both"/>
        <w:rPr>
          <w:rFonts w:asciiTheme="minorHAnsi" w:hAnsiTheme="minorHAnsi"/>
          <w:szCs w:val="24"/>
          <w:lang w:val="es-ES_tradnl"/>
        </w:rPr>
      </w:pPr>
    </w:p>
    <w:p w14:paraId="1A4200D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 Esta disposición se hace extensiva a quienes poseen y a quienes detentan la cosa. </w:t>
      </w:r>
    </w:p>
    <w:p w14:paraId="71282F6B" w14:textId="77777777" w:rsidR="0082775B" w:rsidRPr="000D3432" w:rsidRDefault="0082775B" w:rsidP="00A95498">
      <w:pPr>
        <w:jc w:val="both"/>
        <w:rPr>
          <w:rFonts w:asciiTheme="minorHAnsi" w:hAnsiTheme="minorHAnsi"/>
          <w:szCs w:val="24"/>
          <w:lang w:val="es-ES_tradnl"/>
        </w:rPr>
      </w:pPr>
    </w:p>
    <w:p w14:paraId="2DB015D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Artículo 116.- (EDIFICIOS QUE AMENAZAN RUINA Y ARBOLES QUE CONSTIUYEN PELIGRO). </w:t>
      </w:r>
    </w:p>
    <w:p w14:paraId="5743414F" w14:textId="77777777" w:rsidR="0082775B" w:rsidRPr="000D3432" w:rsidRDefault="0082775B" w:rsidP="00A95498">
      <w:pPr>
        <w:jc w:val="both"/>
        <w:rPr>
          <w:rFonts w:asciiTheme="minorHAnsi" w:hAnsiTheme="minorHAnsi"/>
          <w:szCs w:val="24"/>
          <w:lang w:val="es-ES_tradnl"/>
        </w:rPr>
      </w:pPr>
    </w:p>
    <w:p w14:paraId="4A2D49D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lastRenderedPageBreak/>
        <w:t xml:space="preserve">I. El propietario está obligado a mantener su fundo en buen estado y en condiciones que no perjudiquen o afecten a la seguridad de terceros. </w:t>
      </w:r>
    </w:p>
    <w:p w14:paraId="46779F24" w14:textId="77777777" w:rsidR="0082775B" w:rsidRPr="000D3432" w:rsidRDefault="0082775B" w:rsidP="00A95498">
      <w:pPr>
        <w:jc w:val="both"/>
        <w:rPr>
          <w:rFonts w:asciiTheme="minorHAnsi" w:hAnsiTheme="minorHAnsi"/>
          <w:szCs w:val="24"/>
          <w:lang w:val="es-ES_tradnl"/>
        </w:rPr>
      </w:pPr>
    </w:p>
    <w:p w14:paraId="76210B9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 Cuando un edificio amenaza ruina, el vecino puede exigir la demolición o las reparaciones necesarias, según corresponda. </w:t>
      </w:r>
    </w:p>
    <w:p w14:paraId="6CC6355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(Arts. 615 y siguientes Código de Proc. Civil). </w:t>
      </w:r>
    </w:p>
    <w:p w14:paraId="0AF9E95C" w14:textId="77777777" w:rsidR="0082775B" w:rsidRPr="000D3432" w:rsidRDefault="0082775B" w:rsidP="00A95498">
      <w:pPr>
        <w:jc w:val="both"/>
        <w:rPr>
          <w:rFonts w:asciiTheme="minorHAnsi" w:hAnsiTheme="minorHAnsi"/>
          <w:szCs w:val="24"/>
          <w:lang w:val="es-ES_tradnl"/>
        </w:rPr>
      </w:pPr>
    </w:p>
    <w:p w14:paraId="307A274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III. Si un árbol constituye peligro se puede hacerlo arrancar o retirar. (Artículo 997 Código Civil) </w:t>
      </w:r>
    </w:p>
    <w:p w14:paraId="59423CEA" w14:textId="77777777" w:rsidR="0082775B" w:rsidRPr="000D3432" w:rsidRDefault="0082775B" w:rsidP="00A95498">
      <w:pPr>
        <w:jc w:val="both"/>
        <w:rPr>
          <w:rFonts w:asciiTheme="minorHAnsi" w:hAnsiTheme="minorHAnsi"/>
          <w:szCs w:val="24"/>
          <w:lang w:val="es-ES_tradnl"/>
        </w:rPr>
      </w:pPr>
    </w:p>
    <w:p w14:paraId="5D27C09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u w:val="single"/>
          <w:lang w:val="es-ES_tradnl"/>
        </w:rPr>
        <w:t>CÓDIGO CIVIL DE VENEZUELA</w:t>
      </w:r>
    </w:p>
    <w:p w14:paraId="591423B1" w14:textId="77777777" w:rsidR="0082775B" w:rsidRPr="000D3432" w:rsidRDefault="0082775B" w:rsidP="00A95498">
      <w:pPr>
        <w:jc w:val="both"/>
        <w:rPr>
          <w:rFonts w:asciiTheme="minorHAnsi" w:hAnsiTheme="minorHAnsi"/>
          <w:szCs w:val="24"/>
          <w:lang w:val="es-ES_tradnl"/>
        </w:rPr>
      </w:pPr>
    </w:p>
    <w:p w14:paraId="74AA180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LIBRO SEGUNDO: De los bienes, de la propiedad y de sus modificaciones</w:t>
      </w:r>
    </w:p>
    <w:p w14:paraId="3C69103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r>
      <w:r w:rsidRPr="000D3432">
        <w:rPr>
          <w:rFonts w:asciiTheme="minorHAnsi" w:hAnsiTheme="minorHAnsi"/>
          <w:szCs w:val="24"/>
          <w:lang w:val="es-ES_tradnl"/>
        </w:rPr>
        <w:tab/>
        <w:t>TÍTULO I: DE LOS BIENES</w:t>
      </w:r>
    </w:p>
    <w:p w14:paraId="259F42F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r>
      <w:r w:rsidRPr="000D3432">
        <w:rPr>
          <w:rFonts w:asciiTheme="minorHAnsi" w:hAnsiTheme="minorHAnsi"/>
          <w:szCs w:val="24"/>
          <w:lang w:val="es-ES_tradnl"/>
        </w:rPr>
        <w:tab/>
        <w:t>TÍTULO II: DE LA PROPIEDAD</w:t>
      </w:r>
    </w:p>
    <w:p w14:paraId="69D9517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r>
      <w:r w:rsidRPr="000D3432">
        <w:rPr>
          <w:rFonts w:asciiTheme="minorHAnsi" w:hAnsiTheme="minorHAnsi"/>
          <w:szCs w:val="24"/>
          <w:lang w:val="es-ES_tradnl"/>
        </w:rPr>
        <w:tab/>
        <w:t>TÍTULO III: DE LAS LIMITACIONES DE LA PROPIEDAD</w:t>
      </w:r>
    </w:p>
    <w:p w14:paraId="51179B4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r>
      <w:r w:rsidRPr="000D3432">
        <w:rPr>
          <w:rFonts w:asciiTheme="minorHAnsi" w:hAnsiTheme="minorHAnsi"/>
          <w:szCs w:val="24"/>
          <w:lang w:val="es-ES_tradnl"/>
        </w:rPr>
        <w:tab/>
        <w:t>TÍTULO IV: DE LA COMUNIDAD</w:t>
      </w:r>
    </w:p>
    <w:p w14:paraId="11AD949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r>
      <w:r w:rsidRPr="000D3432">
        <w:rPr>
          <w:rFonts w:asciiTheme="minorHAnsi" w:hAnsiTheme="minorHAnsi"/>
          <w:szCs w:val="24"/>
          <w:lang w:val="es-ES_tradnl"/>
        </w:rPr>
        <w:tab/>
        <w:t>TITULO V: DE LA POSESION</w:t>
      </w:r>
    </w:p>
    <w:p w14:paraId="4B2B3B5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TÍTULO II</w:t>
      </w:r>
    </w:p>
    <w:p w14:paraId="5490D040"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DE LA PROPIEDAD</w:t>
      </w:r>
    </w:p>
    <w:p w14:paraId="5291F7F2" w14:textId="77777777" w:rsidR="0082775B" w:rsidRPr="000D3432" w:rsidRDefault="0082775B" w:rsidP="00A95498">
      <w:pPr>
        <w:jc w:val="both"/>
        <w:rPr>
          <w:rFonts w:asciiTheme="minorHAnsi" w:hAnsiTheme="minorHAnsi"/>
          <w:szCs w:val="24"/>
          <w:lang w:val="es-ES_tradnl"/>
        </w:rPr>
      </w:pPr>
    </w:p>
    <w:p w14:paraId="44E1F0CE"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CAPÍTULO I</w:t>
      </w:r>
    </w:p>
    <w:p w14:paraId="2ADFEC46"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Disposiciones generales</w:t>
      </w:r>
    </w:p>
    <w:p w14:paraId="6B78004F" w14:textId="77777777" w:rsidR="0082775B" w:rsidRPr="000D3432" w:rsidRDefault="0082775B" w:rsidP="00A95498">
      <w:pPr>
        <w:jc w:val="both"/>
        <w:rPr>
          <w:rFonts w:asciiTheme="minorHAnsi" w:hAnsiTheme="minorHAnsi"/>
          <w:szCs w:val="24"/>
          <w:lang w:val="es-ES_tradnl"/>
        </w:rPr>
      </w:pPr>
    </w:p>
    <w:p w14:paraId="75B0D07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545.- La propiedad es el derecho de usar, gozar y disponer de una cosa de manera exclusiva, con las restricciones y obligaciones establecidas por la Ley.</w:t>
      </w:r>
    </w:p>
    <w:p w14:paraId="1B39F8CA" w14:textId="77777777" w:rsidR="0082775B" w:rsidRPr="000D3432" w:rsidRDefault="0082775B" w:rsidP="00A95498">
      <w:pPr>
        <w:jc w:val="both"/>
        <w:rPr>
          <w:rFonts w:asciiTheme="minorHAnsi" w:hAnsiTheme="minorHAnsi"/>
          <w:szCs w:val="24"/>
          <w:lang w:val="es-ES_tradnl"/>
        </w:rPr>
      </w:pPr>
    </w:p>
    <w:p w14:paraId="1A0A2099"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546.- El producto o valor del trabajo o industria lícitos, así como las producciones del ingenio o del talento de cualquiera persona, son propiedad suya, y se rigen por las leyes relativas a la propiedad en general y las especiales sobre estas materias.</w:t>
      </w:r>
    </w:p>
    <w:p w14:paraId="11913E70" w14:textId="77777777" w:rsidR="0082775B" w:rsidRPr="000D3432" w:rsidRDefault="0082775B" w:rsidP="00A95498">
      <w:pPr>
        <w:jc w:val="both"/>
        <w:rPr>
          <w:rFonts w:asciiTheme="minorHAnsi" w:hAnsiTheme="minorHAnsi"/>
          <w:szCs w:val="24"/>
          <w:lang w:val="es-ES_tradnl"/>
        </w:rPr>
      </w:pPr>
    </w:p>
    <w:p w14:paraId="0C1512A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547.- Nadie puede ser obligado a ceder su propiedad, ni a permitir que otros hagan uso de ella, sino por causa de utilidad pública o social, mediante juicio contradictorio e indemnización previa.</w:t>
      </w:r>
    </w:p>
    <w:p w14:paraId="1F793A7B" w14:textId="77777777" w:rsidR="0082775B" w:rsidRPr="000D3432" w:rsidRDefault="0082775B" w:rsidP="00A95498">
      <w:pPr>
        <w:jc w:val="both"/>
        <w:rPr>
          <w:rFonts w:asciiTheme="minorHAnsi" w:hAnsiTheme="minorHAnsi"/>
          <w:szCs w:val="24"/>
          <w:lang w:val="es-ES_tradnl"/>
        </w:rPr>
      </w:pPr>
    </w:p>
    <w:p w14:paraId="08C541CD"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Las reglas relativas a la expropiación por causa de utilidad pública o social se determinan por leyes especiales.</w:t>
      </w:r>
    </w:p>
    <w:p w14:paraId="127A0308" w14:textId="77777777" w:rsidR="0082775B" w:rsidRPr="000D3432" w:rsidRDefault="0082775B" w:rsidP="00A95498">
      <w:pPr>
        <w:jc w:val="both"/>
        <w:rPr>
          <w:rFonts w:asciiTheme="minorHAnsi" w:hAnsiTheme="minorHAnsi"/>
          <w:szCs w:val="24"/>
          <w:lang w:val="es-ES_tradnl"/>
        </w:rPr>
      </w:pPr>
    </w:p>
    <w:p w14:paraId="6DD30E2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548.- El propietario de una cosa tiene el derecho de reivindicarla de cualquier poseedor o detentador, salvo las excepciones establecidas por las leyes.</w:t>
      </w:r>
    </w:p>
    <w:p w14:paraId="54D34D4E" w14:textId="77777777" w:rsidR="0082775B" w:rsidRPr="000D3432" w:rsidRDefault="0082775B" w:rsidP="00A95498">
      <w:pPr>
        <w:jc w:val="both"/>
        <w:rPr>
          <w:rFonts w:asciiTheme="minorHAnsi" w:hAnsiTheme="minorHAnsi"/>
          <w:szCs w:val="24"/>
          <w:lang w:val="es-ES_tradnl"/>
        </w:rPr>
      </w:pPr>
    </w:p>
    <w:p w14:paraId="4949807A"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Si el poseedor o detentador después de la demanda judicial ha dejado de poseer a su costa por hecho propio, está obligado a recobrarla a su costa por cuenta del demandante; y, si así no lo hiciere, a pagar su valor, sin perjuicio de la opción que tiene el demandante para intentar su acción contra el nuevo </w:t>
      </w:r>
      <w:r w:rsidRPr="000D3432">
        <w:rPr>
          <w:rFonts w:asciiTheme="minorHAnsi" w:hAnsiTheme="minorHAnsi"/>
          <w:szCs w:val="24"/>
          <w:lang w:val="es-ES_tradnl"/>
        </w:rPr>
        <w:lastRenderedPageBreak/>
        <w:t>poseedor o detentador.</w:t>
      </w:r>
    </w:p>
    <w:p w14:paraId="23D2ABAD" w14:textId="77777777" w:rsidR="0082775B" w:rsidRPr="000D3432" w:rsidRDefault="0082775B" w:rsidP="00A95498">
      <w:pPr>
        <w:jc w:val="both"/>
        <w:rPr>
          <w:rFonts w:asciiTheme="minorHAnsi" w:hAnsiTheme="minorHAnsi"/>
          <w:szCs w:val="24"/>
          <w:lang w:val="es-ES_tradnl"/>
        </w:rPr>
      </w:pPr>
    </w:p>
    <w:p w14:paraId="6410E024"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549.- La propiedad del suelo lleva consigo la de la superficie y de todo cuanto se encuentre encima o debajo de ella, salvo lo dispuesto en las leyes especiales.</w:t>
      </w:r>
    </w:p>
    <w:p w14:paraId="7673AC2D" w14:textId="77777777" w:rsidR="0082775B" w:rsidRPr="000D3432" w:rsidRDefault="0082775B" w:rsidP="00A95498">
      <w:pPr>
        <w:jc w:val="both"/>
        <w:rPr>
          <w:rFonts w:asciiTheme="minorHAnsi" w:hAnsiTheme="minorHAnsi"/>
          <w:szCs w:val="24"/>
          <w:lang w:val="es-ES_tradnl"/>
        </w:rPr>
      </w:pPr>
    </w:p>
    <w:p w14:paraId="4EA1382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550.- Todo propietario puede obligar a su vecino al deslinde de las propiedades contiguas; y de acuerdo con lo que establezcan las leyes y ordenanzas locales, o en su defecto, los usos del lugar y la clase de la propiedad, a construir, a expensas comunes, las obras que las separen.</w:t>
      </w:r>
    </w:p>
    <w:p w14:paraId="19F4091C" w14:textId="77777777" w:rsidR="0082775B" w:rsidRPr="000D3432" w:rsidRDefault="0082775B" w:rsidP="00A95498">
      <w:pPr>
        <w:jc w:val="both"/>
        <w:rPr>
          <w:rFonts w:asciiTheme="minorHAnsi" w:hAnsiTheme="minorHAnsi"/>
          <w:szCs w:val="24"/>
          <w:lang w:val="es-ES_tradnl"/>
        </w:rPr>
      </w:pPr>
    </w:p>
    <w:p w14:paraId="420E41F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Artículo 551.- Cualquiera puede cerrar su fundo, salvo los derechos de servidumbres que pertenezcan a terceros.</w:t>
      </w:r>
    </w:p>
    <w:p w14:paraId="3804EBC2" w14:textId="77777777" w:rsidR="0082775B" w:rsidRPr="000D3432" w:rsidRDefault="0082775B" w:rsidP="00A95498">
      <w:pPr>
        <w:jc w:val="both"/>
        <w:rPr>
          <w:rFonts w:asciiTheme="minorHAnsi" w:hAnsiTheme="minorHAnsi"/>
          <w:szCs w:val="24"/>
          <w:lang w:val="es-ES_tradnl"/>
        </w:rPr>
      </w:pPr>
    </w:p>
    <w:p w14:paraId="2FD53B35"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b/>
          <w:szCs w:val="24"/>
          <w:lang w:val="es-ES_tradnl"/>
        </w:rPr>
        <w:t>5.- CONCLUSIONES</w:t>
      </w:r>
    </w:p>
    <w:p w14:paraId="224D2FE8" w14:textId="77777777" w:rsidR="0082775B" w:rsidRPr="000D3432" w:rsidRDefault="0082775B" w:rsidP="00A95498">
      <w:pPr>
        <w:jc w:val="both"/>
        <w:rPr>
          <w:rFonts w:asciiTheme="minorHAnsi" w:hAnsiTheme="minorHAnsi"/>
          <w:szCs w:val="24"/>
          <w:lang w:val="es-ES_tradnl"/>
        </w:rPr>
      </w:pPr>
    </w:p>
    <w:p w14:paraId="06338DFC"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Antes de dar  algunas conclusiones queremos explicar el asunto desde la perspectiva de la justicia. Si es justo o no este fenómeno, el tráfico de predios adjudicados por el Estado. Por eso interpretaremos, como reseña lo que es la justicia, usando a Michel Villey y su análisis de la Justicia de San Agustín (sin ser esta una explicación religiosa). </w:t>
      </w:r>
    </w:p>
    <w:p w14:paraId="02DAA097" w14:textId="77777777" w:rsidR="0082775B" w:rsidRPr="000D3432" w:rsidRDefault="0082775B" w:rsidP="00A95498">
      <w:pPr>
        <w:jc w:val="both"/>
        <w:rPr>
          <w:rFonts w:asciiTheme="minorHAnsi" w:hAnsiTheme="minorHAnsi"/>
          <w:szCs w:val="24"/>
        </w:rPr>
      </w:pPr>
    </w:p>
    <w:p w14:paraId="184F827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Cuando Michel Villey </w:t>
      </w:r>
      <w:r w:rsidRPr="000D3432">
        <w:rPr>
          <w:rStyle w:val="Refdenotaalpie"/>
          <w:rFonts w:asciiTheme="minorHAnsi" w:hAnsiTheme="minorHAnsi"/>
          <w:sz w:val="24"/>
          <w:szCs w:val="24"/>
        </w:rPr>
        <w:footnoteReference w:id="732"/>
      </w:r>
      <w:r w:rsidRPr="000D3432">
        <w:rPr>
          <w:rFonts w:asciiTheme="minorHAnsi" w:hAnsiTheme="minorHAnsi"/>
          <w:szCs w:val="24"/>
        </w:rPr>
        <w:t xml:space="preserve"> habla sobre la Justicia, usando como elemento de análisis a la justicia cristiana según San Agustín, lo que pretende es darle cierto contenido a la institución justicia.</w:t>
      </w:r>
    </w:p>
    <w:p w14:paraId="3D4DFA1C" w14:textId="77777777" w:rsidR="0082775B" w:rsidRPr="000D3432" w:rsidRDefault="0082775B" w:rsidP="00A95498">
      <w:pPr>
        <w:jc w:val="both"/>
        <w:rPr>
          <w:rFonts w:asciiTheme="minorHAnsi" w:hAnsiTheme="minorHAnsi"/>
          <w:szCs w:val="24"/>
        </w:rPr>
      </w:pPr>
    </w:p>
    <w:p w14:paraId="7380E8F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análisis de  Michel Vlilley empieza haciendo una diferencia. La diferencia del marco de entendimiento del término justicia. El propósito de San Agustín, dice Villey, es diferenciar la justicia clásica de la justicia divina. La primera no tendría mayor relevancia, o sería indeterminable. Y así el concepto de justicia proclamado por San Agustín empieza con dos fórmulas: “Amarás a Dios y a tu prójimo como a ti mismo”, y “Haz a los demás lo que quieres que te hagan a ti”.</w:t>
      </w:r>
    </w:p>
    <w:p w14:paraId="337597E2" w14:textId="77777777" w:rsidR="0082775B" w:rsidRPr="000D3432" w:rsidRDefault="0082775B" w:rsidP="00A95498">
      <w:pPr>
        <w:jc w:val="both"/>
        <w:rPr>
          <w:rFonts w:asciiTheme="minorHAnsi" w:hAnsiTheme="minorHAnsi"/>
          <w:szCs w:val="24"/>
        </w:rPr>
      </w:pPr>
    </w:p>
    <w:p w14:paraId="4150784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 fórmula es perfecta si lo que se quiere es lograr penetrar en el interés del individuo. La justicia no parte de Dios, sino del ser humano en relación con Dios. Decír, amarás a Dios y a tu prójimo como a ti mismo, lo que se está diciendo es que no es Dios el eje de referencia de tu acción sino uno mismo. Ese “como a ti mismo”, que es la causa del actuar del ser humano determina toda la conducta posterior.  Porque no se puede amar a Dios y al prójimo sino en referencia a uno mismo.  Este es el primer bumerang lanzado por el cristianismo, apela no al resto, sino a uno mismo, no el resto es lo importante, sino uno mismo, porque San Agustín sabe que uno no quiere lo mejor para los demás, sino lo mejor para uno mismo, por lo mismo no podrá amar a Dios y al prójimo como si fueran Dios y el prójimo, sino como si ellos –Dios y el prójimo- fueran uno mismo. Ese es el truco. La vuelta a uno mismo. Aunque el principio haya sido corrompido en su </w:t>
      </w:r>
      <w:r w:rsidRPr="000D3432">
        <w:rPr>
          <w:rFonts w:asciiTheme="minorHAnsi" w:hAnsiTheme="minorHAnsi"/>
          <w:szCs w:val="24"/>
        </w:rPr>
        <w:lastRenderedPageBreak/>
        <w:t xml:space="preserve">interpretación histórica cristiana. </w:t>
      </w:r>
    </w:p>
    <w:p w14:paraId="4722A743" w14:textId="77777777" w:rsidR="0082775B" w:rsidRPr="000D3432" w:rsidRDefault="0082775B" w:rsidP="00A95498">
      <w:pPr>
        <w:jc w:val="both"/>
        <w:rPr>
          <w:rFonts w:asciiTheme="minorHAnsi" w:hAnsiTheme="minorHAnsi"/>
          <w:szCs w:val="24"/>
        </w:rPr>
      </w:pPr>
    </w:p>
    <w:p w14:paraId="1777980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otra fórmula sólo refuerza la primera: “Haz a los demás lo que quieres que te hagan a ti”, similar a la que uso Kant: “Que tu obrar responda a una ley universal”.</w:t>
      </w:r>
    </w:p>
    <w:p w14:paraId="620FDA1F" w14:textId="77777777" w:rsidR="0082775B" w:rsidRPr="000D3432" w:rsidRDefault="0082775B" w:rsidP="00A95498">
      <w:pPr>
        <w:jc w:val="both"/>
        <w:rPr>
          <w:rFonts w:asciiTheme="minorHAnsi" w:hAnsiTheme="minorHAnsi"/>
          <w:szCs w:val="24"/>
        </w:rPr>
      </w:pPr>
    </w:p>
    <w:p w14:paraId="152FBD1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San Agustín propuso y difundió esa fórmula porque llevaba en sí otra vez el principio de referencia al individuo. No son los demás lo importante sino uno. Sólo se puede hacer lo que quieres que te hagan a ti, y por supuesto nadie querrá verse mancillado, humillado, violado, etc., etc. La referencia está clara. San Agustín apela al interés individual, parte del individuo y no de la sociedad. Y por eso esta fórmula funciona. Yo no voy a hacer nada que me perjudique, al menos no concientemente, o al menos no si puede evitarlo y sustituirlo por algo más placentero y beneficioso. Lo justo es entonces sólo marcado por nuestra propia visión. No es la fuerza la que intenta normarnos y regular nuestra relación con los demás, nuestra conducta en relación con los demás, sino la persuasión, la persuasión que dice que lo justo es que nadie debe hacer algo que no le gustaría que le hagan. Autorrestricción. La gran arma del cristianismo. La autocensura, la autocomposición (que luego fue llevada a la perversión). Lo justo es entonces hacer lo correcto, y lo correcto es medido por uno mismo, por un no hacer lo que no queremos que nos hagan a nosotros. El principio se plantea negativo, pues se trata en un “no hacer”, “no hagas lo que no quieres que te hagan”.</w:t>
      </w:r>
    </w:p>
    <w:p w14:paraId="6375EF6C" w14:textId="77777777" w:rsidR="0082775B" w:rsidRPr="000D3432" w:rsidRDefault="0082775B" w:rsidP="00A95498">
      <w:pPr>
        <w:jc w:val="both"/>
        <w:rPr>
          <w:rFonts w:asciiTheme="minorHAnsi" w:hAnsiTheme="minorHAnsi"/>
          <w:szCs w:val="24"/>
        </w:rPr>
      </w:pPr>
    </w:p>
    <w:p w14:paraId="3E6EFAC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Esta idea va empatada con la idea del pecado. El pecado, en sus inicios no es la trasgresión de las normas religiosas simplemente, es “no equivocar el camino”. Pecar significaba: no equivocar el camino correcto. Pero como nadie sabe cual es el camino correcto, y nadie puede aún determinarlo del todo, lo que el hombre tiene que saber, al menos, es que es lo que no debe hacer, qué camino no recorrer. Y el pecado encierra ese significado, pues indica que quien comete pecado, ha equivocado el camino, el buen camino.</w:t>
      </w:r>
    </w:p>
    <w:p w14:paraId="4298218D" w14:textId="77777777" w:rsidR="0082775B" w:rsidRPr="000D3432" w:rsidRDefault="0082775B" w:rsidP="00A95498">
      <w:pPr>
        <w:jc w:val="both"/>
        <w:rPr>
          <w:rFonts w:asciiTheme="minorHAnsi" w:hAnsiTheme="minorHAnsi"/>
          <w:szCs w:val="24"/>
        </w:rPr>
      </w:pPr>
    </w:p>
    <w:p w14:paraId="614BF5F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 lo que quiere llegar San Agustín, para Michel Villey, es a determinar a la justicia, pero esta no se deja aprehender tan fácilmente, puesto que: “La justicia, en sus consecuencias concretas, es informulable.”</w:t>
      </w:r>
    </w:p>
    <w:p w14:paraId="3A27D31B" w14:textId="77777777" w:rsidR="0082775B" w:rsidRPr="000D3432" w:rsidRDefault="0082775B" w:rsidP="00A95498">
      <w:pPr>
        <w:jc w:val="both"/>
        <w:rPr>
          <w:rFonts w:asciiTheme="minorHAnsi" w:hAnsiTheme="minorHAnsi"/>
          <w:szCs w:val="24"/>
        </w:rPr>
      </w:pPr>
    </w:p>
    <w:p w14:paraId="24DA8C8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Villey hace referencia a las “Confesiones” de San Agustín “..la justicia en sí misma no puede cambiar ni variar...” eso indica que hay algo perseguido por el hombre, hay alguna cosa, o concepto que intenta siempre el hombre, a ese algo que lo coloca en una posición favorable en la vida lo llama justicia, y justicia porque el hombre considera que es justo vivir bien, y mejor en relación al interés del otro.</w:t>
      </w:r>
    </w:p>
    <w:p w14:paraId="6F4CCE3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¿Cómo es esta justicia inmutable, y que es en sí misma? ¿Cómo definirla? La justicia no puede ser algo acabado, pero si puede ser una intención, un deseo, una meta, que explica, más que el hecho de haber justicia, la necesidad del hombre para utilizar moldes a los cuales someter su existencia, su experiencia de vida.  Esta intención y búsqueda del hombre es constante en todos los tiempos, esa forma de medir su vida, su conducta, y su relación con los demás. </w:t>
      </w:r>
      <w:r w:rsidRPr="000D3432">
        <w:rPr>
          <w:rFonts w:asciiTheme="minorHAnsi" w:hAnsiTheme="minorHAnsi"/>
          <w:szCs w:val="24"/>
        </w:rPr>
        <w:lastRenderedPageBreak/>
        <w:t>Pero ese interés choca con dos fenómenos: el tiempo y el interés de los demás.  El tiempo registra las infinitas variaciones o la “Inmensa diversidad de las circunstancias históricas”. El tiempo pone en evidencia luego, que el hombre busca ciertos moldes, pero que no son los mismos moldes, porque la urgencia de vivir bien y mejor es diversa en cada tiempo. Cada tiempo engendra sus propias necesidades, cada tiempo decide y determina sus requerimientos. La justicia cambia en el efecto, y no en la consecuencia. El hombre sigue buscando justicia, pero llama justicia al logro o necesidad de obtener ciertos efectos. Los efectos siempre son, o por lo general, diversos, diferentes, y hasta a veces –muchas- contrarios y opuestos.</w:t>
      </w:r>
    </w:p>
    <w:p w14:paraId="7090B56D" w14:textId="77777777" w:rsidR="0082775B" w:rsidRPr="000D3432" w:rsidRDefault="0082775B" w:rsidP="00A95498">
      <w:pPr>
        <w:jc w:val="both"/>
        <w:rPr>
          <w:rFonts w:asciiTheme="minorHAnsi" w:hAnsiTheme="minorHAnsi"/>
          <w:szCs w:val="24"/>
        </w:rPr>
      </w:pPr>
    </w:p>
    <w:p w14:paraId="7A8D0A8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¿Que es lo que hace visualizar esta diversidad de efectos llamados justicia? Pues pueden ser las costumbres. Estas determinan, en parte el efecto buscado con la justicia. Pero no son la justicia (ese deseo ineludible del ser humano de adecuar su vida a ciertos patrones de vida). A eso llega, entonces Michel Villey: “La justicia, en sus consecuencias concretas es informulable”. El tiempo lo demuestra. No hay fórmula que nos diga qué actos o hechos humanos son siempre injustos, porque el hombre en el tiempo cambia su percepción de lo que es justo y lo que no lo es; cambia en sus prioridades, cambia en sus propios criterios de decisión de lo que es o no es válido, legítimo, justo. Pero en lo que no cambia es en esa búsqueda, o en la necesidad de buscar “justicia”.</w:t>
      </w:r>
    </w:p>
    <w:p w14:paraId="0FD91D6F" w14:textId="77777777" w:rsidR="0082775B" w:rsidRPr="000D3432" w:rsidRDefault="0082775B" w:rsidP="00A95498">
      <w:pPr>
        <w:jc w:val="both"/>
        <w:rPr>
          <w:rFonts w:asciiTheme="minorHAnsi" w:hAnsiTheme="minorHAnsi"/>
          <w:szCs w:val="24"/>
        </w:rPr>
      </w:pPr>
    </w:p>
    <w:p w14:paraId="174AD6B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Villey aclara que San Agustín sabe al formular la justicia cristiana que se está enfrentando a la noción de justo de los filósofos paganos. Y sabe, además, que tiene que trabajar sobre el concepto de la distribución justa de la riqueza, de “esas fórmulas matemáticas de Pitágoras y de Aristóteles en la distribución social de los bienes”.</w:t>
      </w:r>
      <w:r w:rsidRPr="000D3432">
        <w:rPr>
          <w:rStyle w:val="Refdenotaalpie"/>
          <w:rFonts w:asciiTheme="minorHAnsi" w:hAnsiTheme="minorHAnsi"/>
          <w:sz w:val="24"/>
          <w:szCs w:val="24"/>
        </w:rPr>
        <w:footnoteReference w:id="733"/>
      </w:r>
    </w:p>
    <w:p w14:paraId="2D1BBE1D" w14:textId="77777777" w:rsidR="0082775B" w:rsidRPr="000D3432" w:rsidRDefault="0082775B" w:rsidP="00A95498">
      <w:pPr>
        <w:jc w:val="both"/>
        <w:rPr>
          <w:rFonts w:asciiTheme="minorHAnsi" w:hAnsiTheme="minorHAnsi"/>
          <w:szCs w:val="24"/>
        </w:rPr>
      </w:pPr>
    </w:p>
    <w:p w14:paraId="1C5928A4" w14:textId="77777777" w:rsidR="0082775B" w:rsidRPr="000D3432" w:rsidRDefault="0082775B" w:rsidP="00A95498">
      <w:pPr>
        <w:jc w:val="both"/>
        <w:rPr>
          <w:rFonts w:asciiTheme="minorHAnsi" w:hAnsiTheme="minorHAnsi"/>
          <w:szCs w:val="24"/>
        </w:rPr>
      </w:pPr>
    </w:p>
    <w:p w14:paraId="2378E7B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Michel Villey encuentra ciertos caracteres en la Justicia Cristiana de San Agustín, y las enumera:</w:t>
      </w:r>
    </w:p>
    <w:p w14:paraId="705DD335" w14:textId="77777777" w:rsidR="0082775B" w:rsidRPr="000D3432" w:rsidRDefault="0082775B" w:rsidP="00A95498">
      <w:pPr>
        <w:jc w:val="both"/>
        <w:rPr>
          <w:rFonts w:asciiTheme="minorHAnsi" w:hAnsiTheme="minorHAnsi"/>
          <w:szCs w:val="24"/>
        </w:rPr>
      </w:pPr>
    </w:p>
    <w:p w14:paraId="5A7C8AE5"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a) Imprecisión</w:t>
      </w:r>
    </w:p>
    <w:p w14:paraId="76E949BB" w14:textId="77777777" w:rsidR="0082775B" w:rsidRPr="000D3432" w:rsidRDefault="0082775B" w:rsidP="00A95498">
      <w:pPr>
        <w:jc w:val="both"/>
        <w:rPr>
          <w:rFonts w:asciiTheme="minorHAnsi" w:hAnsiTheme="minorHAnsi"/>
          <w:szCs w:val="24"/>
        </w:rPr>
      </w:pPr>
    </w:p>
    <w:p w14:paraId="6EBE834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justicia de San Agustín no se formula y justifica en certezas objetivizables, u objetivas, y por lo tanto “no hay justicia verdadera sino en la adhesión mítica a Dios”</w:t>
      </w:r>
      <w:r w:rsidRPr="000D3432">
        <w:rPr>
          <w:rStyle w:val="Refdenotaalpie"/>
          <w:rFonts w:asciiTheme="minorHAnsi" w:hAnsiTheme="minorHAnsi"/>
          <w:sz w:val="24"/>
          <w:szCs w:val="24"/>
        </w:rPr>
        <w:footnoteReference w:id="734"/>
      </w:r>
      <w:r w:rsidRPr="000D3432">
        <w:rPr>
          <w:rFonts w:asciiTheme="minorHAnsi" w:hAnsiTheme="minorHAnsi"/>
          <w:szCs w:val="24"/>
        </w:rPr>
        <w:t>. Entonces la justicia no es objetiva, porque si la justicia se da en relación con Dios, y Dios es espíritu, y todas las manifestaciones divinas se dan a través del espíritu, entonces, la justicia es también “espíritu”, “no puede ser de otra manera debido a que la justicia es un espíritu”.  Por eso mismo, por esa condición divina “la justicia es informulable”, o mejor “la justicia, en sus consecuencias concretas, es informulable”</w:t>
      </w:r>
      <w:r w:rsidRPr="000D3432">
        <w:rPr>
          <w:rStyle w:val="Refdenotaalpie"/>
          <w:rFonts w:asciiTheme="minorHAnsi" w:hAnsiTheme="minorHAnsi"/>
          <w:sz w:val="24"/>
          <w:szCs w:val="24"/>
        </w:rPr>
        <w:footnoteReference w:id="735"/>
      </w:r>
      <w:r w:rsidRPr="000D3432">
        <w:rPr>
          <w:rFonts w:asciiTheme="minorHAnsi" w:hAnsiTheme="minorHAnsi"/>
          <w:szCs w:val="24"/>
        </w:rPr>
        <w:t xml:space="preserve">, no se puede formular. Porque </w:t>
      </w:r>
      <w:r w:rsidRPr="000D3432">
        <w:rPr>
          <w:rFonts w:asciiTheme="minorHAnsi" w:hAnsiTheme="minorHAnsi"/>
          <w:szCs w:val="24"/>
        </w:rPr>
        <w:lastRenderedPageBreak/>
        <w:t xml:space="preserve">esas consecuencias son temporales, se manejan y dan en el tiempo, y San Agustín “gusta de mostrar la movilidad de las instituciones jurídicas”, y es la historia quien demuestra la movilidad de las consecuencias, y porque la aplicación de la justicia -sus consecuencias concretas- si son movibles, o variables. Pero esta variabilidad o diversidad de consecuencias en la aplicación de la justicia no niega la existencia de la justicia, porque esta se propone como invariable, pero, otra vez, no sus consecuencias. Aquí el hombre entra en conflicto con su entendimiento, porque imagina que las consecuencias variables son lo mismo que la inexistencia de justicia. Aclarando esta visión Villey parafrasea a San Agustín anotando: “Se imaginan, dice, en De Doctrina Christiana ( III, 7 ), qué porque la costumbre es diferente según los países y la justicia debe ser inmutable, no existe justicia. No han comprendido que este precepto: </w:t>
      </w:r>
      <w:r w:rsidRPr="000D3432">
        <w:rPr>
          <w:rFonts w:asciiTheme="minorHAnsi" w:hAnsiTheme="minorHAnsi"/>
          <w:i/>
          <w:szCs w:val="24"/>
        </w:rPr>
        <w:t>‘quod tibi fieri non vi alii en feceris’</w:t>
      </w:r>
      <w:r w:rsidRPr="000D3432">
        <w:rPr>
          <w:rFonts w:asciiTheme="minorHAnsi" w:hAnsiTheme="minorHAnsi"/>
          <w:szCs w:val="24"/>
        </w:rPr>
        <w:t xml:space="preserve"> no ha variado con la diversidad de países’. Pero entonces no se puede dar una fórmula precisa.”</w:t>
      </w:r>
      <w:r w:rsidRPr="000D3432">
        <w:rPr>
          <w:rStyle w:val="Refdenotaalpie"/>
          <w:rFonts w:asciiTheme="minorHAnsi" w:hAnsiTheme="minorHAnsi"/>
          <w:sz w:val="24"/>
          <w:szCs w:val="24"/>
        </w:rPr>
        <w:footnoteReference w:id="736"/>
      </w:r>
    </w:p>
    <w:p w14:paraId="1DBEBD1E" w14:textId="77777777" w:rsidR="0082775B" w:rsidRPr="000D3432" w:rsidRDefault="0082775B" w:rsidP="00A95498">
      <w:pPr>
        <w:jc w:val="both"/>
        <w:rPr>
          <w:rFonts w:asciiTheme="minorHAnsi" w:hAnsiTheme="minorHAnsi"/>
          <w:szCs w:val="24"/>
        </w:rPr>
      </w:pPr>
    </w:p>
    <w:p w14:paraId="3969F3A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Y no se puede dar una fórmula precisa porque esta justicia proviene del espíritu, es espíritu, y por lo tanto incognoscible por medio de la razón, es decir, no puede ser conocida por la razón, o por nuestros sentidos (vista, olfato, tacto, oído, gusto, o razón). Es algo que escapa a cualquier racionalización u objetivización. Según parece explicar San Agustín.</w:t>
      </w:r>
    </w:p>
    <w:p w14:paraId="30B519A6" w14:textId="77777777" w:rsidR="0082775B" w:rsidRPr="000D3432" w:rsidRDefault="0082775B" w:rsidP="00A95498">
      <w:pPr>
        <w:jc w:val="both"/>
        <w:rPr>
          <w:rFonts w:asciiTheme="minorHAnsi" w:hAnsiTheme="minorHAnsi"/>
          <w:szCs w:val="24"/>
        </w:rPr>
      </w:pPr>
    </w:p>
    <w:p w14:paraId="2EA5AFD3"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b) Exigencia de perfección:</w:t>
      </w:r>
    </w:p>
    <w:p w14:paraId="2557062C" w14:textId="77777777" w:rsidR="0082775B" w:rsidRPr="000D3432" w:rsidRDefault="0082775B" w:rsidP="00A95498">
      <w:pPr>
        <w:jc w:val="both"/>
        <w:rPr>
          <w:rFonts w:asciiTheme="minorHAnsi" w:hAnsiTheme="minorHAnsi"/>
          <w:szCs w:val="24"/>
        </w:rPr>
      </w:pPr>
    </w:p>
    <w:p w14:paraId="16949BA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Parece, para Villey, que San Agustín busca fundamentar a la justicia en la otra vida, es decir, dejaba a un lado el “interés temporal”, porque, como sabemos, profesaba la otra vida, la otra ciudad, la Ciudad de Dios. Las razones de la justicia estaban en llegar a esa ciudad de Dios. Pero el problema se enfoca, en todo acto de justicia, en toda determinación de la justicia, desde un orden temporal, desde, por ejemplo, la “distribución de los bienes” que hay en la sociedad. San Agustín, sabe, o parece saber, que no podrá lograr hacer entender su justicia Cristiana, “la renuncia total de todo interés temporal” -dice Villey. Si no entrelaza lo corporal y terrenal a su discurso. </w:t>
      </w:r>
    </w:p>
    <w:p w14:paraId="5E233A9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Sin embargo, San Agustín defiende la propiedad privada. ¿por qué? Villey explica que eso no contradecía la concepción de justicia de San Agustín, porque la propiedad privada “procede de las leyes del Estado. Eso no impide que su ideal de justicia sea comunitario.”</w:t>
      </w:r>
      <w:r w:rsidRPr="000D3432">
        <w:rPr>
          <w:rStyle w:val="Refdenotaalpie"/>
          <w:rFonts w:asciiTheme="minorHAnsi" w:hAnsiTheme="minorHAnsi"/>
          <w:sz w:val="24"/>
          <w:szCs w:val="24"/>
        </w:rPr>
        <w:footnoteReference w:id="737"/>
      </w:r>
    </w:p>
    <w:p w14:paraId="088AA6AB" w14:textId="77777777" w:rsidR="0082775B" w:rsidRPr="000D3432" w:rsidRDefault="0082775B" w:rsidP="00A95498">
      <w:pPr>
        <w:jc w:val="both"/>
        <w:rPr>
          <w:rFonts w:asciiTheme="minorHAnsi" w:hAnsiTheme="minorHAnsi"/>
          <w:szCs w:val="24"/>
        </w:rPr>
      </w:pPr>
    </w:p>
    <w:p w14:paraId="4A28A75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Hay una teoría que más bien espanta, en la concepción de San Agustín. De pronto dice que la propiedad pervierte, porque el poseedor se convierte luego en poseído. Intenta darle vuelta a la naturaleza, y decide que quien es amo será esclavo. Parece una revolución de los pobres, que, mediante el discurso y la argumentación proponen o ponen las cosas de cabeza.</w:t>
      </w:r>
    </w:p>
    <w:p w14:paraId="14A9924C" w14:textId="77777777" w:rsidR="0082775B" w:rsidRPr="000D3432" w:rsidRDefault="0082775B" w:rsidP="00A95498">
      <w:pPr>
        <w:jc w:val="both"/>
        <w:rPr>
          <w:rFonts w:asciiTheme="minorHAnsi" w:hAnsiTheme="minorHAnsi"/>
          <w:szCs w:val="24"/>
        </w:rPr>
      </w:pPr>
    </w:p>
    <w:p w14:paraId="485E3C9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lastRenderedPageBreak/>
        <w:t xml:space="preserve">“Ya que la apropiación privada no tiene raíces en el ‘Derecho Divino’; pervierte a los poseedores que pronto dejan de poseer las cosas para ser poseídos por ellos. Han de abandonar sus bienes, para dejarle sitio a Dios. Según la justicia cristiana, nada tampoco de sumisión violenta: el verdadero orden divino, el de los orígenes, será que el amo sea esclavo de sus esclavos, que ‘aquellos que mandan se preocupen de los otros y sirvan a aquellos a quienes parecen mandar’.   </w:t>
      </w:r>
    </w:p>
    <w:p w14:paraId="62470B33" w14:textId="77777777" w:rsidR="0082775B" w:rsidRPr="000D3432" w:rsidRDefault="0082775B" w:rsidP="00A95498">
      <w:pPr>
        <w:jc w:val="both"/>
        <w:rPr>
          <w:rFonts w:asciiTheme="minorHAnsi" w:hAnsiTheme="minorHAnsi"/>
          <w:szCs w:val="24"/>
        </w:rPr>
      </w:pPr>
    </w:p>
    <w:p w14:paraId="5A85930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justicia es el préstamo gratuito, el perdón de las deudas, la limosna. Es el obrero que llega en último momento y que, sin embargo, recibe la misma paga que los otros. Es una paradoja permanente. Es incluso misericordia: ‘</w:t>
      </w:r>
      <w:r w:rsidRPr="000D3432">
        <w:rPr>
          <w:rFonts w:asciiTheme="minorHAnsi" w:hAnsiTheme="minorHAnsi"/>
          <w:i/>
          <w:szCs w:val="24"/>
        </w:rPr>
        <w:t>non enim sic est Deus miseriors tu injustu sit, nec sit justus, tu misericors non sit’</w:t>
      </w:r>
      <w:r w:rsidRPr="000D3432">
        <w:rPr>
          <w:rFonts w:asciiTheme="minorHAnsi" w:hAnsiTheme="minorHAnsi"/>
          <w:szCs w:val="24"/>
        </w:rPr>
        <w:t>. El juez terrenal justo será también aquel que supo tener gracia respecto de las personas a quienes juzga.”</w:t>
      </w:r>
      <w:r w:rsidRPr="000D3432">
        <w:rPr>
          <w:rStyle w:val="Refdenotaalpie"/>
          <w:rFonts w:asciiTheme="minorHAnsi" w:hAnsiTheme="minorHAnsi"/>
          <w:sz w:val="24"/>
          <w:szCs w:val="24"/>
        </w:rPr>
        <w:footnoteReference w:id="738"/>
      </w:r>
    </w:p>
    <w:p w14:paraId="51660B72" w14:textId="77777777" w:rsidR="0082775B" w:rsidRPr="000D3432" w:rsidRDefault="0082775B" w:rsidP="00A95498">
      <w:pPr>
        <w:jc w:val="both"/>
        <w:rPr>
          <w:rFonts w:asciiTheme="minorHAnsi" w:hAnsiTheme="minorHAnsi"/>
          <w:szCs w:val="24"/>
        </w:rPr>
      </w:pPr>
    </w:p>
    <w:p w14:paraId="52D1EC1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comentario hecho por Villey es alucinante, propio de un cuento. Recién de leído esto se entiende la transfiguración que se ha hecho del hombre y su relación con el resto. Que más tarde comentaremos, con los ánimos ya calmados. Pero previas preguntas ¿quién era este hombre, San Agustín, que proclamaba esa clase de sociedad, esa clase de justicia, y cuáles eran sus motivos?</w:t>
      </w:r>
    </w:p>
    <w:p w14:paraId="5A5AA909" w14:textId="77777777" w:rsidR="0082775B" w:rsidRPr="000D3432" w:rsidRDefault="0082775B" w:rsidP="00A95498">
      <w:pPr>
        <w:jc w:val="both"/>
        <w:rPr>
          <w:rFonts w:asciiTheme="minorHAnsi" w:hAnsiTheme="minorHAnsi"/>
          <w:szCs w:val="24"/>
        </w:rPr>
      </w:pPr>
    </w:p>
    <w:p w14:paraId="63139C14"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c) Inaptitud de la sanción</w:t>
      </w:r>
    </w:p>
    <w:p w14:paraId="025794FE" w14:textId="77777777" w:rsidR="0082775B" w:rsidRPr="000D3432" w:rsidRDefault="0082775B" w:rsidP="00A95498">
      <w:pPr>
        <w:jc w:val="both"/>
        <w:rPr>
          <w:rFonts w:asciiTheme="minorHAnsi" w:hAnsiTheme="minorHAnsi"/>
          <w:szCs w:val="24"/>
        </w:rPr>
      </w:pPr>
    </w:p>
    <w:p w14:paraId="74FB930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Este es otro carácter que le da Villey a la Justicia propuesta por San Agustín.</w:t>
      </w:r>
    </w:p>
    <w:p w14:paraId="7245AEE5" w14:textId="77777777" w:rsidR="0082775B" w:rsidRPr="000D3432" w:rsidRDefault="0082775B" w:rsidP="00A95498">
      <w:pPr>
        <w:jc w:val="both"/>
        <w:rPr>
          <w:rFonts w:asciiTheme="minorHAnsi" w:hAnsiTheme="minorHAnsi"/>
          <w:szCs w:val="24"/>
        </w:rPr>
      </w:pPr>
    </w:p>
    <w:p w14:paraId="76536F1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Lo interesante o más relevante está en que “las sanciones dejan de tener efecto sobre el hombre que renuncia a sus intereses”, porque el nivel no es temporal, es decir, no es terrenal, sino espiritual. Y como tal “la justicia cristiana en principio no utiliza medio de coerción.”</w:t>
      </w:r>
      <w:r w:rsidRPr="000D3432">
        <w:rPr>
          <w:rStyle w:val="Refdenotaalpie"/>
          <w:rFonts w:asciiTheme="minorHAnsi" w:hAnsiTheme="minorHAnsi"/>
          <w:sz w:val="24"/>
          <w:szCs w:val="24"/>
        </w:rPr>
        <w:footnoteReference w:id="739"/>
      </w:r>
    </w:p>
    <w:p w14:paraId="79DAA956" w14:textId="77777777" w:rsidR="0082775B" w:rsidRPr="000D3432" w:rsidRDefault="0082775B" w:rsidP="00A95498">
      <w:pPr>
        <w:jc w:val="center"/>
        <w:rPr>
          <w:rFonts w:asciiTheme="minorHAnsi" w:hAnsiTheme="minorHAnsi"/>
          <w:szCs w:val="24"/>
        </w:rPr>
      </w:pPr>
      <w:r w:rsidRPr="000D3432">
        <w:rPr>
          <w:rFonts w:asciiTheme="minorHAnsi" w:hAnsiTheme="minorHAnsi"/>
          <w:szCs w:val="24"/>
        </w:rPr>
        <w:t xml:space="preserve">* * * </w:t>
      </w:r>
    </w:p>
    <w:p w14:paraId="549F478B" w14:textId="77777777" w:rsidR="0082775B" w:rsidRPr="000D3432" w:rsidRDefault="0082775B" w:rsidP="00A95498">
      <w:pPr>
        <w:jc w:val="center"/>
        <w:rPr>
          <w:rFonts w:asciiTheme="minorHAnsi" w:hAnsiTheme="minorHAnsi"/>
          <w:szCs w:val="24"/>
        </w:rPr>
      </w:pPr>
    </w:p>
    <w:p w14:paraId="7D8890B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Pero para Ulpiano la Justicia es más bien diferente, es “voluntad permanente y constante de dar a cada cual lo suyo”; y cómo anotáramos en líneas anteriores, Giorgio del Vecchio prefiere la Justicia con sentido ético, como reglas o normas que regulan las relaciones intersubjetivas que tienen contenido ético.</w:t>
      </w:r>
    </w:p>
    <w:p w14:paraId="7B248190" w14:textId="77777777" w:rsidR="0082775B" w:rsidRPr="000D3432" w:rsidRDefault="0082775B" w:rsidP="00A95498">
      <w:pPr>
        <w:jc w:val="both"/>
        <w:rPr>
          <w:rFonts w:asciiTheme="minorHAnsi" w:hAnsiTheme="minorHAnsi"/>
          <w:szCs w:val="24"/>
        </w:rPr>
      </w:pPr>
    </w:p>
    <w:p w14:paraId="428B5D6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¿Pero se aplica justicia, o derecho en este caso? Cuando de Aplicación del Derecho hablamos nos estamos refiriendo a como transformamos un hecho social cualquiera en un hecho jurídico, y como encajamos el Derecho en un caso determinado, el derecho en general y abstracto en un caso concreto y singular.</w:t>
      </w:r>
    </w:p>
    <w:p w14:paraId="778C495B" w14:textId="77777777" w:rsidR="0082775B" w:rsidRPr="000D3432" w:rsidRDefault="0082775B" w:rsidP="00A95498">
      <w:pPr>
        <w:jc w:val="both"/>
        <w:rPr>
          <w:rFonts w:asciiTheme="minorHAnsi" w:hAnsiTheme="minorHAnsi"/>
          <w:szCs w:val="24"/>
        </w:rPr>
      </w:pPr>
    </w:p>
    <w:p w14:paraId="5BE726B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 creemos que la aplicación del derecho se da a través de la norma jurídica,  estaríamos proponiendo que esta, la norma jurídica, debe ser cumplida, ya sea </w:t>
      </w:r>
      <w:r w:rsidRPr="000D3432">
        <w:rPr>
          <w:rFonts w:asciiTheme="minorHAnsi" w:hAnsiTheme="minorHAnsi"/>
          <w:szCs w:val="24"/>
        </w:rPr>
        <w:lastRenderedPageBreak/>
        <w:t>que la norma jurídica sea concebida como: un “mandato”, un “imperativo”, una “regla de conducta”,  o como “un criterio de decisión de conflictos”</w:t>
      </w:r>
      <w:r w:rsidRPr="000D3432">
        <w:rPr>
          <w:rStyle w:val="Refdenotaalpie"/>
          <w:rFonts w:asciiTheme="minorHAnsi" w:hAnsiTheme="minorHAnsi"/>
          <w:sz w:val="24"/>
          <w:szCs w:val="24"/>
        </w:rPr>
        <w:footnoteReference w:id="740"/>
      </w:r>
      <w:r w:rsidRPr="000D3432">
        <w:rPr>
          <w:rFonts w:asciiTheme="minorHAnsi" w:hAnsiTheme="minorHAnsi"/>
          <w:szCs w:val="24"/>
        </w:rPr>
        <w:t xml:space="preserve">. Pero sabemos que la norma jurídica es, en el concepto de Luis Diez Picazo, nada más que “un mandato con eficacia social de organización”. </w:t>
      </w:r>
    </w:p>
    <w:p w14:paraId="4DC406E0" w14:textId="77777777" w:rsidR="0082775B" w:rsidRPr="000D3432" w:rsidRDefault="0082775B" w:rsidP="00A95498">
      <w:pPr>
        <w:jc w:val="both"/>
        <w:rPr>
          <w:rFonts w:asciiTheme="minorHAnsi" w:hAnsiTheme="minorHAnsi"/>
          <w:szCs w:val="24"/>
        </w:rPr>
      </w:pPr>
    </w:p>
    <w:p w14:paraId="7448B08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Pues bien, la realización de esta norma jurídica expondría la aplicación del Derecho. Sin embargo, la existencia y validez de una norma está contenida, por así decirlo, en un principio: “la pretensión de que la vida social y la realidad social se ajusten a ella: que el mandato o el imperativo sea obedecido; que el deber-ser contenido en la regla sea cumplido; que los litigios que se susciten sean resueltos o decididos de acuerdo con ella.”</w:t>
      </w:r>
      <w:r w:rsidRPr="000D3432">
        <w:rPr>
          <w:rStyle w:val="Refdenotaalpie"/>
          <w:rFonts w:asciiTheme="minorHAnsi" w:hAnsiTheme="minorHAnsi"/>
          <w:sz w:val="24"/>
          <w:szCs w:val="24"/>
        </w:rPr>
        <w:footnoteReference w:id="741"/>
      </w:r>
      <w:r w:rsidRPr="000D3432">
        <w:rPr>
          <w:rFonts w:asciiTheme="minorHAnsi" w:hAnsiTheme="minorHAnsi"/>
          <w:szCs w:val="24"/>
        </w:rPr>
        <w:t xml:space="preserve"> </w:t>
      </w:r>
    </w:p>
    <w:p w14:paraId="23A89C6F" w14:textId="77777777" w:rsidR="0082775B" w:rsidRPr="000D3432" w:rsidRDefault="0082775B" w:rsidP="00A95498">
      <w:pPr>
        <w:jc w:val="both"/>
        <w:rPr>
          <w:rFonts w:asciiTheme="minorHAnsi" w:hAnsiTheme="minorHAnsi"/>
          <w:szCs w:val="24"/>
        </w:rPr>
      </w:pPr>
    </w:p>
    <w:p w14:paraId="1686182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 la vida social, o esta realidad social que tiene que encajar, encuadrarse en lo que sea norma jurídica, independientemente de lo que por ella se entienda. Cuando esto se da recién hay “aplicación del derecho”, presuponen algunos autores. Este encuadramiento de la vida social, la realidad social en la norma jurídica, es llamado técnica de “la subsunción”. Y se produce por la necesidad del Derecho de “hacerse real”.</w:t>
      </w:r>
    </w:p>
    <w:p w14:paraId="3158809B" w14:textId="77777777" w:rsidR="0082775B" w:rsidRPr="000D3432" w:rsidRDefault="0082775B" w:rsidP="00A95498">
      <w:pPr>
        <w:jc w:val="both"/>
        <w:rPr>
          <w:rFonts w:asciiTheme="minorHAnsi" w:hAnsiTheme="minorHAnsi"/>
          <w:szCs w:val="24"/>
        </w:rPr>
      </w:pPr>
    </w:p>
    <w:p w14:paraId="2B4A934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Luis Diez Picazo define lo que por Aplicación del Derecho en sentido tradicional se  entiende, y escribe:</w:t>
      </w:r>
    </w:p>
    <w:p w14:paraId="66FFC907" w14:textId="77777777" w:rsidR="0082775B" w:rsidRPr="000D3432" w:rsidRDefault="0082775B" w:rsidP="00A95498">
      <w:pPr>
        <w:ind w:left="708"/>
        <w:jc w:val="both"/>
        <w:rPr>
          <w:rFonts w:asciiTheme="minorHAnsi" w:hAnsiTheme="minorHAnsi"/>
          <w:szCs w:val="24"/>
        </w:rPr>
      </w:pPr>
      <w:r w:rsidRPr="000D3432">
        <w:rPr>
          <w:rFonts w:asciiTheme="minorHAnsi" w:hAnsiTheme="minorHAnsi"/>
          <w:szCs w:val="24"/>
        </w:rPr>
        <w:t>“Desde el punto de vista tradicional, el conjunto de operaciones o actividades llevadas a cabo para ajustar la realidad y la vida social a los dictados de las normas jurídicas se configura y se definió como ‘aplicación del derecho’”</w:t>
      </w:r>
      <w:r w:rsidRPr="000D3432">
        <w:rPr>
          <w:rStyle w:val="Refdenotaalpie"/>
          <w:rFonts w:asciiTheme="minorHAnsi" w:hAnsiTheme="minorHAnsi"/>
          <w:sz w:val="24"/>
          <w:szCs w:val="24"/>
        </w:rPr>
        <w:footnoteReference w:id="742"/>
      </w:r>
    </w:p>
    <w:p w14:paraId="7DCFF605" w14:textId="77777777" w:rsidR="0082775B" w:rsidRPr="000D3432" w:rsidRDefault="0082775B" w:rsidP="00A95498">
      <w:pPr>
        <w:jc w:val="both"/>
        <w:rPr>
          <w:rFonts w:asciiTheme="minorHAnsi" w:hAnsiTheme="minorHAnsi"/>
          <w:szCs w:val="24"/>
        </w:rPr>
      </w:pPr>
    </w:p>
    <w:p w14:paraId="2E1E0DE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¿Esa imposición, de llenar con la realidad el balde de la norma jurídica puede abarcar y acaparar todo lo que se entiende por aplicación del derecho?</w:t>
      </w:r>
    </w:p>
    <w:p w14:paraId="5208734B" w14:textId="77777777" w:rsidR="0082775B" w:rsidRPr="000D3432" w:rsidRDefault="0082775B" w:rsidP="00A95498">
      <w:pPr>
        <w:jc w:val="both"/>
        <w:rPr>
          <w:rFonts w:asciiTheme="minorHAnsi" w:hAnsiTheme="minorHAnsi"/>
          <w:szCs w:val="24"/>
        </w:rPr>
      </w:pPr>
    </w:p>
    <w:p w14:paraId="293BE14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 fuera así, quien determina el derecho no es la realidad, sino las normas jurídicas. La realidad sólo sería un referente, pero no el plus del Derecho. </w:t>
      </w:r>
    </w:p>
    <w:p w14:paraId="793F5E1A" w14:textId="77777777" w:rsidR="0082775B" w:rsidRPr="000D3432" w:rsidRDefault="0082775B" w:rsidP="00A95498">
      <w:pPr>
        <w:jc w:val="both"/>
        <w:rPr>
          <w:rFonts w:asciiTheme="minorHAnsi" w:hAnsiTheme="minorHAnsi"/>
          <w:szCs w:val="24"/>
        </w:rPr>
      </w:pPr>
    </w:p>
    <w:p w14:paraId="0F09F37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En esta operación la subsunción es determinante de lo que sería la aplicación del derecho. “Se sume o se subsume el caso concreto que ha sido planteado en el supuesto de hecho de una norma jurídica. Rigurosamente, la función será una función de constatación o de homologación: se trata de determinar si la hipótesis de la ley se realiza en el supuesto de hecho. El juez o el que aplica una ley deben ser, como decía Montesquieu, la simple ‘</w:t>
      </w:r>
      <w:r w:rsidRPr="000D3432">
        <w:rPr>
          <w:rFonts w:asciiTheme="minorHAnsi" w:hAnsiTheme="minorHAnsi"/>
          <w:i/>
          <w:szCs w:val="24"/>
        </w:rPr>
        <w:t>bouche de la loi’</w:t>
      </w:r>
      <w:r w:rsidRPr="000D3432">
        <w:rPr>
          <w:rFonts w:asciiTheme="minorHAnsi" w:hAnsiTheme="minorHAnsi"/>
          <w:szCs w:val="24"/>
        </w:rPr>
        <w:t xml:space="preserve">, de tal manera que no tienen que hacer otra cosa que establecer los hechos, para que la consecuencia jurídica prevista en la norma se produzca de una manera automática.” </w:t>
      </w:r>
      <w:r w:rsidRPr="000D3432">
        <w:rPr>
          <w:rStyle w:val="Refdenotaalpie"/>
          <w:rFonts w:asciiTheme="minorHAnsi" w:hAnsiTheme="minorHAnsi"/>
          <w:sz w:val="24"/>
          <w:szCs w:val="24"/>
        </w:rPr>
        <w:footnoteReference w:id="743"/>
      </w:r>
    </w:p>
    <w:p w14:paraId="0BCD3AC1" w14:textId="77777777" w:rsidR="0082775B" w:rsidRPr="000D3432" w:rsidRDefault="0082775B" w:rsidP="00A95498">
      <w:pPr>
        <w:jc w:val="both"/>
        <w:rPr>
          <w:rFonts w:asciiTheme="minorHAnsi" w:hAnsiTheme="minorHAnsi"/>
          <w:szCs w:val="24"/>
        </w:rPr>
      </w:pPr>
    </w:p>
    <w:p w14:paraId="5B53A58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Lo importante aquí es determinar si el hecho social, o realidad social está </w:t>
      </w:r>
      <w:r w:rsidRPr="000D3432">
        <w:rPr>
          <w:rFonts w:asciiTheme="minorHAnsi" w:hAnsiTheme="minorHAnsi"/>
          <w:szCs w:val="24"/>
        </w:rPr>
        <w:lastRenderedPageBreak/>
        <w:t>encajado dentro de lo que se denomina el supuesto de hecho, que es un elemento de la norma jurídica. Si este hecho social puede contenerse en el supuesto de hecho entonces, por un criterio automático, más matemático que racional o valorativo, se produce una consecuencia jurídica. Esto es lo que se denominaría silogismo jurídico.</w:t>
      </w:r>
    </w:p>
    <w:p w14:paraId="3301F45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Para que haya posibilidad de aplicación del Derecho no se tendría que hacer nada más que “constatar” que un hecho social o realidad social encaje dentro de un supuesto de hecho determinado. Es decir, si el objeto –realidad social- encaja en el molde –supuesto de hecho-.</w:t>
      </w:r>
    </w:p>
    <w:p w14:paraId="6D07DF09" w14:textId="77777777" w:rsidR="0082775B" w:rsidRPr="000D3432" w:rsidRDefault="0082775B" w:rsidP="00A95498">
      <w:pPr>
        <w:jc w:val="both"/>
        <w:rPr>
          <w:rFonts w:asciiTheme="minorHAnsi" w:hAnsiTheme="minorHAnsi"/>
          <w:szCs w:val="24"/>
        </w:rPr>
      </w:pPr>
    </w:p>
    <w:p w14:paraId="62043AE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fundamento de este planteamiento parece residir sólo en el supuesto de hecho, aquí y sólo aquí hay valoración de los hechos, y fijación de los caracteres trascendentales de los hechos; por el contrario la consecuencia jurídica no tiene mayor valoración, porque es una imposición automática, previamente establecida y no sujeta a crítica o valoración.</w:t>
      </w:r>
    </w:p>
    <w:p w14:paraId="575499A4" w14:textId="77777777" w:rsidR="0082775B" w:rsidRPr="000D3432" w:rsidRDefault="0082775B" w:rsidP="00A95498">
      <w:pPr>
        <w:jc w:val="both"/>
        <w:rPr>
          <w:rFonts w:asciiTheme="minorHAnsi" w:hAnsiTheme="minorHAnsi"/>
          <w:szCs w:val="24"/>
        </w:rPr>
      </w:pPr>
    </w:p>
    <w:p w14:paraId="63970DB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silogismo es la fórmula que se utiliza para explicar este tipo de operaciones, de tal forma que la subsunción se da a través de una fórmula: “dado una premisa menor (los hechos fijados por el juez o intérprete) y una premisa mayor (formada por la norma jurídica) se tiene que llegar a una conclusión. Así: “si es A, debe ser B”. Esa operación sería puramente lógica, pero como sabemos la vida, y el derecho no es lógico simplemente, sino que va más allá.</w:t>
      </w:r>
    </w:p>
    <w:p w14:paraId="34F6A104" w14:textId="77777777" w:rsidR="0082775B" w:rsidRPr="000D3432" w:rsidRDefault="0082775B" w:rsidP="00A95498">
      <w:pPr>
        <w:jc w:val="both"/>
        <w:rPr>
          <w:rFonts w:asciiTheme="minorHAnsi" w:hAnsiTheme="minorHAnsi"/>
          <w:szCs w:val="24"/>
        </w:rPr>
      </w:pPr>
    </w:p>
    <w:p w14:paraId="748BE75F"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La selección:</w:t>
      </w:r>
    </w:p>
    <w:p w14:paraId="36382E4F" w14:textId="77777777" w:rsidR="0082775B" w:rsidRPr="000D3432" w:rsidRDefault="0082775B" w:rsidP="00A95498">
      <w:pPr>
        <w:jc w:val="both"/>
        <w:rPr>
          <w:rFonts w:asciiTheme="minorHAnsi" w:hAnsiTheme="minorHAnsi"/>
          <w:b/>
          <w:szCs w:val="24"/>
        </w:rPr>
      </w:pPr>
    </w:p>
    <w:p w14:paraId="24555DD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No basta, pues, con intentar encuadrar un hecho dentro de una norma jurídica, porque la realidad, los hechos sociales no son tan encuadrables, o mejor, no pueden encuadrarse dentro de una sólo norma jurídica, sino que esta encuadración responderá siempre a ciertos criterios, como pueden ser, las pretensiones. Luis Diez Picazo pone un ejemplo: Si Ticio ha matado a Cayo, entonces Ticio debe ser castigado”. Pero eso no es suficiente, porque el hecho no es tan simple, hay otros factores que determinar primero. Hay la necesidad de pulir el hecho, dejando de lado todos los fenómenos que no importen al derecho y sólo estableciendo aquellos que tengan necesariamente trascendencia jurídica, y para hacer esto hay que encuadrar el hecho dentro de determinadas perspectivas, por eso: “La dificultad estriba ante todo en una selección de la norma jurídica de la cual queremos hacer aplicación”</w:t>
      </w:r>
      <w:r w:rsidRPr="000D3432">
        <w:rPr>
          <w:rStyle w:val="Refdenotaalpie"/>
          <w:rFonts w:asciiTheme="minorHAnsi" w:hAnsiTheme="minorHAnsi"/>
          <w:sz w:val="24"/>
          <w:szCs w:val="24"/>
        </w:rPr>
        <w:footnoteReference w:id="744"/>
      </w:r>
      <w:r w:rsidRPr="000D3432">
        <w:rPr>
          <w:rFonts w:asciiTheme="minorHAnsi" w:hAnsiTheme="minorHAnsi"/>
          <w:szCs w:val="24"/>
        </w:rPr>
        <w:t>. Por ejemplo si hay un hecho: “Ticio ha Matado a Cayo”, tendríamos que ver “los motivos del homicida”, podría haber sido con alevosía, o con premeditación, o por imprudencia, o al contrario, en legítima defensa.</w:t>
      </w:r>
    </w:p>
    <w:p w14:paraId="79FE1CCE" w14:textId="77777777" w:rsidR="0082775B" w:rsidRPr="000D3432" w:rsidRDefault="0082775B" w:rsidP="00A95498">
      <w:pPr>
        <w:jc w:val="both"/>
        <w:rPr>
          <w:rFonts w:asciiTheme="minorHAnsi" w:hAnsiTheme="minorHAnsi"/>
          <w:szCs w:val="24"/>
        </w:rPr>
      </w:pPr>
    </w:p>
    <w:p w14:paraId="24A3F5E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Ahora bien, el hecho de la constatación de los hechos, “presupone la utilización de unos criterios que son ya de algún modo valoraciones o que constituyen lo que se ha podido llamar deducciones volitivas”, dice Luis Diez Picazo. Determinar un hecho es determinarlo según una valoración, una valoración es hacer un juicio, es decir establecer los hechos no es sólo contar los hechos, sino, </w:t>
      </w:r>
      <w:r w:rsidRPr="000D3432">
        <w:rPr>
          <w:rFonts w:asciiTheme="minorHAnsi" w:hAnsiTheme="minorHAnsi"/>
          <w:szCs w:val="24"/>
        </w:rPr>
        <w:lastRenderedPageBreak/>
        <w:t>fijarlos, determinarlos, proponerlos, darle una estructura y forma a estos hechos. Así que el mismo hecho de contar implica también una valoración, una valoración de lo que han percibido nuestros sentidos. La función es “ligar” un hecho social con una norma jurídica.</w:t>
      </w:r>
    </w:p>
    <w:p w14:paraId="411DB4DA" w14:textId="77777777" w:rsidR="0082775B" w:rsidRPr="000D3432" w:rsidRDefault="0082775B" w:rsidP="00A95498">
      <w:pPr>
        <w:jc w:val="both"/>
        <w:rPr>
          <w:rFonts w:asciiTheme="minorHAnsi" w:hAnsiTheme="minorHAnsi"/>
          <w:szCs w:val="24"/>
        </w:rPr>
      </w:pPr>
    </w:p>
    <w:p w14:paraId="2BAFD46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Luis Diez Picazo habla de cuatro etapas que entran en juego para poder decidir y resolver un determinado conflicto de intereses:</w:t>
      </w:r>
    </w:p>
    <w:p w14:paraId="13755382" w14:textId="77777777" w:rsidR="0082775B" w:rsidRPr="000D3432" w:rsidRDefault="0082775B" w:rsidP="00A95498">
      <w:pPr>
        <w:jc w:val="both"/>
        <w:rPr>
          <w:rFonts w:asciiTheme="minorHAnsi" w:hAnsiTheme="minorHAnsi"/>
          <w:szCs w:val="24"/>
        </w:rPr>
      </w:pPr>
    </w:p>
    <w:p w14:paraId="17116A0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1.- Seleccionar la norma:</w:t>
      </w:r>
    </w:p>
    <w:p w14:paraId="121CA905" w14:textId="77777777" w:rsidR="0082775B" w:rsidRPr="000D3432" w:rsidRDefault="0082775B" w:rsidP="00A95498">
      <w:pPr>
        <w:jc w:val="both"/>
        <w:rPr>
          <w:rFonts w:asciiTheme="minorHAnsi" w:hAnsiTheme="minorHAnsi"/>
          <w:szCs w:val="24"/>
        </w:rPr>
      </w:pPr>
    </w:p>
    <w:p w14:paraId="708CD39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Se trata de la búsqueda y captura de la norma, que debe ser encontrada en todo el material normativo. Determinación del orden dentro del cual se puede clasificar el hecho social dentro de una norma determinada, y luego la “exclusión” de las otras normas. Es un proceso por medio del cual se “selecciona dentro del todo normativo”, la norma más idónea, o adecuada al hecho social, que por ello tiene que convertirse en jurídica.</w:t>
      </w:r>
    </w:p>
    <w:p w14:paraId="659D6F10" w14:textId="77777777" w:rsidR="0082775B" w:rsidRPr="000D3432" w:rsidRDefault="0082775B" w:rsidP="00A95498">
      <w:pPr>
        <w:jc w:val="both"/>
        <w:rPr>
          <w:rFonts w:asciiTheme="minorHAnsi" w:hAnsiTheme="minorHAnsi"/>
          <w:szCs w:val="24"/>
        </w:rPr>
      </w:pPr>
    </w:p>
    <w:p w14:paraId="63BAAFB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2.- Fijación de los hechos concretos. En este punto lo que se hace es establecer las características relevantes del caso,  constatarlos y describirlos, puliéndolos de todos los otros elementos que no sean relevantes. Es decir se tiene que fijar, limitar, encuadrar, determinar un hecho, y establecer que es ese hecho y no otro hecho.</w:t>
      </w:r>
    </w:p>
    <w:p w14:paraId="0BF4302A" w14:textId="77777777" w:rsidR="0082775B" w:rsidRPr="000D3432" w:rsidRDefault="0082775B" w:rsidP="00A95498">
      <w:pPr>
        <w:jc w:val="both"/>
        <w:rPr>
          <w:rFonts w:asciiTheme="minorHAnsi" w:hAnsiTheme="minorHAnsi"/>
          <w:szCs w:val="24"/>
        </w:rPr>
      </w:pPr>
    </w:p>
    <w:p w14:paraId="31E87A9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3.- Contrastación entre el caso y el supuesto de hecho. Esta operación mental consiste en establecer si el caso, el hecho social encaja o puede encuadrar en un supuesto de hecho. Para ello debemos recordar que el supuesto de hecho no es más que un elemento de la norma jurídica.</w:t>
      </w:r>
    </w:p>
    <w:p w14:paraId="3EB31F8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Explicando diremos que la norma jurídica tiene los siguientes elementos: 1) Supuesto de hecho, 2) Nexo, 3) Consecuencia jurídica.</w:t>
      </w:r>
    </w:p>
    <w:p w14:paraId="78CDA53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supuesto de hecho es el hecho social pero determinado por una ley.</w:t>
      </w:r>
    </w:p>
    <w:p w14:paraId="0447C550" w14:textId="77777777" w:rsidR="0082775B" w:rsidRPr="000D3432" w:rsidRDefault="0082775B" w:rsidP="00A95498">
      <w:pPr>
        <w:jc w:val="both"/>
        <w:rPr>
          <w:rFonts w:asciiTheme="minorHAnsi" w:hAnsiTheme="minorHAnsi"/>
          <w:szCs w:val="24"/>
        </w:rPr>
      </w:pPr>
    </w:p>
    <w:p w14:paraId="506946A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gráfico es el siguiente: SH + CJ = Norma Jurídica</w:t>
      </w:r>
    </w:p>
    <w:p w14:paraId="71C7940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Supuesto de hecho + Consecuencia jurídica = Norma Jurídica.</w:t>
      </w:r>
    </w:p>
    <w:p w14:paraId="108604CB" w14:textId="77777777" w:rsidR="0082775B" w:rsidRPr="000D3432" w:rsidRDefault="0082775B" w:rsidP="00A95498">
      <w:pPr>
        <w:jc w:val="both"/>
        <w:rPr>
          <w:rFonts w:asciiTheme="minorHAnsi" w:hAnsiTheme="minorHAnsi"/>
          <w:szCs w:val="24"/>
        </w:rPr>
      </w:pPr>
    </w:p>
    <w:p w14:paraId="0072A12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4.- Fijación del sentido y alcance de la consecuencia establecida por la norma. </w:t>
      </w:r>
    </w:p>
    <w:p w14:paraId="489D6B53" w14:textId="77777777" w:rsidR="0082775B" w:rsidRPr="000D3432" w:rsidRDefault="0082775B" w:rsidP="00A95498">
      <w:pPr>
        <w:jc w:val="both"/>
        <w:rPr>
          <w:rFonts w:asciiTheme="minorHAnsi" w:hAnsiTheme="minorHAnsi"/>
          <w:szCs w:val="24"/>
        </w:rPr>
      </w:pPr>
    </w:p>
    <w:p w14:paraId="5A2B294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Pero hay una oposición a esta formulación intelectual de establecer las soluciones de los conflictos de intereses, es decir a la aplicación del Derecho. </w:t>
      </w:r>
    </w:p>
    <w:p w14:paraId="44DBF4E4" w14:textId="77777777" w:rsidR="0082775B" w:rsidRPr="000D3432" w:rsidRDefault="0082775B" w:rsidP="00A95498">
      <w:pPr>
        <w:jc w:val="both"/>
        <w:rPr>
          <w:rFonts w:asciiTheme="minorHAnsi" w:hAnsiTheme="minorHAnsi"/>
          <w:szCs w:val="24"/>
        </w:rPr>
      </w:pPr>
    </w:p>
    <w:p w14:paraId="454EB61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 usamos esas fórmulas estaríamos creyendo que el Derecho es como un ideal cristalizado, inamovible, previamente dado, determinado a priori por las normas, es decir que el derecho sería antes que el hecho. Eso no es así porque las normas jurídicas si bien son determinaciones a priori de los hechos sociales, los hechos sociales se configuran independientemente de las normas jurídicas; es más es luego que se intenta encajonar los hechos en las normas jurídicas. Las normas jurídicas pueden preexistir antes que los hechos sociales, pero no son los hechos sociales determinados por las normas jurídicas, es decir no disponen su cumplimiento. Lo que sucede es más bien que la hipótesis contenida en las </w:t>
      </w:r>
      <w:r w:rsidRPr="000D3432">
        <w:rPr>
          <w:rFonts w:asciiTheme="minorHAnsi" w:hAnsiTheme="minorHAnsi"/>
          <w:szCs w:val="24"/>
        </w:rPr>
        <w:lastRenderedPageBreak/>
        <w:t>normas jurídicas se cumple cuando un hecho social encaja dentro de una norma jurídica. El Derecho, y más propiamente, la norma jurídica es una “formulación abstracta y general”, pero los hechos no son generales sino casos concretos, claro que esto no signifique que para aplicar el derecho lo que se pretenda es “un ajuste o un encaje del caso en una norma”. Pero esto es sólo para poder operar, no porque la norma mande se cumpla su hipótesis. Es más un instrumento de organización de la solución de los conflictos de intereses.</w:t>
      </w:r>
    </w:p>
    <w:p w14:paraId="77AC02A4" w14:textId="77777777" w:rsidR="0082775B" w:rsidRPr="000D3432" w:rsidRDefault="0082775B" w:rsidP="00A95498">
      <w:pPr>
        <w:jc w:val="both"/>
        <w:rPr>
          <w:rFonts w:asciiTheme="minorHAnsi" w:hAnsiTheme="minorHAnsi"/>
          <w:szCs w:val="24"/>
        </w:rPr>
      </w:pPr>
    </w:p>
    <w:p w14:paraId="1CEE449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Lo que Diez Picazo intenta poner en claro es la fórmula del silogismo de subsunción, como le llama a todo este proceso de hacer encajar un hecho social, una realidad social dentro de una norma jurídica, no es tan simple, y no determina la aplicación del derecho, porque el derecho no es encaje de un caso dentro de un supuesto de hecho, sino mucho más; y puesto que el derecho es más bien “una serie de experiencias vividas o experiencias existenciales, que son rigurosamente hablando decisiones de casos concretos”, por lo que el Derecho si no es preestablecido, si no está ya determinado a priori, no es, por lo tanto, un dato, no es un ‘</w:t>
      </w:r>
      <w:r w:rsidRPr="000D3432">
        <w:rPr>
          <w:rFonts w:asciiTheme="minorHAnsi" w:hAnsiTheme="minorHAnsi"/>
          <w:i/>
          <w:szCs w:val="24"/>
        </w:rPr>
        <w:t>datum</w:t>
      </w:r>
      <w:r w:rsidRPr="000D3432">
        <w:rPr>
          <w:rFonts w:asciiTheme="minorHAnsi" w:hAnsiTheme="minorHAnsi"/>
          <w:szCs w:val="24"/>
        </w:rPr>
        <w:t>’, sino una invención, una creación constante, una reformulación constante, que tiene, eso sí, ciertos elementos de construcción, Así, dice Luis Diez Picazo: “Los textos legales, las costumbres y los principios manifestados a través de las creencias, las convicciones o las estimativas generales del grupo humano proporcionan pautas o guías para encontrar, en cada caso, precisamente en cada caso, ‘lo que es derecho’, es decir, un ‘</w:t>
      </w:r>
      <w:r w:rsidRPr="000D3432">
        <w:rPr>
          <w:rFonts w:asciiTheme="minorHAnsi" w:hAnsiTheme="minorHAnsi"/>
          <w:i/>
          <w:szCs w:val="24"/>
        </w:rPr>
        <w:t>iustum</w:t>
      </w:r>
      <w:r w:rsidRPr="000D3432">
        <w:rPr>
          <w:rFonts w:asciiTheme="minorHAnsi" w:hAnsiTheme="minorHAnsi"/>
          <w:szCs w:val="24"/>
        </w:rPr>
        <w:t>’ concreto.”</w:t>
      </w:r>
      <w:r w:rsidRPr="000D3432">
        <w:rPr>
          <w:rStyle w:val="Refdenotaalpie"/>
          <w:rFonts w:asciiTheme="minorHAnsi" w:hAnsiTheme="minorHAnsi"/>
          <w:sz w:val="24"/>
          <w:szCs w:val="24"/>
        </w:rPr>
        <w:footnoteReference w:id="745"/>
      </w:r>
      <w:r w:rsidRPr="000D3432">
        <w:rPr>
          <w:rFonts w:asciiTheme="minorHAnsi" w:hAnsiTheme="minorHAnsi"/>
          <w:szCs w:val="24"/>
        </w:rPr>
        <w:t xml:space="preserve"> En esa situación, el planteamiento de lo que es la aplicación del derecho cambia. Si el Derecho, o la aplicación del derecho no es encajonamiento del caso, hecho social, realidad social, dentro de una norma jurídica, tomada esta como un mandato imperativo con un supuesto de hecho y una consecuencia jurídica, entonces, tenemos que ensayar otra forma de entender la aplicación del derecho, y esta es la que el derecho se crea a cada rato, con la reconstrucción y transformación de un hecho social en un hecho jurídico, pero no a través del silogismo de subsunción, sino a través de otros elementos más, a través de la consideración, primero de que el derecho tiene que encontrarse dentro de una determinación abstracta y general, para encuadrarlo dentro de un caso concreto y singular, ese procedimiento permite que exista la convicción de la existencia de un principio de “igualdad”, es decir que a casos iguales las soluciones, o las respuestas jurídicas (el derecho es una respuesta a una fenómeno social) tienen que ser semejantes; además esta forma de solucionar los problemas, los casos, debe realizarse contando con la existencia y conocimiento de ciertos criterios de decisión, que por lo tal se puedan prever, por este conocimiento, y que además deben coincidir con un “común y general ‘</w:t>
      </w:r>
      <w:r w:rsidRPr="000D3432">
        <w:rPr>
          <w:rFonts w:asciiTheme="minorHAnsi" w:hAnsiTheme="minorHAnsi"/>
          <w:i/>
          <w:szCs w:val="24"/>
        </w:rPr>
        <w:t>consensus</w:t>
      </w:r>
      <w:r w:rsidRPr="000D3432">
        <w:rPr>
          <w:rFonts w:asciiTheme="minorHAnsi" w:hAnsiTheme="minorHAnsi"/>
          <w:szCs w:val="24"/>
        </w:rPr>
        <w:t>”.</w:t>
      </w:r>
    </w:p>
    <w:p w14:paraId="7BC9333B" w14:textId="77777777" w:rsidR="0082775B" w:rsidRPr="000D3432" w:rsidRDefault="0082775B" w:rsidP="00A95498">
      <w:pPr>
        <w:jc w:val="both"/>
        <w:rPr>
          <w:rFonts w:asciiTheme="minorHAnsi" w:hAnsiTheme="minorHAnsi"/>
          <w:szCs w:val="24"/>
        </w:rPr>
      </w:pPr>
    </w:p>
    <w:p w14:paraId="70BF665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aplicación del derecho ya no será el tradicional, es decir: “el conjunto de operaciones o actividades llevadas a cabo para ajustar la realidad y la vida social a los dictados de las normas jurídicas”</w:t>
      </w:r>
      <w:r w:rsidRPr="000D3432">
        <w:rPr>
          <w:rStyle w:val="Refdenotaalpie"/>
          <w:rFonts w:asciiTheme="minorHAnsi" w:hAnsiTheme="minorHAnsi"/>
          <w:sz w:val="24"/>
          <w:szCs w:val="24"/>
        </w:rPr>
        <w:footnoteReference w:id="746"/>
      </w:r>
    </w:p>
    <w:p w14:paraId="79C677B6" w14:textId="77777777" w:rsidR="0082775B" w:rsidRPr="000D3432" w:rsidRDefault="0082775B" w:rsidP="00A95498">
      <w:pPr>
        <w:jc w:val="both"/>
        <w:rPr>
          <w:rFonts w:asciiTheme="minorHAnsi" w:hAnsiTheme="minorHAnsi"/>
          <w:szCs w:val="24"/>
        </w:rPr>
      </w:pPr>
    </w:p>
    <w:p w14:paraId="4DEB8C6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Lo que queda claro es que el caso no puede ser sometido a un simple silogismo, </w:t>
      </w:r>
      <w:r w:rsidRPr="000D3432">
        <w:rPr>
          <w:rFonts w:asciiTheme="minorHAnsi" w:hAnsiTheme="minorHAnsi"/>
          <w:szCs w:val="24"/>
        </w:rPr>
        <w:lastRenderedPageBreak/>
        <w:t>y que más bien, puede ser determinado, de acuerdo a la perspectiva de operación de donde se origine, así el caso, un hecho determinado, un hecho social, puede ser visto –dice Diez Picazo- para consejo u opinión, que podrá ser resuelto por un jurista; o puede ser visto para determinar unas pretensiones, en este caso es la función de un abogado quien responderá exactamente con establecer el plus del caso, y el derecho de este caso; o puede ser sometido el caso para ser decidido, en cuyo radio entra la actuación de un juez. Como se verá, explica Diez Picazo, todas las variantes son válidas, y en cada caso se ha determinado y establecido un forma de hacer derecho, o de aplicar derecho. Lo que no hay duda es que es el caso el punto de partida. Y además “… existe entre las tres un evidente paralelismo, pues en todas ellas se trata de extraer del caso o de encontrar partiendo del caso aquello que para el caso ‘es derecho”.</w:t>
      </w:r>
      <w:r w:rsidRPr="000D3432">
        <w:rPr>
          <w:rStyle w:val="Refdenotaalpie"/>
          <w:rFonts w:asciiTheme="minorHAnsi" w:hAnsiTheme="minorHAnsi"/>
          <w:sz w:val="24"/>
          <w:szCs w:val="24"/>
        </w:rPr>
        <w:footnoteReference w:id="747"/>
      </w:r>
      <w:r w:rsidRPr="000D3432">
        <w:rPr>
          <w:rFonts w:asciiTheme="minorHAnsi" w:hAnsiTheme="minorHAnsi"/>
          <w:szCs w:val="24"/>
        </w:rPr>
        <w:t xml:space="preserve"> </w:t>
      </w:r>
    </w:p>
    <w:p w14:paraId="60766565" w14:textId="77777777" w:rsidR="0082775B" w:rsidRPr="000D3432" w:rsidRDefault="0082775B" w:rsidP="00A95498">
      <w:pPr>
        <w:jc w:val="both"/>
        <w:rPr>
          <w:rFonts w:asciiTheme="minorHAnsi" w:hAnsiTheme="minorHAnsi"/>
          <w:szCs w:val="24"/>
        </w:rPr>
      </w:pPr>
    </w:p>
    <w:p w14:paraId="391CB7F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Las fases de la aplicación del derecho son:</w:t>
      </w:r>
    </w:p>
    <w:p w14:paraId="1DC99A1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1.- Fijación de los hechos que constituyen el caso concreto. Estos hechos son fijados a través de la historia, porque los hechos en la aplicación del derecho no son vistos, necesariamente, sino conocidos a través de una narración, o de documentos, pero no a través del mismo hecho, o caso. Así, lo primero que se constituye es la historia del caso, y la historia –para Diez Picazo- es:</w:t>
      </w:r>
    </w:p>
    <w:p w14:paraId="5A29B375" w14:textId="77777777" w:rsidR="0082775B" w:rsidRPr="000D3432" w:rsidRDefault="0082775B" w:rsidP="00A95498">
      <w:pPr>
        <w:ind w:left="708"/>
        <w:jc w:val="both"/>
        <w:rPr>
          <w:rFonts w:asciiTheme="minorHAnsi" w:hAnsiTheme="minorHAnsi"/>
          <w:szCs w:val="24"/>
        </w:rPr>
      </w:pPr>
      <w:r w:rsidRPr="000D3432">
        <w:rPr>
          <w:rFonts w:asciiTheme="minorHAnsi" w:hAnsiTheme="minorHAnsi"/>
          <w:szCs w:val="24"/>
        </w:rPr>
        <w:t xml:space="preserve"> “una transmisión de sucesos pretéritos, pero una transmisión en la que se han introducido ya los criterios valorativos propios de quien realiza la transmisión,...”</w:t>
      </w:r>
      <w:r w:rsidRPr="000D3432">
        <w:rPr>
          <w:rStyle w:val="Refdenotaalpie"/>
          <w:rFonts w:asciiTheme="minorHAnsi" w:hAnsiTheme="minorHAnsi"/>
          <w:sz w:val="24"/>
          <w:szCs w:val="24"/>
        </w:rPr>
        <w:footnoteReference w:id="748"/>
      </w:r>
    </w:p>
    <w:p w14:paraId="0CD66B72" w14:textId="77777777" w:rsidR="0082775B" w:rsidRPr="000D3432" w:rsidRDefault="0082775B" w:rsidP="00A95498">
      <w:pPr>
        <w:jc w:val="both"/>
        <w:rPr>
          <w:rFonts w:asciiTheme="minorHAnsi" w:hAnsiTheme="minorHAnsi"/>
          <w:szCs w:val="24"/>
        </w:rPr>
      </w:pPr>
    </w:p>
    <w:p w14:paraId="18E4A30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Cosa que no había advertido es esto de la transmisión en la historia. Si la historia tiene su carácter en la transmisión, lo que significa es que importa, no por el registro de hechos pasados más relevantes, sino porque estos hechos aún se suceden en nuestro tiempo, es decir, algo así como darle la posta a otro tiempo para que la carrera siga en pie. </w:t>
      </w:r>
    </w:p>
    <w:p w14:paraId="164ECFE9" w14:textId="77777777" w:rsidR="0082775B" w:rsidRPr="000D3432" w:rsidRDefault="0082775B" w:rsidP="00A95498">
      <w:pPr>
        <w:jc w:val="both"/>
        <w:rPr>
          <w:rFonts w:asciiTheme="minorHAnsi" w:hAnsiTheme="minorHAnsi"/>
          <w:szCs w:val="24"/>
        </w:rPr>
      </w:pPr>
    </w:p>
    <w:p w14:paraId="688ACFF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Y cuando un caso o hecho social es relatado a través de la historia eso supone que no es conocido como una experiencia personal, sino por medio de un tipo de comunicación.</w:t>
      </w:r>
    </w:p>
    <w:p w14:paraId="305A45E0" w14:textId="77777777" w:rsidR="0082775B" w:rsidRPr="000D3432" w:rsidRDefault="0082775B" w:rsidP="00A95498">
      <w:pPr>
        <w:jc w:val="both"/>
        <w:rPr>
          <w:rFonts w:asciiTheme="minorHAnsi" w:hAnsiTheme="minorHAnsi"/>
          <w:szCs w:val="24"/>
        </w:rPr>
      </w:pPr>
    </w:p>
    <w:p w14:paraId="12376CD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Ahora bien, lo que se trata es de confirmar si esos hechos, narrados por la historia son ciertos o no, por eso hay que separar las afirmaciones valorativas (“esta pobre señora” “este sinvergüenza”). Es decir, el proceso es de decantación, porque las formulaciones de los hechos, que llevan en sí una carga valorativa (esta pobre señora, este sinvergüenza) no pueden entrar en el margen de la historia jurídica, o del caso como problema jurídico. Queda sólo la sustancia jurídica: “El caso va siendo despojado de todos aquellos elementos o de todas aquellas características que resultan intrascendentes a efectos del problema jurídico que se plantea y el caso queda reducido a lo que podríamos llamar su sustancia jurídica”, pero para esto se tiene que tener a la vista el contexto y el texto normativo donde podrían encajar los hechos o el caso, por eso el juez y el jurisconsulto tienen que trabajar con el caso como orfebres, es </w:t>
      </w:r>
      <w:r w:rsidRPr="000D3432">
        <w:rPr>
          <w:rFonts w:asciiTheme="minorHAnsi" w:hAnsiTheme="minorHAnsi"/>
          <w:szCs w:val="24"/>
        </w:rPr>
        <w:lastRenderedPageBreak/>
        <w:t>decir ir “moldeándola para que pueda caber en algunas de las hipótesis normativas”</w:t>
      </w:r>
      <w:r w:rsidRPr="000D3432">
        <w:rPr>
          <w:rStyle w:val="Refdenotaalpie"/>
          <w:rFonts w:asciiTheme="minorHAnsi" w:hAnsiTheme="minorHAnsi"/>
          <w:sz w:val="24"/>
          <w:szCs w:val="24"/>
        </w:rPr>
        <w:footnoteReference w:id="749"/>
      </w:r>
      <w:r w:rsidRPr="000D3432">
        <w:rPr>
          <w:rFonts w:asciiTheme="minorHAnsi" w:hAnsiTheme="minorHAnsi"/>
          <w:szCs w:val="24"/>
        </w:rPr>
        <w:t xml:space="preserve">. Lo que en suma se está haciendo es interpretar. </w:t>
      </w:r>
    </w:p>
    <w:p w14:paraId="7357D629" w14:textId="77777777" w:rsidR="0082775B" w:rsidRPr="000D3432" w:rsidRDefault="0082775B" w:rsidP="00A95498">
      <w:pPr>
        <w:jc w:val="both"/>
        <w:rPr>
          <w:rFonts w:asciiTheme="minorHAnsi" w:hAnsiTheme="minorHAnsi"/>
          <w:szCs w:val="24"/>
        </w:rPr>
      </w:pPr>
    </w:p>
    <w:p w14:paraId="0BBFE37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Pero cuando el juez, por ejemplo, hace derecho, no se dedica sólo a demostrar la proposición histórica de un hecho, no sólo fabrica una historia, sino que, a diferencia del historiador, no puede elegir los asuntos que tiene que juzgar”.</w:t>
      </w:r>
      <w:r w:rsidRPr="000D3432">
        <w:rPr>
          <w:rStyle w:val="Refdenotaalpie"/>
          <w:rFonts w:asciiTheme="minorHAnsi" w:hAnsiTheme="minorHAnsi"/>
          <w:sz w:val="24"/>
          <w:szCs w:val="24"/>
        </w:rPr>
        <w:footnoteReference w:id="750"/>
      </w:r>
    </w:p>
    <w:p w14:paraId="5B86671B" w14:textId="77777777" w:rsidR="0082775B" w:rsidRPr="000D3432" w:rsidRDefault="0082775B" w:rsidP="00A95498">
      <w:pPr>
        <w:jc w:val="both"/>
        <w:rPr>
          <w:rFonts w:asciiTheme="minorHAnsi" w:hAnsiTheme="minorHAnsi"/>
          <w:szCs w:val="24"/>
        </w:rPr>
      </w:pPr>
    </w:p>
    <w:p w14:paraId="4E2E61F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Además al intentar aplicar el derecho, no se puede tener un conocimiento exacto, o riguroso de las afirmaciones, por eso hay que probar los hechos, pero la prueba, en los asuntos judiciales, no es tan simple, por que se trata de hechos sociales, y la prueba no demuestra la valoración de un hecho, sino intenta fijar como han ocurrido estos hechos, para tenerlos como puntos de partida del análisis y evaluación jurídica. El hecho de que la prueba judicial sea insuficiente está en que el derecho antes que demostrativo, es valorativo, es decir, se determina y fija por las valoraciones y juicios que de un determinado hecho social, o caso, se concluyen. Diez Picazo explica perfectamente este fenómeno o carácter no demostrativo del Derecho, al hablar de la prueba judicial:</w:t>
      </w:r>
    </w:p>
    <w:p w14:paraId="6470C41A" w14:textId="77777777" w:rsidR="0082775B" w:rsidRPr="000D3432" w:rsidRDefault="0082775B" w:rsidP="00A95498">
      <w:pPr>
        <w:ind w:left="708"/>
        <w:jc w:val="both"/>
        <w:rPr>
          <w:rFonts w:asciiTheme="minorHAnsi" w:hAnsiTheme="minorHAnsi"/>
          <w:szCs w:val="24"/>
        </w:rPr>
      </w:pPr>
      <w:r w:rsidRPr="000D3432">
        <w:rPr>
          <w:rFonts w:asciiTheme="minorHAnsi" w:hAnsiTheme="minorHAnsi"/>
          <w:szCs w:val="24"/>
        </w:rPr>
        <w:t>“La prueba judicial no es en rigor una ‘prueba demostrativa’, aunque algunas veces pueda intentar serlo, sino que es más bien un arte dialéctico que busca la persuasión del destinatario. Hay aquí rigurosamente una lucha y, como en un match, un éxito parcial puede conducir a la victoria si el contrario no reacciona a tiempo. Se trata de convencer más que demostrar, y el convencimiento no se forja sólo respecto de los hechos en sí mismos, sino de su mayor o menor probabilidad, atendidas las circunstancias, entre las cuales no está exenta de importancia la valoración moral del tipo de individuos (¡esta pobre señora!, ¡este sinvergüenza!).”</w:t>
      </w:r>
      <w:r w:rsidRPr="000D3432">
        <w:rPr>
          <w:rStyle w:val="Refdenotaalpie"/>
          <w:rFonts w:asciiTheme="minorHAnsi" w:hAnsiTheme="minorHAnsi"/>
          <w:sz w:val="24"/>
          <w:szCs w:val="24"/>
        </w:rPr>
        <w:footnoteReference w:id="751"/>
      </w:r>
    </w:p>
    <w:p w14:paraId="551FF9F4" w14:textId="77777777" w:rsidR="0082775B" w:rsidRPr="000D3432" w:rsidRDefault="0082775B" w:rsidP="00A95498">
      <w:pPr>
        <w:jc w:val="both"/>
        <w:rPr>
          <w:rFonts w:asciiTheme="minorHAnsi" w:hAnsiTheme="minorHAnsi"/>
          <w:szCs w:val="24"/>
        </w:rPr>
      </w:pPr>
    </w:p>
    <w:p w14:paraId="46C4DDA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Esta es una gran revelación, que por supuesto los positivistas no aceptarán, y menos porque el positivismo piensa que el derecho se aplica cuando un caso, un hecho social, una realidad social se encuadra dentro de una norma jurídica y nada más. Que el derecho existe siempre y cuando exista  demostración, a la manera de la ciencia, pero, otra vez, se olvidan que el derecho antes que demostrativo es valorativo, y el valor de algo no se demuestra, como se puede demostrar la existencia de la ley de la gravedad, sino que se construye, a través de la coordinación de muchos elementos, o criterios de decisión, diferentes a lo meramente racional. </w:t>
      </w:r>
    </w:p>
    <w:p w14:paraId="09794677" w14:textId="77777777" w:rsidR="0082775B" w:rsidRPr="000D3432" w:rsidRDefault="0082775B" w:rsidP="00A95498">
      <w:pPr>
        <w:jc w:val="both"/>
        <w:rPr>
          <w:rFonts w:asciiTheme="minorHAnsi" w:hAnsiTheme="minorHAnsi"/>
          <w:szCs w:val="24"/>
          <w:lang w:val="es-ES_tradnl"/>
        </w:rPr>
      </w:pPr>
    </w:p>
    <w:p w14:paraId="0C90E61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Bien, ¿estamos pues aplicando equitativamente el derecho, estamos aplicando -a secas-  el derecho, o no? Nuestra conclusión no es definitiva, porque plantea más bien la interrogante, ¿será lícito, conveniente y legítimo el tráfico de predios urbanos adjudicados por el Estado?</w:t>
      </w:r>
    </w:p>
    <w:p w14:paraId="2DD72C23" w14:textId="77777777" w:rsidR="0082775B" w:rsidRPr="000D3432" w:rsidRDefault="0082775B" w:rsidP="00A95498">
      <w:pPr>
        <w:jc w:val="both"/>
        <w:rPr>
          <w:rFonts w:asciiTheme="minorHAnsi" w:hAnsiTheme="minorHAnsi"/>
          <w:szCs w:val="24"/>
          <w:lang w:val="es-ES_tradnl"/>
        </w:rPr>
      </w:pPr>
    </w:p>
    <w:p w14:paraId="32C50E4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Si partimos de una visión comercial, y su principio, la libertad de comercio, </w:t>
      </w:r>
      <w:r w:rsidRPr="000D3432">
        <w:rPr>
          <w:rFonts w:asciiTheme="minorHAnsi" w:hAnsiTheme="minorHAnsi"/>
          <w:szCs w:val="24"/>
          <w:lang w:val="es-ES_tradnl"/>
        </w:rPr>
        <w:lastRenderedPageBreak/>
        <w:t>podríamos decir que sí, que este tráfico es un medio económico, un medio comercial que permite el flujo y la transmisión de bienes, etc. Pero olvidamos que todo flujo comercial, toda transacción en una sociedad debe adecuarse a unos mínimos parámetros de existencia y operatividad, es decir, el bien común, el no causar daño a la sociedad en su conjunto. Y eso no está claramente determinado, porque si la distribución de la riqueza debe ser equitativa, porque entonces no se puede lucrar con los bienes escasos, puesto que estos pertenecen a todos. Pareciera que hay abuso del Derecho. Pero eso sólo se podrá constatar por medio de la confirmación o no, de las hipótesis planteadas.</w:t>
      </w:r>
    </w:p>
    <w:p w14:paraId="4CC0E81F" w14:textId="77777777" w:rsidR="0082775B" w:rsidRPr="000D3432" w:rsidRDefault="0082775B" w:rsidP="00A95498">
      <w:pPr>
        <w:jc w:val="both"/>
        <w:rPr>
          <w:rFonts w:asciiTheme="minorHAnsi" w:hAnsiTheme="minorHAnsi"/>
          <w:szCs w:val="24"/>
          <w:lang w:val="es-ES_tradnl"/>
        </w:rPr>
      </w:pPr>
    </w:p>
    <w:p w14:paraId="1F95C78D"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APORTE AL DERECHO: TEORÍA JURÍDICA, DOCTRINA JURÍDICA Y PROPUESTA DE NORMAS JURÍDICAS</w:t>
      </w:r>
    </w:p>
    <w:p w14:paraId="50154157" w14:textId="77777777" w:rsidR="0082775B" w:rsidRPr="000D3432" w:rsidRDefault="0082775B" w:rsidP="00A95498">
      <w:pPr>
        <w:widowControl/>
        <w:jc w:val="both"/>
        <w:rPr>
          <w:rFonts w:asciiTheme="minorHAnsi" w:hAnsiTheme="minorHAnsi"/>
          <w:b/>
          <w:szCs w:val="24"/>
          <w:lang w:val="es-ES_tradnl"/>
        </w:rPr>
      </w:pPr>
    </w:p>
    <w:p w14:paraId="5A788DA1"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 xml:space="preserve"> 1. Aporte a la Teoría jurídica sobre el problema investigado</w:t>
      </w:r>
    </w:p>
    <w:p w14:paraId="5DDE5053" w14:textId="77777777" w:rsidR="0082775B" w:rsidRPr="000D3432" w:rsidRDefault="0082775B" w:rsidP="00A95498">
      <w:pPr>
        <w:widowControl/>
        <w:jc w:val="both"/>
        <w:rPr>
          <w:rFonts w:asciiTheme="minorHAnsi" w:hAnsiTheme="minorHAnsi"/>
          <w:b/>
          <w:szCs w:val="24"/>
          <w:lang w:val="es-ES_tradnl"/>
        </w:rPr>
      </w:pPr>
    </w:p>
    <w:p w14:paraId="34BC5D24" w14:textId="77777777" w:rsidR="0082775B" w:rsidRPr="000D3432" w:rsidRDefault="0082775B" w:rsidP="00A95498">
      <w:pPr>
        <w:widowControl/>
        <w:ind w:left="425"/>
        <w:jc w:val="both"/>
        <w:rPr>
          <w:rFonts w:asciiTheme="minorHAnsi" w:hAnsiTheme="minorHAnsi"/>
          <w:b/>
          <w:szCs w:val="24"/>
          <w:lang w:val="es-ES_tradnl"/>
        </w:rPr>
      </w:pPr>
      <w:r w:rsidRPr="000D3432">
        <w:rPr>
          <w:rFonts w:asciiTheme="minorHAnsi" w:hAnsiTheme="minorHAnsi"/>
          <w:b/>
          <w:szCs w:val="24"/>
          <w:lang w:val="es-ES_tradnl"/>
        </w:rPr>
        <w:t>1.1. Formulación de las premisas jurídicas resultantes de la investigación empírica</w:t>
      </w:r>
    </w:p>
    <w:p w14:paraId="394DF184" w14:textId="77777777" w:rsidR="0082775B" w:rsidRPr="000D3432" w:rsidRDefault="0082775B" w:rsidP="00A95498">
      <w:pPr>
        <w:widowControl/>
        <w:ind w:left="425"/>
        <w:jc w:val="both"/>
        <w:rPr>
          <w:rFonts w:asciiTheme="minorHAnsi" w:hAnsiTheme="minorHAnsi"/>
          <w:szCs w:val="24"/>
          <w:lang w:val="es-ES_tradnl"/>
        </w:rPr>
      </w:pPr>
    </w:p>
    <w:p w14:paraId="7E371AB5" w14:textId="77777777" w:rsidR="0082775B" w:rsidRPr="000D3432" w:rsidRDefault="0082775B" w:rsidP="00A95498">
      <w:pPr>
        <w:widowControl/>
        <w:ind w:left="425"/>
        <w:jc w:val="both"/>
        <w:rPr>
          <w:rFonts w:asciiTheme="minorHAnsi" w:hAnsiTheme="minorHAnsi"/>
          <w:szCs w:val="24"/>
          <w:lang w:val="es-ES_tradnl"/>
        </w:rPr>
      </w:pPr>
      <w:r w:rsidRPr="000D3432">
        <w:rPr>
          <w:rFonts w:asciiTheme="minorHAnsi" w:hAnsiTheme="minorHAnsi"/>
          <w:szCs w:val="24"/>
          <w:lang w:val="es-ES_tradnl"/>
        </w:rPr>
        <w:t>Una primera premisa jurídica está en el hecho de que existen todavía dificultad en el acceso a la propiedad  inmueble, y que esto genera, en el caso de la habilitación y adjudicación de predios urbanos por parte del Estado, la generación del tráfico ilícito de predios urbanos. Así tenemos que debe fortalecerse la protección de la adjudicación de la propiedad predial, por parte del Estado, a los más necesitados.</w:t>
      </w:r>
    </w:p>
    <w:p w14:paraId="23089614" w14:textId="77777777" w:rsidR="0082775B" w:rsidRPr="000D3432" w:rsidRDefault="0082775B" w:rsidP="00A95498">
      <w:pPr>
        <w:widowControl/>
        <w:ind w:left="425"/>
        <w:jc w:val="both"/>
        <w:rPr>
          <w:rFonts w:asciiTheme="minorHAnsi" w:hAnsiTheme="minorHAnsi"/>
          <w:b/>
          <w:szCs w:val="24"/>
          <w:lang w:val="es-ES_tradnl"/>
        </w:rPr>
      </w:pPr>
    </w:p>
    <w:p w14:paraId="1B724EB7" w14:textId="77777777" w:rsidR="0082775B" w:rsidRPr="000D3432" w:rsidRDefault="0082775B" w:rsidP="00A95498">
      <w:pPr>
        <w:widowControl/>
        <w:ind w:left="425"/>
        <w:jc w:val="both"/>
        <w:rPr>
          <w:rFonts w:asciiTheme="minorHAnsi" w:hAnsiTheme="minorHAnsi"/>
          <w:b/>
          <w:szCs w:val="24"/>
          <w:lang w:val="es-ES_tradnl"/>
        </w:rPr>
      </w:pPr>
      <w:r w:rsidRPr="000D3432">
        <w:rPr>
          <w:rFonts w:asciiTheme="minorHAnsi" w:hAnsiTheme="minorHAnsi"/>
          <w:b/>
          <w:szCs w:val="24"/>
          <w:lang w:val="es-ES_tradnl"/>
        </w:rPr>
        <w:t>1.2. Planteamiento de explicaciones teórico-jurídicos de los resultados empíricos</w:t>
      </w:r>
    </w:p>
    <w:p w14:paraId="0B4286F8" w14:textId="77777777" w:rsidR="0082775B" w:rsidRPr="000D3432" w:rsidRDefault="0082775B" w:rsidP="00A95498">
      <w:pPr>
        <w:widowControl/>
        <w:ind w:left="425"/>
        <w:jc w:val="both"/>
        <w:rPr>
          <w:rFonts w:asciiTheme="minorHAnsi" w:hAnsiTheme="minorHAnsi"/>
          <w:b/>
          <w:szCs w:val="24"/>
          <w:lang w:val="es-ES_tradnl"/>
        </w:rPr>
      </w:pPr>
    </w:p>
    <w:p w14:paraId="12408C52" w14:textId="77777777" w:rsidR="0082775B" w:rsidRPr="000D3432" w:rsidRDefault="0082775B" w:rsidP="00A95498">
      <w:pPr>
        <w:widowControl/>
        <w:ind w:left="425"/>
        <w:jc w:val="both"/>
        <w:rPr>
          <w:rFonts w:asciiTheme="minorHAnsi" w:hAnsiTheme="minorHAnsi"/>
          <w:szCs w:val="24"/>
          <w:lang w:val="es-ES_tradnl"/>
        </w:rPr>
      </w:pPr>
      <w:r w:rsidRPr="000D3432">
        <w:rPr>
          <w:rFonts w:asciiTheme="minorHAnsi" w:hAnsiTheme="minorHAnsi"/>
          <w:szCs w:val="24"/>
          <w:lang w:val="es-ES_tradnl"/>
        </w:rPr>
        <w:t xml:space="preserve">Podemos decir, brevemente que el problema está en la política de vivienda propuesta y diseñada por el Estado. Esta política no ha logrado cubrir las necesidades de vivienda, y por lo tanto se produce el tráfico ilícito de predios urbanos adjudicados por el Estado. </w:t>
      </w:r>
    </w:p>
    <w:p w14:paraId="5153F06B" w14:textId="77777777" w:rsidR="0082775B" w:rsidRPr="000D3432" w:rsidRDefault="0082775B" w:rsidP="00A95498">
      <w:pPr>
        <w:widowControl/>
        <w:ind w:left="425"/>
        <w:jc w:val="both"/>
        <w:rPr>
          <w:rFonts w:asciiTheme="minorHAnsi" w:hAnsiTheme="minorHAnsi"/>
          <w:b/>
          <w:szCs w:val="24"/>
          <w:lang w:val="es-ES_tradnl"/>
        </w:rPr>
      </w:pPr>
    </w:p>
    <w:p w14:paraId="1C3B0F6A" w14:textId="77777777" w:rsidR="0082775B" w:rsidRPr="000D3432" w:rsidRDefault="0082775B" w:rsidP="00A95498">
      <w:pPr>
        <w:widowControl/>
        <w:ind w:left="425"/>
        <w:jc w:val="both"/>
        <w:rPr>
          <w:rFonts w:asciiTheme="minorHAnsi" w:hAnsiTheme="minorHAnsi"/>
          <w:b/>
          <w:szCs w:val="24"/>
          <w:lang w:val="es-ES_tradnl"/>
        </w:rPr>
      </w:pPr>
      <w:r w:rsidRPr="000D3432">
        <w:rPr>
          <w:rFonts w:asciiTheme="minorHAnsi" w:hAnsiTheme="minorHAnsi"/>
          <w:b/>
          <w:szCs w:val="24"/>
          <w:lang w:val="es-ES_tradnl"/>
        </w:rPr>
        <w:t>1.3. Ordenamiento lógico de los resultados empíricos y las explicaciones teóricas</w:t>
      </w:r>
    </w:p>
    <w:p w14:paraId="20CB277B" w14:textId="77777777" w:rsidR="0082775B" w:rsidRPr="000D3432" w:rsidRDefault="0082775B" w:rsidP="00A95498">
      <w:pPr>
        <w:widowControl/>
        <w:jc w:val="both"/>
        <w:rPr>
          <w:rFonts w:asciiTheme="minorHAnsi" w:hAnsiTheme="minorHAnsi"/>
          <w:b/>
          <w:szCs w:val="24"/>
          <w:lang w:val="es-ES_tradnl"/>
        </w:rPr>
      </w:pPr>
    </w:p>
    <w:p w14:paraId="2CB66896"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2. Aporte a la Doctrina Jurídica</w:t>
      </w:r>
    </w:p>
    <w:p w14:paraId="6CD7003B" w14:textId="77777777" w:rsidR="0082775B" w:rsidRPr="000D3432" w:rsidRDefault="0082775B" w:rsidP="00A95498">
      <w:pPr>
        <w:widowControl/>
        <w:jc w:val="both"/>
        <w:rPr>
          <w:rFonts w:asciiTheme="minorHAnsi" w:hAnsiTheme="minorHAnsi"/>
          <w:b/>
          <w:szCs w:val="24"/>
          <w:lang w:val="es-ES_tradnl"/>
        </w:rPr>
      </w:pPr>
    </w:p>
    <w:p w14:paraId="0F30CB0D"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2.1. Análisis de los resultados empíricos y el aporte a la teoría jurídica con relación a:</w:t>
      </w:r>
    </w:p>
    <w:p w14:paraId="5DEA6FB0" w14:textId="77777777" w:rsidR="0082775B" w:rsidRPr="000D3432" w:rsidRDefault="0082775B" w:rsidP="00A95498">
      <w:pPr>
        <w:widowControl/>
        <w:jc w:val="both"/>
        <w:rPr>
          <w:rFonts w:asciiTheme="minorHAnsi" w:hAnsiTheme="minorHAnsi"/>
          <w:b/>
          <w:szCs w:val="24"/>
          <w:lang w:val="es-ES_tradnl"/>
        </w:rPr>
      </w:pPr>
    </w:p>
    <w:p w14:paraId="05CB9519"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a) Doctrinas que son fortalecidas y ampliadas con los resultados empíricos</w:t>
      </w:r>
    </w:p>
    <w:p w14:paraId="6E23919B" w14:textId="77777777" w:rsidR="0082775B" w:rsidRPr="000D3432" w:rsidRDefault="0082775B" w:rsidP="00A95498">
      <w:pPr>
        <w:widowControl/>
        <w:jc w:val="both"/>
        <w:rPr>
          <w:rFonts w:asciiTheme="minorHAnsi" w:hAnsiTheme="minorHAnsi"/>
          <w:b/>
          <w:szCs w:val="24"/>
          <w:lang w:val="es-ES_tradnl"/>
        </w:rPr>
      </w:pPr>
    </w:p>
    <w:p w14:paraId="6595E9FB"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Las doctrinas que son fortalecidas son aquellas que propugnan la utilización de políticas de implementación de vivienda usando el mercado.</w:t>
      </w:r>
    </w:p>
    <w:p w14:paraId="433E39FE" w14:textId="77777777" w:rsidR="0082775B" w:rsidRPr="000D3432" w:rsidRDefault="0082775B" w:rsidP="00A95498">
      <w:pPr>
        <w:widowControl/>
        <w:jc w:val="both"/>
        <w:rPr>
          <w:rFonts w:asciiTheme="minorHAnsi" w:hAnsiTheme="minorHAnsi"/>
          <w:b/>
          <w:szCs w:val="24"/>
          <w:lang w:val="es-ES_tradnl"/>
        </w:rPr>
      </w:pPr>
    </w:p>
    <w:p w14:paraId="4543B01F"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b) Doctrinas que son modificadas parcialmente con los resultados empíricos</w:t>
      </w:r>
    </w:p>
    <w:p w14:paraId="50C86FD9" w14:textId="77777777" w:rsidR="0082775B" w:rsidRPr="000D3432" w:rsidRDefault="0082775B" w:rsidP="00A95498">
      <w:pPr>
        <w:widowControl/>
        <w:jc w:val="both"/>
        <w:rPr>
          <w:rFonts w:asciiTheme="minorHAnsi" w:hAnsiTheme="minorHAnsi"/>
          <w:b/>
          <w:szCs w:val="24"/>
          <w:lang w:val="es-ES_tradnl"/>
        </w:rPr>
      </w:pPr>
    </w:p>
    <w:p w14:paraId="3477C8D3"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Se trata de aquellas que dicen que el Estado es el único que puede generar los mecanismos de propiedad de predios urbanos para vivienda.</w:t>
      </w:r>
    </w:p>
    <w:p w14:paraId="72601D31" w14:textId="77777777" w:rsidR="0082775B" w:rsidRPr="000D3432" w:rsidRDefault="0082775B" w:rsidP="00A95498">
      <w:pPr>
        <w:widowControl/>
        <w:jc w:val="both"/>
        <w:rPr>
          <w:rFonts w:asciiTheme="minorHAnsi" w:hAnsiTheme="minorHAnsi"/>
          <w:szCs w:val="24"/>
          <w:lang w:val="es-ES_tradnl"/>
        </w:rPr>
      </w:pPr>
    </w:p>
    <w:p w14:paraId="6C4CD922"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La libre disposición y tráfico de bienes que pertenecen al Estado, y por lo tanto al interés social, al orden, y seguridad social. Bienes que cumplen una función social.</w:t>
      </w:r>
    </w:p>
    <w:p w14:paraId="5B32E2C3" w14:textId="77777777" w:rsidR="0082775B" w:rsidRPr="000D3432" w:rsidRDefault="0082775B" w:rsidP="00A95498">
      <w:pPr>
        <w:widowControl/>
        <w:jc w:val="both"/>
        <w:rPr>
          <w:rFonts w:asciiTheme="minorHAnsi" w:hAnsiTheme="minorHAnsi"/>
          <w:b/>
          <w:szCs w:val="24"/>
          <w:lang w:val="es-ES_tradnl"/>
        </w:rPr>
      </w:pPr>
    </w:p>
    <w:p w14:paraId="4A3244F5"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c) Doctrinas que son rechazadas integralmente por los resultados empíricos</w:t>
      </w:r>
    </w:p>
    <w:p w14:paraId="058C36FC" w14:textId="77777777" w:rsidR="0082775B" w:rsidRPr="000D3432" w:rsidRDefault="0082775B" w:rsidP="00A95498">
      <w:pPr>
        <w:widowControl/>
        <w:jc w:val="both"/>
        <w:rPr>
          <w:rFonts w:asciiTheme="minorHAnsi" w:hAnsiTheme="minorHAnsi"/>
          <w:b/>
          <w:szCs w:val="24"/>
          <w:lang w:val="es-ES_tradnl"/>
        </w:rPr>
      </w:pPr>
    </w:p>
    <w:p w14:paraId="6F261C10"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La monopolización del poder Estatal para conseguir viviendas, y su adjudicación.</w:t>
      </w:r>
    </w:p>
    <w:p w14:paraId="240F8CB2" w14:textId="77777777" w:rsidR="0082775B" w:rsidRPr="000D3432" w:rsidRDefault="0082775B" w:rsidP="00A95498">
      <w:pPr>
        <w:widowControl/>
        <w:jc w:val="both"/>
        <w:rPr>
          <w:rFonts w:asciiTheme="minorHAnsi" w:hAnsiTheme="minorHAnsi"/>
          <w:b/>
          <w:szCs w:val="24"/>
          <w:lang w:val="es-ES_tradnl"/>
        </w:rPr>
      </w:pPr>
    </w:p>
    <w:p w14:paraId="03955E50"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Propuesta como aporte a la Doctrina Jurídica.</w:t>
      </w:r>
    </w:p>
    <w:p w14:paraId="144FC7C8" w14:textId="77777777" w:rsidR="0082775B" w:rsidRPr="000D3432" w:rsidRDefault="0082775B" w:rsidP="00A95498">
      <w:pPr>
        <w:widowControl/>
        <w:jc w:val="both"/>
        <w:rPr>
          <w:rFonts w:asciiTheme="minorHAnsi" w:hAnsiTheme="minorHAnsi"/>
          <w:b/>
          <w:szCs w:val="24"/>
          <w:lang w:val="es-ES_tradnl"/>
        </w:rPr>
      </w:pPr>
    </w:p>
    <w:p w14:paraId="53AFF748"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Que se use el mercado para medir y decidir las políticas de vivienda.</w:t>
      </w:r>
      <w:r w:rsidRPr="000D3432">
        <w:rPr>
          <w:rFonts w:asciiTheme="minorHAnsi" w:hAnsiTheme="minorHAnsi"/>
          <w:b/>
          <w:szCs w:val="24"/>
          <w:lang w:val="es-ES_tradnl"/>
        </w:rPr>
        <w:t xml:space="preserve"> </w:t>
      </w:r>
    </w:p>
    <w:p w14:paraId="20AE64C4" w14:textId="77777777" w:rsidR="0082775B" w:rsidRPr="000D3432" w:rsidRDefault="0082775B" w:rsidP="00A95498">
      <w:pPr>
        <w:widowControl/>
        <w:jc w:val="both"/>
        <w:rPr>
          <w:rFonts w:asciiTheme="minorHAnsi" w:hAnsiTheme="minorHAnsi"/>
          <w:b/>
          <w:szCs w:val="24"/>
          <w:lang w:val="es-ES_tradnl"/>
        </w:rPr>
      </w:pPr>
    </w:p>
    <w:p w14:paraId="5D5C8459"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3. Aporte a la normatividad Jurídica</w:t>
      </w:r>
    </w:p>
    <w:p w14:paraId="414E3FAC" w14:textId="77777777" w:rsidR="0082775B" w:rsidRPr="000D3432" w:rsidRDefault="0082775B" w:rsidP="00A95498">
      <w:pPr>
        <w:widowControl/>
        <w:jc w:val="both"/>
        <w:rPr>
          <w:rFonts w:asciiTheme="minorHAnsi" w:hAnsiTheme="minorHAnsi"/>
          <w:b/>
          <w:szCs w:val="24"/>
          <w:lang w:val="es-ES_tradnl"/>
        </w:rPr>
      </w:pPr>
    </w:p>
    <w:p w14:paraId="71ED6E31"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Se plantea un proyecto de ley para que se regule el registro y adjudicación de los predios del Estado, a los más necesitados, y para que esos predios, adjudicados por el Estado, no sean comercializados, desvirtuando su función, por la cual han sido entregados, es decir, la dotación de vivienda a los más necesitados, y no a los que quieren usufructuar y comercializar con ellos.</w:t>
      </w:r>
    </w:p>
    <w:p w14:paraId="3CA93D4B" w14:textId="77777777" w:rsidR="0082775B" w:rsidRPr="000D3432" w:rsidRDefault="0082775B" w:rsidP="00A95498">
      <w:pPr>
        <w:widowControl/>
        <w:jc w:val="both"/>
        <w:rPr>
          <w:rFonts w:asciiTheme="minorHAnsi" w:hAnsiTheme="minorHAnsi"/>
          <w:b/>
          <w:szCs w:val="24"/>
          <w:lang w:val="es-ES_tradnl"/>
        </w:rPr>
      </w:pPr>
    </w:p>
    <w:p w14:paraId="43A14AE0"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Creación de normatividad para generar la conciliación entre el mercado y el Estado para el acceso a la propiedad predial para vivienda.</w:t>
      </w:r>
    </w:p>
    <w:p w14:paraId="1DC24B0B" w14:textId="77777777" w:rsidR="0082775B" w:rsidRPr="000D3432" w:rsidRDefault="0082775B" w:rsidP="00A95498">
      <w:pPr>
        <w:widowControl/>
        <w:jc w:val="both"/>
        <w:rPr>
          <w:rFonts w:asciiTheme="minorHAnsi" w:hAnsiTheme="minorHAnsi"/>
          <w:b/>
          <w:szCs w:val="24"/>
          <w:lang w:val="es-ES_tradnl"/>
        </w:rPr>
      </w:pPr>
    </w:p>
    <w:p w14:paraId="41C5AC67"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3.1. Formulación de premisas doctrinarias</w:t>
      </w:r>
    </w:p>
    <w:p w14:paraId="5773C93A" w14:textId="77777777" w:rsidR="0082775B" w:rsidRPr="000D3432" w:rsidRDefault="0082775B" w:rsidP="00A95498">
      <w:pPr>
        <w:widowControl/>
        <w:jc w:val="both"/>
        <w:rPr>
          <w:rFonts w:asciiTheme="minorHAnsi" w:hAnsiTheme="minorHAnsi"/>
          <w:b/>
          <w:szCs w:val="24"/>
          <w:lang w:val="es-ES_tradnl"/>
        </w:rPr>
      </w:pPr>
    </w:p>
    <w:p w14:paraId="0FFB9FCC"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Medios de adquisición de la propiedad predial, con utilización del mercado.</w:t>
      </w:r>
    </w:p>
    <w:p w14:paraId="432E13E6" w14:textId="77777777" w:rsidR="0082775B" w:rsidRPr="000D3432" w:rsidRDefault="0082775B" w:rsidP="00A95498">
      <w:pPr>
        <w:widowControl/>
        <w:jc w:val="both"/>
        <w:rPr>
          <w:rFonts w:asciiTheme="minorHAnsi" w:hAnsiTheme="minorHAnsi"/>
          <w:b/>
          <w:szCs w:val="24"/>
          <w:lang w:val="es-ES_tradnl"/>
        </w:rPr>
      </w:pPr>
    </w:p>
    <w:p w14:paraId="59BE40A2"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 xml:space="preserve">3.2. Identificación de las normas jurídicas relacionadas a las premisas doctrinarias que serán corregidas o sustituidas por otras normas </w:t>
      </w:r>
    </w:p>
    <w:p w14:paraId="72C27E22" w14:textId="77777777" w:rsidR="0082775B" w:rsidRPr="000D3432" w:rsidRDefault="0082775B" w:rsidP="00A95498">
      <w:pPr>
        <w:widowControl/>
        <w:jc w:val="both"/>
        <w:rPr>
          <w:rFonts w:asciiTheme="minorHAnsi" w:hAnsiTheme="minorHAnsi"/>
          <w:b/>
          <w:szCs w:val="24"/>
          <w:lang w:val="es-ES_tradnl"/>
        </w:rPr>
      </w:pPr>
    </w:p>
    <w:p w14:paraId="2A6DE526"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Todas las referentes al Derecho de Propiedad y a las de Adquisición de la propiedad. Constitución, Código Civil,  Leyes especiales, etc.</w:t>
      </w:r>
    </w:p>
    <w:p w14:paraId="54FCB3F3" w14:textId="77777777" w:rsidR="0082775B" w:rsidRPr="000D3432" w:rsidRDefault="0082775B" w:rsidP="00A95498">
      <w:pPr>
        <w:widowControl/>
        <w:jc w:val="both"/>
        <w:rPr>
          <w:rFonts w:asciiTheme="minorHAnsi" w:hAnsiTheme="minorHAnsi"/>
          <w:b/>
          <w:szCs w:val="24"/>
          <w:lang w:val="es-ES_tradnl"/>
        </w:rPr>
      </w:pPr>
    </w:p>
    <w:p w14:paraId="7D90669D"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3.3. Formulación de normas jurídicas</w:t>
      </w:r>
    </w:p>
    <w:p w14:paraId="27BD801C" w14:textId="77777777" w:rsidR="0082775B" w:rsidRPr="000D3432" w:rsidRDefault="0082775B" w:rsidP="00A95498">
      <w:pPr>
        <w:widowControl/>
        <w:jc w:val="both"/>
        <w:rPr>
          <w:rFonts w:asciiTheme="minorHAnsi" w:hAnsiTheme="minorHAnsi"/>
          <w:b/>
          <w:szCs w:val="24"/>
          <w:lang w:val="es-ES_tradnl"/>
        </w:rPr>
      </w:pPr>
    </w:p>
    <w:p w14:paraId="2BE87B61"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Sugerimos que los que hagan tráfico de predios urbanos, paguen un impuesto elevado, a fin de que resulte más caro vender lotes adjudicados por el Estado. Así el tráfico no será rentable. Y los bienes irán directamente a los realmente necesitados.</w:t>
      </w:r>
    </w:p>
    <w:p w14:paraId="10D1FD7A" w14:textId="77777777" w:rsidR="0082775B" w:rsidRPr="000D3432" w:rsidRDefault="0082775B" w:rsidP="00A95498">
      <w:pPr>
        <w:widowControl/>
        <w:jc w:val="both"/>
        <w:rPr>
          <w:rFonts w:asciiTheme="minorHAnsi" w:hAnsiTheme="minorHAnsi"/>
          <w:b/>
          <w:szCs w:val="24"/>
          <w:lang w:val="es-ES_tradnl"/>
        </w:rPr>
      </w:pPr>
    </w:p>
    <w:p w14:paraId="62F5DE80"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a) Nuevas normas para incorporar a la legislación respectiva</w:t>
      </w:r>
    </w:p>
    <w:p w14:paraId="0D65C2A6" w14:textId="77777777" w:rsidR="0082775B" w:rsidRPr="000D3432" w:rsidRDefault="0082775B" w:rsidP="00A95498">
      <w:pPr>
        <w:widowControl/>
        <w:jc w:val="both"/>
        <w:rPr>
          <w:rFonts w:asciiTheme="minorHAnsi" w:hAnsiTheme="minorHAnsi"/>
          <w:b/>
          <w:szCs w:val="24"/>
          <w:lang w:val="es-ES_tradnl"/>
        </w:rPr>
      </w:pPr>
    </w:p>
    <w:p w14:paraId="13E90E3C"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lastRenderedPageBreak/>
        <w:t>Sólo una, que será denominada, Nueva Ley de Adquisición de Predios Urbanos para Vivienda. Contendrá un sólo artículo.</w:t>
      </w:r>
    </w:p>
    <w:p w14:paraId="6ED3C28D" w14:textId="77777777" w:rsidR="0082775B" w:rsidRPr="000D3432" w:rsidRDefault="0082775B" w:rsidP="00A95498">
      <w:pPr>
        <w:widowControl/>
        <w:jc w:val="both"/>
        <w:rPr>
          <w:rFonts w:asciiTheme="minorHAnsi" w:hAnsiTheme="minorHAnsi"/>
          <w:b/>
          <w:szCs w:val="24"/>
          <w:lang w:val="es-ES_tradnl"/>
        </w:rPr>
      </w:pPr>
    </w:p>
    <w:p w14:paraId="4CDB8240"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b) Normas modificatorias o sustitutorias de las existentes en la legislación respectiva</w:t>
      </w:r>
    </w:p>
    <w:p w14:paraId="1C20A1CD" w14:textId="77777777" w:rsidR="0082775B" w:rsidRPr="000D3432" w:rsidRDefault="0082775B" w:rsidP="00A95498">
      <w:pPr>
        <w:widowControl/>
        <w:jc w:val="both"/>
        <w:rPr>
          <w:rFonts w:asciiTheme="minorHAnsi" w:hAnsiTheme="minorHAnsi"/>
          <w:b/>
          <w:szCs w:val="24"/>
          <w:lang w:val="es-ES_tradnl"/>
        </w:rPr>
      </w:pPr>
    </w:p>
    <w:p w14:paraId="2AEBF311"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szCs w:val="24"/>
          <w:lang w:val="es-ES_tradnl"/>
        </w:rPr>
        <w:t xml:space="preserve">La norma anterior valdrá sobre las otras que la contradigan. </w:t>
      </w:r>
    </w:p>
    <w:p w14:paraId="38D8927E" w14:textId="77777777" w:rsidR="0082775B" w:rsidRPr="000D3432" w:rsidRDefault="0082775B" w:rsidP="00A95498">
      <w:pPr>
        <w:widowControl/>
        <w:jc w:val="center"/>
        <w:rPr>
          <w:rFonts w:asciiTheme="minorHAnsi" w:hAnsiTheme="minorHAnsi"/>
          <w:b/>
          <w:szCs w:val="24"/>
          <w:lang w:val="es-ES_tradnl"/>
        </w:rPr>
      </w:pPr>
    </w:p>
    <w:p w14:paraId="6778B1E7" w14:textId="77777777" w:rsidR="0082775B" w:rsidRPr="000D3432" w:rsidRDefault="0082775B" w:rsidP="00A95498">
      <w:pPr>
        <w:widowControl/>
        <w:jc w:val="both"/>
        <w:rPr>
          <w:rFonts w:asciiTheme="minorHAnsi" w:hAnsiTheme="minorHAnsi"/>
          <w:b/>
          <w:szCs w:val="24"/>
          <w:lang w:val="es-ES_tradnl"/>
        </w:rPr>
      </w:pPr>
      <w:r w:rsidRPr="000D3432">
        <w:rPr>
          <w:rFonts w:asciiTheme="minorHAnsi" w:hAnsiTheme="minorHAnsi"/>
          <w:b/>
          <w:szCs w:val="24"/>
          <w:lang w:val="es-ES_tradnl"/>
        </w:rPr>
        <w:t>RECOMENDACIONES</w:t>
      </w:r>
    </w:p>
    <w:p w14:paraId="1C4DEBB9" w14:textId="77777777" w:rsidR="0082775B" w:rsidRPr="000D3432" w:rsidRDefault="0082775B" w:rsidP="00A95498">
      <w:pPr>
        <w:widowControl/>
        <w:jc w:val="both"/>
        <w:rPr>
          <w:rFonts w:asciiTheme="minorHAnsi" w:hAnsiTheme="minorHAnsi"/>
          <w:b/>
          <w:szCs w:val="24"/>
          <w:lang w:val="es-ES_tradnl"/>
        </w:rPr>
      </w:pPr>
    </w:p>
    <w:p w14:paraId="7458D4E5" w14:textId="77777777" w:rsidR="0082775B" w:rsidRPr="000D3432" w:rsidRDefault="0082775B" w:rsidP="00A95498">
      <w:pPr>
        <w:widowControl/>
        <w:ind w:firstLine="425"/>
        <w:jc w:val="both"/>
        <w:rPr>
          <w:rFonts w:asciiTheme="minorHAnsi" w:hAnsiTheme="minorHAnsi"/>
          <w:szCs w:val="24"/>
          <w:lang w:val="es-ES_tradnl"/>
        </w:rPr>
      </w:pPr>
      <w:r w:rsidRPr="000D3432">
        <w:rPr>
          <w:rFonts w:asciiTheme="minorHAnsi" w:hAnsiTheme="minorHAnsi"/>
          <w:szCs w:val="24"/>
          <w:lang w:val="es-ES_tradnl"/>
        </w:rPr>
        <w:t>Se puede concluir que no hay un debido registro que impida el tráfico ilícito de predios adjudicados por el Estado, y que por lo tanto es necesario crear todo un sistema de control. No se puede especular con los bienes que son de utilidad pública, que sirven para proteger a los ciudadanos, o para darles a estos una vida digna.</w:t>
      </w:r>
    </w:p>
    <w:p w14:paraId="0EEC5A58" w14:textId="77777777" w:rsidR="0082775B" w:rsidRPr="000D3432" w:rsidRDefault="0082775B" w:rsidP="00A95498">
      <w:pPr>
        <w:widowControl/>
        <w:ind w:firstLine="425"/>
        <w:jc w:val="both"/>
        <w:rPr>
          <w:rFonts w:asciiTheme="minorHAnsi" w:hAnsiTheme="minorHAnsi"/>
          <w:szCs w:val="24"/>
          <w:lang w:val="es-ES_tradnl"/>
        </w:rPr>
      </w:pPr>
    </w:p>
    <w:p w14:paraId="1C528CE8" w14:textId="77777777" w:rsidR="0082775B" w:rsidRPr="000D3432" w:rsidRDefault="0082775B" w:rsidP="00A95498">
      <w:pPr>
        <w:widowControl/>
        <w:ind w:firstLine="425"/>
        <w:jc w:val="both"/>
        <w:rPr>
          <w:rFonts w:asciiTheme="minorHAnsi" w:hAnsiTheme="minorHAnsi"/>
          <w:b/>
          <w:szCs w:val="24"/>
          <w:lang w:val="es-ES_tradnl"/>
        </w:rPr>
      </w:pPr>
      <w:r w:rsidRPr="000D3432">
        <w:rPr>
          <w:rFonts w:asciiTheme="minorHAnsi" w:hAnsiTheme="minorHAnsi"/>
          <w:szCs w:val="24"/>
          <w:lang w:val="es-ES_tradnl"/>
        </w:rPr>
        <w:t>Nuestras sugerencias son que debe apresurarse el sistema de control, a nivel nacional para que no puedan, los ciudadanos, adjudicarse predios en todas partes del país, en esos casos, donde los predios son dados con la condición de que no tengan otra propiedad.</w:t>
      </w:r>
    </w:p>
    <w:p w14:paraId="25F456D5" w14:textId="77777777" w:rsidR="0082775B" w:rsidRPr="000D3432" w:rsidRDefault="0082775B" w:rsidP="00A95498">
      <w:pPr>
        <w:widowControl/>
        <w:jc w:val="both"/>
        <w:rPr>
          <w:rFonts w:asciiTheme="minorHAnsi" w:hAnsiTheme="minorHAnsi"/>
          <w:b/>
          <w:szCs w:val="24"/>
          <w:lang w:val="es-ES_tradnl"/>
        </w:rPr>
      </w:pPr>
    </w:p>
    <w:p w14:paraId="29B3E5D9" w14:textId="77777777" w:rsidR="0082775B" w:rsidRPr="000D3432" w:rsidRDefault="0082775B" w:rsidP="00A95498">
      <w:pPr>
        <w:jc w:val="both"/>
        <w:rPr>
          <w:rFonts w:asciiTheme="minorHAnsi" w:hAnsiTheme="minorHAnsi"/>
          <w:szCs w:val="24"/>
        </w:rPr>
      </w:pPr>
      <w:r w:rsidRPr="000D3432">
        <w:rPr>
          <w:rFonts w:asciiTheme="minorHAnsi" w:hAnsiTheme="minorHAnsi"/>
          <w:szCs w:val="24"/>
          <w:lang w:val="es-ES_tradnl"/>
        </w:rPr>
        <w:t xml:space="preserve">El Derecho </w:t>
      </w:r>
      <w:r w:rsidRPr="000D3432">
        <w:rPr>
          <w:rFonts w:asciiTheme="minorHAnsi" w:hAnsiTheme="minorHAnsi"/>
          <w:szCs w:val="24"/>
        </w:rPr>
        <w:t>tiene relevancia también en el mundo de las finanzas y de la economía por diversos factores. Uno de ellos es que gracias a esta se logra capacidad y método para manejar y legitimar el gobierno de los recursos económicos de  una empresa llamada Estado, sociedad. Se trata, en esto de los predios, de administrar los bienes sociales. No es un asunto trivial, ni menos un fenómeno aislado de la sociedad, sino todo lo contrario, una alternativa para ordenar la sociedad en relación directa con los intereses individuales y los intereses colectivos, todo esto dentro del mercado.</w:t>
      </w:r>
    </w:p>
    <w:p w14:paraId="75857FB5" w14:textId="77777777" w:rsidR="0082775B" w:rsidRPr="000D3432" w:rsidRDefault="0082775B" w:rsidP="00A95498">
      <w:pPr>
        <w:ind w:firstLine="708"/>
        <w:jc w:val="both"/>
        <w:rPr>
          <w:rFonts w:asciiTheme="minorHAnsi" w:hAnsiTheme="minorHAnsi"/>
          <w:szCs w:val="24"/>
        </w:rPr>
      </w:pPr>
    </w:p>
    <w:p w14:paraId="1D8146B4"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 xml:space="preserve">El término eje que intenta regular el derecho, en estos casos es el interés. El interés no es más que una “posición determinada para la satisfacción de una necesidad”, pero la sociedad, al no ser natural, sino histórica, crea algunas necesidades,  más allá de las básicas o primarias. El derecho tiene que habérselas con ello, con esas necesidades básicas, o con las creadas. E intenta coordinar esa búsqueda de satisfacción individual, llamado interés, con el interés social. </w:t>
      </w:r>
    </w:p>
    <w:p w14:paraId="03823C4A" w14:textId="77777777" w:rsidR="0082775B" w:rsidRPr="000D3432" w:rsidRDefault="0082775B" w:rsidP="00A95498">
      <w:pPr>
        <w:ind w:firstLine="708"/>
        <w:jc w:val="both"/>
        <w:rPr>
          <w:rFonts w:asciiTheme="minorHAnsi" w:hAnsiTheme="minorHAnsi"/>
          <w:szCs w:val="24"/>
        </w:rPr>
      </w:pPr>
    </w:p>
    <w:p w14:paraId="364F8EA4"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 xml:space="preserve">El Derecho para regular la sociedad, esta sociedad netamente patrimonial,  tiene “principios dominantes de organización”, que son la búsqueda de armonización del individuo con la sociedad, a través de los medios de asignación y administración de los bienes sociales. </w:t>
      </w:r>
    </w:p>
    <w:p w14:paraId="2520066B" w14:textId="77777777" w:rsidR="0082775B" w:rsidRPr="000D3432" w:rsidRDefault="0082775B" w:rsidP="00A95498">
      <w:pPr>
        <w:jc w:val="both"/>
        <w:rPr>
          <w:rFonts w:asciiTheme="minorHAnsi" w:hAnsiTheme="minorHAnsi"/>
          <w:szCs w:val="24"/>
        </w:rPr>
      </w:pPr>
    </w:p>
    <w:p w14:paraId="58A2EC5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fenómeno eje es el de organizar y determinar  como se distribuye los bienes sociales, dentro de un marco jurídico que permita el derecho a todos, y no el abuso del derecho de unos pocos. Dentro de esta concepción el Estado establece, para el no abuso del derecho, ciertas condiciones económicas y jurídicas, que permitan el flujo de la vida en derecho de la sociedad.</w:t>
      </w:r>
    </w:p>
    <w:p w14:paraId="7D52C682" w14:textId="77777777" w:rsidR="0082775B" w:rsidRPr="000D3432" w:rsidRDefault="0082775B" w:rsidP="00A95498">
      <w:pPr>
        <w:widowControl/>
        <w:jc w:val="both"/>
        <w:rPr>
          <w:rFonts w:asciiTheme="minorHAnsi" w:hAnsiTheme="minorHAnsi"/>
          <w:b/>
          <w:szCs w:val="24"/>
          <w:lang w:val="es-ES_tradnl"/>
        </w:rPr>
      </w:pPr>
    </w:p>
    <w:p w14:paraId="6B966CCC"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El Estado intenta crear un hombre moderno que pueda ser el que asuma el propio destino de distribución de la riqueza social. Pues bien, este hombre moderno,  puede ser clasificado a partir de tres conceptos: </w:t>
      </w:r>
    </w:p>
    <w:p w14:paraId="04D8CCD1" w14:textId="77777777" w:rsidR="0082775B" w:rsidRPr="000D3432" w:rsidRDefault="0082775B" w:rsidP="009E6E2E">
      <w:pPr>
        <w:pStyle w:val="Textodecuerpo22"/>
        <w:widowControl/>
        <w:numPr>
          <w:ilvl w:val="0"/>
          <w:numId w:val="40"/>
        </w:numPr>
        <w:ind w:left="709" w:hanging="425"/>
        <w:rPr>
          <w:rFonts w:asciiTheme="minorHAnsi" w:hAnsiTheme="minorHAnsi"/>
          <w:sz w:val="24"/>
          <w:szCs w:val="24"/>
          <w:lang w:val="es-ES_tradnl"/>
        </w:rPr>
      </w:pPr>
      <w:r w:rsidRPr="000D3432">
        <w:rPr>
          <w:rFonts w:asciiTheme="minorHAnsi" w:hAnsiTheme="minorHAnsi"/>
          <w:sz w:val="24"/>
          <w:szCs w:val="24"/>
          <w:lang w:val="es-ES_tradnl"/>
        </w:rPr>
        <w:t xml:space="preserve">La primacía del sujeto: La modernidad habría descubierto el concepto de “sujeto”, que no sería sinónimo de “persona” ni de “hombre”. El sujeto es un invento moderno. La modernidad aísla al hombre al convertirlo en sujeto puro, autónomo y hermético: sólo puede conocerse la realidad desde el punto de vista subjetivo, a través de mis gafas. </w:t>
      </w:r>
    </w:p>
    <w:p w14:paraId="0C362766" w14:textId="77777777" w:rsidR="0082775B" w:rsidRPr="000D3432" w:rsidRDefault="0082775B" w:rsidP="009E6E2E">
      <w:pPr>
        <w:widowControl/>
        <w:numPr>
          <w:ilvl w:val="0"/>
          <w:numId w:val="41"/>
        </w:numPr>
        <w:ind w:left="709" w:hanging="425"/>
        <w:jc w:val="both"/>
        <w:rPr>
          <w:rFonts w:asciiTheme="minorHAnsi" w:hAnsiTheme="minorHAnsi"/>
          <w:szCs w:val="24"/>
          <w:lang w:val="es-ES_tradnl"/>
        </w:rPr>
      </w:pPr>
      <w:r w:rsidRPr="000D3432">
        <w:rPr>
          <w:rFonts w:asciiTheme="minorHAnsi" w:hAnsiTheme="minorHAnsi"/>
          <w:szCs w:val="24"/>
          <w:lang w:val="es-ES_tradnl"/>
        </w:rPr>
        <w:t>El primado de la razón: Este era el ideal último de la ilustración, de la modernidad, que hacía al hombre libre e independiente de la paternalidad; el hombre habría llegado, con la razón, a salir de la menoria de edad, según Kant, superando esa incapacidad de valerse por la propia razón sin ayuda de otros. Hay que resaltar que hay una pretensión de exactitud, que era consecuencia de la generalización del método matemático, que acompaña a esta visión de la racionalidad humana, que pretende que todas las disciplinas se puedan traducir a códigos matemáticos. De tal forma que todas las cosas deben ser medibles, son negras o blancas.</w:t>
      </w:r>
    </w:p>
    <w:p w14:paraId="149233BF" w14:textId="77777777" w:rsidR="0082775B" w:rsidRPr="000D3432" w:rsidRDefault="0082775B" w:rsidP="009E6E2E">
      <w:pPr>
        <w:widowControl/>
        <w:numPr>
          <w:ilvl w:val="0"/>
          <w:numId w:val="42"/>
        </w:numPr>
        <w:ind w:left="709" w:hanging="425"/>
        <w:jc w:val="both"/>
        <w:rPr>
          <w:rFonts w:asciiTheme="minorHAnsi" w:hAnsiTheme="minorHAnsi"/>
          <w:b/>
          <w:szCs w:val="24"/>
          <w:lang w:val="es-ES_tradnl"/>
        </w:rPr>
      </w:pPr>
      <w:r w:rsidRPr="000D3432">
        <w:rPr>
          <w:rFonts w:asciiTheme="minorHAnsi" w:hAnsiTheme="minorHAnsi"/>
          <w:szCs w:val="24"/>
          <w:lang w:val="es-ES_tradnl"/>
        </w:rPr>
        <w:t>La idea de un progreso ilimitado: Hay en el moderno un pensamiento final hacia donde se dirige: el progreso. Este habría de encontrarse por medio de la razón que tiene su manifestación en la tecnología.</w:t>
      </w:r>
      <w:r w:rsidRPr="000D3432">
        <w:rPr>
          <w:rStyle w:val="Refdenotaalpie"/>
          <w:rFonts w:asciiTheme="minorHAnsi" w:hAnsiTheme="minorHAnsi"/>
          <w:sz w:val="24"/>
          <w:szCs w:val="24"/>
          <w:lang w:val="es-ES_tradnl"/>
        </w:rPr>
        <w:footnoteReference w:id="752"/>
      </w:r>
      <w:r w:rsidRPr="000D3432">
        <w:rPr>
          <w:rFonts w:asciiTheme="minorHAnsi" w:hAnsiTheme="minorHAnsi"/>
          <w:szCs w:val="24"/>
          <w:lang w:val="es-ES_tradnl"/>
        </w:rPr>
        <w:t xml:space="preserve"> </w:t>
      </w:r>
    </w:p>
    <w:p w14:paraId="47D7E8FF" w14:textId="77777777" w:rsidR="0082775B" w:rsidRPr="000D3432" w:rsidRDefault="0082775B" w:rsidP="00A95498">
      <w:pPr>
        <w:widowControl/>
        <w:ind w:firstLine="425"/>
        <w:jc w:val="both"/>
        <w:rPr>
          <w:rFonts w:asciiTheme="minorHAnsi" w:hAnsiTheme="minorHAnsi"/>
          <w:szCs w:val="24"/>
          <w:lang w:val="es-ES_tradnl"/>
        </w:rPr>
      </w:pPr>
      <w:r w:rsidRPr="000D3432">
        <w:rPr>
          <w:rFonts w:asciiTheme="minorHAnsi" w:hAnsiTheme="minorHAnsi"/>
          <w:szCs w:val="24"/>
          <w:lang w:val="es-ES_tradnl"/>
        </w:rPr>
        <w:t xml:space="preserve">Por otro lado el concepto moderno ha sido usado en el siglo V para diferenciar entre el pasado pagano y el presente cristiano que entonces habría ganado hegemonía en la visión del mundo oficial. Por ejemplo Hegel caracterizaba, en sus lecciones sobre la historia, lo moderno como una correlación histórica en relación a su pasado, el pasado de Hegel era el sucedido antes de 1500, es decir el medioevo. </w:t>
      </w:r>
    </w:p>
    <w:p w14:paraId="41126AD5" w14:textId="77777777" w:rsidR="0082775B" w:rsidRPr="000D3432" w:rsidRDefault="0082775B" w:rsidP="00A95498">
      <w:pPr>
        <w:widowControl/>
        <w:jc w:val="both"/>
        <w:rPr>
          <w:rFonts w:asciiTheme="minorHAnsi" w:hAnsiTheme="minorHAnsi"/>
          <w:szCs w:val="24"/>
          <w:lang w:val="es-ES_tradnl"/>
        </w:rPr>
      </w:pPr>
    </w:p>
    <w:p w14:paraId="7A99524E"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ab/>
        <w:t>En lo moderno había una expresión de lo nuevo, en la concepción cristiana el nuevo tiempo sería aquel que daría inició con el juicio final.</w:t>
      </w:r>
      <w:r w:rsidRPr="000D3432">
        <w:rPr>
          <w:rStyle w:val="Refdenotaalpie"/>
          <w:rFonts w:asciiTheme="minorHAnsi" w:hAnsiTheme="minorHAnsi"/>
          <w:sz w:val="24"/>
          <w:szCs w:val="24"/>
          <w:lang w:val="es-ES_tradnl"/>
        </w:rPr>
        <w:footnoteReference w:id="753"/>
      </w:r>
    </w:p>
    <w:p w14:paraId="66F76DE0" w14:textId="77777777" w:rsidR="0082775B" w:rsidRPr="000D3432" w:rsidRDefault="0082775B" w:rsidP="00A95498">
      <w:pPr>
        <w:pStyle w:val="Textodecuerpo"/>
        <w:widowControl/>
        <w:spacing w:line="240" w:lineRule="auto"/>
        <w:ind w:firstLine="425"/>
        <w:rPr>
          <w:rFonts w:asciiTheme="minorHAnsi" w:hAnsiTheme="minorHAnsi"/>
          <w:sz w:val="24"/>
          <w:szCs w:val="24"/>
          <w:lang w:val="es-ES_tradnl"/>
        </w:rPr>
      </w:pPr>
    </w:p>
    <w:p w14:paraId="3D3F07D0" w14:textId="77777777" w:rsidR="0082775B" w:rsidRPr="000D3432" w:rsidRDefault="0082775B" w:rsidP="00A95498">
      <w:pPr>
        <w:pStyle w:val="Textodecuerpo"/>
        <w:widowControl/>
        <w:spacing w:line="240" w:lineRule="auto"/>
        <w:ind w:firstLine="425"/>
        <w:rPr>
          <w:rFonts w:asciiTheme="minorHAnsi" w:hAnsiTheme="minorHAnsi"/>
          <w:b/>
          <w:sz w:val="24"/>
          <w:szCs w:val="24"/>
          <w:lang w:val="es-ES_tradnl"/>
        </w:rPr>
      </w:pPr>
      <w:r w:rsidRPr="000D3432">
        <w:rPr>
          <w:rFonts w:asciiTheme="minorHAnsi" w:hAnsiTheme="minorHAnsi"/>
          <w:b/>
          <w:sz w:val="24"/>
          <w:szCs w:val="24"/>
          <w:lang w:val="es-ES_tradnl"/>
        </w:rPr>
        <w:t>En fin, lo característico de lo moderno es esa insistencia en ser lo nuevo, en ser crítico de lo presente, siendo apertura del futuro, es decir el planteamiento de ser esa crítica permanente de nuestra era.</w:t>
      </w:r>
    </w:p>
    <w:p w14:paraId="361B7D72" w14:textId="77777777" w:rsidR="0082775B" w:rsidRPr="000D3432" w:rsidRDefault="0082775B" w:rsidP="00A95498">
      <w:pPr>
        <w:pStyle w:val="Textodecuerpo"/>
        <w:widowControl/>
        <w:spacing w:line="240" w:lineRule="auto"/>
        <w:ind w:firstLine="425"/>
        <w:rPr>
          <w:rFonts w:asciiTheme="minorHAnsi" w:hAnsiTheme="minorHAnsi"/>
          <w:b/>
          <w:sz w:val="24"/>
          <w:szCs w:val="24"/>
          <w:lang w:val="es-ES_tradnl"/>
        </w:rPr>
      </w:pPr>
    </w:p>
    <w:p w14:paraId="57A851CF"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ab/>
        <w:t xml:space="preserve">Esta modernidad es la que se persigue en el hombre actual. Un hombre con capacidad de organizarse, sin necesidad de la intervención coactiva del Estado, y donde el derecho a la propiedad pueda conjugarse perfectamente con el bien común, y donde no se produzca abuso del Derecho. </w:t>
      </w:r>
    </w:p>
    <w:p w14:paraId="6F575268" w14:textId="77777777" w:rsidR="0082775B" w:rsidRPr="000D3432" w:rsidRDefault="0082775B" w:rsidP="00A95498">
      <w:pPr>
        <w:widowControl/>
        <w:jc w:val="center"/>
        <w:rPr>
          <w:rFonts w:asciiTheme="minorHAnsi" w:hAnsiTheme="minorHAnsi"/>
          <w:b/>
          <w:szCs w:val="24"/>
          <w:lang w:val="es-ES_tradnl"/>
        </w:rPr>
      </w:pPr>
      <w:r w:rsidRPr="000D3432">
        <w:rPr>
          <w:rFonts w:asciiTheme="minorHAnsi" w:hAnsiTheme="minorHAnsi"/>
          <w:b/>
          <w:szCs w:val="24"/>
          <w:lang w:val="es-ES_tradnl"/>
        </w:rPr>
        <w:t>* * *</w:t>
      </w:r>
    </w:p>
    <w:p w14:paraId="04014251" w14:textId="77777777" w:rsidR="0082775B" w:rsidRPr="000D3432" w:rsidRDefault="0082775B" w:rsidP="00A95498">
      <w:pPr>
        <w:widowControl/>
        <w:jc w:val="both"/>
        <w:rPr>
          <w:rFonts w:asciiTheme="minorHAnsi" w:hAnsiTheme="minorHAnsi"/>
          <w:b/>
          <w:szCs w:val="24"/>
          <w:lang w:val="es-ES_tradnl"/>
        </w:rPr>
      </w:pPr>
    </w:p>
    <w:p w14:paraId="3F59CB82"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Por otro lado, el problema puede ser explicado de la siguiente forma. El problema se puede remontar, históricamente hablando a 1964, en Lima, con la toma del cerro 7 de Octubre. Acontecimiento que podríamos anunciar como el </w:t>
      </w:r>
      <w:r w:rsidRPr="000D3432">
        <w:rPr>
          <w:rFonts w:asciiTheme="minorHAnsi" w:hAnsiTheme="minorHAnsi"/>
          <w:szCs w:val="24"/>
          <w:lang w:val="es-ES_tradnl"/>
        </w:rPr>
        <w:lastRenderedPageBreak/>
        <w:t>primer antecedente de las invasiones modernas. Fenómeno que no constituye una simple ocupación de un cerro, sino la manifestación de una necesidad interna de la sociedad, o de parte de la sociedad: necesidad de vivienda. Pero esta invasión no ha sido realizada en forma espontánea por los invasores, sino por el contrario, ha supuesto que se hayan realizado muchos intentos por medios formales de obtener este requerimiento, la de vivienda.  Pero frente a las no satisfactorias respuestas del mecanismo estatal, para solucionar este problema, las soluciones han tenido que surgir, nuevamente, de la propia sociedad civil, es decir, de ese conjunto, o sistema de individuos que indistintamente de su relación con el Estado, han tenido que crear soluciones inteligentes y creativas, paralelas y contrarias a las dadas por el Estado, porque no veían otra posibilidad. Sucediendo así un fenómeno social complejo como el “quebrantamiento del ordenamiento legal”, para “proveerse los bienes y servicios que éste -el Estado- les prohibía”.</w:t>
      </w:r>
    </w:p>
    <w:p w14:paraId="72E108E6" w14:textId="77777777" w:rsidR="0082775B" w:rsidRPr="000D3432" w:rsidRDefault="0082775B" w:rsidP="00A95498">
      <w:pPr>
        <w:widowControl/>
        <w:jc w:val="both"/>
        <w:rPr>
          <w:rFonts w:asciiTheme="minorHAnsi" w:hAnsiTheme="minorHAnsi"/>
          <w:szCs w:val="24"/>
          <w:lang w:val="es-ES_tradnl"/>
        </w:rPr>
      </w:pPr>
    </w:p>
    <w:p w14:paraId="3E1F551E"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Y el Estado ha sido dejado de lado, o ha sido saltado, en este interés por conseguir la propiedad privada de lotes o terrenos para vivienda por que “Los altos costos impuestos por las normas peruanas, a través de severos y prolongados controles estatales, desincentivaron al adquisición de la propiedad por la vía formal. Así, los informales ignoraron las normas, invadieron terrenos -públicos y privados- y se establecieron en éstos.”</w:t>
      </w:r>
      <w:r w:rsidRPr="000D3432">
        <w:rPr>
          <w:rStyle w:val="Refdenotaalpie"/>
          <w:rFonts w:asciiTheme="minorHAnsi" w:hAnsiTheme="minorHAnsi"/>
          <w:sz w:val="24"/>
          <w:szCs w:val="24"/>
          <w:lang w:val="es-ES_tradnl"/>
        </w:rPr>
        <w:footnoteReference w:id="754"/>
      </w:r>
    </w:p>
    <w:p w14:paraId="53113996" w14:textId="77777777" w:rsidR="0082775B" w:rsidRPr="000D3432" w:rsidRDefault="0082775B" w:rsidP="00A95498">
      <w:pPr>
        <w:widowControl/>
        <w:jc w:val="both"/>
        <w:rPr>
          <w:rFonts w:asciiTheme="minorHAnsi" w:hAnsiTheme="minorHAnsi"/>
          <w:szCs w:val="24"/>
          <w:lang w:val="es-ES_tradnl"/>
        </w:rPr>
      </w:pPr>
    </w:p>
    <w:p w14:paraId="56DB1997"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Así la escasez de viviendas, produjo un enfrentamiento entre la necesidad real y la normatividad dada por el Estado. Y se sabe que cuando el Estado no funciona no queda otra alternativa que recurrir al mercado, pero el problema es que el mercado no siempre tiene o garantiza los derechos de toda la sociedad. Porque excluye a los que no participan activamente en su constitución. Primer elemento clave o a verificar en el funcionamiento del mercado: este sólo es para los que tienen la necesidad y la oportunidad de beneficiarse de él, olvidando el resto. Mientras que el Estado tiene necesariamente que trabajar con la conciencia de que sus actos deben beneficiar al todo, es decir a la sociedad, y no a unos cuantos. </w:t>
      </w:r>
    </w:p>
    <w:p w14:paraId="2E71977D" w14:textId="77777777" w:rsidR="0082775B" w:rsidRPr="000D3432" w:rsidRDefault="0082775B" w:rsidP="00A95498">
      <w:pPr>
        <w:widowControl/>
        <w:jc w:val="both"/>
        <w:rPr>
          <w:rFonts w:asciiTheme="minorHAnsi" w:hAnsiTheme="minorHAnsi"/>
          <w:szCs w:val="24"/>
          <w:lang w:val="es-ES_tradnl"/>
        </w:rPr>
      </w:pPr>
    </w:p>
    <w:p w14:paraId="56CD63E3"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Como hemos visto, el problema surge, o puede tener su fuente en la demografía y en las migraciones. </w:t>
      </w:r>
    </w:p>
    <w:p w14:paraId="207DCE43" w14:textId="77777777" w:rsidR="0082775B" w:rsidRPr="000D3432" w:rsidRDefault="0082775B" w:rsidP="00A95498">
      <w:pPr>
        <w:widowControl/>
        <w:jc w:val="both"/>
        <w:rPr>
          <w:rFonts w:asciiTheme="minorHAnsi" w:hAnsiTheme="minorHAnsi"/>
          <w:szCs w:val="24"/>
          <w:lang w:val="es-ES_tradnl"/>
        </w:rPr>
      </w:pPr>
    </w:p>
    <w:p w14:paraId="155EAF2B"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La conclusión a la que hemos llegado es que hay falta de “Planeamiento de una política de vivienda”, por parte del Estado, y por tanto, quien asume estas funciones, la de satisfacer las necesidades sociales es el mercado, y que por ello se produce el tráfico ilícito de predios urbanos adjudicados por el Estado. </w:t>
      </w:r>
    </w:p>
    <w:p w14:paraId="6C72BB64" w14:textId="77777777" w:rsidR="0082775B" w:rsidRPr="000D3432" w:rsidRDefault="0082775B" w:rsidP="00A95498">
      <w:pPr>
        <w:widowControl/>
        <w:jc w:val="both"/>
        <w:rPr>
          <w:rFonts w:asciiTheme="minorHAnsi" w:hAnsiTheme="minorHAnsi"/>
          <w:szCs w:val="24"/>
          <w:lang w:val="es-ES_tradnl"/>
        </w:rPr>
      </w:pPr>
    </w:p>
    <w:p w14:paraId="088BE311" w14:textId="77777777" w:rsidR="0082775B" w:rsidRPr="000D3432" w:rsidRDefault="0082775B" w:rsidP="00A95498">
      <w:pPr>
        <w:widowControl/>
        <w:jc w:val="both"/>
        <w:rPr>
          <w:rFonts w:asciiTheme="minorHAnsi" w:hAnsiTheme="minorHAnsi"/>
          <w:szCs w:val="24"/>
          <w:lang w:val="es-ES_tradnl"/>
        </w:rPr>
      </w:pPr>
    </w:p>
    <w:p w14:paraId="7992C0D7" w14:textId="77777777" w:rsidR="0082775B" w:rsidRPr="000D3432" w:rsidRDefault="0082775B" w:rsidP="00A95498">
      <w:pPr>
        <w:numPr>
          <w:ilvl w:val="12"/>
          <w:numId w:val="0"/>
        </w:numPr>
        <w:jc w:val="both"/>
        <w:rPr>
          <w:rFonts w:asciiTheme="minorHAnsi" w:hAnsiTheme="minorHAnsi"/>
          <w:szCs w:val="24"/>
        </w:rPr>
      </w:pPr>
    </w:p>
    <w:p w14:paraId="0DFCE4C1" w14:textId="77777777" w:rsidR="0082775B" w:rsidRPr="000D3432" w:rsidRDefault="0082775B" w:rsidP="00A95498">
      <w:pPr>
        <w:numPr>
          <w:ilvl w:val="12"/>
          <w:numId w:val="0"/>
        </w:numPr>
        <w:ind w:firstLine="426"/>
        <w:rPr>
          <w:rFonts w:asciiTheme="minorHAnsi" w:hAnsiTheme="minorHAnsi"/>
          <w:color w:val="000000"/>
          <w:szCs w:val="24"/>
        </w:rPr>
      </w:pPr>
    </w:p>
    <w:p w14:paraId="39E08247" w14:textId="77777777" w:rsidR="0082775B" w:rsidRPr="000D3432" w:rsidRDefault="0082775B" w:rsidP="00A95498">
      <w:pPr>
        <w:numPr>
          <w:ilvl w:val="12"/>
          <w:numId w:val="0"/>
        </w:numPr>
        <w:ind w:firstLine="426"/>
        <w:rPr>
          <w:rFonts w:asciiTheme="minorHAnsi" w:hAnsiTheme="minorHAnsi"/>
          <w:color w:val="000000"/>
          <w:szCs w:val="24"/>
        </w:rPr>
      </w:pPr>
    </w:p>
    <w:p w14:paraId="74F2A02D"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1AF7DC01" w14:textId="77777777" w:rsidR="0082775B" w:rsidRPr="000D3432" w:rsidRDefault="0082775B" w:rsidP="00A95498">
      <w:pPr>
        <w:numPr>
          <w:ilvl w:val="12"/>
          <w:numId w:val="0"/>
        </w:numPr>
        <w:ind w:firstLine="426"/>
        <w:rPr>
          <w:rFonts w:asciiTheme="minorHAnsi" w:hAnsiTheme="minorHAnsi"/>
          <w:color w:val="000000"/>
          <w:szCs w:val="24"/>
        </w:rPr>
      </w:pPr>
    </w:p>
    <w:p w14:paraId="31BFDD5E" w14:textId="77777777" w:rsidR="0082775B" w:rsidRPr="000D3432" w:rsidRDefault="0082775B" w:rsidP="00A95498">
      <w:pPr>
        <w:numPr>
          <w:ilvl w:val="12"/>
          <w:numId w:val="0"/>
        </w:numPr>
        <w:ind w:firstLine="426"/>
        <w:rPr>
          <w:rFonts w:asciiTheme="minorHAnsi" w:hAnsiTheme="minorHAnsi"/>
          <w:color w:val="000000"/>
          <w:szCs w:val="24"/>
        </w:rPr>
      </w:pPr>
    </w:p>
    <w:p w14:paraId="289C322C" w14:textId="77777777" w:rsidR="0082775B" w:rsidRPr="000D3432" w:rsidRDefault="0082775B" w:rsidP="00A95498">
      <w:pPr>
        <w:numPr>
          <w:ilvl w:val="12"/>
          <w:numId w:val="0"/>
        </w:numPr>
        <w:ind w:firstLine="426"/>
        <w:rPr>
          <w:rFonts w:asciiTheme="minorHAnsi" w:hAnsiTheme="minorHAnsi"/>
          <w:color w:val="000000"/>
          <w:szCs w:val="24"/>
        </w:rPr>
      </w:pPr>
    </w:p>
    <w:p w14:paraId="0B3D7F5B" w14:textId="77777777" w:rsidR="0082775B" w:rsidRPr="000D3432" w:rsidRDefault="0082775B" w:rsidP="00A95498">
      <w:pPr>
        <w:numPr>
          <w:ilvl w:val="12"/>
          <w:numId w:val="0"/>
        </w:numPr>
        <w:ind w:firstLine="426"/>
        <w:rPr>
          <w:rFonts w:asciiTheme="minorHAnsi" w:hAnsiTheme="minorHAnsi"/>
          <w:color w:val="000000"/>
          <w:szCs w:val="24"/>
        </w:rPr>
      </w:pPr>
    </w:p>
    <w:p w14:paraId="514B7078" w14:textId="77777777" w:rsidR="0082775B" w:rsidRPr="000D3432" w:rsidRDefault="0082775B" w:rsidP="00A95498">
      <w:pPr>
        <w:jc w:val="center"/>
        <w:rPr>
          <w:rFonts w:asciiTheme="minorHAnsi" w:hAnsiTheme="minorHAnsi"/>
          <w:b/>
          <w:bCs/>
          <w:szCs w:val="24"/>
        </w:rPr>
      </w:pPr>
      <w:r w:rsidRPr="000D3432">
        <w:rPr>
          <w:rFonts w:asciiTheme="minorHAnsi" w:hAnsiTheme="minorHAnsi"/>
          <w:b/>
          <w:bCs/>
          <w:szCs w:val="24"/>
        </w:rPr>
        <w:t xml:space="preserve">EL PODER JUDICIAL </w:t>
      </w:r>
    </w:p>
    <w:p w14:paraId="56267E17" w14:textId="77777777" w:rsidR="0082775B" w:rsidRPr="000D3432" w:rsidRDefault="0082775B" w:rsidP="00A95498">
      <w:pPr>
        <w:jc w:val="center"/>
        <w:rPr>
          <w:rFonts w:asciiTheme="minorHAnsi" w:hAnsiTheme="minorHAnsi"/>
          <w:b/>
          <w:bCs/>
          <w:szCs w:val="24"/>
        </w:rPr>
      </w:pPr>
      <w:r w:rsidRPr="000D3432">
        <w:rPr>
          <w:rFonts w:asciiTheme="minorHAnsi" w:hAnsiTheme="minorHAnsi"/>
          <w:b/>
          <w:bCs/>
          <w:szCs w:val="24"/>
        </w:rPr>
        <w:t>___________Y LOS PRINCIPIOS DEL DERECHO JUDICIAL __________</w:t>
      </w:r>
    </w:p>
    <w:p w14:paraId="1DC011AC" w14:textId="77777777" w:rsidR="0082775B" w:rsidRPr="000D3432" w:rsidRDefault="0082775B" w:rsidP="00A95498">
      <w:pPr>
        <w:jc w:val="center"/>
        <w:rPr>
          <w:rFonts w:asciiTheme="minorHAnsi" w:hAnsiTheme="minorHAnsi"/>
          <w:szCs w:val="24"/>
        </w:rPr>
      </w:pPr>
    </w:p>
    <w:p w14:paraId="6C72BABD" w14:textId="77777777" w:rsidR="0082775B" w:rsidRPr="000D3432" w:rsidRDefault="0082775B" w:rsidP="00A95498">
      <w:pPr>
        <w:rPr>
          <w:rFonts w:asciiTheme="minorHAnsi" w:hAnsiTheme="minorHAnsi"/>
          <w:szCs w:val="24"/>
        </w:rPr>
      </w:pPr>
    </w:p>
    <w:p w14:paraId="0872DAE7" w14:textId="77777777" w:rsidR="0082775B" w:rsidRPr="000D3432" w:rsidRDefault="0082775B" w:rsidP="00A95498">
      <w:pPr>
        <w:pStyle w:val="Ttulo3"/>
        <w:jc w:val="center"/>
        <w:rPr>
          <w:rFonts w:asciiTheme="minorHAnsi" w:hAnsiTheme="minorHAnsi"/>
          <w:b/>
          <w:bCs/>
          <w:color w:val="auto"/>
          <w:sz w:val="24"/>
          <w:szCs w:val="24"/>
        </w:rPr>
      </w:pPr>
      <w:bookmarkStart w:id="137" w:name="_Toc318102946"/>
      <w:r w:rsidRPr="000D3432">
        <w:rPr>
          <w:rFonts w:asciiTheme="minorHAnsi" w:hAnsiTheme="minorHAnsi"/>
          <w:color w:val="auto"/>
          <w:sz w:val="24"/>
          <w:szCs w:val="24"/>
        </w:rPr>
        <w:t>INTRODUCCIÓN</w:t>
      </w:r>
      <w:bookmarkEnd w:id="137"/>
    </w:p>
    <w:p w14:paraId="3944754F" w14:textId="77777777" w:rsidR="0082775B" w:rsidRPr="000D3432" w:rsidRDefault="0082775B" w:rsidP="00A95498">
      <w:pPr>
        <w:jc w:val="both"/>
        <w:rPr>
          <w:rFonts w:asciiTheme="minorHAnsi" w:hAnsiTheme="minorHAnsi"/>
          <w:szCs w:val="24"/>
        </w:rPr>
      </w:pPr>
    </w:p>
    <w:p w14:paraId="125523A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Para entender al Derecho hay que estudiar las instituciones que lo componen, que lo hacen diferente del resto. Aquello que le da forma y sentido, que es su razón de ser, como por ejemplo, el propio derecho en sus diversas extensiones, como el derecho a la vida, a la salud, a la propiedad, a la libertad, etc. Asimismo tenemos que estudiar aquellas instituciones que lo hacen posible, como los mecanismos, medios, técnicas y métodos que permiten la existencia y efectividad de los derechos, así tenemos al propio sistema de administración de justicia, a la conformación y estructuración del Poder Judicial, a las instituciones materiales y teóricas de todo el sistema judicial, como son el Poder Judicial, la clasificación del Poder Judicial, la Corte Suprema, las Cortes Superiores, los Juzgados, etc., y la designación, atribución y funciones de las mismas y de los integrantes de cada una (vocales, jueces).</w:t>
      </w:r>
    </w:p>
    <w:p w14:paraId="674684BA" w14:textId="77777777" w:rsidR="0082775B" w:rsidRPr="000D3432" w:rsidRDefault="0082775B" w:rsidP="00A95498">
      <w:pPr>
        <w:jc w:val="both"/>
        <w:rPr>
          <w:rFonts w:asciiTheme="minorHAnsi" w:hAnsiTheme="minorHAnsi"/>
          <w:szCs w:val="24"/>
        </w:rPr>
      </w:pPr>
    </w:p>
    <w:p w14:paraId="175ECE7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Todo lo anterior es visto por el Derecho Judicial, que es un esquema de los derechos que se desprenden de la estructuración política jurídica de la administración de justicia, o de nuestro sistema judicial.</w:t>
      </w:r>
    </w:p>
    <w:p w14:paraId="2B230DC9" w14:textId="77777777" w:rsidR="0082775B" w:rsidRPr="000D3432" w:rsidRDefault="0082775B" w:rsidP="00A95498">
      <w:pPr>
        <w:jc w:val="both"/>
        <w:rPr>
          <w:rFonts w:asciiTheme="minorHAnsi" w:hAnsiTheme="minorHAnsi"/>
          <w:szCs w:val="24"/>
        </w:rPr>
      </w:pPr>
    </w:p>
    <w:p w14:paraId="7AD4A31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Por eso no podemos hablar del Derecho Judicial como si del Derecho Constitucional, Civil, Penal, Tributario, etc., estuviéramos hablando. Es más, el objeto de la relación jurídica en cada una de las ramas del Derecho mencionadas es clara: en todos los casos se trata del ser humano, con un referente importante, o bien la persona (Derecho Constitucional), o bien la persona en eje al patrimonio (Derecho Civil), o bien la persona en torno a la comisión o no de un hecho delictivo (Derecho Penal), o bien la persona en relación a un hecho económico como tributar (Derecho Tributario), etc. </w:t>
      </w:r>
    </w:p>
    <w:p w14:paraId="4A81D012" w14:textId="77777777" w:rsidR="0082775B" w:rsidRPr="000D3432" w:rsidRDefault="0082775B" w:rsidP="00A95498">
      <w:pPr>
        <w:jc w:val="both"/>
        <w:rPr>
          <w:rFonts w:asciiTheme="minorHAnsi" w:hAnsiTheme="minorHAnsi"/>
          <w:szCs w:val="24"/>
        </w:rPr>
      </w:pPr>
    </w:p>
    <w:p w14:paraId="7118223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En el caso del Derecho Judicial no se trata de cualquier persona, sino de un tipo determinado de persona, la que tiene una actividad o participación en la administración de justicia.  Se trata además de conocer el sistema judicial, es decir de cómo se organiza la justicia en la sociedad. Administrar justicia implica un medio, método o técnica para solucionar los conflictos de intereses, hechos delictivos, o cualquier otro acto o hecho exigible de solucionar socialmente. </w:t>
      </w:r>
    </w:p>
    <w:p w14:paraId="45E5BCD3" w14:textId="77777777" w:rsidR="0082775B" w:rsidRPr="000D3432" w:rsidRDefault="0082775B" w:rsidP="00A95498">
      <w:pPr>
        <w:jc w:val="both"/>
        <w:rPr>
          <w:rFonts w:asciiTheme="minorHAnsi" w:hAnsiTheme="minorHAnsi"/>
          <w:szCs w:val="24"/>
        </w:rPr>
      </w:pPr>
    </w:p>
    <w:p w14:paraId="1989B582" w14:textId="77777777" w:rsidR="0082775B" w:rsidRPr="000D3432" w:rsidRDefault="0082775B" w:rsidP="00A95498">
      <w:pPr>
        <w:jc w:val="both"/>
        <w:rPr>
          <w:rFonts w:asciiTheme="minorHAnsi" w:hAnsiTheme="minorHAnsi"/>
          <w:szCs w:val="24"/>
        </w:rPr>
      </w:pPr>
    </w:p>
    <w:p w14:paraId="5305014F" w14:textId="77777777" w:rsidR="0082775B" w:rsidRPr="000D3432" w:rsidRDefault="0082775B" w:rsidP="00A95498">
      <w:pPr>
        <w:jc w:val="both"/>
        <w:rPr>
          <w:rFonts w:asciiTheme="minorHAnsi" w:hAnsiTheme="minorHAnsi"/>
          <w:szCs w:val="24"/>
        </w:rPr>
      </w:pPr>
    </w:p>
    <w:p w14:paraId="02101FAD" w14:textId="77777777" w:rsidR="0082775B" w:rsidRPr="000D3432" w:rsidRDefault="0082775B" w:rsidP="00A95498">
      <w:pPr>
        <w:jc w:val="both"/>
        <w:rPr>
          <w:rFonts w:asciiTheme="minorHAnsi" w:hAnsiTheme="minorHAnsi"/>
          <w:szCs w:val="24"/>
        </w:rPr>
      </w:pPr>
    </w:p>
    <w:p w14:paraId="3F9BD982" w14:textId="77777777" w:rsidR="0082775B" w:rsidRPr="000D3432" w:rsidRDefault="0082775B" w:rsidP="00A95498">
      <w:pPr>
        <w:pStyle w:val="Ttulo3"/>
        <w:jc w:val="center"/>
        <w:rPr>
          <w:rFonts w:asciiTheme="minorHAnsi" w:hAnsiTheme="minorHAnsi"/>
          <w:sz w:val="24"/>
          <w:szCs w:val="24"/>
        </w:rPr>
      </w:pPr>
    </w:p>
    <w:p w14:paraId="58F429C4" w14:textId="77777777" w:rsidR="0082775B" w:rsidRPr="000D3432" w:rsidRDefault="0082775B" w:rsidP="00A95498">
      <w:pPr>
        <w:jc w:val="both"/>
        <w:rPr>
          <w:rFonts w:asciiTheme="minorHAnsi" w:hAnsiTheme="minorHAnsi"/>
          <w:b/>
          <w:bCs/>
          <w:szCs w:val="24"/>
        </w:rPr>
      </w:pPr>
      <w:r w:rsidRPr="000D3432">
        <w:rPr>
          <w:rFonts w:asciiTheme="minorHAnsi" w:hAnsiTheme="minorHAnsi"/>
          <w:b/>
          <w:bCs/>
          <w:color w:val="333399"/>
          <w:szCs w:val="24"/>
        </w:rPr>
        <w:t xml:space="preserve">I.- </w:t>
      </w:r>
      <w:r w:rsidRPr="000D3432">
        <w:rPr>
          <w:rFonts w:asciiTheme="minorHAnsi" w:hAnsiTheme="minorHAnsi"/>
          <w:b/>
          <w:bCs/>
          <w:szCs w:val="24"/>
        </w:rPr>
        <w:t>NOCIONES PRELIMINARES: EL CONCEPTO DE DERECHO</w:t>
      </w:r>
    </w:p>
    <w:p w14:paraId="29F3375F" w14:textId="77777777" w:rsidR="0082775B" w:rsidRPr="000D3432" w:rsidRDefault="0082775B" w:rsidP="00A95498">
      <w:pPr>
        <w:jc w:val="both"/>
        <w:rPr>
          <w:rFonts w:asciiTheme="minorHAnsi" w:hAnsiTheme="minorHAnsi"/>
          <w:b/>
          <w:bCs/>
          <w:szCs w:val="24"/>
        </w:rPr>
      </w:pPr>
    </w:p>
    <w:p w14:paraId="729FF1F4" w14:textId="77777777" w:rsidR="0082775B" w:rsidRPr="000D3432" w:rsidRDefault="0082775B" w:rsidP="00A95498">
      <w:pPr>
        <w:pStyle w:val="Textodecuerpo2"/>
        <w:spacing w:after="0" w:line="240" w:lineRule="auto"/>
        <w:ind w:left="708"/>
        <w:jc w:val="both"/>
        <w:rPr>
          <w:rFonts w:asciiTheme="minorHAnsi" w:hAnsiTheme="minorHAnsi"/>
          <w:szCs w:val="24"/>
        </w:rPr>
      </w:pPr>
      <w:r w:rsidRPr="000D3432">
        <w:rPr>
          <w:rFonts w:asciiTheme="minorHAnsi" w:hAnsiTheme="minorHAnsi"/>
          <w:szCs w:val="24"/>
        </w:rPr>
        <w:t>“El Derecho es el conjunto de normas jurídicas que regulan la conducta del ser humano en sociedad para alcanzar el valor supremo de la justicia social; dictadas por la autoridad del Estado. Como producto social el Derecho es un hecho cultural, es decir, el resultado de la actividad social”. Marcial Rubio Correa</w:t>
      </w:r>
    </w:p>
    <w:p w14:paraId="7D12118D" w14:textId="77777777" w:rsidR="0082775B" w:rsidRPr="000D3432" w:rsidRDefault="0082775B" w:rsidP="00A95498">
      <w:pPr>
        <w:pStyle w:val="Textodecuerpo2"/>
        <w:spacing w:after="0" w:line="240" w:lineRule="auto"/>
        <w:ind w:left="708"/>
        <w:jc w:val="both"/>
        <w:rPr>
          <w:rFonts w:asciiTheme="minorHAnsi" w:hAnsiTheme="minorHAnsi"/>
          <w:szCs w:val="24"/>
        </w:rPr>
      </w:pPr>
    </w:p>
    <w:p w14:paraId="39384E6D" w14:textId="77777777" w:rsidR="0082775B" w:rsidRPr="000D3432" w:rsidRDefault="0082775B" w:rsidP="00A95498">
      <w:pPr>
        <w:pStyle w:val="Textodecuerpo2"/>
        <w:spacing w:after="0" w:line="240" w:lineRule="auto"/>
        <w:ind w:left="708"/>
        <w:jc w:val="both"/>
        <w:rPr>
          <w:rFonts w:asciiTheme="minorHAnsi" w:hAnsiTheme="minorHAnsi"/>
          <w:szCs w:val="24"/>
        </w:rPr>
      </w:pPr>
      <w:r w:rsidRPr="000D3432">
        <w:rPr>
          <w:rFonts w:asciiTheme="minorHAnsi" w:hAnsiTheme="minorHAnsi"/>
          <w:szCs w:val="24"/>
        </w:rPr>
        <w:t>“Derecho, pues, no consiste en el ordenamiento sino en lo que ordena, es decir que une, o, de una manera más realista, que liga; y por tanto, es una fuerza. (...) Fuerza no significa nada más que la idoneidad de algo para transformar el mundo. Y el derecho significa a su vez esa idoneidad”. Carnelutti.</w:t>
      </w:r>
    </w:p>
    <w:p w14:paraId="40257D58" w14:textId="77777777" w:rsidR="0082775B" w:rsidRPr="000D3432" w:rsidRDefault="0082775B" w:rsidP="00A95498">
      <w:pPr>
        <w:jc w:val="both"/>
        <w:rPr>
          <w:rFonts w:asciiTheme="minorHAnsi" w:hAnsiTheme="minorHAnsi"/>
          <w:b/>
          <w:bCs/>
          <w:szCs w:val="24"/>
        </w:rPr>
      </w:pPr>
    </w:p>
    <w:p w14:paraId="79467953" w14:textId="77777777" w:rsidR="0082775B" w:rsidRPr="000D3432" w:rsidRDefault="0082775B" w:rsidP="00A95498">
      <w:pPr>
        <w:jc w:val="both"/>
        <w:rPr>
          <w:rFonts w:asciiTheme="minorHAnsi" w:hAnsiTheme="minorHAnsi"/>
          <w:b/>
          <w:bCs/>
          <w:szCs w:val="24"/>
        </w:rPr>
      </w:pPr>
    </w:p>
    <w:p w14:paraId="1FA9559F"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 xml:space="preserve">El Derecho, en nuestra concepción, es un sistema normativo, es decir de regulación de las conductas de los seres humanos; sistema normativo que tiene su respaldo en la capacidad coactiva del Estado para hacer cumplir las normas jurídicas, y que tienen como objeto final el bien común y la justicia social, a través de la solución de los conflictos de intereses. </w:t>
      </w:r>
    </w:p>
    <w:p w14:paraId="3E4680F7" w14:textId="77777777" w:rsidR="0082775B" w:rsidRPr="000D3432" w:rsidRDefault="0082775B" w:rsidP="00A95498">
      <w:pPr>
        <w:jc w:val="both"/>
        <w:rPr>
          <w:rFonts w:asciiTheme="minorHAnsi" w:hAnsiTheme="minorHAnsi"/>
          <w:b/>
          <w:bCs/>
          <w:szCs w:val="24"/>
        </w:rPr>
      </w:pPr>
    </w:p>
    <w:p w14:paraId="31CE532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Decimos que el Derecho es un sistema normativo y no solamente un conjunto de normas porque el sistema es un concepto más completo que el concepto de conjunto. Explicándonos podríamos decir que un conjunto es un grupo ordenado de objetos, como el conjunto de sillas, mesas, libros, etc., pero los objetos (sillas, mesas, etc.) no obstante estar ordenadas no se relacionan entre sí. Están dentro de un grupo, pertenecen a un grupo llamado conjunto, pero no se relacionan. Por lo tanto si el Derecho sería un conjunto de normas, estas normas estarían agrupadas, pero sin relación unas con otras.</w:t>
      </w:r>
    </w:p>
    <w:p w14:paraId="5358EDB0" w14:textId="77777777" w:rsidR="0082775B" w:rsidRPr="000D3432" w:rsidRDefault="0082775B" w:rsidP="00A95498">
      <w:pPr>
        <w:jc w:val="both"/>
        <w:rPr>
          <w:rFonts w:asciiTheme="minorHAnsi" w:hAnsiTheme="minorHAnsi"/>
          <w:szCs w:val="24"/>
        </w:rPr>
      </w:pPr>
    </w:p>
    <w:p w14:paraId="15A34FB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En cambio cuando hablamos de sistema de normas, estamos refiriéndonos también a un grupo de normas, que son tomados como objetos del derecho. Estas normas están dentro de un sistema y no sólo de un conjunto porque al estar en un sistema todas las normas se encuentran ordenadas, agrupadas –como en el conjunto-, pero además –a diferencia de los conjuntos-, se encuentran relacionadas, se relacionan entre sí. </w:t>
      </w:r>
    </w:p>
    <w:p w14:paraId="35359345" w14:textId="77777777" w:rsidR="0082775B" w:rsidRPr="000D3432" w:rsidRDefault="0082775B" w:rsidP="00A95498">
      <w:pPr>
        <w:jc w:val="both"/>
        <w:rPr>
          <w:rFonts w:asciiTheme="minorHAnsi" w:hAnsiTheme="minorHAnsi"/>
          <w:szCs w:val="24"/>
        </w:rPr>
      </w:pPr>
    </w:p>
    <w:p w14:paraId="635F809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Ejemplo. Tomemos una norma penal: Robo. </w:t>
      </w:r>
    </w:p>
    <w:p w14:paraId="61D5792C" w14:textId="77777777" w:rsidR="0082775B" w:rsidRPr="000D3432" w:rsidRDefault="0082775B" w:rsidP="00A95498">
      <w:pPr>
        <w:jc w:val="both"/>
        <w:rPr>
          <w:rFonts w:asciiTheme="minorHAnsi" w:hAnsiTheme="minorHAnsi"/>
          <w:szCs w:val="24"/>
        </w:rPr>
      </w:pPr>
    </w:p>
    <w:p w14:paraId="55967608" w14:textId="77777777" w:rsidR="0082775B" w:rsidRPr="000D3432" w:rsidRDefault="0082775B" w:rsidP="00A95498">
      <w:pPr>
        <w:ind w:left="708"/>
        <w:jc w:val="both"/>
        <w:rPr>
          <w:rFonts w:asciiTheme="minorHAnsi" w:hAnsiTheme="minorHAnsi"/>
          <w:szCs w:val="24"/>
        </w:rPr>
      </w:pPr>
      <w:r w:rsidRPr="000D3432">
        <w:rPr>
          <w:rFonts w:asciiTheme="minorHAnsi" w:hAnsiTheme="minorHAnsi"/>
          <w:szCs w:val="24"/>
        </w:rPr>
        <w:t>“Artículo 188 del Código Penal.- Robo</w:t>
      </w:r>
    </w:p>
    <w:p w14:paraId="083B0413" w14:textId="77777777" w:rsidR="0082775B" w:rsidRPr="000D3432" w:rsidRDefault="0082775B" w:rsidP="00A95498">
      <w:pPr>
        <w:ind w:left="708"/>
        <w:jc w:val="both"/>
        <w:rPr>
          <w:rFonts w:asciiTheme="minorHAnsi" w:hAnsiTheme="minorHAnsi"/>
          <w:szCs w:val="24"/>
        </w:rPr>
      </w:pPr>
      <w:r w:rsidRPr="000D3432">
        <w:rPr>
          <w:rFonts w:asciiTheme="minorHAnsi" w:hAnsiTheme="minorHAnsi"/>
          <w:szCs w:val="24"/>
        </w:rPr>
        <w:t>El que se apodera ilegítimamente de un bien mueble total o parcialmente ajeno, para aprovecharse de él, sustrayéndolo del lugar en que se encuentra, empleando violencia contra la persona o amenazándola con un peligro inminente para su vida o integridad física será reprimido con pena privativa de libertad no menor de tres ni mayor de ocho años.”</w:t>
      </w:r>
    </w:p>
    <w:p w14:paraId="5B180758" w14:textId="77777777" w:rsidR="0082775B" w:rsidRPr="000D3432" w:rsidRDefault="0082775B" w:rsidP="00A95498">
      <w:pPr>
        <w:jc w:val="both"/>
        <w:rPr>
          <w:rFonts w:asciiTheme="minorHAnsi" w:hAnsiTheme="minorHAnsi"/>
          <w:b/>
          <w:bCs/>
          <w:color w:val="333399"/>
          <w:szCs w:val="24"/>
        </w:rPr>
      </w:pPr>
    </w:p>
    <w:p w14:paraId="43DEAEE2"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 xml:space="preserve">El robo es hecho jurídico. Este hecho tiene que ser organizado dentro de una norma. Si el Derecho fuera un conjunto, entonces, este hecho –el robo- estaría en un código, el Código Penal, y nada más, sin relación con el resto de normas. </w:t>
      </w:r>
      <w:r w:rsidRPr="000D3432">
        <w:rPr>
          <w:rFonts w:asciiTheme="minorHAnsi" w:hAnsiTheme="minorHAnsi"/>
          <w:sz w:val="24"/>
          <w:szCs w:val="24"/>
        </w:rPr>
        <w:lastRenderedPageBreak/>
        <w:t>Pero organizar un hecho jurídico dentro de un texto normativo –como un conjunto- no es suficiente, porque no podría resolverse el problema -el robo- y castigarse al culpable (en materia penal –en la etapa de investigación- se le llama inculpado), sin que exista una definición del robo. Y esta definición no está dentro del Código Penal, sino dentro del Código Civil, y bajo otro título, el del derecho a la propiedad. Así, no habría robo si no hubiera el derecho a la propiedad. Y es el Código Civil quien lo define en el artículo 923 que a la letra dice: “La propiedad es el poder jurídico que permite usar, disfrutar, disponer y reivindicar un bien. Debe ejercerse en armonía con el interés social y dentro de los límites de la ley.”</w:t>
      </w:r>
    </w:p>
    <w:p w14:paraId="50E7EDDD" w14:textId="77777777" w:rsidR="0082775B" w:rsidRPr="000D3432" w:rsidRDefault="0082775B" w:rsidP="00A95498">
      <w:pPr>
        <w:pStyle w:val="Textodecuerpo3"/>
        <w:spacing w:after="0"/>
        <w:rPr>
          <w:rFonts w:asciiTheme="minorHAnsi" w:hAnsiTheme="minorHAnsi"/>
          <w:sz w:val="24"/>
          <w:szCs w:val="24"/>
        </w:rPr>
      </w:pPr>
    </w:p>
    <w:p w14:paraId="6C9D2859"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Además, para que esta norma jurídica sobre la propiedad del Código Civil sea legítima es necesario que esté contemplada en la norma fundamental de toda sociedad, es decir en la Constitución Política. Así, la Constitución enuncia y declara la existencia y validez del Derecho a la propiedad. La Constitución expresa literalmente en su artículo 2°, inciso 16. Capítulo I – Derechos Fundamentales de la persona, Título I- De la persona y de la Sociedad: Artículo 2.- Derechos fundamentales de la persona: Toda persona tiene derecho:</w:t>
      </w:r>
      <w:r w:rsidRPr="000D3432">
        <w:rPr>
          <w:rFonts w:asciiTheme="minorHAnsi" w:hAnsiTheme="minorHAnsi"/>
          <w:sz w:val="24"/>
          <w:szCs w:val="24"/>
        </w:rPr>
        <w:tab/>
        <w:t>16. A la propiedad y a la herencia.</w:t>
      </w:r>
    </w:p>
    <w:p w14:paraId="6421E234" w14:textId="77777777" w:rsidR="0082775B" w:rsidRPr="000D3432" w:rsidRDefault="0082775B" w:rsidP="00A95498">
      <w:pPr>
        <w:pStyle w:val="Textodecuerpo3"/>
        <w:spacing w:after="0"/>
        <w:rPr>
          <w:rFonts w:asciiTheme="minorHAnsi" w:hAnsiTheme="minorHAnsi"/>
          <w:sz w:val="24"/>
          <w:szCs w:val="24"/>
        </w:rPr>
      </w:pPr>
    </w:p>
    <w:p w14:paraId="02EFD91C"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Y el artículo 70 de la Constitución lo ratifica:</w:t>
      </w:r>
    </w:p>
    <w:p w14:paraId="4668B015" w14:textId="77777777" w:rsidR="0082775B" w:rsidRPr="000D3432" w:rsidRDefault="0082775B" w:rsidP="00A95498">
      <w:pPr>
        <w:pStyle w:val="Textodecuerpo3"/>
        <w:spacing w:after="0"/>
        <w:rPr>
          <w:rFonts w:asciiTheme="minorHAnsi" w:hAnsiTheme="minorHAnsi"/>
          <w:sz w:val="24"/>
          <w:szCs w:val="24"/>
        </w:rPr>
      </w:pPr>
    </w:p>
    <w:p w14:paraId="3937F637"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“Artículo 70.- Inviolabilidad del derecho de propiedad</w:t>
      </w:r>
    </w:p>
    <w:p w14:paraId="32ED6BA1"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ab/>
        <w:t>El derecho de propiedad es inviolable. El Estado lo garantiza. Se ejerce en armonía con el bien común y dentro de los límites de ley. A nadie puede privarse de su propiedad sino, exclusivamente, por causa de seguridad nacional o necesidad pública, declarada por ley, y previo pago en efectivo de indemnización justipreciada que incluya compensación por el eventual perjuicio. Hay acción ante el Poder Judicial para contestar el valor de la propiedad que el Estado haya señalado en el procedimiento expropiatorio.”</w:t>
      </w:r>
    </w:p>
    <w:p w14:paraId="5946DC8C" w14:textId="77777777" w:rsidR="0082775B" w:rsidRPr="000D3432" w:rsidRDefault="0082775B" w:rsidP="00A95498">
      <w:pPr>
        <w:pStyle w:val="Textodecuerpo3"/>
        <w:spacing w:after="0"/>
        <w:rPr>
          <w:rFonts w:asciiTheme="minorHAnsi" w:hAnsiTheme="minorHAnsi"/>
          <w:sz w:val="24"/>
          <w:szCs w:val="24"/>
        </w:rPr>
      </w:pPr>
    </w:p>
    <w:p w14:paraId="0E87D7A1" w14:textId="77777777" w:rsidR="0082775B" w:rsidRPr="000D3432" w:rsidRDefault="0082775B" w:rsidP="00A95498">
      <w:pPr>
        <w:pStyle w:val="Textodecuerpo3"/>
        <w:spacing w:after="0"/>
        <w:jc w:val="center"/>
        <w:rPr>
          <w:rFonts w:asciiTheme="minorHAnsi" w:hAnsiTheme="minorHAnsi"/>
          <w:sz w:val="24"/>
          <w:szCs w:val="24"/>
        </w:rPr>
      </w:pPr>
      <w:r w:rsidRPr="000D3432">
        <w:rPr>
          <w:rFonts w:asciiTheme="minorHAnsi" w:hAnsiTheme="minorHAnsi"/>
          <w:sz w:val="24"/>
          <w:szCs w:val="24"/>
        </w:rPr>
        <w:t>* * *</w:t>
      </w:r>
    </w:p>
    <w:p w14:paraId="0C67FD21"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 xml:space="preserve">Como vemos, hay varias normas que se relacionan para que pueda existir el delito de robo. Hay necesidad de varios conceptos que se entrelazan; así, sólo hay Robo si existe propiedad, y sólo hay propiedad si existe Derecho, y sólo hay Derecho si existe sociedad. </w:t>
      </w:r>
    </w:p>
    <w:p w14:paraId="0C6692F7" w14:textId="77777777" w:rsidR="0082775B" w:rsidRPr="000D3432" w:rsidRDefault="0082775B" w:rsidP="00A95498">
      <w:pPr>
        <w:pStyle w:val="Textodecuerpo3"/>
        <w:spacing w:after="0"/>
        <w:rPr>
          <w:rFonts w:asciiTheme="minorHAnsi" w:hAnsiTheme="minorHAnsi"/>
          <w:sz w:val="24"/>
          <w:szCs w:val="24"/>
        </w:rPr>
      </w:pPr>
    </w:p>
    <w:p w14:paraId="5620B524"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En otros términos podríamos decir que para la existencia y solución o castigo al Robo, hay necesidad del Código Penal, del Código Civil, y de la Constitución Política. Estos tres textos normativos tienen que enlazarse para solucionar un problema social: el Robo.</w:t>
      </w:r>
    </w:p>
    <w:p w14:paraId="3FD214BF" w14:textId="77777777" w:rsidR="0082775B" w:rsidRPr="000D3432" w:rsidRDefault="0082775B" w:rsidP="00A95498">
      <w:pPr>
        <w:pStyle w:val="Textodecuerpo3"/>
        <w:spacing w:after="0"/>
        <w:rPr>
          <w:rFonts w:asciiTheme="minorHAnsi" w:hAnsiTheme="minorHAnsi"/>
          <w:sz w:val="24"/>
          <w:szCs w:val="24"/>
        </w:rPr>
      </w:pPr>
    </w:p>
    <w:p w14:paraId="7972C816"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Si hablamos sólo desde las normas podríamos decir que hay necesidad, para que exista el Robo, la relación entre el artículo 188 del Código Penal (Robo), el Artículo 293 (Propiedad) del Código Civil, y los artículos 2° inciso 16, y 70° de la Constitución Política (propiedad).</w:t>
      </w:r>
    </w:p>
    <w:p w14:paraId="4372F8FD" w14:textId="77777777" w:rsidR="0082775B" w:rsidRPr="000D3432" w:rsidRDefault="0082775B" w:rsidP="00A95498">
      <w:pPr>
        <w:pStyle w:val="Textodecuerpo3"/>
        <w:spacing w:after="0"/>
        <w:rPr>
          <w:rFonts w:asciiTheme="minorHAnsi" w:hAnsiTheme="minorHAnsi"/>
          <w:sz w:val="24"/>
          <w:szCs w:val="24"/>
        </w:rPr>
      </w:pPr>
    </w:p>
    <w:p w14:paraId="2CC6EBA3" w14:textId="77777777" w:rsidR="0082775B" w:rsidRPr="000D3432" w:rsidRDefault="0082775B" w:rsidP="00A95498">
      <w:pPr>
        <w:pStyle w:val="Textodecuerpo3"/>
        <w:spacing w:after="0"/>
        <w:rPr>
          <w:rFonts w:asciiTheme="minorHAnsi" w:hAnsiTheme="minorHAnsi"/>
          <w:sz w:val="24"/>
          <w:szCs w:val="24"/>
        </w:rPr>
      </w:pPr>
    </w:p>
    <w:p w14:paraId="664A8B01" w14:textId="77777777" w:rsidR="0082775B" w:rsidRPr="000D3432" w:rsidRDefault="0082775B" w:rsidP="00A95498">
      <w:pPr>
        <w:pStyle w:val="Textodecuerpo3"/>
        <w:spacing w:after="0"/>
        <w:rPr>
          <w:rFonts w:asciiTheme="minorHAnsi" w:hAnsiTheme="minorHAnsi"/>
          <w:b/>
          <w:bCs/>
          <w:sz w:val="24"/>
          <w:szCs w:val="24"/>
        </w:rPr>
      </w:pPr>
      <w:r w:rsidRPr="000D3432">
        <w:rPr>
          <w:rFonts w:asciiTheme="minorHAnsi" w:hAnsiTheme="minorHAnsi"/>
          <w:b/>
          <w:bCs/>
          <w:sz w:val="24"/>
          <w:szCs w:val="24"/>
        </w:rPr>
        <w:lastRenderedPageBreak/>
        <w:t>Esquema gráfico del Derecho como sistema normativo:</w:t>
      </w:r>
    </w:p>
    <w:p w14:paraId="54C38772" w14:textId="77777777" w:rsidR="0082775B" w:rsidRPr="000D3432" w:rsidRDefault="0082775B" w:rsidP="00A95498">
      <w:pPr>
        <w:pStyle w:val="Textodecuerpo3"/>
        <w:spacing w:after="0"/>
        <w:rPr>
          <w:rFonts w:asciiTheme="minorHAnsi" w:hAnsiTheme="minorHAnsi"/>
          <w:sz w:val="24"/>
          <w:szCs w:val="24"/>
        </w:rPr>
      </w:pPr>
    </w:p>
    <w:p w14:paraId="6C2FF156"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noProof/>
          <w:sz w:val="24"/>
          <w:szCs w:val="24"/>
        </w:rPr>
        <mc:AlternateContent>
          <mc:Choice Requires="wps">
            <w:drawing>
              <wp:anchor distT="0" distB="0" distL="114300" distR="114300" simplePos="0" relativeHeight="251660288" behindDoc="0" locked="0" layoutInCell="1" allowOverlap="1" wp14:anchorId="3DE7AD0D" wp14:editId="7BE6A569">
                <wp:simplePos x="0" y="0"/>
                <wp:positionH relativeFrom="column">
                  <wp:posOffset>2133600</wp:posOffset>
                </wp:positionH>
                <wp:positionV relativeFrom="paragraph">
                  <wp:posOffset>-7620</wp:posOffset>
                </wp:positionV>
                <wp:extent cx="1219200" cy="1028700"/>
                <wp:effectExtent l="5080" t="0" r="7620" b="14605"/>
                <wp:wrapNone/>
                <wp:docPr id="4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0287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168pt;margin-top:-.55pt;width:96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" filled="f"/>
            </w:pict>
          </mc:Fallback>
        </mc:AlternateContent>
      </w:r>
    </w:p>
    <w:p w14:paraId="064A50AE"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t xml:space="preserve">     Propiedad </w:t>
      </w:r>
    </w:p>
    <w:p w14:paraId="6C05CDFE" w14:textId="77777777" w:rsidR="0082775B" w:rsidRPr="000D3432" w:rsidRDefault="0082775B" w:rsidP="00A95498">
      <w:pPr>
        <w:pStyle w:val="Textodecuerpo3"/>
        <w:spacing w:after="0"/>
        <w:ind w:left="2832" w:firstLine="708"/>
        <w:rPr>
          <w:rFonts w:asciiTheme="minorHAnsi" w:hAnsiTheme="minorHAnsi"/>
          <w:sz w:val="24"/>
          <w:szCs w:val="24"/>
        </w:rPr>
      </w:pPr>
      <w:r w:rsidRPr="000D3432">
        <w:rPr>
          <w:rFonts w:asciiTheme="minorHAnsi" w:hAnsiTheme="minorHAnsi"/>
          <w:noProof/>
          <w:sz w:val="24"/>
          <w:szCs w:val="24"/>
        </w:rPr>
        <mc:AlternateContent>
          <mc:Choice Requires="wps">
            <w:drawing>
              <wp:anchor distT="0" distB="0" distL="114300" distR="114300" simplePos="0" relativeHeight="251662336" behindDoc="0" locked="0" layoutInCell="1" allowOverlap="1" wp14:anchorId="5A64973E" wp14:editId="600B0727">
                <wp:simplePos x="0" y="0"/>
                <wp:positionH relativeFrom="column">
                  <wp:posOffset>914400</wp:posOffset>
                </wp:positionH>
                <wp:positionV relativeFrom="paragraph">
                  <wp:posOffset>99060</wp:posOffset>
                </wp:positionV>
                <wp:extent cx="1219200" cy="571500"/>
                <wp:effectExtent l="17780" t="10795" r="33020" b="27305"/>
                <wp:wrapNone/>
                <wp:docPr id="4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7.8pt" to="168pt,5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">
                <v:stroke endarrow="block"/>
              </v:line>
            </w:pict>
          </mc:Fallback>
        </mc:AlternateContent>
      </w:r>
      <w:r w:rsidRPr="000D3432">
        <w:rPr>
          <w:rFonts w:asciiTheme="minorHAnsi" w:hAnsiTheme="minorHAnsi"/>
          <w:sz w:val="24"/>
          <w:szCs w:val="24"/>
        </w:rPr>
        <w:t xml:space="preserve">  Constitución</w:t>
      </w:r>
    </w:p>
    <w:p w14:paraId="35BC7E9D"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noProof/>
          <w:sz w:val="24"/>
          <w:szCs w:val="24"/>
        </w:rPr>
        <mc:AlternateContent>
          <mc:Choice Requires="wps">
            <w:drawing>
              <wp:anchor distT="0" distB="0" distL="114300" distR="114300" simplePos="0" relativeHeight="251663360" behindDoc="0" locked="0" layoutInCell="1" allowOverlap="1" wp14:anchorId="221E5702" wp14:editId="00FCBA87">
                <wp:simplePos x="0" y="0"/>
                <wp:positionH relativeFrom="column">
                  <wp:posOffset>990600</wp:posOffset>
                </wp:positionH>
                <wp:positionV relativeFrom="paragraph">
                  <wp:posOffset>38100</wp:posOffset>
                </wp:positionV>
                <wp:extent cx="1143000" cy="571500"/>
                <wp:effectExtent l="17780" t="10795" r="20320" b="27305"/>
                <wp:wrapNone/>
                <wp:docPr id="4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pt" to="168pt,4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">
                <v:stroke endarrow="block"/>
              </v:line>
            </w:pict>
          </mc:Fallback>
        </mc:AlternateContent>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t>(Art. 2°, inc. 16)</w:t>
      </w:r>
    </w:p>
    <w:p w14:paraId="1B5211E6"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t xml:space="preserve">     (Art. 70°)</w:t>
      </w:r>
    </w:p>
    <w:p w14:paraId="36855542"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noProof/>
          <w:sz w:val="24"/>
          <w:szCs w:val="24"/>
        </w:rPr>
        <mc:AlternateContent>
          <mc:Choice Requires="wps">
            <w:drawing>
              <wp:anchor distT="0" distB="0" distL="114300" distR="114300" simplePos="0" relativeHeight="251667456" behindDoc="0" locked="0" layoutInCell="1" allowOverlap="1" wp14:anchorId="7A8C7580" wp14:editId="7984B2FF">
                <wp:simplePos x="0" y="0"/>
                <wp:positionH relativeFrom="column">
                  <wp:posOffset>2590800</wp:posOffset>
                </wp:positionH>
                <wp:positionV relativeFrom="paragraph">
                  <wp:posOffset>144780</wp:posOffset>
                </wp:positionV>
                <wp:extent cx="0" cy="571500"/>
                <wp:effectExtent l="55880" t="10795" r="71120" b="27305"/>
                <wp:wrapNone/>
                <wp:docPr id="4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1.4pt" to="204pt,5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">
                <v:stroke endarrow="block"/>
              </v:line>
            </w:pict>
          </mc:Fallback>
        </mc:AlternateContent>
      </w:r>
      <w:r w:rsidRPr="000D3432">
        <w:rPr>
          <w:rFonts w:asciiTheme="minorHAnsi" w:hAnsiTheme="minorHAnsi"/>
          <w:noProof/>
          <w:sz w:val="24"/>
          <w:szCs w:val="24"/>
        </w:rPr>
        <mc:AlternateContent>
          <mc:Choice Requires="wps">
            <w:drawing>
              <wp:anchor distT="0" distB="0" distL="114300" distR="114300" simplePos="0" relativeHeight="251666432" behindDoc="0" locked="0" layoutInCell="1" allowOverlap="1" wp14:anchorId="72D3E3FC" wp14:editId="45DE246C">
                <wp:simplePos x="0" y="0"/>
                <wp:positionH relativeFrom="column">
                  <wp:posOffset>2743200</wp:posOffset>
                </wp:positionH>
                <wp:positionV relativeFrom="paragraph">
                  <wp:posOffset>144780</wp:posOffset>
                </wp:positionV>
                <wp:extent cx="0" cy="571500"/>
                <wp:effectExtent l="55880" t="10795" r="71120" b="27305"/>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4pt" to="3in,5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">
                <v:stroke endarrow="block"/>
              </v:line>
            </w:pict>
          </mc:Fallback>
        </mc:AlternateContent>
      </w:r>
      <w:r w:rsidRPr="000D3432">
        <w:rPr>
          <w:rFonts w:asciiTheme="minorHAnsi" w:hAnsiTheme="minorHAnsi"/>
          <w:noProof/>
          <w:sz w:val="24"/>
          <w:szCs w:val="24"/>
        </w:rPr>
        <mc:AlternateContent>
          <mc:Choice Requires="wps">
            <w:drawing>
              <wp:anchor distT="0" distB="0" distL="114300" distR="114300" simplePos="0" relativeHeight="251659264" behindDoc="0" locked="0" layoutInCell="1" allowOverlap="1" wp14:anchorId="76281008" wp14:editId="79FC0A13">
                <wp:simplePos x="0" y="0"/>
                <wp:positionH relativeFrom="column">
                  <wp:posOffset>-152400</wp:posOffset>
                </wp:positionH>
                <wp:positionV relativeFrom="paragraph">
                  <wp:posOffset>30480</wp:posOffset>
                </wp:positionV>
                <wp:extent cx="1219200" cy="914400"/>
                <wp:effectExtent l="5080" t="0" r="7620" b="14605"/>
                <wp:wrapNone/>
                <wp:docPr id="43"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11.95pt;margin-top:2.4pt;width:96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" filled="f"/>
            </w:pict>
          </mc:Fallback>
        </mc:AlternateContent>
      </w:r>
    </w:p>
    <w:p w14:paraId="3424A15D"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 xml:space="preserve">      Robo </w:t>
      </w:r>
    </w:p>
    <w:p w14:paraId="7C4F4532"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Código Penal</w:t>
      </w:r>
    </w:p>
    <w:p w14:paraId="081E9C42"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noProof/>
          <w:sz w:val="24"/>
          <w:szCs w:val="24"/>
        </w:rPr>
        <mc:AlternateContent>
          <mc:Choice Requires="wps">
            <w:drawing>
              <wp:anchor distT="0" distB="0" distL="114300" distR="114300" simplePos="0" relativeHeight="251664384" behindDoc="0" locked="0" layoutInCell="1" allowOverlap="1" wp14:anchorId="551B6ED1" wp14:editId="187721C4">
                <wp:simplePos x="0" y="0"/>
                <wp:positionH relativeFrom="column">
                  <wp:posOffset>1066800</wp:posOffset>
                </wp:positionH>
                <wp:positionV relativeFrom="paragraph">
                  <wp:posOffset>76200</wp:posOffset>
                </wp:positionV>
                <wp:extent cx="1066800" cy="342900"/>
                <wp:effectExtent l="17780" t="10795" r="33020" b="52705"/>
                <wp:wrapNone/>
                <wp:docPr id="4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6pt" to="168pt,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">
                <v:stroke endarrow="block"/>
              </v:line>
            </w:pict>
          </mc:Fallback>
        </mc:AlternateContent>
      </w:r>
      <w:r w:rsidRPr="000D3432">
        <w:rPr>
          <w:rFonts w:asciiTheme="minorHAnsi" w:hAnsiTheme="minorHAnsi"/>
          <w:sz w:val="24"/>
          <w:szCs w:val="24"/>
        </w:rPr>
        <w:t>(Art. 188° C.P.)</w:t>
      </w:r>
    </w:p>
    <w:p w14:paraId="195D44A7"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noProof/>
          <w:sz w:val="24"/>
          <w:szCs w:val="24"/>
        </w:rPr>
        <mc:AlternateContent>
          <mc:Choice Requires="wps">
            <w:drawing>
              <wp:anchor distT="0" distB="0" distL="114300" distR="114300" simplePos="0" relativeHeight="251665408" behindDoc="0" locked="0" layoutInCell="1" allowOverlap="1" wp14:anchorId="2D572DE0" wp14:editId="0487C3C5">
                <wp:simplePos x="0" y="0"/>
                <wp:positionH relativeFrom="column">
                  <wp:posOffset>914400</wp:posOffset>
                </wp:positionH>
                <wp:positionV relativeFrom="paragraph">
                  <wp:posOffset>15240</wp:posOffset>
                </wp:positionV>
                <wp:extent cx="1143000" cy="342900"/>
                <wp:effectExtent l="17780" t="23495" r="20320" b="27305"/>
                <wp:wrapNone/>
                <wp:docPr id="4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2pt" to="162pt,28.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">
                <v:stroke endarrow="block"/>
              </v:line>
            </w:pict>
          </mc:Fallback>
        </mc:AlternateContent>
      </w:r>
      <w:r w:rsidRPr="000D3432">
        <w:rPr>
          <w:rFonts w:asciiTheme="minorHAnsi" w:hAnsiTheme="minorHAnsi"/>
          <w:noProof/>
          <w:sz w:val="24"/>
          <w:szCs w:val="24"/>
        </w:rPr>
        <mc:AlternateContent>
          <mc:Choice Requires="wps">
            <w:drawing>
              <wp:anchor distT="0" distB="0" distL="114300" distR="114300" simplePos="0" relativeHeight="251661312" behindDoc="0" locked="0" layoutInCell="1" allowOverlap="1" wp14:anchorId="676E046D" wp14:editId="02ACBBB8">
                <wp:simplePos x="0" y="0"/>
                <wp:positionH relativeFrom="column">
                  <wp:posOffset>2057400</wp:posOffset>
                </wp:positionH>
                <wp:positionV relativeFrom="paragraph">
                  <wp:posOffset>15240</wp:posOffset>
                </wp:positionV>
                <wp:extent cx="1219200" cy="914400"/>
                <wp:effectExtent l="5080" t="0" r="7620" b="14605"/>
                <wp:wrapNone/>
                <wp:docPr id="4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9144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162pt;margin-top:1.2pt;width:96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" filled="f"/>
            </w:pict>
          </mc:Fallback>
        </mc:AlternateContent>
      </w:r>
    </w:p>
    <w:p w14:paraId="2A1F88BF" w14:textId="77777777" w:rsidR="0082775B" w:rsidRPr="000D3432" w:rsidRDefault="0082775B" w:rsidP="00A95498">
      <w:pPr>
        <w:pStyle w:val="Textodecuerpo3"/>
        <w:spacing w:after="0"/>
        <w:rPr>
          <w:rFonts w:asciiTheme="minorHAnsi" w:hAnsiTheme="minorHAnsi"/>
          <w:sz w:val="24"/>
          <w:szCs w:val="24"/>
          <w:lang w:val="es-PE"/>
        </w:rPr>
      </w:pP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t xml:space="preserve">  </w:t>
      </w:r>
      <w:r w:rsidRPr="000D3432">
        <w:rPr>
          <w:rFonts w:asciiTheme="minorHAnsi" w:hAnsiTheme="minorHAnsi"/>
          <w:sz w:val="24"/>
          <w:szCs w:val="24"/>
          <w:lang w:val="es-PE"/>
        </w:rPr>
        <w:t xml:space="preserve">Propiedad  </w:t>
      </w:r>
    </w:p>
    <w:p w14:paraId="16CDC535" w14:textId="77777777" w:rsidR="0082775B" w:rsidRPr="000D3432" w:rsidRDefault="0082775B" w:rsidP="00A95498">
      <w:pPr>
        <w:pStyle w:val="Textodecuerpo3"/>
        <w:spacing w:after="0"/>
        <w:ind w:left="2832" w:firstLine="708"/>
        <w:rPr>
          <w:rFonts w:asciiTheme="minorHAnsi" w:hAnsiTheme="minorHAnsi"/>
          <w:sz w:val="24"/>
          <w:szCs w:val="24"/>
          <w:lang w:val="es-PE"/>
        </w:rPr>
      </w:pPr>
      <w:r w:rsidRPr="000D3432">
        <w:rPr>
          <w:rFonts w:asciiTheme="minorHAnsi" w:hAnsiTheme="minorHAnsi"/>
          <w:sz w:val="24"/>
          <w:szCs w:val="24"/>
          <w:lang w:val="es-PE"/>
        </w:rPr>
        <w:t>Código Civil</w:t>
      </w:r>
    </w:p>
    <w:p w14:paraId="6F13301C" w14:textId="77777777" w:rsidR="0082775B" w:rsidRPr="000D3432" w:rsidRDefault="0082775B" w:rsidP="00A95498">
      <w:pPr>
        <w:pStyle w:val="Textodecuerpo3"/>
        <w:spacing w:after="0"/>
        <w:rPr>
          <w:rFonts w:asciiTheme="minorHAnsi" w:hAnsiTheme="minorHAnsi"/>
          <w:sz w:val="24"/>
          <w:szCs w:val="24"/>
        </w:rPr>
      </w:pP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r>
      <w:r w:rsidRPr="000D3432">
        <w:rPr>
          <w:rFonts w:asciiTheme="minorHAnsi" w:hAnsiTheme="minorHAnsi"/>
          <w:sz w:val="24"/>
          <w:szCs w:val="24"/>
        </w:rPr>
        <w:tab/>
        <w:t xml:space="preserve">          ( Art. 923 C.C.)</w:t>
      </w:r>
    </w:p>
    <w:p w14:paraId="4E29824E" w14:textId="77777777" w:rsidR="0082775B" w:rsidRPr="000D3432" w:rsidRDefault="0082775B" w:rsidP="00A95498">
      <w:pPr>
        <w:pStyle w:val="Textodecuerpo3"/>
        <w:spacing w:after="0"/>
        <w:rPr>
          <w:rFonts w:asciiTheme="minorHAnsi" w:hAnsiTheme="minorHAnsi"/>
          <w:sz w:val="24"/>
          <w:szCs w:val="24"/>
        </w:rPr>
      </w:pPr>
    </w:p>
    <w:p w14:paraId="2978C5FA" w14:textId="77777777" w:rsidR="0082775B" w:rsidRPr="000D3432" w:rsidRDefault="0082775B" w:rsidP="00A95498">
      <w:pPr>
        <w:jc w:val="both"/>
        <w:rPr>
          <w:rFonts w:asciiTheme="minorHAnsi" w:hAnsiTheme="minorHAnsi"/>
          <w:b/>
          <w:bCs/>
          <w:color w:val="333399"/>
          <w:szCs w:val="24"/>
        </w:rPr>
      </w:pPr>
    </w:p>
    <w:p w14:paraId="194FC0EB" w14:textId="77777777" w:rsidR="0082775B" w:rsidRPr="000D3432" w:rsidRDefault="0082775B" w:rsidP="00A95498">
      <w:pPr>
        <w:jc w:val="both"/>
        <w:rPr>
          <w:rFonts w:asciiTheme="minorHAnsi" w:hAnsiTheme="minorHAnsi"/>
          <w:b/>
          <w:bCs/>
          <w:szCs w:val="24"/>
        </w:rPr>
      </w:pPr>
    </w:p>
    <w:p w14:paraId="23A8BA95" w14:textId="77777777" w:rsidR="0082775B" w:rsidRPr="000D3432" w:rsidRDefault="0082775B" w:rsidP="00A95498">
      <w:pPr>
        <w:jc w:val="both"/>
        <w:rPr>
          <w:rFonts w:asciiTheme="minorHAnsi" w:hAnsiTheme="minorHAnsi"/>
          <w:b/>
          <w:bCs/>
          <w:szCs w:val="24"/>
          <w:lang w:val="es-PE"/>
        </w:rPr>
      </w:pPr>
      <w:r w:rsidRPr="000D3432">
        <w:rPr>
          <w:rFonts w:asciiTheme="minorHAnsi" w:hAnsiTheme="minorHAnsi"/>
          <w:b/>
          <w:bCs/>
          <w:szCs w:val="24"/>
          <w:lang w:val="es-PE"/>
        </w:rPr>
        <w:t>EL SISTEMA NORMATIVO Y EL DERECHO JUDICIAL</w:t>
      </w:r>
    </w:p>
    <w:p w14:paraId="1B0ABD59" w14:textId="77777777" w:rsidR="0082775B" w:rsidRPr="000D3432" w:rsidRDefault="0082775B" w:rsidP="00A95498">
      <w:pPr>
        <w:jc w:val="both"/>
        <w:rPr>
          <w:rFonts w:asciiTheme="minorHAnsi" w:hAnsiTheme="minorHAnsi"/>
          <w:b/>
          <w:bCs/>
          <w:szCs w:val="24"/>
          <w:lang w:val="es-PE"/>
        </w:rPr>
      </w:pPr>
    </w:p>
    <w:p w14:paraId="060EC34C" w14:textId="77777777" w:rsidR="0082775B" w:rsidRPr="000D3432" w:rsidRDefault="0082775B" w:rsidP="00A95498">
      <w:pPr>
        <w:jc w:val="both"/>
        <w:rPr>
          <w:rFonts w:asciiTheme="minorHAnsi" w:hAnsiTheme="minorHAnsi"/>
          <w:szCs w:val="24"/>
          <w:lang w:val="es-PE"/>
        </w:rPr>
      </w:pPr>
      <w:r w:rsidRPr="000D3432">
        <w:rPr>
          <w:rFonts w:asciiTheme="minorHAnsi" w:hAnsiTheme="minorHAnsi"/>
          <w:b/>
          <w:bCs/>
          <w:szCs w:val="24"/>
          <w:lang w:val="es-PE"/>
        </w:rPr>
        <w:t>El</w:t>
      </w:r>
      <w:r w:rsidRPr="000D3432">
        <w:rPr>
          <w:rFonts w:asciiTheme="minorHAnsi" w:hAnsiTheme="minorHAnsi"/>
          <w:szCs w:val="24"/>
          <w:lang w:val="es-PE"/>
        </w:rPr>
        <w:t xml:space="preserve"> Derecho como sistema normativo, como aquel que regula las conductas de los seres humanos, necesita que las conductas reguladas estén claramente determinadas, que lo jurídico, es decir, lo prohibido y permitido, esté claramente definido, y que exista, por consiguiente, el medio adecuado para que esta determinación (cómo puede uno conducirse o no en relación con los demás) pueda ser efectiva, es decir, que exista un sistema de administración de la justicia, un instrumento que diga qué es de cada cuál, que tutele el derecho de las personas en forma exclusiva y excluyente. Este sistema, mecanismo, medio, método, técnica, es el sistema judicial, que nace, dentro de nuestra sociedad, de la idea moderna de la división clásica liberal del Estado, en el Poder Judicial. </w:t>
      </w:r>
    </w:p>
    <w:p w14:paraId="7F66E46A" w14:textId="77777777" w:rsidR="0082775B" w:rsidRPr="000D3432" w:rsidRDefault="0082775B" w:rsidP="00A95498">
      <w:pPr>
        <w:jc w:val="both"/>
        <w:rPr>
          <w:rFonts w:asciiTheme="minorHAnsi" w:hAnsiTheme="minorHAnsi"/>
          <w:szCs w:val="24"/>
          <w:lang w:val="es-PE"/>
        </w:rPr>
      </w:pPr>
    </w:p>
    <w:p w14:paraId="2955C459" w14:textId="77777777" w:rsidR="0082775B" w:rsidRPr="000D3432" w:rsidRDefault="0082775B" w:rsidP="00A95498">
      <w:pPr>
        <w:jc w:val="both"/>
        <w:rPr>
          <w:rFonts w:asciiTheme="minorHAnsi" w:hAnsiTheme="minorHAnsi"/>
          <w:szCs w:val="24"/>
          <w:lang w:val="es-PE"/>
        </w:rPr>
      </w:pPr>
      <w:r w:rsidRPr="000D3432">
        <w:rPr>
          <w:rFonts w:asciiTheme="minorHAnsi" w:hAnsiTheme="minorHAnsi"/>
          <w:szCs w:val="24"/>
          <w:lang w:val="es-PE"/>
        </w:rPr>
        <w:t xml:space="preserve">Como se puede desprender del cuadro anterior: para que exista Robo hay necesidad que preexista el concepto de propiedad privada, y para que exista este hay necesidad que preexista el concepto de persona (sólo la persona puede tener propiedad). Pero estos conceptos no podrían llevarse a cabo en la práctica si no existiera un mecanismo que los desarrollara e hiciera efectivo, este sistema es el sistema judicial, es decir aquel sistema que trata de la administración del justicia, de la regulación de la organización de la administración de justicia y de las funciones y atribuciones de los que integran o se encargan de administrar la justicia (los magistrados).  </w:t>
      </w:r>
    </w:p>
    <w:p w14:paraId="5A5A5E53" w14:textId="77777777" w:rsidR="0082775B" w:rsidRPr="000D3432" w:rsidRDefault="0082775B" w:rsidP="00A95498">
      <w:pPr>
        <w:jc w:val="both"/>
        <w:rPr>
          <w:rFonts w:asciiTheme="minorHAnsi" w:hAnsiTheme="minorHAnsi"/>
          <w:b/>
          <w:bCs/>
          <w:szCs w:val="24"/>
          <w:lang w:val="es-PE"/>
        </w:rPr>
      </w:pPr>
    </w:p>
    <w:p w14:paraId="57E187BE" w14:textId="77777777" w:rsidR="0082775B" w:rsidRPr="000D3432" w:rsidRDefault="0082775B" w:rsidP="00A95498">
      <w:pPr>
        <w:jc w:val="both"/>
        <w:rPr>
          <w:rFonts w:asciiTheme="minorHAnsi" w:hAnsiTheme="minorHAnsi"/>
          <w:b/>
          <w:bCs/>
          <w:szCs w:val="24"/>
          <w:lang w:val="es-PE"/>
        </w:rPr>
      </w:pPr>
      <w:r w:rsidRPr="000D3432">
        <w:rPr>
          <w:rFonts w:asciiTheme="minorHAnsi" w:hAnsiTheme="minorHAnsi"/>
          <w:b/>
          <w:bCs/>
          <w:szCs w:val="24"/>
          <w:lang w:val="es-PE"/>
        </w:rPr>
        <w:t>E</w:t>
      </w:r>
      <w:r w:rsidRPr="000D3432">
        <w:rPr>
          <w:rFonts w:asciiTheme="minorHAnsi" w:hAnsiTheme="minorHAnsi"/>
          <w:szCs w:val="24"/>
          <w:lang w:val="es-PE"/>
        </w:rPr>
        <w:t xml:space="preserve">l Derecho, pues, no sólo es un sistema, sino que tiene sub sistemas en su interior, como el sistema judicial. Por eso el Derecho Judicial es trascendental, porque expone los fundamentos de la organización de la administración de justicia. </w:t>
      </w:r>
    </w:p>
    <w:p w14:paraId="02216BF4" w14:textId="77777777" w:rsidR="0082775B" w:rsidRPr="000D3432" w:rsidRDefault="0082775B" w:rsidP="00A95498">
      <w:pPr>
        <w:jc w:val="both"/>
        <w:rPr>
          <w:rFonts w:asciiTheme="minorHAnsi" w:hAnsiTheme="minorHAnsi"/>
          <w:b/>
          <w:bCs/>
          <w:szCs w:val="24"/>
          <w:lang w:val="es-PE"/>
        </w:rPr>
      </w:pPr>
    </w:p>
    <w:p w14:paraId="573720A5" w14:textId="77777777" w:rsidR="0082775B" w:rsidRPr="000D3432" w:rsidRDefault="0082775B" w:rsidP="00A95498">
      <w:pPr>
        <w:pStyle w:val="Ttulo2"/>
        <w:spacing w:line="240" w:lineRule="auto"/>
        <w:rPr>
          <w:rFonts w:asciiTheme="minorHAnsi" w:hAnsiTheme="minorHAnsi"/>
          <w:sz w:val="24"/>
          <w:szCs w:val="24"/>
        </w:rPr>
      </w:pPr>
      <w:bookmarkStart w:id="138" w:name="_Toc318102947"/>
      <w:r w:rsidRPr="000D3432">
        <w:rPr>
          <w:rFonts w:asciiTheme="minorHAnsi" w:hAnsiTheme="minorHAnsi"/>
          <w:sz w:val="24"/>
          <w:szCs w:val="24"/>
        </w:rPr>
        <w:lastRenderedPageBreak/>
        <w:t>II.- CONCEPTO DEL DERECHO JUDICIAL</w:t>
      </w:r>
      <w:bookmarkEnd w:id="138"/>
    </w:p>
    <w:p w14:paraId="78EC2BD6" w14:textId="77777777" w:rsidR="0082775B" w:rsidRPr="000D3432" w:rsidRDefault="0082775B" w:rsidP="00A95498">
      <w:pPr>
        <w:pStyle w:val="Ttulo2"/>
        <w:spacing w:line="240" w:lineRule="auto"/>
        <w:rPr>
          <w:rFonts w:asciiTheme="minorHAnsi" w:hAnsiTheme="minorHAnsi"/>
          <w:sz w:val="24"/>
          <w:szCs w:val="24"/>
        </w:rPr>
      </w:pPr>
    </w:p>
    <w:p w14:paraId="175AB60B"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“José Antonio Silva V. Define como el conjunto de normas, principios y valoraciones que reglan la organización judicial, la conducta y la función de los magistrados, así como también la hermenéutica, con cuyas doctrinas se interpreta el derecho y las conductas.”</w:t>
      </w:r>
      <w:r w:rsidRPr="000D3432">
        <w:rPr>
          <w:rStyle w:val="Refdenotaalpie"/>
          <w:rFonts w:asciiTheme="minorHAnsi" w:hAnsiTheme="minorHAnsi"/>
          <w:sz w:val="24"/>
          <w:szCs w:val="24"/>
        </w:rPr>
        <w:footnoteReference w:id="755"/>
      </w:r>
    </w:p>
    <w:p w14:paraId="0E067CDF" w14:textId="77777777" w:rsidR="0082775B" w:rsidRPr="000D3432" w:rsidRDefault="0082775B" w:rsidP="00A95498">
      <w:pPr>
        <w:pStyle w:val="Textodecuerpo2"/>
        <w:spacing w:after="0" w:line="240" w:lineRule="auto"/>
        <w:jc w:val="both"/>
        <w:rPr>
          <w:rFonts w:asciiTheme="minorHAnsi" w:hAnsiTheme="minorHAnsi"/>
          <w:szCs w:val="24"/>
        </w:rPr>
      </w:pPr>
    </w:p>
    <w:p w14:paraId="29F12552"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“José Heserr.- Es una ciencia que analiza retórica y dialécticamente, a la función procesal.”</w:t>
      </w:r>
      <w:r w:rsidRPr="000D3432">
        <w:rPr>
          <w:rStyle w:val="Refdenotaalpie"/>
          <w:rFonts w:asciiTheme="minorHAnsi" w:hAnsiTheme="minorHAnsi"/>
          <w:sz w:val="24"/>
          <w:szCs w:val="24"/>
        </w:rPr>
        <w:footnoteReference w:id="756"/>
      </w:r>
    </w:p>
    <w:p w14:paraId="23317802" w14:textId="77777777" w:rsidR="0082775B" w:rsidRPr="000D3432" w:rsidRDefault="0082775B" w:rsidP="00A95498">
      <w:pPr>
        <w:pStyle w:val="Ttulo2"/>
        <w:spacing w:line="240" w:lineRule="auto"/>
        <w:rPr>
          <w:rFonts w:asciiTheme="minorHAnsi" w:hAnsiTheme="minorHAnsi"/>
          <w:sz w:val="24"/>
          <w:szCs w:val="24"/>
        </w:rPr>
      </w:pPr>
    </w:p>
    <w:p w14:paraId="3BD5A790"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Como toda actividad humana, el Derecho Judicial es un medio de regular las conductas, dentro de una esfera: la Judicial.</w:t>
      </w:r>
    </w:p>
    <w:p w14:paraId="0E8A1A0E" w14:textId="77777777" w:rsidR="0082775B" w:rsidRPr="000D3432" w:rsidRDefault="0082775B" w:rsidP="00A95498">
      <w:pPr>
        <w:jc w:val="both"/>
        <w:rPr>
          <w:rFonts w:asciiTheme="minorHAnsi" w:hAnsiTheme="minorHAnsi"/>
          <w:szCs w:val="24"/>
        </w:rPr>
      </w:pPr>
    </w:p>
    <w:p w14:paraId="63163D49"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 xml:space="preserve">El centro del Derecho Judicial es la propia organización judicial, es decir, la organización de la forma cómo se va administrar justicia en la sociedad. Por eso el Derecho Judicial es, en principio regulación de todo aquello que tenga que ver con la administración de justicia. </w:t>
      </w:r>
    </w:p>
    <w:p w14:paraId="673A0E2E" w14:textId="77777777" w:rsidR="0082775B" w:rsidRPr="000D3432" w:rsidRDefault="0082775B" w:rsidP="00A95498">
      <w:pPr>
        <w:jc w:val="both"/>
        <w:rPr>
          <w:rFonts w:asciiTheme="minorHAnsi" w:hAnsiTheme="minorHAnsi"/>
          <w:szCs w:val="24"/>
        </w:rPr>
      </w:pPr>
    </w:p>
    <w:p w14:paraId="393EF3C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Judicial, es pues el tratamiento del Poder Judicial, que “asegura la efectividad de los derechos de las personas, así como el control del ejercicio del poder. Mediante la solución de los conflictos o litigios, en aplicación de la Constitución y la ley, los jueces y tribunales ordinarios tienen la misión de garantizar la convivencia civilizada y la paz social”.</w:t>
      </w:r>
    </w:p>
    <w:p w14:paraId="3F1BA0F7" w14:textId="77777777" w:rsidR="0082775B" w:rsidRPr="000D3432" w:rsidRDefault="0082775B" w:rsidP="00A95498">
      <w:pPr>
        <w:jc w:val="both"/>
        <w:rPr>
          <w:rFonts w:asciiTheme="minorHAnsi" w:hAnsiTheme="minorHAnsi"/>
          <w:szCs w:val="24"/>
        </w:rPr>
      </w:pPr>
    </w:p>
    <w:p w14:paraId="21FB04F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Cabe diferenciar los conceptos de Derecho Judicial y de Poder Judicial. El primero, se trata de las normas, principios que rigen la organización de la administración de justicia, mientras que el Poder Judicial es el órgano encargado de administrar la justicia, así el Derecho regula a este órgano político jurídico llamado Poder Judicial. </w:t>
      </w:r>
    </w:p>
    <w:p w14:paraId="35FB2EE9" w14:textId="77777777" w:rsidR="0082775B" w:rsidRPr="000D3432" w:rsidRDefault="0082775B" w:rsidP="00A95498">
      <w:pPr>
        <w:jc w:val="both"/>
        <w:rPr>
          <w:rFonts w:asciiTheme="minorHAnsi" w:hAnsiTheme="minorHAnsi"/>
          <w:szCs w:val="24"/>
        </w:rPr>
      </w:pPr>
    </w:p>
    <w:p w14:paraId="004361B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Esquema:</w:t>
      </w:r>
    </w:p>
    <w:p w14:paraId="34074387" w14:textId="77777777" w:rsidR="0082775B" w:rsidRPr="000D3432" w:rsidRDefault="0082775B" w:rsidP="00A95498">
      <w:pPr>
        <w:jc w:val="both"/>
        <w:rPr>
          <w:rFonts w:asciiTheme="minorHAnsi" w:hAnsiTheme="minorHAnsi"/>
          <w:szCs w:val="24"/>
        </w:rPr>
      </w:pPr>
    </w:p>
    <w:p w14:paraId="15B65A6E"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Derecho Judicial: </w:t>
      </w:r>
      <w:r w:rsidRPr="000D3432">
        <w:rPr>
          <w:rFonts w:asciiTheme="minorHAnsi" w:hAnsiTheme="minorHAnsi"/>
          <w:b/>
          <w:bCs/>
          <w:sz w:val="24"/>
          <w:szCs w:val="24"/>
        </w:rPr>
        <w:t>Sistema normativo, disciplina normativa.</w:t>
      </w:r>
    </w:p>
    <w:p w14:paraId="0FB7DB4C" w14:textId="77777777" w:rsidR="0082775B" w:rsidRPr="000D3432" w:rsidRDefault="0082775B" w:rsidP="00A95498">
      <w:pPr>
        <w:pStyle w:val="Textodecuerpo"/>
        <w:spacing w:line="240" w:lineRule="auto"/>
        <w:ind w:left="708"/>
        <w:rPr>
          <w:rFonts w:asciiTheme="minorHAnsi" w:hAnsiTheme="minorHAnsi"/>
          <w:sz w:val="24"/>
          <w:szCs w:val="24"/>
        </w:rPr>
      </w:pPr>
      <w:r w:rsidRPr="000D3432">
        <w:rPr>
          <w:rFonts w:asciiTheme="minorHAnsi" w:hAnsiTheme="minorHAnsi"/>
          <w:bCs/>
          <w:sz w:val="24"/>
          <w:szCs w:val="24"/>
        </w:rPr>
        <w:t>Sistema o conjunto de normas, principios y valores jurídicos que regulan la organización de la administración de justicia, así como la de los miembros que componen esta función de administrar justicia, como son los magistrados</w:t>
      </w:r>
    </w:p>
    <w:p w14:paraId="1B64A1F7" w14:textId="77777777" w:rsidR="0082775B" w:rsidRPr="000D3432" w:rsidRDefault="0082775B" w:rsidP="00A95498">
      <w:pPr>
        <w:jc w:val="both"/>
        <w:rPr>
          <w:rFonts w:asciiTheme="minorHAnsi" w:hAnsiTheme="minorHAnsi"/>
          <w:szCs w:val="24"/>
        </w:rPr>
      </w:pPr>
    </w:p>
    <w:p w14:paraId="7EA652C6" w14:textId="77777777" w:rsidR="0082775B" w:rsidRPr="000D3432" w:rsidRDefault="0082775B" w:rsidP="00A95498">
      <w:pPr>
        <w:jc w:val="both"/>
        <w:rPr>
          <w:rFonts w:asciiTheme="minorHAnsi" w:hAnsiTheme="minorHAnsi"/>
          <w:szCs w:val="24"/>
        </w:rPr>
      </w:pPr>
    </w:p>
    <w:p w14:paraId="4DC27229"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Poder Judicial: </w:t>
      </w:r>
      <w:r w:rsidRPr="000D3432">
        <w:rPr>
          <w:rFonts w:asciiTheme="minorHAnsi" w:hAnsiTheme="minorHAnsi"/>
          <w:b/>
          <w:bCs/>
          <w:sz w:val="24"/>
          <w:szCs w:val="24"/>
        </w:rPr>
        <w:t>Poder del Estado. Órgano jurisdiccional del Estado.</w:t>
      </w:r>
    </w:p>
    <w:p w14:paraId="37A26F07" w14:textId="77777777" w:rsidR="0082775B" w:rsidRPr="000D3432" w:rsidRDefault="0082775B" w:rsidP="00A95498">
      <w:pPr>
        <w:pStyle w:val="Sangra2detdecuerpo"/>
        <w:spacing w:after="0" w:line="240" w:lineRule="auto"/>
        <w:rPr>
          <w:rFonts w:asciiTheme="minorHAnsi" w:hAnsiTheme="minorHAnsi"/>
          <w:szCs w:val="24"/>
        </w:rPr>
      </w:pPr>
      <w:r w:rsidRPr="000D3432">
        <w:rPr>
          <w:rFonts w:asciiTheme="minorHAnsi" w:hAnsiTheme="minorHAnsi"/>
          <w:szCs w:val="24"/>
        </w:rPr>
        <w:t>Órgano político jurídico, derivado de la clásica división liberal del Estado, que tiene la función de administrar justicia.</w:t>
      </w:r>
    </w:p>
    <w:p w14:paraId="6D8A3B1A" w14:textId="77777777" w:rsidR="0082775B" w:rsidRPr="000D3432" w:rsidRDefault="0082775B" w:rsidP="00A95498">
      <w:pPr>
        <w:jc w:val="both"/>
        <w:rPr>
          <w:rFonts w:asciiTheme="minorHAnsi" w:hAnsiTheme="minorHAnsi"/>
          <w:szCs w:val="24"/>
        </w:rPr>
      </w:pPr>
    </w:p>
    <w:p w14:paraId="6B0A534C"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ACTOS DEL EJERCICIO DE LA POTESTAD DE ADMINISTRAR JUSTICIA:</w:t>
      </w:r>
    </w:p>
    <w:p w14:paraId="062A7862" w14:textId="77777777" w:rsidR="0082775B" w:rsidRPr="000D3432" w:rsidRDefault="0082775B" w:rsidP="00A95498">
      <w:pPr>
        <w:jc w:val="both"/>
        <w:rPr>
          <w:rFonts w:asciiTheme="minorHAnsi" w:hAnsiTheme="minorHAnsi"/>
          <w:szCs w:val="24"/>
        </w:rPr>
      </w:pPr>
    </w:p>
    <w:p w14:paraId="2658FF2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lastRenderedPageBreak/>
        <w:t>“El ejercicio de la potestad jurisdiccional – potestad de ‘administrar justicia’, (...) comprende al menos los siguientes actos:</w:t>
      </w:r>
      <w:r w:rsidRPr="000D3432">
        <w:rPr>
          <w:rStyle w:val="Refdenotaalpie"/>
          <w:rFonts w:asciiTheme="minorHAnsi" w:hAnsiTheme="minorHAnsi"/>
          <w:sz w:val="24"/>
          <w:szCs w:val="24"/>
        </w:rPr>
        <w:footnoteReference w:id="757"/>
      </w:r>
    </w:p>
    <w:p w14:paraId="3F4038F4" w14:textId="77777777" w:rsidR="0082775B" w:rsidRPr="000D3432" w:rsidRDefault="0082775B" w:rsidP="00A95498">
      <w:pPr>
        <w:jc w:val="both"/>
        <w:rPr>
          <w:rFonts w:asciiTheme="minorHAnsi" w:hAnsiTheme="minorHAnsi"/>
          <w:szCs w:val="24"/>
        </w:rPr>
      </w:pPr>
    </w:p>
    <w:p w14:paraId="1DD5C9AD" w14:textId="77777777" w:rsidR="0082775B" w:rsidRPr="000D3432" w:rsidRDefault="0082775B" w:rsidP="009E6E2E">
      <w:pPr>
        <w:widowControl/>
        <w:numPr>
          <w:ilvl w:val="0"/>
          <w:numId w:val="44"/>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tutela de los derechos fundamentales.</w:t>
      </w:r>
    </w:p>
    <w:p w14:paraId="2DA6ADF1" w14:textId="77777777" w:rsidR="0082775B" w:rsidRPr="000D3432" w:rsidRDefault="0082775B" w:rsidP="009E6E2E">
      <w:pPr>
        <w:widowControl/>
        <w:numPr>
          <w:ilvl w:val="0"/>
          <w:numId w:val="44"/>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tutela de los derechos ordinarios e intereses legítimos.</w:t>
      </w:r>
    </w:p>
    <w:p w14:paraId="6E6BC3F3" w14:textId="77777777" w:rsidR="0082775B" w:rsidRPr="000D3432" w:rsidRDefault="0082775B" w:rsidP="009E6E2E">
      <w:pPr>
        <w:widowControl/>
        <w:numPr>
          <w:ilvl w:val="0"/>
          <w:numId w:val="44"/>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sanción de los delitos</w:t>
      </w:r>
    </w:p>
    <w:p w14:paraId="37493378" w14:textId="77777777" w:rsidR="0082775B" w:rsidRPr="000D3432" w:rsidRDefault="0082775B" w:rsidP="009E6E2E">
      <w:pPr>
        <w:widowControl/>
        <w:numPr>
          <w:ilvl w:val="0"/>
          <w:numId w:val="44"/>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control de la legalidad de la actuación de las autoridades administrativas.</w:t>
      </w:r>
    </w:p>
    <w:p w14:paraId="0E48558B" w14:textId="77777777" w:rsidR="0082775B" w:rsidRPr="000D3432" w:rsidRDefault="0082775B" w:rsidP="009E6E2E">
      <w:pPr>
        <w:pStyle w:val="Textodecuerpo2"/>
        <w:widowControl/>
        <w:numPr>
          <w:ilvl w:val="0"/>
          <w:numId w:val="44"/>
        </w:numPr>
        <w:overflowPunct/>
        <w:autoSpaceDE/>
        <w:autoSpaceDN/>
        <w:adjustRightInd/>
        <w:spacing w:after="0" w:line="240" w:lineRule="auto"/>
        <w:jc w:val="both"/>
        <w:textAlignment w:val="auto"/>
        <w:rPr>
          <w:rFonts w:asciiTheme="minorHAnsi" w:hAnsiTheme="minorHAnsi"/>
          <w:szCs w:val="24"/>
        </w:rPr>
      </w:pPr>
      <w:r w:rsidRPr="000D3432">
        <w:rPr>
          <w:rFonts w:asciiTheme="minorHAnsi" w:hAnsiTheme="minorHAnsi"/>
          <w:szCs w:val="24"/>
        </w:rPr>
        <w:t>El control de la constitucionalidad y la legalidad del ejercicio de la potestad reglamentaria.</w:t>
      </w:r>
    </w:p>
    <w:p w14:paraId="08066BE6" w14:textId="77777777" w:rsidR="0082775B" w:rsidRPr="000D3432" w:rsidRDefault="0082775B" w:rsidP="009E6E2E">
      <w:pPr>
        <w:pStyle w:val="Textodecuerpo2"/>
        <w:widowControl/>
        <w:numPr>
          <w:ilvl w:val="0"/>
          <w:numId w:val="44"/>
        </w:numPr>
        <w:overflowPunct/>
        <w:autoSpaceDE/>
        <w:autoSpaceDN/>
        <w:adjustRightInd/>
        <w:spacing w:after="0" w:line="240" w:lineRule="auto"/>
        <w:jc w:val="both"/>
        <w:textAlignment w:val="auto"/>
        <w:rPr>
          <w:rFonts w:asciiTheme="minorHAnsi" w:hAnsiTheme="minorHAnsi"/>
          <w:szCs w:val="24"/>
        </w:rPr>
      </w:pPr>
      <w:r w:rsidRPr="000D3432">
        <w:rPr>
          <w:rFonts w:asciiTheme="minorHAnsi" w:hAnsiTheme="minorHAnsi"/>
          <w:szCs w:val="24"/>
        </w:rPr>
        <w:t>El control difuso de la constitucionalidad de las leyes y normas con rango de ley.</w:t>
      </w:r>
    </w:p>
    <w:p w14:paraId="79660515" w14:textId="77777777" w:rsidR="0082775B" w:rsidRPr="000D3432" w:rsidRDefault="0082775B" w:rsidP="00A95498">
      <w:pPr>
        <w:pStyle w:val="Textodecuerpo2"/>
        <w:spacing w:after="0" w:line="240" w:lineRule="auto"/>
        <w:rPr>
          <w:rFonts w:asciiTheme="minorHAnsi" w:hAnsiTheme="minorHAnsi"/>
          <w:szCs w:val="24"/>
        </w:rPr>
      </w:pPr>
    </w:p>
    <w:p w14:paraId="59DDEF1D" w14:textId="77777777" w:rsidR="0082775B" w:rsidRPr="000D3432" w:rsidRDefault="0082775B" w:rsidP="00A95498">
      <w:pPr>
        <w:pStyle w:val="Ttulo2"/>
        <w:spacing w:line="240" w:lineRule="auto"/>
        <w:rPr>
          <w:rFonts w:asciiTheme="minorHAnsi" w:hAnsiTheme="minorHAnsi"/>
          <w:sz w:val="24"/>
          <w:szCs w:val="24"/>
        </w:rPr>
      </w:pPr>
      <w:bookmarkStart w:id="139" w:name="_Toc318102948"/>
      <w:r w:rsidRPr="000D3432">
        <w:rPr>
          <w:rFonts w:asciiTheme="minorHAnsi" w:hAnsiTheme="minorHAnsi"/>
          <w:sz w:val="24"/>
          <w:szCs w:val="24"/>
        </w:rPr>
        <w:t>III.- IMPORTANCIA DEL DERECHO JUDICIAL</w:t>
      </w:r>
      <w:bookmarkEnd w:id="139"/>
    </w:p>
    <w:p w14:paraId="322B085F" w14:textId="77777777" w:rsidR="0082775B" w:rsidRPr="000D3432" w:rsidRDefault="0082775B" w:rsidP="00A95498">
      <w:pPr>
        <w:pStyle w:val="Ttulo2"/>
        <w:spacing w:line="240" w:lineRule="auto"/>
        <w:rPr>
          <w:rFonts w:asciiTheme="minorHAnsi" w:hAnsiTheme="minorHAnsi"/>
          <w:sz w:val="24"/>
          <w:szCs w:val="24"/>
        </w:rPr>
      </w:pPr>
    </w:p>
    <w:p w14:paraId="37ED0060" w14:textId="77777777" w:rsidR="0082775B" w:rsidRPr="000D3432" w:rsidRDefault="0082775B" w:rsidP="00A95498">
      <w:pPr>
        <w:pStyle w:val="Ttulo2"/>
        <w:spacing w:line="240" w:lineRule="auto"/>
        <w:rPr>
          <w:rFonts w:asciiTheme="minorHAnsi" w:hAnsiTheme="minorHAnsi"/>
          <w:b w:val="0"/>
          <w:bCs/>
          <w:sz w:val="24"/>
          <w:szCs w:val="24"/>
        </w:rPr>
      </w:pPr>
      <w:bookmarkStart w:id="140" w:name="_Toc318102949"/>
      <w:r w:rsidRPr="000D3432">
        <w:rPr>
          <w:rFonts w:asciiTheme="minorHAnsi" w:hAnsiTheme="minorHAnsi"/>
          <w:b w:val="0"/>
          <w:bCs/>
          <w:sz w:val="24"/>
          <w:szCs w:val="24"/>
        </w:rPr>
        <w:t>¿Por qué habría de importar el Derecho Judicial? Una de las razones de este tipo de preguntas es enmarcar y determinar la “utilidad de un objeto de conocimiento”. Así pues la pregunta sería, ¿para qué estudiamos Derecho Judicial, y porqué hemos denominado así a un determinado campo del conocimiento jurídico?</w:t>
      </w:r>
      <w:bookmarkEnd w:id="140"/>
    </w:p>
    <w:p w14:paraId="1A3430E1" w14:textId="77777777" w:rsidR="0082775B" w:rsidRPr="000D3432" w:rsidRDefault="0082775B" w:rsidP="00A95498">
      <w:pPr>
        <w:pStyle w:val="Ttulo2"/>
        <w:spacing w:line="240" w:lineRule="auto"/>
        <w:rPr>
          <w:rFonts w:asciiTheme="minorHAnsi" w:hAnsiTheme="minorHAnsi"/>
          <w:b w:val="0"/>
          <w:bCs/>
          <w:sz w:val="24"/>
          <w:szCs w:val="24"/>
        </w:rPr>
      </w:pPr>
    </w:p>
    <w:p w14:paraId="5F43DE96"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En principio, cuando demarcamos un nuevo campo de estudio lo hacemos por cuestiones de orden, así decimos: Derecho Civil, Derecho Penal, Derecho Tributario, etc., por razones de método, es decir como técnicas que nos permitan abordar un fenómeno determinado y enfrentar los problemas que surgen dentro de esa misma área. Por ejemplo, en el caso de un Robo, nuestro orden es enfrentar el fenómeno – el hecho- con el Derecho Penal. Los títulos o designaciones del Derecho, pues, nos orientan en la solución y “operacionalización” de los problemas. En eso, decir Derecho Judicial importa determinar un área de solución, dentro de la organización teórica práctica de la vida, de la vida en relación. O dicho en otras palabras, el Derecho Judicial es aquella que, a través de su denominación, enmarca un área de trabajo, un área de conocimiento, un área de solución, y un método de organización social.</w:t>
      </w:r>
    </w:p>
    <w:p w14:paraId="49BEF8D5" w14:textId="77777777" w:rsidR="0082775B" w:rsidRPr="000D3432" w:rsidRDefault="0082775B" w:rsidP="00A95498">
      <w:pPr>
        <w:pStyle w:val="Textodecuerpo2"/>
        <w:spacing w:after="0" w:line="240" w:lineRule="auto"/>
        <w:rPr>
          <w:rFonts w:asciiTheme="minorHAnsi" w:hAnsiTheme="minorHAnsi"/>
          <w:szCs w:val="24"/>
        </w:rPr>
      </w:pPr>
    </w:p>
    <w:p w14:paraId="3E5CE323"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El Derecho Judicial, importa, pues, porque es a través de él que desciframos, describimos y entendemos una determinada área de la vida humana: el judicial. Pero no sólo importa por ello, sino porque establece cierto orden para el comportamiento y regulación de las conductas humanas. El Derecho Judicial nos dice, pues, cómo se organiza la administración de justicia, pero además nos explica que esta organización responde a normatividad jurídica, legitimada jurídicamente.</w:t>
      </w:r>
    </w:p>
    <w:p w14:paraId="0C8294CD" w14:textId="77777777" w:rsidR="0082775B" w:rsidRPr="000D3432" w:rsidRDefault="0082775B" w:rsidP="00A95498">
      <w:pPr>
        <w:pStyle w:val="Textodecuerpo2"/>
        <w:spacing w:after="0" w:line="240" w:lineRule="auto"/>
        <w:rPr>
          <w:rFonts w:asciiTheme="minorHAnsi" w:hAnsiTheme="minorHAnsi"/>
          <w:szCs w:val="24"/>
        </w:rPr>
      </w:pPr>
    </w:p>
    <w:p w14:paraId="08934335"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 xml:space="preserve">La importancia del Derecho Judicial puede quedar demostrado, también, a través de una pregunta, ¿qué pasaría si no existiera el Derecho Judicial? Podría decirse que nada, pero no sería cierto, porque las cosas se nos complicarían </w:t>
      </w:r>
      <w:r w:rsidRPr="000D3432">
        <w:rPr>
          <w:rFonts w:asciiTheme="minorHAnsi" w:hAnsiTheme="minorHAnsi"/>
          <w:szCs w:val="24"/>
        </w:rPr>
        <w:lastRenderedPageBreak/>
        <w:t>más, estarían organizadas, pero no habría una disciplina que las explique organizadamente, que las haga comprensibles.</w:t>
      </w:r>
    </w:p>
    <w:p w14:paraId="14860DB7" w14:textId="77777777" w:rsidR="0082775B" w:rsidRPr="000D3432" w:rsidRDefault="0082775B" w:rsidP="00A95498">
      <w:pPr>
        <w:pStyle w:val="Textodecuerpo2"/>
        <w:spacing w:after="0" w:line="240" w:lineRule="auto"/>
        <w:rPr>
          <w:rFonts w:asciiTheme="minorHAnsi" w:hAnsiTheme="minorHAnsi"/>
          <w:szCs w:val="24"/>
        </w:rPr>
      </w:pPr>
    </w:p>
    <w:p w14:paraId="75C8E790"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El Derecho Judicial logra un objetivo principal, el de organizar las nociones fundamentales del sistema judicial. El Derecho Judicial se trata de la sistematización teórica orgánica de la administración de justicia. Es decir, establecimiento estructural y jerárquico de los órganos de administración de justicia. Así pues organiza la estructura orgánica de la administración de justicia; organiza la estructura funcional de los magistrados y su posición.</w:t>
      </w:r>
    </w:p>
    <w:p w14:paraId="37688775" w14:textId="77777777" w:rsidR="0082775B" w:rsidRPr="000D3432" w:rsidRDefault="0082775B" w:rsidP="00A95498">
      <w:pPr>
        <w:pStyle w:val="Textodecuerpo2"/>
        <w:spacing w:after="0" w:line="240" w:lineRule="auto"/>
        <w:jc w:val="both"/>
        <w:rPr>
          <w:rFonts w:asciiTheme="minorHAnsi" w:hAnsiTheme="minorHAnsi"/>
          <w:szCs w:val="24"/>
        </w:rPr>
      </w:pPr>
    </w:p>
    <w:p w14:paraId="40216EFE"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El Derecho Judicial explica cómo se da, cómo funciona y organiza la administración de justicia; sin embargo esta administración de justicia ya no es exclusiva del Poder Judicial –para hacer una aclaración-, sino que existen también otros medios que administran justicia, como los “medios alternativos de solución de conflictos”. Estos últimos, sin embargo, parten del reconocimiento del poderío del Estado, es decir, si bien se independizan de la organicidad material (juzgados), se conserva aún la exclusividad del monopolio para administrar justicia del Estado; porque estos medios alternativos de solución de conflictos son también parte del Estado, sus miembros (árbitros, conciliadores, etc) son autorizados por el Estado para poder ejercer como medios alternativos de solución, y para que sus “soluciones” sean jurídicas, es decir válidas, legítimas, reconocidas, obedecidas y protegidas por el Derecho.</w:t>
      </w:r>
    </w:p>
    <w:p w14:paraId="5DABD7CB" w14:textId="77777777" w:rsidR="0082775B" w:rsidRPr="000D3432" w:rsidRDefault="0082775B" w:rsidP="00A95498">
      <w:pPr>
        <w:pStyle w:val="Textodecuerpo2"/>
        <w:spacing w:after="0" w:line="240" w:lineRule="auto"/>
        <w:rPr>
          <w:rFonts w:asciiTheme="minorHAnsi" w:hAnsiTheme="minorHAnsi"/>
          <w:szCs w:val="24"/>
        </w:rPr>
      </w:pPr>
    </w:p>
    <w:p w14:paraId="24827890"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El Derecho Judicial importa porque gracias a su existencia, el sistema jurídico para solucionar los conflictos de intereses se hace más claro, apto, verificable y posible.</w:t>
      </w:r>
    </w:p>
    <w:p w14:paraId="3C5802C8" w14:textId="77777777" w:rsidR="0082775B" w:rsidRPr="000D3432" w:rsidRDefault="0082775B" w:rsidP="00A95498">
      <w:pPr>
        <w:pStyle w:val="Ttulo2"/>
        <w:spacing w:line="240" w:lineRule="auto"/>
        <w:rPr>
          <w:rFonts w:asciiTheme="minorHAnsi" w:hAnsiTheme="minorHAnsi"/>
          <w:b w:val="0"/>
          <w:bCs/>
          <w:sz w:val="24"/>
          <w:szCs w:val="24"/>
        </w:rPr>
      </w:pPr>
    </w:p>
    <w:p w14:paraId="176F7DAA" w14:textId="77777777" w:rsidR="0082775B" w:rsidRPr="000D3432" w:rsidRDefault="0082775B" w:rsidP="00A95498">
      <w:pPr>
        <w:rPr>
          <w:rFonts w:asciiTheme="minorHAnsi" w:hAnsiTheme="minorHAnsi"/>
          <w:szCs w:val="24"/>
        </w:rPr>
      </w:pPr>
    </w:p>
    <w:p w14:paraId="2B348F6B" w14:textId="77777777" w:rsidR="0082775B" w:rsidRPr="000D3432" w:rsidRDefault="0082775B" w:rsidP="00A95498">
      <w:pPr>
        <w:pStyle w:val="Ttulo2"/>
        <w:spacing w:line="240" w:lineRule="auto"/>
        <w:rPr>
          <w:rFonts w:asciiTheme="minorHAnsi" w:hAnsiTheme="minorHAnsi"/>
          <w:sz w:val="24"/>
          <w:szCs w:val="24"/>
        </w:rPr>
      </w:pPr>
      <w:bookmarkStart w:id="141" w:name="_Toc318102950"/>
      <w:r w:rsidRPr="000D3432">
        <w:rPr>
          <w:rFonts w:asciiTheme="minorHAnsi" w:hAnsiTheme="minorHAnsi"/>
          <w:sz w:val="24"/>
          <w:szCs w:val="24"/>
        </w:rPr>
        <w:t>IV.- JUSTIFICACIÓN DEL DERECHO JUDICIAL</w:t>
      </w:r>
      <w:bookmarkEnd w:id="141"/>
    </w:p>
    <w:p w14:paraId="1A6EB93D" w14:textId="77777777" w:rsidR="0082775B" w:rsidRPr="000D3432" w:rsidRDefault="0082775B" w:rsidP="00A95498">
      <w:pPr>
        <w:pStyle w:val="Ttulo2"/>
        <w:spacing w:line="240" w:lineRule="auto"/>
        <w:rPr>
          <w:rFonts w:asciiTheme="minorHAnsi" w:hAnsiTheme="minorHAnsi"/>
          <w:b w:val="0"/>
          <w:bCs/>
          <w:sz w:val="24"/>
          <w:szCs w:val="24"/>
        </w:rPr>
      </w:pPr>
    </w:p>
    <w:p w14:paraId="24C529E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Judicial tiene su justificación, es decir, reporta la necesidad de su existencia en razones jurídicas, es decir, de interés general, de interés social, de bien común.</w:t>
      </w:r>
    </w:p>
    <w:p w14:paraId="3AE68852" w14:textId="77777777" w:rsidR="0082775B" w:rsidRPr="000D3432" w:rsidRDefault="0082775B" w:rsidP="00A95498">
      <w:pPr>
        <w:jc w:val="both"/>
        <w:rPr>
          <w:rFonts w:asciiTheme="minorHAnsi" w:hAnsiTheme="minorHAnsi"/>
          <w:szCs w:val="24"/>
        </w:rPr>
      </w:pPr>
    </w:p>
    <w:p w14:paraId="39088B1B"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 xml:space="preserve">Cuando hablamos de justificación estamos entablando una relación entre dos objetos. Algo existe –y debe seguir existiendo- por tal o cual razón. Así ese existir es racional. El Derecho Judicial existe porque importa cierta utilidad al ser humano, y la utilidad es también una relación del medio con el fin. El Derecho Judicial es pues un medio que existe gracias a un fin. El fin es coadyuvar al ser humano a solucionar sus conflictos de intereses a través del establecimiento de cierto sistema normativo, regulación de las conductas entre sujetos. </w:t>
      </w:r>
    </w:p>
    <w:p w14:paraId="17CD5211" w14:textId="77777777" w:rsidR="0082775B" w:rsidRPr="000D3432" w:rsidRDefault="0082775B" w:rsidP="00A95498">
      <w:pPr>
        <w:pStyle w:val="Piedepgina"/>
        <w:tabs>
          <w:tab w:val="clear" w:pos="4419"/>
          <w:tab w:val="clear" w:pos="8838"/>
        </w:tabs>
        <w:rPr>
          <w:rFonts w:asciiTheme="minorHAnsi" w:hAnsiTheme="minorHAnsi"/>
          <w:szCs w:val="24"/>
        </w:rPr>
      </w:pPr>
    </w:p>
    <w:p w14:paraId="3AD2260D" w14:textId="77777777" w:rsidR="0082775B" w:rsidRPr="000D3432" w:rsidRDefault="0082775B" w:rsidP="00A95498">
      <w:pPr>
        <w:pStyle w:val="Piedepgina"/>
        <w:tabs>
          <w:tab w:val="clear" w:pos="4419"/>
          <w:tab w:val="clear" w:pos="8838"/>
        </w:tabs>
        <w:jc w:val="both"/>
        <w:rPr>
          <w:rFonts w:asciiTheme="minorHAnsi" w:hAnsiTheme="minorHAnsi"/>
          <w:szCs w:val="24"/>
        </w:rPr>
      </w:pPr>
      <w:r w:rsidRPr="000D3432">
        <w:rPr>
          <w:rFonts w:asciiTheme="minorHAnsi" w:hAnsiTheme="minorHAnsi"/>
          <w:szCs w:val="24"/>
        </w:rPr>
        <w:t xml:space="preserve">Así se justifica el Derecho Judicial porque sin él resolver los conflictos de intereses se haría más complicado y confuso. El Derecho Judicial es un sistema normativo que organiza y contempla la organización del fenómeno judicial, de todo aquello que tenga que ver con la administración de la justicia, es decir con todo el proceso que sirve como mecanismo utilizado para resolver o </w:t>
      </w:r>
      <w:r w:rsidRPr="000D3432">
        <w:rPr>
          <w:rFonts w:asciiTheme="minorHAnsi" w:hAnsiTheme="minorHAnsi"/>
          <w:szCs w:val="24"/>
        </w:rPr>
        <w:lastRenderedPageBreak/>
        <w:t xml:space="preserve">administrar justicia. Es evidente que esta concepción puede confundirse con el propio Derecho Procesal; pero la diferencia radica en que el Derecho Procesal es el sistema que explica la organización del proceso judicial, y no la propia organización de la administración de justicia. </w:t>
      </w:r>
    </w:p>
    <w:p w14:paraId="2B0A8C54" w14:textId="77777777" w:rsidR="0082775B" w:rsidRPr="000D3432" w:rsidRDefault="0082775B" w:rsidP="00A95498">
      <w:pPr>
        <w:pStyle w:val="Ttulo2"/>
        <w:spacing w:line="240" w:lineRule="auto"/>
        <w:rPr>
          <w:rFonts w:asciiTheme="minorHAnsi" w:hAnsiTheme="minorHAnsi"/>
          <w:sz w:val="24"/>
          <w:szCs w:val="24"/>
        </w:rPr>
      </w:pPr>
    </w:p>
    <w:p w14:paraId="4EB6308E" w14:textId="77777777" w:rsidR="0082775B" w:rsidRPr="000D3432" w:rsidRDefault="0082775B" w:rsidP="00A95498">
      <w:pPr>
        <w:ind w:left="1416"/>
        <w:jc w:val="both"/>
        <w:rPr>
          <w:rFonts w:asciiTheme="minorHAnsi" w:hAnsiTheme="minorHAnsi"/>
          <w:szCs w:val="24"/>
        </w:rPr>
      </w:pPr>
      <w:r w:rsidRPr="000D3432">
        <w:rPr>
          <w:rFonts w:asciiTheme="minorHAnsi" w:hAnsiTheme="minorHAnsi"/>
          <w:szCs w:val="24"/>
        </w:rPr>
        <w:t xml:space="preserve">       Justificación   =  </w:t>
      </w:r>
      <w:r w:rsidRPr="000D3432">
        <w:rPr>
          <w:rFonts w:asciiTheme="minorHAnsi" w:hAnsiTheme="minorHAnsi"/>
          <w:szCs w:val="24"/>
        </w:rPr>
        <w:tab/>
        <w:t>Relación de medio con el fin.</w:t>
      </w:r>
    </w:p>
    <w:p w14:paraId="3E71A0B6" w14:textId="77777777" w:rsidR="0082775B" w:rsidRPr="000D3432" w:rsidRDefault="0082775B" w:rsidP="00A95498">
      <w:pPr>
        <w:rPr>
          <w:rFonts w:asciiTheme="minorHAnsi" w:hAnsiTheme="minorHAnsi"/>
          <w:szCs w:val="24"/>
        </w:rPr>
      </w:pPr>
      <w:r w:rsidRPr="000D3432">
        <w:rPr>
          <w:rFonts w:asciiTheme="minorHAnsi" w:hAnsiTheme="minorHAnsi"/>
          <w:noProof/>
          <w:szCs w:val="24"/>
        </w:rPr>
        <mc:AlternateContent>
          <mc:Choice Requires="wpg">
            <w:drawing>
              <wp:anchor distT="0" distB="0" distL="114300" distR="114300" simplePos="0" relativeHeight="251669504" behindDoc="0" locked="0" layoutInCell="1" allowOverlap="1" wp14:anchorId="37AA2775" wp14:editId="15B89464">
                <wp:simplePos x="0" y="0"/>
                <wp:positionH relativeFrom="column">
                  <wp:posOffset>735330</wp:posOffset>
                </wp:positionH>
                <wp:positionV relativeFrom="paragraph">
                  <wp:posOffset>157480</wp:posOffset>
                </wp:positionV>
                <wp:extent cx="3200400" cy="572135"/>
                <wp:effectExtent l="3810" t="0" r="8890" b="16510"/>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572135"/>
                          <a:chOff x="1308" y="12218"/>
                          <a:chExt cx="5040" cy="901"/>
                        </a:xfrm>
                      </wpg:grpSpPr>
                      <wps:wsp>
                        <wps:cNvPr id="32" name="Rectangle 13"/>
                        <wps:cNvSpPr>
                          <a:spLocks noChangeArrowheads="1"/>
                        </wps:cNvSpPr>
                        <wps:spPr bwMode="auto">
                          <a:xfrm>
                            <a:off x="1308" y="12218"/>
                            <a:ext cx="15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Rectangle 14"/>
                        <wps:cNvSpPr>
                          <a:spLocks noChangeArrowheads="1"/>
                        </wps:cNvSpPr>
                        <wps:spPr bwMode="auto">
                          <a:xfrm>
                            <a:off x="3468" y="12218"/>
                            <a:ext cx="108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15"/>
                        <wps:cNvSpPr>
                          <a:spLocks noChangeArrowheads="1"/>
                        </wps:cNvSpPr>
                        <wps:spPr bwMode="auto">
                          <a:xfrm>
                            <a:off x="5508" y="12218"/>
                            <a:ext cx="84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Line 16"/>
                        <wps:cNvCnPr/>
                        <wps:spPr bwMode="auto">
                          <a:xfrm>
                            <a:off x="2868" y="12399"/>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7"/>
                        <wps:cNvCnPr/>
                        <wps:spPr bwMode="auto">
                          <a:xfrm flipH="1">
                            <a:off x="4548" y="12398"/>
                            <a:ext cx="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18"/>
                        <wps:cNvCnPr/>
                        <wps:spPr bwMode="auto">
                          <a:xfrm>
                            <a:off x="3948" y="125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9"/>
                        <wps:cNvCnPr/>
                        <wps:spPr bwMode="auto">
                          <a:xfrm>
                            <a:off x="5868" y="12579"/>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0"/>
                        <wps:cNvCnPr/>
                        <wps:spPr bwMode="auto">
                          <a:xfrm>
                            <a:off x="3948" y="13119"/>
                            <a:ext cx="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57.9pt;margin-top:12.4pt;width:252pt;height:45.05pt;z-index:251669504" coordorigin="1308,12218" coordsize="5040,9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">
                <v:rect id="Rectangle 13" o:spid="_x0000_s1027" style="position:absolute;left:1308;top:12218;width:15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h7cwwAA&#10;ANsAAAAPAAAAZHJzL2Rvd25yZXYueG1sRI9Ba8JAFITvQv/D8gq96aYRpaSuIRWFnoTaQtvbI/u6&#10;G8y+DdnVxH/vCgWPw8x8w6zK0bXiTH1oPCt4nmUgiGuvGzYKvj530xcQISJrbD2TggsFKNcPkxUW&#10;2g/8QedDNCJBOBSowMbYFVKG2pLDMPMdcfL+fO8wJtkbqXscEty1Ms+ypXTYcFqw2NHGUn08nJyC&#10;bfe7rxYmyOo72p+jfxt2dm+Uenocq1cQkcZ4D/+337WCeQ63L+kHyPU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9h7cwwAAANsAAAAPAAAAAAAAAAAAAAAAAJcCAABkcnMvZG93&#10;bnJldi54bWxQSwUGAAAAAAQABAD1AAAAhwMAAAAA&#10;" filled="f"/>
                <v:rect id="Rectangle 14" o:spid="_x0000_s1028" style="position:absolute;left:3468;top:12218;width:108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urtHwwAA&#10;ANsAAAAPAAAAZHJzL2Rvd25yZXYueG1sRI9PawIxFMTvBb9DeIK3mlWxyNYoq1TwJPgHbG+PzWuy&#10;uHlZNqm7/faNIPQ4zMxvmOW6d7W4Uxsqzwom4wwEcel1xUbB5bx7XYAIEVlj7ZkU/FKA9WrwssRc&#10;+46PdD9FIxKEQ44KbIxNLmUoLTkMY98QJ+/btw5jkq2RusUuwV0tp1n2Jh1WnBYsNrS1VN5OP07B&#10;R/N1KOYmyOIa7efNb7qdPRilRsO+eAcRqY//4Wd7rxXMZvD4kn6AX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urtHwwAAANsAAAAPAAAAAAAAAAAAAAAAAJcCAABkcnMvZG93&#10;bnJldi54bWxQSwUGAAAAAAQABAD1AAAAhwMAAAAA&#10;" filled="f"/>
                <v:rect id="Rectangle 15" o:spid="_x0000_s1029" style="position:absolute;left:5508;top:12218;width:84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UyMzwwAA&#10;ANsAAAAPAAAAZHJzL2Rvd25yZXYueG1sRI9BawIxFITvhf6H8Areara1FVmNsi0VPAlVQb09Ns9k&#10;cfOybFJ3/feNIHgcZuYbZrboXS0u1IbKs4K3YQaCuPS6YqNgt12+TkCEiKyx9kwKrhRgMX9+mmGu&#10;fce/dNlEIxKEQ44KbIxNLmUoLTkMQ98QJ+/kW4cxydZI3WKX4K6W71k2lg4rTgsWG/q2VJ43f07B&#10;T3NcF58myGIf7eHsv7qlXRulBi99MQURqY+P8L290gpGH3D7kn6An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UyMzwwAAANsAAAAPAAAAAAAAAAAAAAAAAJcCAABkcnMvZG93&#10;bnJldi54bWxQSwUGAAAAAAQABAD1AAAAhwMAAAAA&#10;" filled="f"/>
                <v:line id="Line 16" o:spid="_x0000_s1030" style="position:absolute;visibility:visible;mso-wrap-style:square" from="2868,12399" to="3348,123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v3xMQAAADbAAAADwAAAGRycy9kb3ducmV2LnhtbESPQWsCMRSE70L/Q3iF3jSrxapbo0gX&#10;wYMV1NLz6+Z1s3TzsmzSNf57Uyh4HGbmG2a5jrYRPXW+dqxgPMpAEJdO11wp+Dhvh3MQPiBrbByT&#10;git5WK8eBkvMtbvwkfpTqESCsM9RgQmhzaX0pSGLfuRa4uR9u85iSLKrpO7wkuC2kZMse5EWa04L&#10;Blt6M1T+nH6tgpkpjnImi/35UPT1eBHf4+fXQqmnx7h5BREohnv4v73TCp6n8Pcl/QC5u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e/fExAAAANsAAAAPAAAAAAAAAAAA&#10;AAAAAKECAABkcnMvZG93bnJldi54bWxQSwUGAAAAAAQABAD5AAAAkgMAAAAA&#10;">
                  <v:stroke endarrow="block"/>
                </v:line>
                <v:line id="Line 17" o:spid="_x0000_s1031" style="position:absolute;flip:x;visibility:visible;mso-wrap-style:square" from="4548,12398" to="5508,1239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UD+n9xAAAANsAAAAPAAAAAAAAAAAA&#10;AAAAAKECAABkcnMvZG93bnJldi54bWxQSwUGAAAAAAQABAD5AAAAkgMAAAAA&#10;">
                  <v:stroke endarrow="block"/>
                </v:line>
                <v:line id="Line 18" o:spid="_x0000_s1032" style="position:absolute;visibility:visible;mso-wrap-style:square" from="3948,12579" to="3948,13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99z5zGAAAA2wAAAA8AAAAAAAAA&#10;AAAAAAAAoQIAAGRycy9kb3ducmV2LnhtbFBLBQYAAAAABAAEAPkAAACUAwAAAAA=&#10;"/>
                <v:line id="Line 19" o:spid="_x0000_s1033" style="position:absolute;visibility:visible;mso-wrap-style:square" from="5868,12579" to="5868,13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Jb7sIAAADbAAAADwAAAAAAAAAAAAAA&#10;AAChAgAAZHJzL2Rvd25yZXYueG1sUEsFBgAAAAAEAAQA+QAAAJADAAAAAA==&#10;"/>
                <v:line id="Line 20" o:spid="_x0000_s1034" style="position:absolute;visibility:visible;mso-wrap-style:square" from="3948,13119" to="5868,1311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Gu/nXGAAAA2wAAAA8AAAAAAAAA&#10;AAAAAAAAoQIAAGRycy9kb3ducmV2LnhtbFBLBQYAAAAABAAEAPkAAACUAwAAAAA=&#10;"/>
              </v:group>
            </w:pict>
          </mc:Fallback>
        </mc:AlternateContent>
      </w:r>
    </w:p>
    <w:p w14:paraId="282F39E4" w14:textId="77777777" w:rsidR="0082775B" w:rsidRPr="000D3432" w:rsidRDefault="0082775B" w:rsidP="00A95498">
      <w:pPr>
        <w:rPr>
          <w:rFonts w:asciiTheme="minorHAnsi" w:hAnsiTheme="minorHAnsi"/>
          <w:szCs w:val="24"/>
        </w:rPr>
      </w:pPr>
      <w:r w:rsidRPr="000D3432">
        <w:rPr>
          <w:rFonts w:asciiTheme="minorHAnsi" w:hAnsiTheme="minorHAnsi"/>
          <w:noProof/>
          <w:szCs w:val="24"/>
        </w:rPr>
        <mc:AlternateContent>
          <mc:Choice Requires="wps">
            <w:drawing>
              <wp:anchor distT="0" distB="0" distL="114300" distR="114300" simplePos="0" relativeHeight="251668480" behindDoc="0" locked="0" layoutInCell="1" allowOverlap="1" wp14:anchorId="6521857C" wp14:editId="520AD8FC">
                <wp:simplePos x="0" y="0"/>
                <wp:positionH relativeFrom="column">
                  <wp:posOffset>2792730</wp:posOffset>
                </wp:positionH>
                <wp:positionV relativeFrom="paragraph">
                  <wp:posOffset>90805</wp:posOffset>
                </wp:positionV>
                <wp:extent cx="609600" cy="0"/>
                <wp:effectExtent l="16510" t="53340" r="34290" b="73660"/>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9pt,7.15pt" to="267.9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">
                <v:stroke endarrow="block"/>
              </v:line>
            </w:pict>
          </mc:Fallback>
        </mc:AlternateContent>
      </w:r>
      <w:r w:rsidRPr="000D3432">
        <w:rPr>
          <w:rFonts w:asciiTheme="minorHAnsi" w:hAnsiTheme="minorHAnsi"/>
          <w:szCs w:val="24"/>
        </w:rPr>
        <w:tab/>
      </w:r>
      <w:r w:rsidRPr="000D3432">
        <w:rPr>
          <w:rFonts w:asciiTheme="minorHAnsi" w:hAnsiTheme="minorHAnsi"/>
          <w:szCs w:val="24"/>
        </w:rPr>
        <w:tab/>
        <w:t>Justificación</w:t>
      </w:r>
      <w:r w:rsidRPr="000D3432">
        <w:rPr>
          <w:rFonts w:asciiTheme="minorHAnsi" w:hAnsiTheme="minorHAnsi"/>
          <w:szCs w:val="24"/>
        </w:rPr>
        <w:tab/>
      </w:r>
      <w:r w:rsidRPr="000D3432">
        <w:rPr>
          <w:rFonts w:asciiTheme="minorHAnsi" w:hAnsiTheme="minorHAnsi"/>
          <w:szCs w:val="24"/>
        </w:rPr>
        <w:tab/>
        <w:t>Medio</w:t>
      </w:r>
      <w:r w:rsidRPr="000D3432">
        <w:rPr>
          <w:rFonts w:asciiTheme="minorHAnsi" w:hAnsiTheme="minorHAnsi"/>
          <w:szCs w:val="24"/>
        </w:rPr>
        <w:tab/>
      </w:r>
      <w:r w:rsidRPr="000D3432">
        <w:rPr>
          <w:rFonts w:asciiTheme="minorHAnsi" w:hAnsiTheme="minorHAnsi"/>
          <w:szCs w:val="24"/>
        </w:rPr>
        <w:tab/>
      </w:r>
      <w:r w:rsidRPr="000D3432">
        <w:rPr>
          <w:rFonts w:asciiTheme="minorHAnsi" w:hAnsiTheme="minorHAnsi"/>
          <w:szCs w:val="24"/>
        </w:rPr>
        <w:tab/>
        <w:t>Fin</w:t>
      </w:r>
    </w:p>
    <w:p w14:paraId="36CC9627" w14:textId="77777777" w:rsidR="0082775B" w:rsidRPr="000D3432" w:rsidRDefault="0082775B" w:rsidP="00A95498">
      <w:pPr>
        <w:rPr>
          <w:rFonts w:asciiTheme="minorHAnsi" w:hAnsiTheme="minorHAnsi"/>
          <w:szCs w:val="24"/>
        </w:rPr>
      </w:pPr>
    </w:p>
    <w:p w14:paraId="61A92417" w14:textId="77777777" w:rsidR="0082775B" w:rsidRPr="000D3432" w:rsidRDefault="0082775B" w:rsidP="00A95498">
      <w:pPr>
        <w:rPr>
          <w:rFonts w:asciiTheme="minorHAnsi" w:hAnsiTheme="minorHAnsi"/>
          <w:szCs w:val="24"/>
        </w:rPr>
      </w:pPr>
      <w:r w:rsidRPr="000D3432">
        <w:rPr>
          <w:rFonts w:asciiTheme="minorHAnsi" w:hAnsiTheme="minorHAnsi"/>
          <w:szCs w:val="24"/>
        </w:rPr>
        <w:tab/>
      </w:r>
      <w:r w:rsidRPr="000D3432">
        <w:rPr>
          <w:rFonts w:asciiTheme="minorHAnsi" w:hAnsiTheme="minorHAnsi"/>
          <w:szCs w:val="24"/>
        </w:rPr>
        <w:tab/>
      </w:r>
      <w:r w:rsidRPr="000D3432">
        <w:rPr>
          <w:rFonts w:asciiTheme="minorHAnsi" w:hAnsiTheme="minorHAnsi"/>
          <w:szCs w:val="24"/>
        </w:rPr>
        <w:tab/>
      </w:r>
      <w:r w:rsidRPr="000D3432">
        <w:rPr>
          <w:rFonts w:asciiTheme="minorHAnsi" w:hAnsiTheme="minorHAnsi"/>
          <w:szCs w:val="24"/>
        </w:rPr>
        <w:tab/>
      </w:r>
      <w:r w:rsidRPr="000D3432">
        <w:rPr>
          <w:rFonts w:asciiTheme="minorHAnsi" w:hAnsiTheme="minorHAnsi"/>
          <w:szCs w:val="24"/>
        </w:rPr>
        <w:tab/>
      </w:r>
      <w:r w:rsidRPr="000D3432">
        <w:rPr>
          <w:rFonts w:asciiTheme="minorHAnsi" w:hAnsiTheme="minorHAnsi"/>
          <w:szCs w:val="24"/>
        </w:rPr>
        <w:tab/>
        <w:t xml:space="preserve"> Relación</w:t>
      </w:r>
    </w:p>
    <w:p w14:paraId="30DA82F6" w14:textId="77777777" w:rsidR="0082775B" w:rsidRPr="000D3432" w:rsidRDefault="0082775B" w:rsidP="00A95498">
      <w:pPr>
        <w:rPr>
          <w:rFonts w:asciiTheme="minorHAnsi" w:hAnsiTheme="minorHAnsi"/>
          <w:szCs w:val="24"/>
        </w:rPr>
      </w:pPr>
    </w:p>
    <w:p w14:paraId="49DEF3D4" w14:textId="77777777" w:rsidR="0082775B" w:rsidRPr="000D3432" w:rsidRDefault="0082775B" w:rsidP="00A95498">
      <w:pPr>
        <w:pStyle w:val="Ttulo2"/>
        <w:spacing w:line="240" w:lineRule="auto"/>
        <w:rPr>
          <w:rFonts w:asciiTheme="minorHAnsi" w:hAnsiTheme="minorHAnsi"/>
          <w:sz w:val="24"/>
          <w:szCs w:val="24"/>
        </w:rPr>
      </w:pPr>
    </w:p>
    <w:p w14:paraId="093CEB67" w14:textId="77777777" w:rsidR="0082775B" w:rsidRPr="000D3432" w:rsidRDefault="0082775B" w:rsidP="00A95498">
      <w:pPr>
        <w:rPr>
          <w:rFonts w:asciiTheme="minorHAnsi" w:hAnsiTheme="minorHAnsi"/>
          <w:szCs w:val="24"/>
        </w:rPr>
      </w:pPr>
      <w:r w:rsidRPr="000D3432">
        <w:rPr>
          <w:rFonts w:asciiTheme="minorHAnsi" w:hAnsiTheme="minorHAnsi"/>
          <w:noProof/>
          <w:szCs w:val="24"/>
        </w:rPr>
        <mc:AlternateContent>
          <mc:Choice Requires="wpg">
            <w:drawing>
              <wp:anchor distT="0" distB="0" distL="114300" distR="114300" simplePos="0" relativeHeight="251671552" behindDoc="0" locked="0" layoutInCell="1" allowOverlap="1" wp14:anchorId="05332DD1" wp14:editId="17715E7B">
                <wp:simplePos x="0" y="0"/>
                <wp:positionH relativeFrom="column">
                  <wp:posOffset>735330</wp:posOffset>
                </wp:positionH>
                <wp:positionV relativeFrom="paragraph">
                  <wp:posOffset>148590</wp:posOffset>
                </wp:positionV>
                <wp:extent cx="3581400" cy="658495"/>
                <wp:effectExtent l="3810" t="0" r="8890" b="1778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658495"/>
                          <a:chOff x="1308" y="519"/>
                          <a:chExt cx="5640" cy="824"/>
                        </a:xfrm>
                      </wpg:grpSpPr>
                      <wps:wsp>
                        <wps:cNvPr id="25" name="Text Box 23"/>
                        <wps:cNvSpPr txBox="1">
                          <a:spLocks noChangeArrowheads="1"/>
                        </wps:cNvSpPr>
                        <wps:spPr bwMode="auto">
                          <a:xfrm>
                            <a:off x="1308" y="519"/>
                            <a:ext cx="1320" cy="360"/>
                          </a:xfrm>
                          <a:prstGeom prst="rect">
                            <a:avLst/>
                          </a:prstGeom>
                          <a:solidFill>
                            <a:srgbClr val="FFFFFF"/>
                          </a:solidFill>
                          <a:ln w="9525">
                            <a:solidFill>
                              <a:srgbClr val="000000"/>
                            </a:solidFill>
                            <a:miter lim="800000"/>
                            <a:headEnd/>
                            <a:tailEnd/>
                          </a:ln>
                        </wps:spPr>
                        <wps:txbx>
                          <w:txbxContent>
                            <w:p w14:paraId="3A12CE7D" w14:textId="77777777" w:rsidR="00444BC9" w:rsidRDefault="00444BC9" w:rsidP="0082775B">
                              <w:pPr>
                                <w:pStyle w:val="Textonotapie"/>
                                <w:rPr>
                                  <w:szCs w:val="24"/>
                                </w:rPr>
                              </w:pPr>
                              <w:r>
                                <w:rPr>
                                  <w:szCs w:val="24"/>
                                </w:rPr>
                                <w:t>Justificación</w:t>
                              </w:r>
                            </w:p>
                          </w:txbxContent>
                        </wps:txbx>
                        <wps:bodyPr rot="0" vert="horz" wrap="square" lIns="91440" tIns="45720" rIns="91440" bIns="45720" anchor="t" anchorCtr="0" upright="1">
                          <a:noAutofit/>
                        </wps:bodyPr>
                      </wps:wsp>
                      <wps:wsp>
                        <wps:cNvPr id="26" name="Text Box 24"/>
                        <wps:cNvSpPr txBox="1">
                          <a:spLocks noChangeArrowheads="1"/>
                        </wps:cNvSpPr>
                        <wps:spPr bwMode="auto">
                          <a:xfrm>
                            <a:off x="3348" y="519"/>
                            <a:ext cx="1320" cy="719"/>
                          </a:xfrm>
                          <a:prstGeom prst="rect">
                            <a:avLst/>
                          </a:prstGeom>
                          <a:solidFill>
                            <a:srgbClr val="FFFFFF"/>
                          </a:solidFill>
                          <a:ln w="9525">
                            <a:solidFill>
                              <a:srgbClr val="000000"/>
                            </a:solidFill>
                            <a:miter lim="800000"/>
                            <a:headEnd/>
                            <a:tailEnd/>
                          </a:ln>
                        </wps:spPr>
                        <wps:txbx>
                          <w:txbxContent>
                            <w:p w14:paraId="532E006C" w14:textId="77777777" w:rsidR="00444BC9" w:rsidRDefault="00444BC9" w:rsidP="0082775B">
                              <w:pPr>
                                <w:pStyle w:val="Textonotapie"/>
                                <w:jc w:val="center"/>
                                <w:rPr>
                                  <w:szCs w:val="24"/>
                                </w:rPr>
                              </w:pPr>
                              <w:r>
                                <w:rPr>
                                  <w:szCs w:val="24"/>
                                </w:rPr>
                                <w:t>Medio</w:t>
                              </w:r>
                            </w:p>
                            <w:p w14:paraId="26D2FFC9" w14:textId="77777777" w:rsidR="00444BC9" w:rsidRDefault="00444BC9" w:rsidP="0082775B">
                              <w:pPr>
                                <w:pStyle w:val="Textonotapie"/>
                                <w:jc w:val="center"/>
                                <w:rPr>
                                  <w:szCs w:val="24"/>
                                </w:rPr>
                              </w:pPr>
                              <w:r>
                                <w:rPr>
                                  <w:szCs w:val="24"/>
                                </w:rPr>
                                <w:t>(El Derecho)</w:t>
                              </w:r>
                            </w:p>
                          </w:txbxContent>
                        </wps:txbx>
                        <wps:bodyPr rot="0" vert="horz" wrap="square" lIns="91440" tIns="45720" rIns="91440" bIns="45720" anchor="t" anchorCtr="0" upright="1">
                          <a:noAutofit/>
                        </wps:bodyPr>
                      </wps:wsp>
                      <wps:wsp>
                        <wps:cNvPr id="27" name="Text Box 25"/>
                        <wps:cNvSpPr txBox="1">
                          <a:spLocks noChangeArrowheads="1"/>
                        </wps:cNvSpPr>
                        <wps:spPr bwMode="auto">
                          <a:xfrm>
                            <a:off x="5268" y="519"/>
                            <a:ext cx="1680" cy="824"/>
                          </a:xfrm>
                          <a:prstGeom prst="rect">
                            <a:avLst/>
                          </a:prstGeom>
                          <a:solidFill>
                            <a:srgbClr val="FFFFFF"/>
                          </a:solidFill>
                          <a:ln w="9525">
                            <a:solidFill>
                              <a:srgbClr val="000000"/>
                            </a:solidFill>
                            <a:miter lim="800000"/>
                            <a:headEnd/>
                            <a:tailEnd/>
                          </a:ln>
                        </wps:spPr>
                        <wps:txbx>
                          <w:txbxContent>
                            <w:p w14:paraId="594B6959" w14:textId="77777777" w:rsidR="00444BC9" w:rsidRDefault="00444BC9" w:rsidP="0082775B">
                              <w:pPr>
                                <w:pStyle w:val="Textonotapie"/>
                                <w:jc w:val="center"/>
                                <w:rPr>
                                  <w:szCs w:val="24"/>
                                </w:rPr>
                              </w:pPr>
                              <w:r>
                                <w:rPr>
                                  <w:szCs w:val="24"/>
                                </w:rPr>
                                <w:t>Fin</w:t>
                              </w:r>
                            </w:p>
                            <w:p w14:paraId="3D1567D4" w14:textId="77777777" w:rsidR="00444BC9" w:rsidRDefault="00444BC9" w:rsidP="0082775B">
                              <w:pPr>
                                <w:pStyle w:val="Textonotapie"/>
                                <w:jc w:val="center"/>
                                <w:rPr>
                                  <w:szCs w:val="24"/>
                                </w:rPr>
                              </w:pPr>
                              <w:r>
                                <w:rPr>
                                  <w:szCs w:val="24"/>
                                </w:rPr>
                                <w:t>(El Ser humano)</w:t>
                              </w:r>
                            </w:p>
                          </w:txbxContent>
                        </wps:txbx>
                        <wps:bodyPr rot="0" vert="horz" wrap="square" lIns="91440" tIns="45720" rIns="91440" bIns="45720" anchor="t" anchorCtr="0" upright="1">
                          <a:noAutofit/>
                        </wps:bodyPr>
                      </wps:wsp>
                      <wps:wsp>
                        <wps:cNvPr id="28" name="Line 26"/>
                        <wps:cNvCnPr/>
                        <wps:spPr bwMode="auto">
                          <a:xfrm>
                            <a:off x="2628" y="699"/>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7"/>
                        <wps:cNvCnPr/>
                        <wps:spPr bwMode="auto">
                          <a:xfrm flipH="1">
                            <a:off x="4668" y="878"/>
                            <a:ext cx="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57.9pt;margin-top:11.7pt;width:282pt;height:51.85pt;z-index:251671552" coordorigin="1308,519" coordsize="5640,82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">
                <v:shapetype id="_x0000_t202" coordsize="21600,21600" o:spt="202" path="m0,0l0,21600,21600,21600,21600,0xe">
                  <v:stroke joinstyle="miter"/>
                  <v:path gradientshapeok="t" o:connecttype="rect"/>
                </v:shapetype>
                <v:shape id="Text Box 23" o:spid="_x0000_s1027" type="#_x0000_t202" style="position:absolute;left:1308;top:519;width:132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bOXzxQAA&#10;ANsAAAAPAAAAZHJzL2Rvd25yZXYueG1sRI9PawIxFMTvQr9DeAUvRbPV1j+rUURQ7K1Vaa+PzXN3&#10;6eZlTeK6fntTKHgcZuY3zHzZmko05HxpWcFrPwFBnFldcq7geNj0JiB8QNZYWSYFN/KwXDx15phq&#10;e+UvavYhFxHCPkUFRQh1KqXPCjLo+7Ymjt7JOoMhSpdL7fAa4aaSgyQZSYMlx4UCa1oXlP3uL0bB&#10;5G3X/PiP4ed3NjpV0/AybrZnp1T3uV3NQARqwyP8395pBYN3+PsSf4Bc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s5fPFAAAA2wAAAA8AAAAAAAAAAAAAAAAAlwIAAGRycy9k&#10;b3ducmV2LnhtbFBLBQYAAAAABAAEAPUAAACJAwAAAAA=&#10;">
                  <v:textbox>
                    <w:txbxContent>
                      <w:p w14:paraId="3A12CE7D" w14:textId="77777777" w:rsidR="00444BC9" w:rsidRDefault="00444BC9" w:rsidP="0082775B">
                        <w:pPr>
                          <w:pStyle w:val="Textonotapie"/>
                          <w:rPr>
                            <w:szCs w:val="24"/>
                          </w:rPr>
                        </w:pPr>
                        <w:r>
                          <w:rPr>
                            <w:szCs w:val="24"/>
                          </w:rPr>
                          <w:t>Justificación</w:t>
                        </w:r>
                      </w:p>
                    </w:txbxContent>
                  </v:textbox>
                </v:shape>
                <v:shape id="Text Box 24" o:spid="_x0000_s1028" type="#_x0000_t202" style="position:absolute;left:3348;top:519;width:1320;height:7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vnuExAAA&#10;ANsAAAAPAAAAZHJzL2Rvd25yZXYueG1sRI9Ba8JAFITvgv9heQUvUjdaSTW6iggWe1Nb2usj+0xC&#10;s2/j7hrTf98tCB6HmfmGWa47U4uWnK8sKxiPEhDEudUVFwo+P3bPMxA+IGusLZOCX/KwXvV7S8y0&#10;vfGR2lMoRISwz1BBGUKTSenzkgz6kW2Io3e2zmCI0hVSO7xFuKnlJElSabDiuFBiQ9uS8p/T1SiY&#10;Tfftt39/OXzl6bmeh+Fr+3ZxSg2eus0CRKAuPML39l4rmKTw/yX+AL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57hMQAAADbAAAADwAAAAAAAAAAAAAAAACXAgAAZHJzL2Rv&#10;d25yZXYueG1sUEsFBgAAAAAEAAQA9QAAAIgDAAAAAA==&#10;">
                  <v:textbox>
                    <w:txbxContent>
                      <w:p w14:paraId="532E006C" w14:textId="77777777" w:rsidR="00444BC9" w:rsidRDefault="00444BC9" w:rsidP="0082775B">
                        <w:pPr>
                          <w:pStyle w:val="Textonotapie"/>
                          <w:jc w:val="center"/>
                          <w:rPr>
                            <w:szCs w:val="24"/>
                          </w:rPr>
                        </w:pPr>
                        <w:r>
                          <w:rPr>
                            <w:szCs w:val="24"/>
                          </w:rPr>
                          <w:t>Medio</w:t>
                        </w:r>
                      </w:p>
                      <w:p w14:paraId="26D2FFC9" w14:textId="77777777" w:rsidR="00444BC9" w:rsidRDefault="00444BC9" w:rsidP="0082775B">
                        <w:pPr>
                          <w:pStyle w:val="Textonotapie"/>
                          <w:jc w:val="center"/>
                          <w:rPr>
                            <w:szCs w:val="24"/>
                          </w:rPr>
                        </w:pPr>
                        <w:r>
                          <w:rPr>
                            <w:szCs w:val="24"/>
                          </w:rPr>
                          <w:t>(El Derecho)</w:t>
                        </w:r>
                      </w:p>
                    </w:txbxContent>
                  </v:textbox>
                </v:shape>
                <v:shape id="Text Box 25" o:spid="_x0000_s1029" type="#_x0000_t202" style="position:absolute;left:5268;top:519;width:1680;height:82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8t4fxQAA&#10;ANsAAAAPAAAAZHJzL2Rvd25yZXYueG1sRI9bawIxFITfC/6HcARfima1xctqlCK06Fu9oK+HzXF3&#10;cXOyTdJ1/fdGKPRxmJlvmMWqNZVoyPnSsoLhIAFBnFldcq7gePjsT0H4gKyxskwK7uRhtey8LDDV&#10;9sY7avYhFxHCPkUFRQh1KqXPCjLoB7Ymjt7FOoMhSpdL7fAW4aaSoyQZS4Mlx4UCa1oXlF33v0bB&#10;9H3TnP327fuUjS/VLLxOmq8fp1Sv237MQQRqw3/4r73RCkYTeH6JP0Au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fy3h/FAAAA2wAAAA8AAAAAAAAAAAAAAAAAlwIAAGRycy9k&#10;b3ducmV2LnhtbFBLBQYAAAAABAAEAPUAAACJAwAAAAA=&#10;">
                  <v:textbox>
                    <w:txbxContent>
                      <w:p w14:paraId="594B6959" w14:textId="77777777" w:rsidR="00444BC9" w:rsidRDefault="00444BC9" w:rsidP="0082775B">
                        <w:pPr>
                          <w:pStyle w:val="Textonotapie"/>
                          <w:jc w:val="center"/>
                          <w:rPr>
                            <w:szCs w:val="24"/>
                          </w:rPr>
                        </w:pPr>
                        <w:r>
                          <w:rPr>
                            <w:szCs w:val="24"/>
                          </w:rPr>
                          <w:t>Fin</w:t>
                        </w:r>
                      </w:p>
                      <w:p w14:paraId="3D1567D4" w14:textId="77777777" w:rsidR="00444BC9" w:rsidRDefault="00444BC9" w:rsidP="0082775B">
                        <w:pPr>
                          <w:pStyle w:val="Textonotapie"/>
                          <w:jc w:val="center"/>
                          <w:rPr>
                            <w:szCs w:val="24"/>
                          </w:rPr>
                        </w:pPr>
                        <w:r>
                          <w:rPr>
                            <w:szCs w:val="24"/>
                          </w:rPr>
                          <w:t>(El Ser humano)</w:t>
                        </w:r>
                      </w:p>
                    </w:txbxContent>
                  </v:textbox>
                </v:shape>
                <v:line id="Line 26" o:spid="_x0000_s1030" style="position:absolute;visibility:visible;mso-wrap-style:square" from="2628,699" to="3348,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KjzofAAAAA2wAAAA8AAAAAAAAAAAAAAAAA&#10;oQIAAGRycy9kb3ducmV2LnhtbFBLBQYAAAAABAAEAPkAAACOAwAAAAA=&#10;">
                  <v:stroke endarrow="block"/>
                </v:line>
                <v:line id="Line 27" o:spid="_x0000_s1031" style="position:absolute;flip:x;visibility:visible;mso-wrap-style:square" from="4668,878" to="5268,87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nrUsMAAADbAAAADwAAAGRycy9kb3ducmV2LnhtbESPQWvCQBCF70L/wzKFXoJuqiA1dZXW&#10;KgjioerB45CdJqHZ2ZAdNf57VxA8Pt68782bzjtXqzO1ofJs4H2QgiLOva24MHDYr/ofoIIgW6w9&#10;k4ErBZjPXnpTzKy/8C+dd1KoCOGQoYFSpMm0DnlJDsPAN8TR+/OtQ4myLbRt8RLhrtbDNB1rhxXH&#10;hhIbWpSU/+9OLr6x2vLPaJR8O50kE1oeZZNqMebttfv6BCXUyfP4kV5bA8MJ3LdEAOjZD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BJ61LDAAAA2wAAAA8AAAAAAAAAAAAA&#10;AAAAoQIAAGRycy9kb3ducmV2LnhtbFBLBQYAAAAABAAEAPkAAACRAwAAAAA=&#10;">
                  <v:stroke endarrow="block"/>
                </v:line>
              </v:group>
            </w:pict>
          </mc:Fallback>
        </mc:AlternateContent>
      </w:r>
    </w:p>
    <w:p w14:paraId="011F8AAA" w14:textId="77777777" w:rsidR="0082775B" w:rsidRPr="000D3432" w:rsidRDefault="0082775B" w:rsidP="00A95498">
      <w:pPr>
        <w:rPr>
          <w:rFonts w:asciiTheme="minorHAnsi" w:hAnsiTheme="minorHAnsi"/>
          <w:szCs w:val="24"/>
        </w:rPr>
      </w:pPr>
    </w:p>
    <w:p w14:paraId="321750BC" w14:textId="77777777" w:rsidR="0082775B" w:rsidRPr="000D3432" w:rsidRDefault="0082775B" w:rsidP="00A95498">
      <w:pPr>
        <w:rPr>
          <w:rFonts w:asciiTheme="minorHAnsi" w:hAnsiTheme="minorHAnsi"/>
          <w:szCs w:val="24"/>
        </w:rPr>
      </w:pPr>
      <w:r w:rsidRPr="000D3432">
        <w:rPr>
          <w:rFonts w:asciiTheme="minorHAnsi" w:hAnsiTheme="minorHAnsi"/>
          <w:noProof/>
          <w:szCs w:val="24"/>
        </w:rPr>
        <mc:AlternateContent>
          <mc:Choice Requires="wps">
            <w:drawing>
              <wp:anchor distT="0" distB="0" distL="114300" distR="114300" simplePos="0" relativeHeight="251670528" behindDoc="0" locked="0" layoutInCell="1" allowOverlap="1" wp14:anchorId="734246F5" wp14:editId="50A920A3">
                <wp:simplePos x="0" y="0"/>
                <wp:positionH relativeFrom="column">
                  <wp:posOffset>2868930</wp:posOffset>
                </wp:positionH>
                <wp:positionV relativeFrom="paragraph">
                  <wp:posOffset>14605</wp:posOffset>
                </wp:positionV>
                <wp:extent cx="381000" cy="0"/>
                <wp:effectExtent l="16510" t="48260" r="34290" b="78740"/>
                <wp:wrapNone/>
                <wp:docPr id="23"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9pt,1.15pt" to="255.9pt,1.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">
                <v:stroke endarrow="block"/>
              </v:line>
            </w:pict>
          </mc:Fallback>
        </mc:AlternateContent>
      </w:r>
    </w:p>
    <w:p w14:paraId="4380FFE2" w14:textId="77777777" w:rsidR="0082775B" w:rsidRPr="000D3432" w:rsidRDefault="0082775B" w:rsidP="00A95498">
      <w:pPr>
        <w:rPr>
          <w:rFonts w:asciiTheme="minorHAnsi" w:hAnsiTheme="minorHAnsi"/>
          <w:szCs w:val="24"/>
        </w:rPr>
      </w:pPr>
    </w:p>
    <w:p w14:paraId="46E5604C" w14:textId="77777777" w:rsidR="0082775B" w:rsidRPr="000D3432" w:rsidRDefault="0082775B" w:rsidP="00A95498">
      <w:pPr>
        <w:rPr>
          <w:rFonts w:asciiTheme="minorHAnsi" w:hAnsiTheme="minorHAnsi"/>
          <w:szCs w:val="24"/>
        </w:rPr>
      </w:pPr>
    </w:p>
    <w:p w14:paraId="68AC2803" w14:textId="77777777" w:rsidR="0082775B" w:rsidRPr="000D3432" w:rsidRDefault="0082775B" w:rsidP="00A95498">
      <w:pPr>
        <w:rPr>
          <w:rFonts w:asciiTheme="minorHAnsi" w:hAnsiTheme="minorHAnsi"/>
          <w:szCs w:val="24"/>
        </w:rPr>
      </w:pPr>
    </w:p>
    <w:p w14:paraId="2F87E437" w14:textId="77777777" w:rsidR="0082775B" w:rsidRPr="000D3432" w:rsidRDefault="0082775B" w:rsidP="00A95498">
      <w:pPr>
        <w:pStyle w:val="Ttulo2"/>
        <w:spacing w:line="240" w:lineRule="auto"/>
        <w:rPr>
          <w:rFonts w:asciiTheme="minorHAnsi" w:hAnsiTheme="minorHAnsi"/>
          <w:sz w:val="24"/>
          <w:szCs w:val="24"/>
        </w:rPr>
      </w:pPr>
      <w:bookmarkStart w:id="142" w:name="_Toc318102951"/>
      <w:r w:rsidRPr="000D3432">
        <w:rPr>
          <w:rFonts w:asciiTheme="minorHAnsi" w:hAnsiTheme="minorHAnsi"/>
          <w:sz w:val="24"/>
          <w:szCs w:val="24"/>
        </w:rPr>
        <w:t>V.- RELACIÓN DEL DERECHO JUDICIAL CON</w:t>
      </w:r>
      <w:bookmarkEnd w:id="142"/>
      <w:r w:rsidRPr="000D3432">
        <w:rPr>
          <w:rFonts w:asciiTheme="minorHAnsi" w:hAnsiTheme="minorHAnsi"/>
          <w:sz w:val="24"/>
          <w:szCs w:val="24"/>
        </w:rPr>
        <w:t xml:space="preserve"> </w:t>
      </w:r>
    </w:p>
    <w:p w14:paraId="0B4AE5C1" w14:textId="77777777" w:rsidR="0082775B" w:rsidRPr="000D3432" w:rsidRDefault="0082775B" w:rsidP="00A95498">
      <w:pPr>
        <w:pStyle w:val="Ttulo2"/>
        <w:spacing w:line="240" w:lineRule="auto"/>
        <w:rPr>
          <w:rFonts w:asciiTheme="minorHAnsi" w:hAnsiTheme="minorHAnsi"/>
          <w:sz w:val="24"/>
          <w:szCs w:val="24"/>
        </w:rPr>
      </w:pPr>
      <w:r w:rsidRPr="000D3432">
        <w:rPr>
          <w:rFonts w:asciiTheme="minorHAnsi" w:hAnsiTheme="minorHAnsi"/>
          <w:sz w:val="24"/>
          <w:szCs w:val="24"/>
        </w:rPr>
        <w:t xml:space="preserve">      </w:t>
      </w:r>
      <w:bookmarkStart w:id="143" w:name="_Toc318102952"/>
      <w:r w:rsidRPr="000D3432">
        <w:rPr>
          <w:rFonts w:asciiTheme="minorHAnsi" w:hAnsiTheme="minorHAnsi"/>
          <w:sz w:val="24"/>
          <w:szCs w:val="24"/>
        </w:rPr>
        <w:t>LAS OTRAS DISCIPLINAS DEL DERECHO</w:t>
      </w:r>
      <w:bookmarkEnd w:id="143"/>
    </w:p>
    <w:p w14:paraId="535CD36F" w14:textId="77777777" w:rsidR="0082775B" w:rsidRPr="000D3432" w:rsidRDefault="0082775B" w:rsidP="00A95498">
      <w:pPr>
        <w:ind w:left="708"/>
        <w:jc w:val="both"/>
        <w:rPr>
          <w:rFonts w:asciiTheme="minorHAnsi" w:hAnsiTheme="minorHAnsi"/>
          <w:szCs w:val="24"/>
        </w:rPr>
      </w:pPr>
    </w:p>
    <w:p w14:paraId="2B283D9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Cada área del Derecho, cada subcategoría del Derecho en general se relaciona con sus pares. Esa relación lo único que expresa es que el Derecho no está aislado, no es exclusivo y excluyente como dimensión teórica, sino que se relaciona con las otras dimensiones del conocimiento jurídico. Pero esta relación demuestra la necesidad de abarcar todo el fenómeno social, y no sólo un área, sino todo aquello que constituye o está dentro de la vida humana en sociedad.</w:t>
      </w:r>
    </w:p>
    <w:p w14:paraId="41D08647" w14:textId="77777777" w:rsidR="0082775B" w:rsidRPr="000D3432" w:rsidRDefault="0082775B" w:rsidP="00A95498">
      <w:pPr>
        <w:jc w:val="both"/>
        <w:rPr>
          <w:rFonts w:asciiTheme="minorHAnsi" w:hAnsiTheme="minorHAnsi"/>
          <w:szCs w:val="24"/>
        </w:rPr>
      </w:pPr>
    </w:p>
    <w:p w14:paraId="77BC2E40" w14:textId="77777777" w:rsidR="0082775B" w:rsidRPr="000D3432" w:rsidRDefault="0082775B" w:rsidP="00A95498">
      <w:pPr>
        <w:jc w:val="both"/>
        <w:rPr>
          <w:rFonts w:asciiTheme="minorHAnsi" w:hAnsiTheme="minorHAnsi"/>
          <w:szCs w:val="24"/>
        </w:rPr>
      </w:pPr>
      <w:r w:rsidRPr="000D3432">
        <w:rPr>
          <w:rFonts w:asciiTheme="minorHAnsi" w:hAnsiTheme="minorHAnsi"/>
          <w:b/>
          <w:bCs/>
          <w:szCs w:val="24"/>
        </w:rPr>
        <w:t>A) CON EL DERECHO CONSTITUCIONAL</w:t>
      </w:r>
    </w:p>
    <w:p w14:paraId="09475300" w14:textId="77777777" w:rsidR="0082775B" w:rsidRPr="000D3432" w:rsidRDefault="0082775B" w:rsidP="00A95498">
      <w:pPr>
        <w:jc w:val="both"/>
        <w:rPr>
          <w:rFonts w:asciiTheme="minorHAnsi" w:hAnsiTheme="minorHAnsi"/>
          <w:szCs w:val="24"/>
        </w:rPr>
      </w:pPr>
    </w:p>
    <w:p w14:paraId="1047E35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Derecho Judicial tiene su fundamento, como todo el resto de disciplinas jurídicas, en el Derecho Constitucional. Es decir que su existencia y supervivencia radica o está fundada en el Derecho Constitucional. Y éste último se funda en la propia sociedad. </w:t>
      </w:r>
    </w:p>
    <w:p w14:paraId="30E87CBC" w14:textId="77777777" w:rsidR="0082775B" w:rsidRPr="000D3432" w:rsidRDefault="0082775B" w:rsidP="00A95498">
      <w:pPr>
        <w:jc w:val="both"/>
        <w:rPr>
          <w:rFonts w:asciiTheme="minorHAnsi" w:hAnsiTheme="minorHAnsi"/>
          <w:szCs w:val="24"/>
        </w:rPr>
      </w:pPr>
    </w:p>
    <w:p w14:paraId="6205F7C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Constitucional es, también, un sistema normativo que se fundamenta en la Constitución de la sociedad como tal, como organización política jurídica. El Derecho Constitucional tiene, pues, en su centro a la Constitución, y este último significa, como decía Ferdinand Lasalle, “la suma de los factores reales del poder”. Esto quiere decir que la Constitución no es una norma plasmada en un texto llamado Constitución, sino la manifestación y expresión de la voluntad y reconocimiento de la sociedad, es decir de todos. Eso significa que sólo puede haber administración de justicia (de eso trata el Derecho Judicial) si éste está contemplado, reconocido, aceptado y expresado por la voluntad popular, por la voluntad de toda la sociedad, porque todos los fenómenos jurídicos son sólo tales si parten, o tienen su origen en esa voluntad social, voluntad colectiva.</w:t>
      </w:r>
    </w:p>
    <w:p w14:paraId="19FEC7E9" w14:textId="77777777" w:rsidR="0082775B" w:rsidRPr="000D3432" w:rsidRDefault="0082775B" w:rsidP="00A95498">
      <w:pPr>
        <w:jc w:val="both"/>
        <w:rPr>
          <w:rFonts w:asciiTheme="minorHAnsi" w:hAnsiTheme="minorHAnsi"/>
          <w:szCs w:val="24"/>
        </w:rPr>
      </w:pPr>
    </w:p>
    <w:p w14:paraId="5E4807D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lastRenderedPageBreak/>
        <w:t xml:space="preserve">La voluntad, ese permiso para que el Estado (representante de la sociedad en una sociedad moderna) administre justicia está traducido expresamente en el texto constitucional, pero no es el texto, sino el contexto –la voluntad social, colectiva-, lo que constituye la verdadera fuerza legitimadora de todo derecho. Por ejemplo, si existe un derecho en el texto constitucional, en la Constitución y la sociedad no lo reconoce porque no lo acata, entonces este texto no es constitucional, es decir no está constituido por la voluntad colectiva de la sociedad. </w:t>
      </w:r>
    </w:p>
    <w:p w14:paraId="0C61A6EA" w14:textId="77777777" w:rsidR="0082775B" w:rsidRPr="000D3432" w:rsidRDefault="0082775B" w:rsidP="00A95498">
      <w:pPr>
        <w:jc w:val="both"/>
        <w:rPr>
          <w:rFonts w:asciiTheme="minorHAnsi" w:hAnsiTheme="minorHAnsi"/>
          <w:szCs w:val="24"/>
        </w:rPr>
      </w:pPr>
    </w:p>
    <w:p w14:paraId="194D106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En términos objetivos, el fundamento del Derecho Judicial está expresamente expuesto en la Constitución, su Título IV.- De la Estructura del Estado. Capítulo VIII.- Poder Judicial. Artículo 138°, donde literalmente dice: “La potestad de administrar justicia emana del pueblo y se ejerce por el Poder Judicial a través de sus órganos jerárquicos con arreglo a la Constitución y a las leyes.”</w:t>
      </w:r>
    </w:p>
    <w:p w14:paraId="3C7A7457" w14:textId="77777777" w:rsidR="0082775B" w:rsidRPr="000D3432" w:rsidRDefault="0082775B" w:rsidP="00A95498">
      <w:pPr>
        <w:jc w:val="both"/>
        <w:rPr>
          <w:rFonts w:asciiTheme="minorHAnsi" w:hAnsiTheme="minorHAnsi"/>
          <w:szCs w:val="24"/>
        </w:rPr>
      </w:pPr>
    </w:p>
    <w:p w14:paraId="40CE074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Además también están expresados en los artículos siguientes, como el Artículo 139°, donde se hallan los Principios de la Administración de Justicia, los cuales son: </w:t>
      </w:r>
    </w:p>
    <w:p w14:paraId="3AFAB258" w14:textId="77777777" w:rsidR="0082775B" w:rsidRPr="000D3432" w:rsidRDefault="0082775B" w:rsidP="00A95498">
      <w:pPr>
        <w:jc w:val="both"/>
        <w:rPr>
          <w:rFonts w:asciiTheme="minorHAnsi" w:hAnsiTheme="minorHAnsi"/>
          <w:szCs w:val="24"/>
        </w:rPr>
      </w:pPr>
    </w:p>
    <w:p w14:paraId="3E98BB9A"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unidad y exclusividad de la función jurisdiccional.</w:t>
      </w:r>
    </w:p>
    <w:p w14:paraId="0461D06D"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independencia en el ejercicio de la función jurisdiccional.</w:t>
      </w:r>
    </w:p>
    <w:p w14:paraId="37859208"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observancia del debido proceso y la tutela  jurisdiccional.</w:t>
      </w:r>
    </w:p>
    <w:p w14:paraId="1A400BBC"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publicidad en los procesos, salvo disposición contraria de la ley.</w:t>
      </w:r>
    </w:p>
    <w:p w14:paraId="260EE212"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motivación escrita de las resoluciones judiciales en todas las instancias, excepto los decretos de mero trámite, con mención expresa de la ley aplicable y de los fundamentos de hecho en que se sustentan.</w:t>
      </w:r>
    </w:p>
    <w:p w14:paraId="24039DEA"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pluralidad de la instancia.</w:t>
      </w:r>
    </w:p>
    <w:p w14:paraId="39CDD786"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indemnización, en la forma que determine la ley, por los errores judiciales en los procesos penales y por las  detenciones arbitrarias, sin perjuicio de la responsabilidad a que hubiere lugar.</w:t>
      </w:r>
    </w:p>
    <w:p w14:paraId="28D20E64"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 no dejar de administrar justicia por vacío o deficiencia de la ley.</w:t>
      </w:r>
    </w:p>
    <w:p w14:paraId="1D7EDC96"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 inaplicabilidad por analogía de la ley penal y de las normas que restrinjan derechos.</w:t>
      </w:r>
    </w:p>
    <w:p w14:paraId="26E11A32"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 no ser penado sin proceso judicial.</w:t>
      </w:r>
    </w:p>
    <w:p w14:paraId="24B6B061"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aplicación de la ley más favorable al procesado en caso de duda o de conflicto entre leyes penales.</w:t>
      </w:r>
    </w:p>
    <w:p w14:paraId="0F994645"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 no ser condenado en ausencia.</w:t>
      </w:r>
    </w:p>
    <w:p w14:paraId="06296E0E"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prohibición de revivir procesos fenecidos con resolución ejecutoriada. La amnistía, el indulto, el sobreseimiento definitivo y la prescripción producen los efectos de cosa juzgada.</w:t>
      </w:r>
    </w:p>
    <w:p w14:paraId="7E6FD045"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 xml:space="preserve">El principio de no ser privado del derecho de defensa en ningún estado del proceso. </w:t>
      </w:r>
    </w:p>
    <w:p w14:paraId="2295E852"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lastRenderedPageBreak/>
        <w:t>El principio de que toda persona debe ser informada, inmediatamente y por escrito, de las causas o razones de su detención.</w:t>
      </w:r>
    </w:p>
    <w:p w14:paraId="6BFE5200"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 la gratuidad de la administración de justicia y de la defensa gratuita para las personas de escasos recursos; y, para todos, en los casos que la ley señala.</w:t>
      </w:r>
    </w:p>
    <w:p w14:paraId="169CBD64"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participación popular en el nombramiento y en la revocación de magistrados, conforme a ley.</w:t>
      </w:r>
    </w:p>
    <w:p w14:paraId="161A74AE"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La obligación del Poder Ejecutivo de prestar la colaboración que en los procesos le sea requerida.</w:t>
      </w:r>
    </w:p>
    <w:p w14:paraId="0FFAF867"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 xml:space="preserve">La prohibición de ejercer función judicial por quien no ha sido nombrado en la forma prevista por la Constitución o la ley. </w:t>
      </w:r>
    </w:p>
    <w:p w14:paraId="2A183BF2"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del derecho de toda persona de formular análisis y críticas de las resoluciones y sentencias judiciales, con las limitaciones de ley.</w:t>
      </w:r>
    </w:p>
    <w:p w14:paraId="7EC0730D"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derecho de los reclusos y sentenciados de ocupar establecimientos adecuados.</w:t>
      </w:r>
    </w:p>
    <w:p w14:paraId="380AA625" w14:textId="77777777" w:rsidR="0082775B" w:rsidRPr="000D3432" w:rsidRDefault="0082775B" w:rsidP="009E6E2E">
      <w:pPr>
        <w:widowControl/>
        <w:numPr>
          <w:ilvl w:val="1"/>
          <w:numId w:val="43"/>
        </w:numPr>
        <w:overflowPunct/>
        <w:autoSpaceDE/>
        <w:autoSpaceDN/>
        <w:adjustRightInd/>
        <w:jc w:val="both"/>
        <w:textAlignment w:val="auto"/>
        <w:rPr>
          <w:rFonts w:asciiTheme="minorHAnsi" w:hAnsiTheme="minorHAnsi"/>
          <w:szCs w:val="24"/>
        </w:rPr>
      </w:pPr>
      <w:r w:rsidRPr="000D3432">
        <w:rPr>
          <w:rFonts w:asciiTheme="minorHAnsi" w:hAnsiTheme="minorHAnsi"/>
          <w:szCs w:val="24"/>
        </w:rPr>
        <w:t>El principio de que el régimen penitenciario tiene por objeto la reeducación, rehabilitación y reincorporación del penado a la sociedad.</w:t>
      </w:r>
    </w:p>
    <w:p w14:paraId="0B94ACFD" w14:textId="77777777" w:rsidR="0082775B" w:rsidRPr="000D3432" w:rsidRDefault="0082775B" w:rsidP="00A95498">
      <w:pPr>
        <w:jc w:val="both"/>
        <w:rPr>
          <w:rFonts w:asciiTheme="minorHAnsi" w:hAnsiTheme="minorHAnsi"/>
          <w:szCs w:val="24"/>
        </w:rPr>
      </w:pPr>
    </w:p>
    <w:p w14:paraId="61BD2DB1" w14:textId="77777777" w:rsidR="0082775B" w:rsidRPr="000D3432" w:rsidRDefault="0082775B" w:rsidP="00A95498">
      <w:pPr>
        <w:jc w:val="both"/>
        <w:rPr>
          <w:rFonts w:asciiTheme="minorHAnsi" w:hAnsiTheme="minorHAnsi"/>
          <w:szCs w:val="24"/>
        </w:rPr>
      </w:pPr>
      <w:r w:rsidRPr="000D3432">
        <w:rPr>
          <w:rFonts w:asciiTheme="minorHAnsi" w:hAnsiTheme="minorHAnsi"/>
          <w:b/>
          <w:bCs/>
          <w:szCs w:val="24"/>
        </w:rPr>
        <w:t>B) CON EL DERECHO CIVIL</w:t>
      </w:r>
    </w:p>
    <w:p w14:paraId="318EB997" w14:textId="77777777" w:rsidR="0082775B" w:rsidRPr="000D3432" w:rsidRDefault="0082775B" w:rsidP="00A95498">
      <w:pPr>
        <w:jc w:val="both"/>
        <w:rPr>
          <w:rFonts w:asciiTheme="minorHAnsi" w:hAnsiTheme="minorHAnsi"/>
          <w:szCs w:val="24"/>
        </w:rPr>
      </w:pPr>
    </w:p>
    <w:p w14:paraId="4B72AAF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Esta disciplina – El Derecho Civil- regula un área de la vida humana, el área civil, que puede resumirse en la actividad que tiene como origen las relaciones intersujetivas –entre sujetos- nacidas de un eje patrimonial. Recordemos que el Derecho Civil, citando a Luis Diez Picazo y Antonio Gullón, es “parte o sector del ordenamiento jurídico que, conteniendo los principios cardinales de la organización jurídica de la comunidad, tienen como objeto preferente la protección y defensa de la persona y de la realización de sus fines, la ordenación de la familia y la disciplina del patrimonio y del tráfico de los bienes”.</w:t>
      </w:r>
      <w:r w:rsidRPr="000D3432">
        <w:rPr>
          <w:rStyle w:val="Refdenotaalpie"/>
          <w:rFonts w:asciiTheme="minorHAnsi" w:hAnsiTheme="minorHAnsi"/>
          <w:sz w:val="24"/>
          <w:szCs w:val="24"/>
        </w:rPr>
        <w:footnoteReference w:id="758"/>
      </w:r>
    </w:p>
    <w:p w14:paraId="0915F97D" w14:textId="77777777" w:rsidR="0082775B" w:rsidRPr="000D3432" w:rsidRDefault="0082775B" w:rsidP="00A95498">
      <w:pPr>
        <w:jc w:val="both"/>
        <w:rPr>
          <w:rFonts w:asciiTheme="minorHAnsi" w:hAnsiTheme="minorHAnsi"/>
          <w:szCs w:val="24"/>
        </w:rPr>
      </w:pPr>
    </w:p>
    <w:p w14:paraId="2B10DA85"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4.- RELACIÓN DEL DERECHO JUDICIAL CON EL DERECHO TRIBUTARIO</w:t>
      </w:r>
    </w:p>
    <w:p w14:paraId="409BFD4D" w14:textId="77777777" w:rsidR="0082775B" w:rsidRPr="000D3432" w:rsidRDefault="0082775B" w:rsidP="00A95498">
      <w:pPr>
        <w:jc w:val="both"/>
        <w:rPr>
          <w:rFonts w:asciiTheme="minorHAnsi" w:hAnsiTheme="minorHAnsi"/>
          <w:szCs w:val="24"/>
        </w:rPr>
      </w:pPr>
    </w:p>
    <w:p w14:paraId="3B515CC6" w14:textId="77777777" w:rsidR="0082775B" w:rsidRPr="000D3432" w:rsidRDefault="0082775B" w:rsidP="00A95498">
      <w:pPr>
        <w:pStyle w:val="Textodecuerpo2"/>
        <w:spacing w:after="0" w:line="240" w:lineRule="auto"/>
        <w:rPr>
          <w:rFonts w:asciiTheme="minorHAnsi" w:hAnsiTheme="minorHAnsi"/>
          <w:szCs w:val="24"/>
        </w:rPr>
      </w:pPr>
      <w:r w:rsidRPr="000D3432">
        <w:rPr>
          <w:rFonts w:asciiTheme="minorHAnsi" w:hAnsiTheme="minorHAnsi"/>
          <w:szCs w:val="24"/>
        </w:rPr>
        <w:t>Comprender como se organiza nuestro sistema judicial pasa por conocer todas las instituciones básicas que forman al Derecho. Así el Derecho Tributario está inmerso dentro del esquema del Sistema Judicial. Por eso la relación es obvia y trascendental. Así que daremos una visión general del Derecho Tributario para luego establecer la relación con el Derecho Judicial.</w:t>
      </w:r>
    </w:p>
    <w:p w14:paraId="3B60DDB0" w14:textId="77777777" w:rsidR="0082775B" w:rsidRPr="000D3432" w:rsidRDefault="0082775B" w:rsidP="00A95498">
      <w:pPr>
        <w:pStyle w:val="Textodecuerpo2"/>
        <w:spacing w:after="0" w:line="240" w:lineRule="auto"/>
        <w:rPr>
          <w:rFonts w:asciiTheme="minorHAnsi" w:hAnsiTheme="minorHAnsi"/>
          <w:szCs w:val="24"/>
        </w:rPr>
      </w:pPr>
    </w:p>
    <w:p w14:paraId="0E2586E7"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50B4F6DA" w14:textId="77777777" w:rsidR="0082775B" w:rsidRPr="000D3432" w:rsidRDefault="0082775B" w:rsidP="00A95498">
      <w:pPr>
        <w:numPr>
          <w:ilvl w:val="12"/>
          <w:numId w:val="0"/>
        </w:numPr>
        <w:ind w:firstLine="426"/>
        <w:rPr>
          <w:rFonts w:asciiTheme="minorHAnsi" w:hAnsiTheme="minorHAnsi"/>
          <w:color w:val="000000"/>
          <w:szCs w:val="24"/>
        </w:rPr>
      </w:pPr>
    </w:p>
    <w:p w14:paraId="496EE61B" w14:textId="77777777" w:rsidR="0082775B" w:rsidRPr="000D3432" w:rsidRDefault="0082775B" w:rsidP="00A95498">
      <w:pPr>
        <w:jc w:val="center"/>
        <w:rPr>
          <w:rFonts w:asciiTheme="minorHAnsi" w:hAnsiTheme="minorHAnsi"/>
          <w:b/>
          <w:szCs w:val="24"/>
        </w:rPr>
      </w:pPr>
    </w:p>
    <w:p w14:paraId="3E7E7CA4" w14:textId="77777777" w:rsidR="0082775B" w:rsidRPr="000D3432" w:rsidRDefault="0082775B" w:rsidP="00A95498">
      <w:pPr>
        <w:jc w:val="center"/>
        <w:rPr>
          <w:rFonts w:asciiTheme="minorHAnsi" w:hAnsiTheme="minorHAnsi"/>
          <w:b/>
          <w:szCs w:val="24"/>
        </w:rPr>
      </w:pPr>
    </w:p>
    <w:p w14:paraId="15806976" w14:textId="77777777" w:rsidR="0082775B" w:rsidRPr="000D3432" w:rsidRDefault="0082775B" w:rsidP="00A95498">
      <w:pPr>
        <w:jc w:val="center"/>
        <w:rPr>
          <w:rFonts w:asciiTheme="minorHAnsi" w:hAnsiTheme="minorHAnsi"/>
          <w:b/>
          <w:szCs w:val="24"/>
        </w:rPr>
      </w:pPr>
    </w:p>
    <w:p w14:paraId="7A5A8B16" w14:textId="77777777" w:rsidR="0082775B" w:rsidRPr="000D3432" w:rsidRDefault="0082775B" w:rsidP="00A95498">
      <w:pPr>
        <w:jc w:val="center"/>
        <w:rPr>
          <w:rFonts w:asciiTheme="minorHAnsi" w:hAnsiTheme="minorHAnsi"/>
          <w:b/>
          <w:szCs w:val="24"/>
        </w:rPr>
      </w:pPr>
    </w:p>
    <w:p w14:paraId="7E96C62C" w14:textId="77777777" w:rsidR="0082775B" w:rsidRPr="000D3432" w:rsidRDefault="0082775B" w:rsidP="00A95498">
      <w:pPr>
        <w:jc w:val="center"/>
        <w:rPr>
          <w:rFonts w:asciiTheme="minorHAnsi" w:hAnsiTheme="minorHAnsi"/>
          <w:b/>
          <w:szCs w:val="24"/>
        </w:rPr>
      </w:pPr>
    </w:p>
    <w:p w14:paraId="793D777F" w14:textId="77777777" w:rsidR="0082775B" w:rsidRPr="000D3432" w:rsidRDefault="0082775B" w:rsidP="00A95498">
      <w:pPr>
        <w:jc w:val="center"/>
        <w:rPr>
          <w:rFonts w:asciiTheme="minorHAnsi" w:hAnsiTheme="minorHAnsi"/>
          <w:b/>
          <w:szCs w:val="24"/>
        </w:rPr>
      </w:pPr>
    </w:p>
    <w:p w14:paraId="461E4A88" w14:textId="77777777" w:rsidR="0082775B" w:rsidRPr="000D3432" w:rsidRDefault="0082775B" w:rsidP="00A95498">
      <w:pPr>
        <w:jc w:val="center"/>
        <w:rPr>
          <w:rFonts w:asciiTheme="minorHAnsi" w:hAnsiTheme="minorHAnsi"/>
          <w:b/>
          <w:szCs w:val="24"/>
        </w:rPr>
      </w:pPr>
    </w:p>
    <w:p w14:paraId="131E25F1" w14:textId="77777777" w:rsidR="0082775B" w:rsidRPr="000D3432" w:rsidRDefault="0082775B" w:rsidP="00A95498">
      <w:pPr>
        <w:jc w:val="center"/>
        <w:rPr>
          <w:rFonts w:asciiTheme="minorHAnsi" w:hAnsiTheme="minorHAnsi"/>
          <w:b/>
          <w:szCs w:val="24"/>
        </w:rPr>
      </w:pPr>
    </w:p>
    <w:p w14:paraId="06A23C90" w14:textId="77777777" w:rsidR="0082775B" w:rsidRPr="000D3432" w:rsidRDefault="0082775B" w:rsidP="00A95498">
      <w:pPr>
        <w:jc w:val="center"/>
        <w:rPr>
          <w:rFonts w:asciiTheme="minorHAnsi" w:hAnsiTheme="minorHAnsi"/>
          <w:b/>
          <w:szCs w:val="24"/>
        </w:rPr>
      </w:pPr>
      <w:r w:rsidRPr="000D3432">
        <w:rPr>
          <w:rFonts w:asciiTheme="minorHAnsi" w:hAnsiTheme="minorHAnsi"/>
          <w:b/>
          <w:szCs w:val="24"/>
        </w:rPr>
        <w:t>_____________   DERECHO, ECONOMÍA Y EMPRESA_______________</w:t>
      </w:r>
    </w:p>
    <w:p w14:paraId="18FA01A9" w14:textId="77777777" w:rsidR="0082775B" w:rsidRPr="000D3432" w:rsidRDefault="0082775B" w:rsidP="00A95498">
      <w:pPr>
        <w:jc w:val="both"/>
        <w:rPr>
          <w:rFonts w:asciiTheme="minorHAnsi" w:hAnsiTheme="minorHAnsi"/>
          <w:b/>
          <w:szCs w:val="24"/>
        </w:rPr>
      </w:pPr>
    </w:p>
    <w:p w14:paraId="4A1E5D5A" w14:textId="77777777" w:rsidR="0082775B" w:rsidRPr="000D3432" w:rsidRDefault="0082775B" w:rsidP="00A95498">
      <w:pPr>
        <w:jc w:val="both"/>
        <w:rPr>
          <w:rFonts w:asciiTheme="minorHAnsi" w:hAnsiTheme="minorHAnsi"/>
          <w:b/>
          <w:szCs w:val="24"/>
        </w:rPr>
      </w:pPr>
    </w:p>
    <w:p w14:paraId="09F01EF0" w14:textId="77777777" w:rsidR="0082775B" w:rsidRPr="000D3432" w:rsidRDefault="0082775B" w:rsidP="00A95498">
      <w:pPr>
        <w:jc w:val="both"/>
        <w:rPr>
          <w:rFonts w:asciiTheme="minorHAnsi" w:hAnsiTheme="minorHAnsi"/>
          <w:b/>
          <w:szCs w:val="24"/>
        </w:rPr>
      </w:pPr>
    </w:p>
    <w:p w14:paraId="5BDF9D79"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El Derecho y la economía</w:t>
      </w:r>
      <w:r w:rsidRPr="000D3432">
        <w:rPr>
          <w:rFonts w:asciiTheme="minorHAnsi" w:hAnsiTheme="minorHAnsi"/>
          <w:szCs w:val="24"/>
        </w:rPr>
        <w:t xml:space="preserve"> están hoy muy vinculados. La referencia a ella es siempre dominante, y hasta hegemónica en muchos casos. Esto se debe a la conciencia del hombre que su vida sólo puede ser manejada desde la economía, porque es a través de esta que él puede sobrevivir. El razonamiento es sencillo: ¿Cómo nos alimentamos? Pues a través la transferencia de cierta cantidad de dinero a cambio de comida. Eso representa un acto económico. Sin embargo la economía va más allá del simple cambio o transacción. La economía es más un método, para organizar nuestra vida, para organizarla en la percepción de la existencia de recursos escasos, y de la lucha por administrar esos recursos escasos. </w:t>
      </w:r>
    </w:p>
    <w:p w14:paraId="2CA92551" w14:textId="77777777" w:rsidR="0082775B" w:rsidRPr="000D3432" w:rsidRDefault="0082775B" w:rsidP="00A95498">
      <w:pPr>
        <w:jc w:val="both"/>
        <w:rPr>
          <w:rFonts w:asciiTheme="minorHAnsi" w:hAnsiTheme="minorHAnsi"/>
          <w:szCs w:val="24"/>
        </w:rPr>
      </w:pPr>
    </w:p>
    <w:p w14:paraId="70095FA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tema se plantea complejo, como ven. Así que hemos ensayado varios temas, dispersos y asistemáticos que nos hablen un poco de cómo funciona la organización de las relaciones intersubjetivas en nuestro mundo. Por lo pronto hemos visto que existen dos entidades que organizan a nuestra sociedad. Estas entidades son, por decirlo en forma general, el Estado y el Mercado, fenómenos macroeconómicos. </w:t>
      </w:r>
    </w:p>
    <w:p w14:paraId="32A77198" w14:textId="77777777" w:rsidR="0082775B" w:rsidRPr="000D3432" w:rsidRDefault="0082775B" w:rsidP="00A95498">
      <w:pPr>
        <w:jc w:val="both"/>
        <w:rPr>
          <w:rFonts w:asciiTheme="minorHAnsi" w:hAnsiTheme="minorHAnsi"/>
          <w:szCs w:val="24"/>
        </w:rPr>
      </w:pPr>
    </w:p>
    <w:p w14:paraId="5CBDABA9" w14:textId="77777777" w:rsidR="0082775B" w:rsidRPr="000D3432" w:rsidRDefault="0082775B" w:rsidP="00A95498">
      <w:pPr>
        <w:jc w:val="both"/>
        <w:rPr>
          <w:rFonts w:asciiTheme="minorHAnsi" w:hAnsiTheme="minorHAnsi"/>
          <w:b/>
          <w:szCs w:val="24"/>
        </w:rPr>
      </w:pPr>
      <w:r w:rsidRPr="000D3432">
        <w:rPr>
          <w:rFonts w:asciiTheme="minorHAnsi" w:hAnsiTheme="minorHAnsi"/>
          <w:szCs w:val="24"/>
        </w:rPr>
        <w:t xml:space="preserve">El Estado, pues, organiza a la sociedad en base a ciertos principios sociales, públicos. Y el mercado a su vez, también permite la organización de la sociedad pero en base a principios individuales, privados. </w:t>
      </w:r>
    </w:p>
    <w:p w14:paraId="736F4B42" w14:textId="77777777" w:rsidR="0082775B" w:rsidRPr="000D3432" w:rsidRDefault="0082775B" w:rsidP="00A95498">
      <w:pPr>
        <w:jc w:val="both"/>
        <w:rPr>
          <w:rFonts w:asciiTheme="minorHAnsi" w:hAnsiTheme="minorHAnsi"/>
          <w:b/>
          <w:szCs w:val="24"/>
        </w:rPr>
      </w:pPr>
    </w:p>
    <w:p w14:paraId="0FA70D2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Vamos a ensayar algunos puntos sueltos sobre el Derecho, la economía y la empresa. Visualizar el Derecho desde la Economía, a través de su fenómeno más complejo y completo: la empresa, como unidad básica de la sociedad. No la familia, sino la empresa como organización y sistematización de capital y trabajo, de recursos materiales y humanos, para el desarrollo.</w:t>
      </w:r>
    </w:p>
    <w:p w14:paraId="16B0537B" w14:textId="77777777" w:rsidR="0082775B" w:rsidRPr="000D3432" w:rsidRDefault="0082775B" w:rsidP="00A95498">
      <w:pPr>
        <w:jc w:val="both"/>
        <w:rPr>
          <w:rFonts w:asciiTheme="minorHAnsi" w:hAnsiTheme="minorHAnsi"/>
          <w:szCs w:val="24"/>
        </w:rPr>
      </w:pPr>
    </w:p>
    <w:p w14:paraId="057F660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Empezaremos el discurso haciendo una visualización de la vida desde dos ópticas, la del Derecho y la del Mercado.</w:t>
      </w:r>
    </w:p>
    <w:p w14:paraId="037929C8" w14:textId="77777777" w:rsidR="0082775B" w:rsidRPr="000D3432" w:rsidRDefault="0082775B" w:rsidP="00A95498">
      <w:pPr>
        <w:jc w:val="both"/>
        <w:rPr>
          <w:rFonts w:asciiTheme="minorHAnsi" w:hAnsiTheme="minorHAnsi"/>
          <w:szCs w:val="24"/>
        </w:rPr>
      </w:pPr>
    </w:p>
    <w:p w14:paraId="5A4482F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Para ello veremos algunos conceptos como Estado, Derecho económico, etc.</w:t>
      </w:r>
    </w:p>
    <w:p w14:paraId="11614F78" w14:textId="77777777" w:rsidR="0082775B" w:rsidRPr="000D3432" w:rsidRDefault="0082775B" w:rsidP="00A95498">
      <w:pPr>
        <w:jc w:val="both"/>
        <w:rPr>
          <w:rFonts w:asciiTheme="minorHAnsi" w:hAnsiTheme="minorHAnsi"/>
          <w:szCs w:val="24"/>
        </w:rPr>
      </w:pPr>
    </w:p>
    <w:p w14:paraId="5D326D3B" w14:textId="77777777" w:rsidR="0082775B" w:rsidRPr="000D3432" w:rsidRDefault="0082775B" w:rsidP="00A95498">
      <w:pPr>
        <w:jc w:val="both"/>
        <w:rPr>
          <w:rFonts w:asciiTheme="minorHAnsi" w:hAnsiTheme="minorHAnsi"/>
          <w:b/>
          <w:szCs w:val="24"/>
        </w:rPr>
      </w:pPr>
    </w:p>
    <w:p w14:paraId="72956AF0"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DERECHO ECONÓMICO</w:t>
      </w:r>
    </w:p>
    <w:p w14:paraId="693478B7" w14:textId="77777777" w:rsidR="0082775B" w:rsidRPr="000D3432" w:rsidRDefault="0082775B" w:rsidP="00A95498">
      <w:pPr>
        <w:jc w:val="both"/>
        <w:rPr>
          <w:rFonts w:asciiTheme="minorHAnsi" w:hAnsiTheme="minorHAnsi"/>
          <w:szCs w:val="24"/>
        </w:rPr>
      </w:pPr>
    </w:p>
    <w:p w14:paraId="1D07E45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Es un poco complejo hablar del Derecho económico si no se hace primero una distinción entre la economía y el Derecho, y si no se diferencia, claramente, los otros aspectos del Derecho que toman como eje o indicador a la economía, como por ejemplo el análisis económico del Derecho. Y esto es importante para no confundir los fines con los medios, para no entrampar las aperturas a la fluidez de la vida social por culpa de prejuicios dogmáticos, teóricos, o simples mal entendidos. La definición de los conceptos con los cuales vamos a trabajar, pues, se imponen para evitar estos desvíos absurdos e incongruentes. </w:t>
      </w:r>
    </w:p>
    <w:p w14:paraId="52CEB71D" w14:textId="77777777" w:rsidR="0082775B" w:rsidRPr="000D3432" w:rsidRDefault="0082775B" w:rsidP="00A95498">
      <w:pPr>
        <w:jc w:val="both"/>
        <w:rPr>
          <w:rFonts w:asciiTheme="minorHAnsi" w:hAnsiTheme="minorHAnsi"/>
          <w:szCs w:val="24"/>
        </w:rPr>
      </w:pPr>
    </w:p>
    <w:p w14:paraId="5F53BC8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No se trata, pues, de una política, ni de una teoría, sino de un “planteamiento”, de formular bien cierto planteamiento de cierto problema, o cierta inquietud, desde un enfoque distinto: el de la economía. Es decir, el Derecho mirado a través de la economía, y no ya de las normas aisladas y hegemónicas. ¿Porqué tenemos que ver el Derecho, la regulación de las conductas, desde la economía?, ¿porqué no seguimos viendo el Derecho desde el propio Derecho?, porque quitarle la hegemonía que le intuyó y creó Kelsen y los demás teóricos de la independencia teórica? Porque el fenómeno social tiene matices evidentemente extranormativos, que sobrepasan la simple operación de la regulación de las conductas. El Derecho se formula no como proposición solitaria, sino como reflejo, como instrumento. El Derecho tiene carácter instrumental, porque, no lo olvidemos, es un medio, y no un fin. El fin es siempre el ser humano, el ser humano en relación con otros seres humanos, la posibilidad de supervivencia del ser humano, de buena vida.</w:t>
      </w:r>
    </w:p>
    <w:p w14:paraId="2A73B36D" w14:textId="77777777" w:rsidR="0082775B" w:rsidRPr="000D3432" w:rsidRDefault="0082775B" w:rsidP="00A95498">
      <w:pPr>
        <w:jc w:val="both"/>
        <w:rPr>
          <w:rFonts w:asciiTheme="minorHAnsi" w:hAnsiTheme="minorHAnsi"/>
          <w:szCs w:val="24"/>
        </w:rPr>
      </w:pPr>
    </w:p>
    <w:p w14:paraId="33B71B2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puede definirse por su función, la normativa, la de regulación de las conductas, operación respaldada en una fuerza externa, como la coacción, que es el usó legítimo de la fuerza, realizado por el Estado para componer y armonizar las relaciones intersujetivas y sociales.</w:t>
      </w:r>
    </w:p>
    <w:p w14:paraId="1299E770" w14:textId="77777777" w:rsidR="0082775B" w:rsidRPr="000D3432" w:rsidRDefault="0082775B" w:rsidP="00A95498">
      <w:pPr>
        <w:jc w:val="both"/>
        <w:rPr>
          <w:rFonts w:asciiTheme="minorHAnsi" w:hAnsiTheme="minorHAnsi"/>
          <w:szCs w:val="24"/>
        </w:rPr>
      </w:pPr>
    </w:p>
    <w:p w14:paraId="35506A9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economía es más bien la administración y gestión de los recursos escasos; su eje no está en regular las conductas humanas sino en comprender el motivo, el origen de estas conductas, función pues descriptiva, antes que prescriptiva.</w:t>
      </w:r>
    </w:p>
    <w:p w14:paraId="6916C1FA" w14:textId="77777777" w:rsidR="0082775B" w:rsidRPr="000D3432" w:rsidRDefault="0082775B" w:rsidP="00A95498">
      <w:pPr>
        <w:jc w:val="both"/>
        <w:rPr>
          <w:rFonts w:asciiTheme="minorHAnsi" w:hAnsiTheme="minorHAnsi"/>
          <w:szCs w:val="24"/>
        </w:rPr>
      </w:pPr>
    </w:p>
    <w:p w14:paraId="291C95D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Entrelazar Derecho y Economía significaría tomar en cuenta estos dos ejes y envolverlos de tal forma que permitan una comprensión total del fenómeno social, de la sociedad, su movimiento y la regulación de este movimiento para lograr el desarrollo humano.</w:t>
      </w:r>
    </w:p>
    <w:p w14:paraId="48AC78BF" w14:textId="77777777" w:rsidR="0082775B" w:rsidRPr="000D3432" w:rsidRDefault="0082775B" w:rsidP="00A95498">
      <w:pPr>
        <w:jc w:val="both"/>
        <w:rPr>
          <w:rFonts w:asciiTheme="minorHAnsi" w:hAnsiTheme="minorHAnsi"/>
          <w:szCs w:val="24"/>
        </w:rPr>
      </w:pPr>
    </w:p>
    <w:p w14:paraId="1BA120F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En énfasis, sin embargo, de intentar esta fusión, esta libre reconexión entre derecho y economía se origina en la forma como se ha asumido la vida, y a esa “posible desadaptación de las estructuras jurídicas tradicionales frente a las angustiosas circunstancia de nuestros días,”</w:t>
      </w:r>
      <w:r w:rsidRPr="000D3432">
        <w:rPr>
          <w:rStyle w:val="Refdenotaalpie"/>
          <w:rFonts w:asciiTheme="minorHAnsi" w:hAnsiTheme="minorHAnsi"/>
          <w:sz w:val="24"/>
          <w:szCs w:val="24"/>
          <w:vertAlign w:val="superscript"/>
        </w:rPr>
        <w:footnoteReference w:id="759"/>
      </w:r>
      <w:r w:rsidRPr="000D3432">
        <w:rPr>
          <w:rFonts w:asciiTheme="minorHAnsi" w:hAnsiTheme="minorHAnsi"/>
          <w:szCs w:val="24"/>
        </w:rPr>
        <w:t xml:space="preserve"> que significa un mal resultado, o un resultado no muy efectivo para solucionar y recomponer a nuestra sociedad. Estructuras jurídicas tradicionales y realidad no han dado el consiguiente fin </w:t>
      </w:r>
      <w:r w:rsidRPr="000D3432">
        <w:rPr>
          <w:rFonts w:asciiTheme="minorHAnsi" w:hAnsiTheme="minorHAnsi"/>
          <w:szCs w:val="24"/>
        </w:rPr>
        <w:lastRenderedPageBreak/>
        <w:t>social: su desarrollo y perfeccionamiento. Sino más bien ha habido por este tipo de relación, un estancamiento.  Eso invoca un replanteamiento de estas relaciones entre derecho y realidad -sugiere Alberto Stewart Balbuena-; ese nuevo planteamiento debe ser a través de la economía. Lo importante es “reubicar al Derecho” (Stewart) en aquel lugar y desde una determinada posición -estratégica dirían los economistas- que le permitan cumplir su función: componer a la sociedad y desarrollarla.</w:t>
      </w:r>
    </w:p>
    <w:p w14:paraId="0F7A5496" w14:textId="77777777" w:rsidR="0082775B" w:rsidRPr="000D3432" w:rsidRDefault="0082775B" w:rsidP="00A95498">
      <w:pPr>
        <w:jc w:val="both"/>
        <w:rPr>
          <w:rFonts w:asciiTheme="minorHAnsi" w:hAnsiTheme="minorHAnsi"/>
          <w:szCs w:val="24"/>
        </w:rPr>
      </w:pPr>
    </w:p>
    <w:p w14:paraId="630BC273"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¿Historia del Derecho Económico?</w:t>
      </w:r>
    </w:p>
    <w:p w14:paraId="552FAC50" w14:textId="77777777" w:rsidR="0082775B" w:rsidRPr="000D3432" w:rsidRDefault="0082775B" w:rsidP="00A95498">
      <w:pPr>
        <w:jc w:val="both"/>
        <w:rPr>
          <w:rFonts w:asciiTheme="minorHAnsi" w:hAnsiTheme="minorHAnsi"/>
          <w:szCs w:val="24"/>
        </w:rPr>
      </w:pPr>
    </w:p>
    <w:p w14:paraId="20F2608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Stewart explica que es el alemán Hendemann quien ha desarrollado y propuesto el Derecho económico en entre los años 1920 a 1930. Y ¿quién es Hendemann? Un pensador alemán. ¿Cómo razonan los alemanes? Todos son unos destructores de conceptos, como Nietzsche, o Shopenhauer, o Kant, pero todos son también creadores, argumentadores y de poderoso pensamiento. </w:t>
      </w:r>
    </w:p>
    <w:p w14:paraId="0D6E620E" w14:textId="77777777" w:rsidR="0082775B" w:rsidRPr="000D3432" w:rsidRDefault="0082775B" w:rsidP="00A95498">
      <w:pPr>
        <w:jc w:val="both"/>
        <w:rPr>
          <w:rFonts w:asciiTheme="minorHAnsi" w:hAnsiTheme="minorHAnsi"/>
          <w:szCs w:val="24"/>
        </w:rPr>
      </w:pPr>
    </w:p>
    <w:p w14:paraId="5EB4775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económico, según Stewart, parece haberse desarrollado de “los desequilibrios económicos que se perciben luego de la revolución industrial”</w:t>
      </w:r>
      <w:r w:rsidRPr="000D3432">
        <w:rPr>
          <w:rStyle w:val="Refdenotaalpie"/>
          <w:rFonts w:asciiTheme="minorHAnsi" w:hAnsiTheme="minorHAnsi"/>
          <w:sz w:val="24"/>
          <w:szCs w:val="24"/>
          <w:vertAlign w:val="superscript"/>
        </w:rPr>
        <w:footnoteReference w:id="760"/>
      </w:r>
      <w:r w:rsidRPr="000D3432">
        <w:rPr>
          <w:rStyle w:val="Refdenotaalpie"/>
          <w:rFonts w:asciiTheme="minorHAnsi" w:hAnsiTheme="minorHAnsi"/>
          <w:sz w:val="24"/>
          <w:szCs w:val="24"/>
          <w:vertAlign w:val="superscript"/>
        </w:rPr>
        <w:t xml:space="preserve"> </w:t>
      </w:r>
      <w:r w:rsidRPr="000D3432">
        <w:rPr>
          <w:rFonts w:asciiTheme="minorHAnsi" w:hAnsiTheme="minorHAnsi"/>
          <w:szCs w:val="24"/>
        </w:rPr>
        <w:t>. Estos tienen que afectar de todas maneras al Derecho, porque lo ponen en contradicción con la realidad social y con la forma de resolverlos. El mundo, con la revolución industrial, cambia su sistema de organización, desde las formas de producción, hasta las formas de poder; y quien tiene que ver en todo esto es precisamente el desarrollo económico empujado por la revolución industrial, por el desarrollo de la tecnología que desmonopoliza las antiguas formas de organización social y distribución de los roles de las individuos. La sociedad pre revolución industrial estaba organizada en feudos (con señores feudales que tenían poder ilimitado sobre sus territorios, y sobre los que allí vivían; baste recordar el Derecho de Pernada, del derecho del señor feudal de gozar de la mujer casada antes que el marido, en la primera noche). Había pues señores feudales, talleres en los cuales se realizaban los productos de consumo de la sociedad, estos talleres estaban conformados por los maestros, oficiales y aprendices; y se organizaban en gremios. Con la revolución industrial cambia la composición de producción.  En vez de los talleres se instauran las fábricas, las industrias, y  en lugar del artesano surge el proletario, vendedor de su trabajo por un salario. Nacen también los sindicatos. “La tierra cede a la fábrica y al comercio el primer puesto como fuente de riqueza”.</w:t>
      </w:r>
      <w:r w:rsidRPr="000D3432">
        <w:rPr>
          <w:rStyle w:val="Refdenotaalpie"/>
          <w:rFonts w:asciiTheme="minorHAnsi" w:hAnsiTheme="minorHAnsi"/>
          <w:sz w:val="24"/>
          <w:szCs w:val="24"/>
          <w:vertAlign w:val="superscript"/>
        </w:rPr>
        <w:t xml:space="preserve"> </w:t>
      </w:r>
      <w:r w:rsidRPr="000D3432">
        <w:rPr>
          <w:rStyle w:val="Refdenotaalpie"/>
          <w:rFonts w:asciiTheme="minorHAnsi" w:hAnsiTheme="minorHAnsi"/>
          <w:sz w:val="24"/>
          <w:szCs w:val="24"/>
          <w:vertAlign w:val="superscript"/>
        </w:rPr>
        <w:footnoteReference w:id="761"/>
      </w:r>
      <w:r w:rsidRPr="000D3432">
        <w:rPr>
          <w:rFonts w:asciiTheme="minorHAnsi" w:hAnsiTheme="minorHAnsi"/>
          <w:szCs w:val="24"/>
        </w:rPr>
        <w:t xml:space="preserve"> </w:t>
      </w:r>
    </w:p>
    <w:p w14:paraId="4C535704" w14:textId="77777777" w:rsidR="0082775B" w:rsidRPr="000D3432" w:rsidRDefault="0082775B" w:rsidP="00A95498">
      <w:pPr>
        <w:jc w:val="both"/>
        <w:rPr>
          <w:rFonts w:asciiTheme="minorHAnsi" w:hAnsiTheme="minorHAnsi"/>
          <w:szCs w:val="24"/>
        </w:rPr>
      </w:pPr>
    </w:p>
    <w:p w14:paraId="343E0B7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Después de la revolución industrial, además, se imponen nuevos conceptos para clasificar a las sociedades del siglo XIX. En “desarrollados”, por un lado, y por el otro “en vías de desarrollo”. Esta no es una simple clasificación sino que implica un estándar en relación al tipo de bienestar que ha logrado cada sociedad, así Stewart explica “Tales términos -‘desarrollados’ y ‘en vías de desarrollo’- significan grado relativo de evolución económica, materializable empíricamente en niveles de bienestar de los pueblos, en lo interno, y de preponderancia </w:t>
      </w:r>
      <w:r w:rsidRPr="000D3432">
        <w:rPr>
          <w:rFonts w:asciiTheme="minorHAnsi" w:hAnsiTheme="minorHAnsi"/>
          <w:szCs w:val="24"/>
        </w:rPr>
        <w:lastRenderedPageBreak/>
        <w:t>política, en lo internacional.”</w:t>
      </w:r>
      <w:r w:rsidRPr="000D3432">
        <w:rPr>
          <w:rStyle w:val="Refdenotaalpie"/>
          <w:rFonts w:asciiTheme="minorHAnsi" w:hAnsiTheme="minorHAnsi"/>
          <w:sz w:val="24"/>
          <w:szCs w:val="24"/>
          <w:vertAlign w:val="superscript"/>
        </w:rPr>
        <w:t xml:space="preserve"> </w:t>
      </w:r>
      <w:r w:rsidRPr="000D3432">
        <w:rPr>
          <w:rStyle w:val="Refdenotaalpie"/>
          <w:rFonts w:asciiTheme="minorHAnsi" w:hAnsiTheme="minorHAnsi"/>
          <w:sz w:val="24"/>
          <w:szCs w:val="24"/>
          <w:vertAlign w:val="superscript"/>
        </w:rPr>
        <w:footnoteReference w:id="762"/>
      </w:r>
      <w:r w:rsidRPr="000D3432">
        <w:rPr>
          <w:rFonts w:asciiTheme="minorHAnsi" w:hAnsiTheme="minorHAnsi"/>
          <w:szCs w:val="24"/>
        </w:rPr>
        <w:t xml:space="preserve"> </w:t>
      </w:r>
    </w:p>
    <w:p w14:paraId="4B49E9D5" w14:textId="77777777" w:rsidR="0082775B" w:rsidRPr="000D3432" w:rsidRDefault="0082775B" w:rsidP="00A95498">
      <w:pPr>
        <w:jc w:val="both"/>
        <w:rPr>
          <w:rFonts w:asciiTheme="minorHAnsi" w:hAnsiTheme="minorHAnsi"/>
          <w:szCs w:val="24"/>
        </w:rPr>
      </w:pPr>
    </w:p>
    <w:p w14:paraId="6D9C6CE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Dos elementos que determinan el desarrollo están aquí bien planteados: “grado de evolución económica”; pero ¿cómo se mide este grado de evolución económica?, pues a través de los “niveles de bienestar social”, es decir, si esa sociedad goza de, por ejemplo, “buena salud”, “buena educación”, buena alimentación”, vivienda, trabajo, deporte, etc. Estos son los factores que determinan si existe o no bienestar social, a la par con los instrumentos jurídicos políticos necesarios para que se desarrolle dicho bienestar como son: la Seguridad Social, La libertad, la Justicia, la del bien Común. La ecuación es, entonces la siguiente: evolución económica = bienestar social.</w:t>
      </w:r>
    </w:p>
    <w:p w14:paraId="250B335D" w14:textId="77777777" w:rsidR="0082775B" w:rsidRPr="000D3432" w:rsidRDefault="0082775B" w:rsidP="00A95498">
      <w:pPr>
        <w:jc w:val="both"/>
        <w:rPr>
          <w:rFonts w:asciiTheme="minorHAnsi" w:hAnsiTheme="minorHAnsi"/>
          <w:szCs w:val="24"/>
        </w:rPr>
      </w:pPr>
    </w:p>
    <w:p w14:paraId="39BE2F0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Una sociedad con este desarrollo económico, tiene, al tener bienestar social, “preponderancia política, en lo internacional”. Es decir, que lo evidente a nivel internacional es que existe en esa sociedad una magnífica o buena gestión política, política que significa buena gestión y organización de la sociedad. </w:t>
      </w:r>
    </w:p>
    <w:p w14:paraId="502015BC" w14:textId="77777777" w:rsidR="0082775B" w:rsidRPr="000D3432" w:rsidRDefault="0082775B" w:rsidP="00A95498">
      <w:pPr>
        <w:jc w:val="both"/>
        <w:rPr>
          <w:rFonts w:asciiTheme="minorHAnsi" w:hAnsiTheme="minorHAnsi"/>
          <w:szCs w:val="24"/>
        </w:rPr>
      </w:pPr>
    </w:p>
    <w:p w14:paraId="79EEAB7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 revolución industrial produjo un traslado del agente que determinaba la producción y la economía, del comerciante al fabricante o empresario industrial. No es pues el comerciante ya el que analiza el mercado sino el industrial -dice Stewart-. Sin embargo esto no queda claro, porque el comerciante es aquel que indiferentemente de qué se produce o quién produce, lo que hace es transferir, o poner al alcance los recursos necesitados o demandados. Stewart dice que es el industrial quién va “analizar las necesidades insatisfechas del mercado” y luego las “producirá en masa”. No nos queda claro sin embargo esa idea, porque el industrial, que trabaja sobre la producción en masa lo que cambia no es la demanda, sino la forma cómo se produce y cómo se satisfacen las necesidades, reduciendo costos de producción y ampliando la oferta. Y, aunque tiene que vérselas con la demanda, y su producción debe ser dirigida a satisfacer esa demanda, no se puede dejar de lado al comerciante, que es, a nuestro parecer, el que realmente observa, analiza y recoge el sentir de la demanda, para trasladar este sentir al empresario industrial. Lo importante en todo este proceso, es, dijimos, la reducción de los costos para satisfacer las necesidades o demandas. Lo que se genera alrededor de este sistema tiene que ser ordenado, reorganizado, garantizado, promovido y sustentado por otros instrumentos de organización, ya no económicos, sino políticos, o mejor jurídicos, es decir, por el Derecho. El Derecho entra en operación para regular este tráfico intersubjetivo, estas vinculaciones intersubjetivas, entre sujetos, productos de la nueva disposición de producción de bienes y de la economía. </w:t>
      </w:r>
    </w:p>
    <w:p w14:paraId="543573E3" w14:textId="77777777" w:rsidR="0082775B" w:rsidRPr="000D3432" w:rsidRDefault="0082775B" w:rsidP="00A95498">
      <w:pPr>
        <w:jc w:val="both"/>
        <w:rPr>
          <w:rFonts w:asciiTheme="minorHAnsi" w:hAnsiTheme="minorHAnsi"/>
          <w:szCs w:val="24"/>
        </w:rPr>
      </w:pPr>
    </w:p>
    <w:p w14:paraId="21AB9C0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Con la nueva visión y composición de la sociedad el comercio ha desarrollado a través de la revolución industrial, el “acto de comercio” fue fundamental. El Derecho comercial habría ser  la rectora de la economía.  </w:t>
      </w:r>
    </w:p>
    <w:p w14:paraId="4F8D030B" w14:textId="77777777" w:rsidR="0082775B" w:rsidRPr="000D3432" w:rsidRDefault="0082775B" w:rsidP="00A95498">
      <w:pPr>
        <w:jc w:val="both"/>
        <w:rPr>
          <w:rFonts w:asciiTheme="minorHAnsi" w:hAnsiTheme="minorHAnsi"/>
          <w:szCs w:val="24"/>
        </w:rPr>
      </w:pPr>
    </w:p>
    <w:p w14:paraId="6FBAA2A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Puede aclararse, sin embargo, una idea central. Stewart parafraseando a </w:t>
      </w:r>
      <w:r w:rsidRPr="000D3432">
        <w:rPr>
          <w:rFonts w:asciiTheme="minorHAnsi" w:hAnsiTheme="minorHAnsi"/>
          <w:szCs w:val="24"/>
        </w:rPr>
        <w:lastRenderedPageBreak/>
        <w:t>Galgano escribe que “el productor de antes trabajaba para el comerciante”,</w:t>
      </w:r>
      <w:r w:rsidRPr="000D3432">
        <w:rPr>
          <w:rStyle w:val="Refdenotaalpie"/>
          <w:rFonts w:asciiTheme="minorHAnsi" w:hAnsiTheme="minorHAnsi"/>
          <w:sz w:val="24"/>
          <w:szCs w:val="24"/>
          <w:vertAlign w:val="superscript"/>
        </w:rPr>
        <w:t xml:space="preserve"> </w:t>
      </w:r>
      <w:r w:rsidRPr="000D3432">
        <w:rPr>
          <w:rStyle w:val="Refdenotaalpie"/>
          <w:rFonts w:asciiTheme="minorHAnsi" w:hAnsiTheme="minorHAnsi"/>
          <w:sz w:val="24"/>
          <w:szCs w:val="24"/>
          <w:vertAlign w:val="superscript"/>
        </w:rPr>
        <w:footnoteReference w:id="763"/>
      </w:r>
      <w:r w:rsidRPr="000D3432">
        <w:rPr>
          <w:rFonts w:asciiTheme="minorHAnsi" w:hAnsiTheme="minorHAnsi"/>
          <w:szCs w:val="24"/>
        </w:rPr>
        <w:t xml:space="preserve"> y que “sólo en la segunda mitad del siglo XVIII, la actividad comercial, el ‘acto de comercio’ constituía el motor de las relaciones de los hombres en la sociedad para satisfacer sus necesidades”. Esto puede explicar un dato. No es al comerciante tal vez, lo que se intenta describir y regular, sino el “acto de comercio”. Con lo que se quiere decir que es esta operación, hacer un acto de comercio, y no necesariamente ser comerciante, es lo que predomina en el movimiento social, por tal, tenemos que estudiar cómo se producen esos actos de comercio, y que fenómenos se realizan al rededor de él. </w:t>
      </w:r>
    </w:p>
    <w:p w14:paraId="65FF8CFB" w14:textId="77777777" w:rsidR="0082775B" w:rsidRPr="000D3432" w:rsidRDefault="0082775B" w:rsidP="00A95498">
      <w:pPr>
        <w:jc w:val="both"/>
        <w:rPr>
          <w:rFonts w:asciiTheme="minorHAnsi" w:hAnsiTheme="minorHAnsi"/>
          <w:szCs w:val="24"/>
        </w:rPr>
      </w:pPr>
    </w:p>
    <w:p w14:paraId="17D053A0"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Otras ideas son:</w:t>
      </w:r>
    </w:p>
    <w:p w14:paraId="2E24DDD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La empresa como centro de la actividad productiva</w:t>
      </w:r>
    </w:p>
    <w:p w14:paraId="575E79B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Las ideas determinan el tipo de empresa</w:t>
      </w:r>
    </w:p>
    <w:p w14:paraId="5E700C5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Nace la idea del socialismo, y su correlato empresarial, el cooperativismo (Owen en Inglaterra. Proudhon y Santi Simón en Francia. Marx y sus alienados</w:t>
      </w:r>
    </w:p>
    <w:p w14:paraId="0B963B8D" w14:textId="77777777" w:rsidR="0082775B" w:rsidRPr="000D3432" w:rsidRDefault="0082775B" w:rsidP="00A95498">
      <w:pPr>
        <w:jc w:val="both"/>
        <w:rPr>
          <w:rFonts w:asciiTheme="minorHAnsi" w:hAnsiTheme="minorHAnsi"/>
          <w:szCs w:val="24"/>
        </w:rPr>
      </w:pPr>
    </w:p>
    <w:p w14:paraId="1D7750D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administración científica de las empresas pone en evidencia que el “concepto COSTO es relativo” puesto que se tiene que “relacionarlo con los niveles de producción”</w:t>
      </w:r>
    </w:p>
    <w:p w14:paraId="05640512" w14:textId="77777777" w:rsidR="0082775B" w:rsidRPr="000D3432" w:rsidRDefault="0082775B" w:rsidP="00A95498">
      <w:pPr>
        <w:jc w:val="both"/>
        <w:rPr>
          <w:rFonts w:asciiTheme="minorHAnsi" w:hAnsiTheme="minorHAnsi"/>
          <w:szCs w:val="24"/>
        </w:rPr>
      </w:pPr>
    </w:p>
    <w:p w14:paraId="69233E4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tecnología: adecuación de los conocimientos científicos a las necesidades productivas”</w:t>
      </w:r>
    </w:p>
    <w:p w14:paraId="08193996" w14:textId="77777777" w:rsidR="0082775B" w:rsidRPr="000D3432" w:rsidRDefault="0082775B" w:rsidP="00A95498">
      <w:pPr>
        <w:jc w:val="both"/>
        <w:rPr>
          <w:rFonts w:asciiTheme="minorHAnsi" w:hAnsiTheme="minorHAnsi"/>
          <w:szCs w:val="24"/>
        </w:rPr>
      </w:pPr>
    </w:p>
    <w:p w14:paraId="4AC2D26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Para Dr. Montoya Manfredi el Derecho económico -a diferencia del Derecho comercial-, es el “único conjunto normativo que penetraba en el mundo de las relaciones entre las necesidades infinitas y los bienes limitados, es decir, de las concepciones económicas. </w:t>
      </w:r>
    </w:p>
    <w:p w14:paraId="2F0ED259" w14:textId="77777777" w:rsidR="0082775B" w:rsidRPr="000D3432" w:rsidRDefault="0082775B" w:rsidP="00A95498">
      <w:pPr>
        <w:jc w:val="both"/>
        <w:rPr>
          <w:rFonts w:asciiTheme="minorHAnsi" w:hAnsiTheme="minorHAnsi"/>
          <w:szCs w:val="24"/>
        </w:rPr>
      </w:pPr>
    </w:p>
    <w:p w14:paraId="66A86FC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económico como rama del Derecho Público</w:t>
      </w:r>
    </w:p>
    <w:p w14:paraId="66D42DA1" w14:textId="77777777" w:rsidR="0082775B" w:rsidRPr="000D3432" w:rsidRDefault="0082775B" w:rsidP="00A95498">
      <w:pPr>
        <w:jc w:val="both"/>
        <w:rPr>
          <w:rFonts w:asciiTheme="minorHAnsi" w:hAnsiTheme="minorHAnsi"/>
          <w:szCs w:val="24"/>
        </w:rPr>
      </w:pPr>
    </w:p>
    <w:p w14:paraId="74E7769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comercial – Derecho de la economía privada</w:t>
      </w:r>
    </w:p>
    <w:p w14:paraId="6EBE7246" w14:textId="77777777" w:rsidR="0082775B" w:rsidRPr="000D3432" w:rsidRDefault="0082775B" w:rsidP="00A95498">
      <w:pPr>
        <w:jc w:val="both"/>
        <w:rPr>
          <w:rFonts w:asciiTheme="minorHAnsi" w:hAnsiTheme="minorHAnsi"/>
          <w:szCs w:val="24"/>
        </w:rPr>
      </w:pPr>
    </w:p>
    <w:p w14:paraId="1B32D06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Derecho Económico, dentro del interés público en la macro economía </w:t>
      </w:r>
    </w:p>
    <w:p w14:paraId="0771EBB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económico como “un Derecho constitucional de la Economía, el que regula la intervención política del Estado en el terreno económico. Ulises Montoya</w:t>
      </w:r>
    </w:p>
    <w:p w14:paraId="386BAAD6" w14:textId="77777777" w:rsidR="0082775B" w:rsidRPr="000D3432" w:rsidRDefault="0082775B" w:rsidP="00A95498">
      <w:pPr>
        <w:jc w:val="both"/>
        <w:rPr>
          <w:rFonts w:asciiTheme="minorHAnsi" w:hAnsiTheme="minorHAnsi"/>
          <w:szCs w:val="24"/>
        </w:rPr>
      </w:pPr>
    </w:p>
    <w:p w14:paraId="15859CC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Derecho mercantil, Derecho privado de la actividad económica desarrollada por los empresarios: Ulises Montoya</w:t>
      </w:r>
    </w:p>
    <w:p w14:paraId="41DD1BC5" w14:textId="77777777" w:rsidR="0082775B" w:rsidRPr="000D3432" w:rsidRDefault="0082775B" w:rsidP="00A95498">
      <w:pPr>
        <w:jc w:val="both"/>
        <w:rPr>
          <w:rFonts w:asciiTheme="minorHAnsi" w:hAnsiTheme="minorHAnsi"/>
          <w:szCs w:val="24"/>
        </w:rPr>
      </w:pPr>
    </w:p>
    <w:p w14:paraId="5A7F305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“Derecho Económico comprende el conjunto de normas que se refieren a la regulación de las relaciones económicas, ya se hallen dichas normas en leyes civiles generales o en las leyes económicas específicas”. 92</w:t>
      </w:r>
    </w:p>
    <w:p w14:paraId="5C6EDA17" w14:textId="77777777" w:rsidR="0082775B" w:rsidRPr="000D3432" w:rsidRDefault="0082775B" w:rsidP="00A95498">
      <w:pPr>
        <w:jc w:val="both"/>
        <w:rPr>
          <w:rFonts w:asciiTheme="minorHAnsi" w:hAnsiTheme="minorHAnsi"/>
          <w:szCs w:val="24"/>
        </w:rPr>
      </w:pPr>
    </w:p>
    <w:p w14:paraId="23B185B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“Nadie podría aventurarse a encontrar relaciones mercantiles en el Derecho de </w:t>
      </w:r>
      <w:r w:rsidRPr="000D3432">
        <w:rPr>
          <w:rFonts w:asciiTheme="minorHAnsi" w:hAnsiTheme="minorHAnsi"/>
          <w:szCs w:val="24"/>
        </w:rPr>
        <w:lastRenderedPageBreak/>
        <w:t>Familia, siendo en cambio, indiscutibles las de naturaleza económica”. 99.</w:t>
      </w:r>
    </w:p>
    <w:p w14:paraId="6C6288E7" w14:textId="77777777" w:rsidR="0082775B" w:rsidRPr="000D3432" w:rsidRDefault="0082775B" w:rsidP="00A95498">
      <w:pPr>
        <w:pStyle w:val="Ttulo"/>
        <w:jc w:val="both"/>
        <w:rPr>
          <w:rFonts w:asciiTheme="minorHAnsi" w:hAnsiTheme="minorHAnsi"/>
        </w:rPr>
      </w:pPr>
    </w:p>
    <w:p w14:paraId="1B2AE933" w14:textId="77777777" w:rsidR="0082775B" w:rsidRPr="000D3432" w:rsidRDefault="0082775B" w:rsidP="00A95498">
      <w:pPr>
        <w:pStyle w:val="Ttulo"/>
        <w:jc w:val="both"/>
        <w:rPr>
          <w:rFonts w:asciiTheme="minorHAnsi" w:hAnsiTheme="minorHAnsi"/>
        </w:rPr>
      </w:pPr>
    </w:p>
    <w:p w14:paraId="584116ED" w14:textId="77777777" w:rsidR="0082775B" w:rsidRPr="000D3432" w:rsidRDefault="0082775B" w:rsidP="00A95498">
      <w:pPr>
        <w:pStyle w:val="Ttulo"/>
        <w:jc w:val="both"/>
        <w:rPr>
          <w:rFonts w:asciiTheme="minorHAnsi" w:hAnsiTheme="minorHAnsi"/>
        </w:rPr>
      </w:pPr>
      <w:r w:rsidRPr="000D3432">
        <w:rPr>
          <w:rFonts w:asciiTheme="minorHAnsi" w:hAnsiTheme="minorHAnsi"/>
        </w:rPr>
        <w:t>DERECHO EMPRESARIAL</w:t>
      </w:r>
    </w:p>
    <w:p w14:paraId="5419744A" w14:textId="77777777" w:rsidR="0082775B" w:rsidRPr="000D3432" w:rsidRDefault="0082775B" w:rsidP="00A95498">
      <w:pPr>
        <w:jc w:val="both"/>
        <w:rPr>
          <w:rFonts w:asciiTheme="minorHAnsi" w:hAnsiTheme="minorHAnsi"/>
          <w:szCs w:val="24"/>
        </w:rPr>
      </w:pPr>
    </w:p>
    <w:p w14:paraId="6F8F0DD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Derecho de empresas es una disciplina desde donde se puede ver el mundo en su globalidad. Se trabaja al nivel de empresas, es decir, de entidades con mayores capitales que los que pueda tener un individuo cualquiera. </w:t>
      </w:r>
    </w:p>
    <w:p w14:paraId="5E125AC6" w14:textId="77777777" w:rsidR="0082775B" w:rsidRPr="000D3432" w:rsidRDefault="0082775B" w:rsidP="00A95498">
      <w:pPr>
        <w:jc w:val="both"/>
        <w:rPr>
          <w:rFonts w:asciiTheme="minorHAnsi" w:hAnsiTheme="minorHAnsi"/>
          <w:szCs w:val="24"/>
        </w:rPr>
      </w:pPr>
    </w:p>
    <w:p w14:paraId="0131595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 dirección hacia el Derecho de Empresas no es para nada idealista, sino interesada. No sé por qué tendría que ser de otra manera. Todas nuestras preferencias son interesadas. No se es menos por eso. Hasta en el amor existe interés. El interés, por supuesto no es simplemente económico, sino “preferencia y selección” de algo que para nosotros vale más que lo demás. No hay acción desinteresada, en ese sentido. El interés puede ser el simple gusto, el simple placer. Eso de hacer las cosas por amor al arte significa que el interés es el arte. No es cierto, pues que no hay interés. Y yo he cogido el Derecho de Empresas porque me interesa económica y mentalmente. </w:t>
      </w:r>
    </w:p>
    <w:p w14:paraId="5D3D184C" w14:textId="77777777" w:rsidR="0082775B" w:rsidRPr="000D3432" w:rsidRDefault="0082775B" w:rsidP="00A95498">
      <w:pPr>
        <w:jc w:val="both"/>
        <w:rPr>
          <w:rFonts w:asciiTheme="minorHAnsi" w:hAnsiTheme="minorHAnsi"/>
          <w:szCs w:val="24"/>
        </w:rPr>
      </w:pPr>
    </w:p>
    <w:p w14:paraId="0BDA169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Un hombre no debe trabajar como individuo aislado, sino como una empresa. Es más su cuerpo es una empresa, un conjunto o sistema de organismos integrados que cumplen funciones generales y específicas. </w:t>
      </w:r>
    </w:p>
    <w:p w14:paraId="48A0A0C0" w14:textId="77777777" w:rsidR="0082775B" w:rsidRPr="000D3432" w:rsidRDefault="0082775B" w:rsidP="00A95498">
      <w:pPr>
        <w:jc w:val="both"/>
        <w:rPr>
          <w:rFonts w:asciiTheme="minorHAnsi" w:hAnsiTheme="minorHAnsi"/>
          <w:szCs w:val="24"/>
        </w:rPr>
      </w:pPr>
    </w:p>
    <w:p w14:paraId="5543CB0D"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 xml:space="preserve">Derecho empresarial.- </w:t>
      </w:r>
      <w:r w:rsidRPr="000D3432">
        <w:rPr>
          <w:rFonts w:asciiTheme="minorHAnsi" w:hAnsiTheme="minorHAnsi"/>
          <w:szCs w:val="24"/>
        </w:rPr>
        <w:t>El Derecho de empresa se incluye siempre dentro del Derecho Comercial, o Derecho Mercantil, como se quiera, pero nosotros lo trataremos más bien con carácter autónomo, para descifrar un fenómeno, la poca capacidad empresarial del hombre peruano de hoy. Nos planteamos una primera pregunta: ¿Qué hace que unos puedan ser empresarios y otros no? ¿El capital?, ¿o qué?</w:t>
      </w:r>
    </w:p>
    <w:p w14:paraId="24D1A1BE" w14:textId="77777777" w:rsidR="0082775B" w:rsidRPr="000D3432" w:rsidRDefault="0082775B" w:rsidP="00A95498">
      <w:pPr>
        <w:jc w:val="both"/>
        <w:rPr>
          <w:rFonts w:asciiTheme="minorHAnsi" w:hAnsiTheme="minorHAnsi"/>
          <w:szCs w:val="24"/>
        </w:rPr>
      </w:pPr>
    </w:p>
    <w:p w14:paraId="1936BEB5" w14:textId="77777777" w:rsidR="0082775B" w:rsidRPr="000D3432" w:rsidRDefault="0082775B" w:rsidP="00A95498">
      <w:pPr>
        <w:pStyle w:val="Ttulo1"/>
        <w:spacing w:line="240" w:lineRule="auto"/>
        <w:rPr>
          <w:rFonts w:asciiTheme="minorHAnsi" w:hAnsiTheme="minorHAnsi"/>
          <w:b w:val="0"/>
          <w:sz w:val="24"/>
          <w:szCs w:val="24"/>
        </w:rPr>
      </w:pPr>
      <w:bookmarkStart w:id="144" w:name="_Toc318102953"/>
      <w:r w:rsidRPr="000D3432">
        <w:rPr>
          <w:rFonts w:asciiTheme="minorHAnsi" w:hAnsiTheme="minorHAnsi"/>
          <w:sz w:val="24"/>
          <w:szCs w:val="24"/>
        </w:rPr>
        <w:t xml:space="preserve">Derecho Mercantil.- </w:t>
      </w:r>
      <w:r w:rsidRPr="000D3432">
        <w:rPr>
          <w:rFonts w:asciiTheme="minorHAnsi" w:hAnsiTheme="minorHAnsi"/>
          <w:b w:val="0"/>
          <w:sz w:val="24"/>
          <w:szCs w:val="24"/>
        </w:rPr>
        <w:t>Cuando de Derecho mercantil se habla, la primera referencia es siempre determinarlo a través de la definición de los actos de comercio.</w:t>
      </w:r>
      <w:bookmarkEnd w:id="144"/>
    </w:p>
    <w:p w14:paraId="643EE092" w14:textId="77777777" w:rsidR="0082775B" w:rsidRPr="000D3432" w:rsidRDefault="0082775B" w:rsidP="00A95498">
      <w:pPr>
        <w:jc w:val="both"/>
        <w:rPr>
          <w:rFonts w:asciiTheme="minorHAnsi" w:hAnsiTheme="minorHAnsi"/>
          <w:szCs w:val="24"/>
        </w:rPr>
      </w:pPr>
    </w:p>
    <w:p w14:paraId="5B3A316E"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 xml:space="preserve">Actos de comercio.- </w:t>
      </w:r>
      <w:r w:rsidRPr="000D3432">
        <w:rPr>
          <w:rFonts w:asciiTheme="minorHAnsi" w:hAnsiTheme="minorHAnsi"/>
          <w:szCs w:val="24"/>
        </w:rPr>
        <w:t xml:space="preserve">Todos los actos humanos son actos jurídicos, porque son productos o exteriorizaciones de la voluntad del individuo, o de la persona. Pero ¿todos estos actos humanos serán actos comerciales? Un acto humano supone cierto movimiento, que puede o no tener repercusión en los demás, pero un acto jurídico si tiene que tener referencia en los demás, de lo contrario sólo sería un acto humano. </w:t>
      </w:r>
    </w:p>
    <w:p w14:paraId="6287347B" w14:textId="77777777" w:rsidR="0082775B" w:rsidRPr="000D3432" w:rsidRDefault="0082775B" w:rsidP="00A95498">
      <w:pPr>
        <w:jc w:val="both"/>
        <w:rPr>
          <w:rFonts w:asciiTheme="minorHAnsi" w:hAnsiTheme="minorHAnsi"/>
          <w:szCs w:val="24"/>
        </w:rPr>
      </w:pPr>
    </w:p>
    <w:p w14:paraId="77F5459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Pero si el acto humano, o el acto jurídico son manifestaciones de la voluntad, esta manifestación de la voluntad, en el acto comercial, tiene que tener ciertas características.</w:t>
      </w:r>
    </w:p>
    <w:p w14:paraId="177CD708" w14:textId="77777777" w:rsidR="0082775B" w:rsidRPr="000D3432" w:rsidRDefault="0082775B" w:rsidP="00A95498">
      <w:pPr>
        <w:jc w:val="both"/>
        <w:rPr>
          <w:rFonts w:asciiTheme="minorHAnsi" w:hAnsiTheme="minorHAnsi"/>
          <w:szCs w:val="24"/>
        </w:rPr>
      </w:pPr>
    </w:p>
    <w:p w14:paraId="2B52018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Primera pregunta, ¿por qué se necesita establecer que un acto humano es                acto de comercio? ¿Cuál es el fundamento que nos lleva a hacer esa distinción? </w:t>
      </w:r>
    </w:p>
    <w:p w14:paraId="04119E05" w14:textId="77777777" w:rsidR="0082775B" w:rsidRPr="000D3432" w:rsidRDefault="0082775B" w:rsidP="00A95498">
      <w:pPr>
        <w:jc w:val="both"/>
        <w:rPr>
          <w:rFonts w:asciiTheme="minorHAnsi" w:hAnsiTheme="minorHAnsi"/>
          <w:szCs w:val="24"/>
        </w:rPr>
      </w:pPr>
    </w:p>
    <w:p w14:paraId="32E7D09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lastRenderedPageBreak/>
        <w:t xml:space="preserve">Queremos saber cuando un acto humano es un acto de comercio, porque sólo desde esa definición podemos conocer los móviles que lo componen. </w:t>
      </w:r>
    </w:p>
    <w:p w14:paraId="023A72ED" w14:textId="77777777" w:rsidR="0082775B" w:rsidRPr="000D3432" w:rsidRDefault="0082775B" w:rsidP="00A95498">
      <w:pPr>
        <w:jc w:val="both"/>
        <w:rPr>
          <w:rFonts w:asciiTheme="minorHAnsi" w:hAnsiTheme="minorHAnsi"/>
          <w:szCs w:val="24"/>
        </w:rPr>
      </w:pPr>
    </w:p>
    <w:p w14:paraId="17578C7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Además, el acto de comercio parece ser la unidad básica que constituye el derecho comercial, es decir la célula básica de la cual está formado o constituido el Derecho comercial, y el Comercio es un fenómeno humano que no tiene su origen en la simple satisfacción de las necesidades sino en la búsqueda de solucionar otras necesidades no inmediatas, la de prevención, o acumulación de la riqueza. </w:t>
      </w:r>
    </w:p>
    <w:p w14:paraId="14B3BA8D" w14:textId="77777777" w:rsidR="0082775B" w:rsidRPr="000D3432" w:rsidRDefault="0082775B" w:rsidP="00A95498">
      <w:pPr>
        <w:jc w:val="both"/>
        <w:rPr>
          <w:rFonts w:asciiTheme="minorHAnsi" w:hAnsiTheme="minorHAnsi"/>
          <w:szCs w:val="24"/>
        </w:rPr>
      </w:pPr>
    </w:p>
    <w:p w14:paraId="4E08622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móvil es siempre intermediario, es de mediación.</w:t>
      </w:r>
    </w:p>
    <w:p w14:paraId="32A95A97" w14:textId="77777777" w:rsidR="0082775B" w:rsidRPr="000D3432" w:rsidRDefault="0082775B" w:rsidP="00A95498">
      <w:pPr>
        <w:jc w:val="both"/>
        <w:rPr>
          <w:rFonts w:asciiTheme="minorHAnsi" w:hAnsiTheme="minorHAnsi"/>
          <w:szCs w:val="24"/>
        </w:rPr>
      </w:pPr>
    </w:p>
    <w:p w14:paraId="26051B1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Este acto de comercio configura una forma de vida, una forma como los seres humanos se organizan.</w:t>
      </w:r>
    </w:p>
    <w:p w14:paraId="2CECF8BB" w14:textId="77777777" w:rsidR="0082775B" w:rsidRPr="000D3432" w:rsidRDefault="0082775B" w:rsidP="00A95498">
      <w:pPr>
        <w:jc w:val="both"/>
        <w:rPr>
          <w:rFonts w:asciiTheme="minorHAnsi" w:hAnsiTheme="minorHAnsi"/>
          <w:szCs w:val="24"/>
        </w:rPr>
      </w:pPr>
    </w:p>
    <w:p w14:paraId="1A0EDA5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Pero más allá existe mucho más, ese mucho más es que el hombre no se toma como un todo, como un órgano central, sino como una parte. Luego el individuo se forma como un ente parasitario, vive de los productos, de los demás, de los desperdicios de los demás.</w:t>
      </w:r>
    </w:p>
    <w:p w14:paraId="46DA8B6D" w14:textId="77777777" w:rsidR="0082775B" w:rsidRPr="000D3432" w:rsidRDefault="0082775B" w:rsidP="00A95498">
      <w:pPr>
        <w:jc w:val="both"/>
        <w:rPr>
          <w:rFonts w:asciiTheme="minorHAnsi" w:hAnsiTheme="minorHAnsi"/>
          <w:szCs w:val="24"/>
        </w:rPr>
      </w:pPr>
    </w:p>
    <w:p w14:paraId="4923B64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Aunque esta apreciación sea un poco grotesca y fuerte, es necesario saber que el hombre, el peruano de hoy se ha constituido precisamente en eso, la asignación de recursos económicos lo convierten en un buscador de capitalización del trabajo de los demás.</w:t>
      </w:r>
    </w:p>
    <w:p w14:paraId="7A15A2C7" w14:textId="77777777" w:rsidR="0082775B" w:rsidRPr="000D3432" w:rsidRDefault="0082775B" w:rsidP="00A95498">
      <w:pPr>
        <w:jc w:val="both"/>
        <w:rPr>
          <w:rFonts w:asciiTheme="minorHAnsi" w:hAnsiTheme="minorHAnsi"/>
          <w:szCs w:val="24"/>
        </w:rPr>
      </w:pPr>
    </w:p>
    <w:p w14:paraId="2B12A15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¿Cómo ocurre este fenómeno? </w:t>
      </w:r>
    </w:p>
    <w:p w14:paraId="04C4093B" w14:textId="77777777" w:rsidR="0082775B" w:rsidRPr="000D3432" w:rsidRDefault="0082775B" w:rsidP="00A95498">
      <w:pPr>
        <w:jc w:val="both"/>
        <w:rPr>
          <w:rFonts w:asciiTheme="minorHAnsi" w:hAnsiTheme="minorHAnsi"/>
          <w:szCs w:val="24"/>
        </w:rPr>
      </w:pPr>
    </w:p>
    <w:p w14:paraId="6FA2DD9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Los actos de comercio se dan, pero desde una perspectiva singular. Son los no profesionales los que hacen comercio, y sin embargo son ellos los que tienen mayor éxito económico, al menos en el Perú es generalizado, y Soros parece que despreciaba cualquier profesión, al igual que Bill Gates ¿Por qué? Hay muchas razones. La primera es que los comerciantes, desprovistos de capacidad universitaria, de ningún título, se enfrentan a la realidad, es decir al mercado, y manejan los instrumentos del mercado, según los usos y costumbres. Ellos no necesitan ingresar a la universidad para saber cuáles son los usos y costumbres de la actividad comercial. Lo que necesitan es cierto capital, y luego establecer  la forma cómo van a distribuir ese capital. Los elementos necesarios son los mínimos. No pierden el tiempo en hacer grandes diseños,  es decir simplifican el trabajo a su capacidad operativa. Nada más. Los datos que aprenden son siempre sintéticos. </w:t>
      </w:r>
    </w:p>
    <w:p w14:paraId="561CF7A6" w14:textId="77777777" w:rsidR="0082775B" w:rsidRPr="000D3432" w:rsidRDefault="0082775B" w:rsidP="00A95498">
      <w:pPr>
        <w:jc w:val="both"/>
        <w:rPr>
          <w:rFonts w:asciiTheme="minorHAnsi" w:hAnsiTheme="minorHAnsi"/>
          <w:szCs w:val="24"/>
        </w:rPr>
      </w:pPr>
    </w:p>
    <w:p w14:paraId="305581E2"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LA PERSONA NATURAL COMO EMPRESA</w:t>
      </w:r>
    </w:p>
    <w:p w14:paraId="5B648820" w14:textId="77777777" w:rsidR="0082775B" w:rsidRPr="000D3432" w:rsidRDefault="0082775B" w:rsidP="00A95498">
      <w:pPr>
        <w:jc w:val="both"/>
        <w:rPr>
          <w:rFonts w:asciiTheme="minorHAnsi" w:hAnsiTheme="minorHAnsi"/>
          <w:b/>
          <w:szCs w:val="24"/>
        </w:rPr>
      </w:pPr>
    </w:p>
    <w:p w14:paraId="3AC7295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experiencia empresarial es una experiencia que sale incluso del propio concepto de empresa, porque ella no es la que determina al individuo, sino la actividad empresarial. Empresa no será, entonces, un concepto, sino una actividad, una experiencia, cambiante, mudable, reacomodable a las experimentaciones del mercado.</w:t>
      </w:r>
    </w:p>
    <w:p w14:paraId="0589AFCC" w14:textId="77777777" w:rsidR="0082775B" w:rsidRPr="000D3432" w:rsidRDefault="0082775B" w:rsidP="00A95498">
      <w:pPr>
        <w:jc w:val="both"/>
        <w:rPr>
          <w:rFonts w:asciiTheme="minorHAnsi" w:hAnsiTheme="minorHAnsi"/>
          <w:szCs w:val="24"/>
        </w:rPr>
      </w:pPr>
    </w:p>
    <w:p w14:paraId="0E29D9A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sujeto no puede ser tomado como una persona, aislada e individual, sino como una empresa, es decir como una unidad de dominio, gobierno, producción, desde el cual aporta a la sociedad cierta condición para su supervivencia.</w:t>
      </w:r>
    </w:p>
    <w:p w14:paraId="768F025A" w14:textId="77777777" w:rsidR="0082775B" w:rsidRPr="000D3432" w:rsidRDefault="0082775B" w:rsidP="00A95498">
      <w:pPr>
        <w:jc w:val="both"/>
        <w:rPr>
          <w:rFonts w:asciiTheme="minorHAnsi" w:hAnsiTheme="minorHAnsi"/>
          <w:szCs w:val="24"/>
        </w:rPr>
      </w:pPr>
    </w:p>
    <w:p w14:paraId="675A231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hombre de hoy, al menos en el Perú, no es tomado como empresa, sino como ente individual (en la más reducida de sus significaciones), lo que se opone a ese eterno progresar que debe ser el hombre. Si el individuo se forma como unidad, y no como empresa, es decir como todo un cuerpo que permite y posibilita la expansión de la propia personalidad.</w:t>
      </w:r>
    </w:p>
    <w:p w14:paraId="08020972" w14:textId="77777777" w:rsidR="0082775B" w:rsidRPr="000D3432" w:rsidRDefault="0082775B" w:rsidP="00A95498">
      <w:pPr>
        <w:jc w:val="both"/>
        <w:rPr>
          <w:rFonts w:asciiTheme="minorHAnsi" w:hAnsiTheme="minorHAnsi"/>
          <w:szCs w:val="24"/>
        </w:rPr>
      </w:pPr>
    </w:p>
    <w:p w14:paraId="5131223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Nuestro afán es localizar las oposiciones entre el ser de la persona y su incapacidad para autogobernarse, para generar sus propios medios de subsistencia.</w:t>
      </w:r>
    </w:p>
    <w:p w14:paraId="64F9B273" w14:textId="77777777" w:rsidR="0082775B" w:rsidRPr="000D3432" w:rsidRDefault="0082775B" w:rsidP="00A95498">
      <w:pPr>
        <w:jc w:val="both"/>
        <w:rPr>
          <w:rFonts w:asciiTheme="minorHAnsi" w:hAnsiTheme="minorHAnsi"/>
          <w:szCs w:val="24"/>
        </w:rPr>
      </w:pPr>
    </w:p>
    <w:p w14:paraId="5A3FE14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Lo que hace un empresario no es tener conceptos en la mente, sino hace operaciones de síntesis, es decir “desborda lo que hay en el concepto”, -concepto compra venta, por ejemplo-, y ejecuta la acción, realiza la transacción. Es decir, un empresario no maneja conceptos, sino los operacionaliza haciendo síntesis, saliendo de ellos y decidiendo. </w:t>
      </w:r>
    </w:p>
    <w:p w14:paraId="5FB18800" w14:textId="77777777" w:rsidR="0082775B" w:rsidRPr="000D3432" w:rsidRDefault="0082775B" w:rsidP="00A95498">
      <w:pPr>
        <w:jc w:val="both"/>
        <w:rPr>
          <w:rFonts w:asciiTheme="minorHAnsi" w:hAnsiTheme="minorHAnsi"/>
          <w:szCs w:val="24"/>
        </w:rPr>
      </w:pPr>
    </w:p>
    <w:p w14:paraId="38BB5ED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Los empresarios conocen, pero no como los teóricos, es decir con fórmulas gramaticales que describen el fenómeno empresarial, sino que salen del concepto. Conocer no es saber el concepto de algo, sino salir de él, descubrir la relación de ese concepto con la vida. El concepto compra venta no me sirve de mucho si no sé hacer una compra venta. Por eso se dice que el que hace operaciones mercantiles o empresariales lo que se está haciendo es salir del concepto, para vivirlo, sólo así se conoce un fenómeno. </w:t>
      </w:r>
    </w:p>
    <w:p w14:paraId="073214BB" w14:textId="77777777" w:rsidR="0082775B" w:rsidRPr="000D3432" w:rsidRDefault="0082775B" w:rsidP="00A95498">
      <w:pPr>
        <w:jc w:val="both"/>
        <w:rPr>
          <w:rFonts w:asciiTheme="minorHAnsi" w:hAnsiTheme="minorHAnsi"/>
          <w:szCs w:val="24"/>
        </w:rPr>
      </w:pPr>
    </w:p>
    <w:p w14:paraId="27520D5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Este es el gran problema de los que estudian incluso Administración de empresas, o Ingeniería Comercial, se quedan en los conceptos. O al igual que los abogados que se quedan en los conceptos y no hacen síntesis de ellos, no desbordan estos conceptos para experimentarlos a través de la síntesis, de la vida.</w:t>
      </w:r>
    </w:p>
    <w:p w14:paraId="11D7BB46" w14:textId="77777777" w:rsidR="0082775B" w:rsidRPr="000D3432" w:rsidRDefault="0082775B" w:rsidP="00A95498">
      <w:pPr>
        <w:jc w:val="both"/>
        <w:rPr>
          <w:rFonts w:asciiTheme="minorHAnsi" w:hAnsiTheme="minorHAnsi"/>
          <w:szCs w:val="24"/>
        </w:rPr>
      </w:pPr>
    </w:p>
    <w:p w14:paraId="1C38240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conocimiento es distinto a protocolos de experiencia”. El conocimiento es anterior a cualquier experiencia, es más lo determina. Por ejemplo decir que una línea recta es el camino más corto entre dos puntos es una determinación anterior, a priori de la experiencia. No se necesita la experiencia para saber que la línea recta es el camino más corto entre dos puntos.</w:t>
      </w:r>
    </w:p>
    <w:p w14:paraId="30CAF1D7" w14:textId="77777777" w:rsidR="0082775B" w:rsidRPr="000D3432" w:rsidRDefault="0082775B" w:rsidP="00A95498">
      <w:pPr>
        <w:jc w:val="both"/>
        <w:rPr>
          <w:rFonts w:asciiTheme="minorHAnsi" w:hAnsiTheme="minorHAnsi"/>
          <w:szCs w:val="24"/>
        </w:rPr>
      </w:pPr>
    </w:p>
    <w:p w14:paraId="74ACA203"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PRINCIPIOS DE LA ECONOMÍA</w:t>
      </w:r>
    </w:p>
    <w:p w14:paraId="1DD05649" w14:textId="77777777" w:rsidR="0082775B" w:rsidRPr="000D3432" w:rsidRDefault="0082775B" w:rsidP="00A95498">
      <w:pPr>
        <w:jc w:val="both"/>
        <w:rPr>
          <w:rFonts w:asciiTheme="minorHAnsi" w:hAnsiTheme="minorHAnsi"/>
          <w:szCs w:val="24"/>
        </w:rPr>
      </w:pPr>
    </w:p>
    <w:p w14:paraId="5C8AF87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Vamos a usar a N. Gregory Mankiw. De la Harvard University. Recordemos sin embargo lo que Francesco Carnelutti escribía respecto a la economía. “Pero si no se comienza por la economía (…) no se comprende el derecho.”</w:t>
      </w:r>
      <w:r w:rsidRPr="000D3432">
        <w:rPr>
          <w:rStyle w:val="Refdenotaalpie"/>
          <w:rFonts w:asciiTheme="minorHAnsi" w:hAnsiTheme="minorHAnsi"/>
          <w:sz w:val="24"/>
          <w:szCs w:val="24"/>
        </w:rPr>
        <w:footnoteReference w:id="764"/>
      </w:r>
    </w:p>
    <w:p w14:paraId="5A6B1E82" w14:textId="77777777" w:rsidR="0082775B" w:rsidRPr="000D3432" w:rsidRDefault="0082775B" w:rsidP="00A95498">
      <w:pPr>
        <w:jc w:val="both"/>
        <w:rPr>
          <w:rFonts w:asciiTheme="minorHAnsi" w:hAnsiTheme="minorHAnsi"/>
          <w:szCs w:val="24"/>
        </w:rPr>
      </w:pPr>
    </w:p>
    <w:p w14:paraId="5A7E584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idea de Carnelutti es que la economía es antes que el derecho, por lo tanto los actos humanos son actos económicos antes que actos jurídicos, ¿por qué esta percepción? Por que los actos económicos son todos “aquellos mediante los cuales tratan los hombres de satisfacer sus necesidades.”</w:t>
      </w:r>
      <w:r w:rsidRPr="000D3432">
        <w:rPr>
          <w:rStyle w:val="Refdenotaalpie"/>
          <w:rFonts w:asciiTheme="minorHAnsi" w:hAnsiTheme="minorHAnsi"/>
          <w:sz w:val="24"/>
          <w:szCs w:val="24"/>
        </w:rPr>
        <w:footnoteReference w:id="765"/>
      </w:r>
      <w:r w:rsidRPr="000D3432">
        <w:rPr>
          <w:rFonts w:asciiTheme="minorHAnsi" w:hAnsiTheme="minorHAnsi"/>
          <w:szCs w:val="24"/>
        </w:rPr>
        <w:t xml:space="preserve"> El Derecho lo que hace es más bien justificar esos actos económicos, esos primeros actos. </w:t>
      </w:r>
    </w:p>
    <w:p w14:paraId="3C0DDA69" w14:textId="77777777" w:rsidR="0082775B" w:rsidRPr="000D3432" w:rsidRDefault="0082775B" w:rsidP="00A95498">
      <w:pPr>
        <w:jc w:val="both"/>
        <w:rPr>
          <w:rFonts w:asciiTheme="minorHAnsi" w:hAnsiTheme="minorHAnsi"/>
          <w:szCs w:val="24"/>
        </w:rPr>
      </w:pPr>
    </w:p>
    <w:p w14:paraId="7A80CB9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Carnelutti empieza su discurso “Derecho y Economía”, haciendo una afirmación, encapsulando un robo y una compra dentro de los “actos jurídicos”. Estos dos -dice- pertenecen o son actos jurídicos. Pero ¿cómo el robo puede ser un acto jurídico? No sería más bien un acto antijurídico? Carnelutti no se ha equivocado, sino que parte desde otra perspectiva. Ensaya un método de razonamiento que explica la diferencia de los actos jurídicos de los actos económicos. Y establece la coincidencia del robo y la compra venta en una circunstancia común. Los dos actos están determinados y regulados por el Derecho; tanto el robo como la compra venta, tienen en sus efectos una determinación jurídica, hay una respuesta a cada una de ellas; las respuestas, por supuesto, difieren, mientras que a una se la castiga, a otra se la garantiza y hasta fomenta; pero ambas, como ven, están determinadas por el ordenamiento jurídico. Por eso Carneluti dice que robo y compra venta son actos jurídicos, es decir que tienen un lugar en el Derecho, que sus efectos son determinados por el Derecho, es decir, que después de realizados estos actos, hay una respuesta, una consecuencia, un efecto jurídico.</w:t>
      </w:r>
    </w:p>
    <w:p w14:paraId="3A0EDA03" w14:textId="77777777" w:rsidR="0082775B" w:rsidRPr="000D3432" w:rsidRDefault="0082775B" w:rsidP="00A95498">
      <w:pPr>
        <w:jc w:val="both"/>
        <w:rPr>
          <w:rFonts w:asciiTheme="minorHAnsi" w:hAnsiTheme="minorHAnsi"/>
          <w:szCs w:val="24"/>
        </w:rPr>
      </w:pPr>
    </w:p>
    <w:p w14:paraId="66CE78A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Esta búsqueda de la satisfacción de la necesidad tiene un inconveniente cuando esa necesidad es satisfecha por un “bien escaso”, y al ser escaso el hombre necesita disputarse esta preferencia, hace pues que el Derecho intervenga para decidir la prioridad. Porque de lo contrario se produciría el caos, y el Derecho tiene su esencia en ser el orden que posibilita la coexistencia de los seres humanos. “El secreto del derecho está precisamente en esto, que los hombres no pueden vivir en el caos”, diría Carnelutti.</w:t>
      </w:r>
    </w:p>
    <w:p w14:paraId="19F6CD00" w14:textId="77777777" w:rsidR="0082775B" w:rsidRPr="000D3432" w:rsidRDefault="0082775B" w:rsidP="00A95498">
      <w:pPr>
        <w:jc w:val="both"/>
        <w:rPr>
          <w:rFonts w:asciiTheme="minorHAnsi" w:hAnsiTheme="minorHAnsi"/>
          <w:szCs w:val="24"/>
        </w:rPr>
      </w:pPr>
    </w:p>
    <w:p w14:paraId="2C232CE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pues, interviene en esa lucha de los seres humanos por conseguir satisfacer sus necesidades, cuando de bienes escasos se trata. El Derecho intenta, entonces, establecer el orden, la tutela, da preferencia,  muy al contrario de lo que se piensa -no es para nada imparcial, sino precisamente parcial, puesto que tutela a uno de los pretendientes, a uno de los que tienen y plantean su pretensión. La idea de que no da preferencias es pues inexacta, o falsa -lo que si hace es más bien dar las mismas oportunidades -igualdad de opciones y condiciones- para que los individuos puedan obtener la tutela. Es decir, el derecho se hace ciego</w:t>
      </w:r>
      <w:r w:rsidRPr="000D3432">
        <w:rPr>
          <w:rStyle w:val="Refdenotaalpie"/>
          <w:rFonts w:asciiTheme="minorHAnsi" w:hAnsiTheme="minorHAnsi"/>
          <w:sz w:val="24"/>
          <w:szCs w:val="24"/>
        </w:rPr>
        <w:footnoteReference w:id="766"/>
      </w:r>
      <w:r w:rsidRPr="000D3432">
        <w:rPr>
          <w:rFonts w:asciiTheme="minorHAnsi" w:hAnsiTheme="minorHAnsi"/>
          <w:szCs w:val="24"/>
        </w:rPr>
        <w:t xml:space="preserve"> -porque tiene que serlo-  ante algunos rasgos individuales, personales, como la raza, el sexo -no tanto pues en las pretensiones familiares, o tenencia de hijos, etc. si prefiere a la mujer-, la edad -</w:t>
      </w:r>
      <w:r w:rsidRPr="000D3432">
        <w:rPr>
          <w:rFonts w:asciiTheme="minorHAnsi" w:hAnsiTheme="minorHAnsi"/>
          <w:szCs w:val="24"/>
        </w:rPr>
        <w:lastRenderedPageBreak/>
        <w:t>tampoco tanto pues hay excepciones sobre la capacidad relativa, capacidad absoluta, etc-, condición social -también hay excepciones como la inmunidad parlamentaria, etc.</w:t>
      </w:r>
    </w:p>
    <w:p w14:paraId="5C7F5537" w14:textId="77777777" w:rsidR="0082775B" w:rsidRPr="000D3432" w:rsidRDefault="0082775B" w:rsidP="00A95498">
      <w:pPr>
        <w:jc w:val="both"/>
        <w:rPr>
          <w:rFonts w:asciiTheme="minorHAnsi" w:hAnsiTheme="minorHAnsi"/>
          <w:szCs w:val="24"/>
        </w:rPr>
      </w:pPr>
    </w:p>
    <w:p w14:paraId="1BF5060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al intentar establecer el orden, la tutela, da preferencias y tutela. La misma idea de tutela, es excluyente y exclusiva. Así el Derecho es aquél que posibilita y permite el derecho de uno, el preferido, en desprecio del otro, sólo que bajo ciertos rasos y requisitos que le avisan al otro la posibilidad de haber logrado el mismo esa preferencia o tutela del derecho.</w:t>
      </w:r>
    </w:p>
    <w:p w14:paraId="21F44B34" w14:textId="77777777" w:rsidR="0082775B" w:rsidRPr="000D3432" w:rsidRDefault="0082775B" w:rsidP="00A95498">
      <w:pPr>
        <w:jc w:val="both"/>
        <w:rPr>
          <w:rFonts w:asciiTheme="minorHAnsi" w:hAnsiTheme="minorHAnsi"/>
          <w:szCs w:val="24"/>
        </w:rPr>
      </w:pPr>
    </w:p>
    <w:p w14:paraId="33F5C08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es el orden que tiene por finalizar “garantizar” cierto equilibrio de fuerzas, equilibrio en las relaciones intersubjetivas.</w:t>
      </w:r>
    </w:p>
    <w:p w14:paraId="75E74B6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Pero si son los actos económicos antes que cualquier acto jurídico, esto no significa que bastan esos actos económicos para explicar la vida del ser humano. Antes, para su subsistencia, se impone el derecho, porque la simple economía “no basta para poner orden entre los hombres”, porque la economía es un fenómeno de hecho, un factor de hecho,  es decir la economía es descripción de la búsqueda de la satisfacción de las necesidades, y esto no basta para el orden, para el orden es necesario un factor de derecho, así el derecho es lo más necesario, lo más conveniente, y no sólo la satisfacción de una necesidad. Y el derecho al postularse así, como imputación, se ejercita dentro del mundo a priori, se determina a priori, es decir se determina independientemente de la experiencia, del hecho? </w:t>
      </w:r>
    </w:p>
    <w:p w14:paraId="45440116" w14:textId="77777777" w:rsidR="0082775B" w:rsidRPr="000D3432" w:rsidRDefault="0082775B" w:rsidP="00A95498">
      <w:pPr>
        <w:jc w:val="both"/>
        <w:rPr>
          <w:rFonts w:asciiTheme="minorHAnsi" w:hAnsiTheme="minorHAnsi"/>
          <w:szCs w:val="24"/>
        </w:rPr>
      </w:pPr>
    </w:p>
    <w:p w14:paraId="5CEA870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 Analicemos mejor los principios de la economía, para luego asociarlos con el Derecho.</w:t>
      </w:r>
    </w:p>
    <w:p w14:paraId="2C4AEFC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No si antes decir el término economía viene del griego </w:t>
      </w:r>
      <w:r w:rsidRPr="000D3432">
        <w:rPr>
          <w:rFonts w:asciiTheme="minorHAnsi" w:hAnsiTheme="minorHAnsi"/>
          <w:i/>
          <w:szCs w:val="24"/>
        </w:rPr>
        <w:t>oikos</w:t>
      </w:r>
      <w:r w:rsidRPr="000D3432">
        <w:rPr>
          <w:rFonts w:asciiTheme="minorHAnsi" w:hAnsiTheme="minorHAnsi"/>
          <w:szCs w:val="24"/>
        </w:rPr>
        <w:t xml:space="preserve">, que significa casa, y que esta es no sólo un lugar donde el ser humano se cobija sino el lugar donde se “forma la conducta del ser humano”, diría Carnelutti. Pero este </w:t>
      </w:r>
      <w:r w:rsidRPr="000D3432">
        <w:rPr>
          <w:rFonts w:asciiTheme="minorHAnsi" w:hAnsiTheme="minorHAnsi"/>
          <w:i/>
          <w:szCs w:val="24"/>
        </w:rPr>
        <w:t>oikos</w:t>
      </w:r>
      <w:r w:rsidRPr="000D3432">
        <w:rPr>
          <w:rFonts w:asciiTheme="minorHAnsi" w:hAnsiTheme="minorHAnsi"/>
          <w:szCs w:val="24"/>
        </w:rPr>
        <w:t xml:space="preserve"> o casa es también organización y gobierno de la casa, de aquello que está dentro del margen de la casa.  </w:t>
      </w:r>
    </w:p>
    <w:p w14:paraId="51DEB0FD" w14:textId="77777777" w:rsidR="0082775B" w:rsidRPr="000D3432" w:rsidRDefault="0082775B" w:rsidP="00A95498">
      <w:pPr>
        <w:jc w:val="both"/>
        <w:rPr>
          <w:rFonts w:asciiTheme="minorHAnsi" w:hAnsiTheme="minorHAnsi"/>
          <w:szCs w:val="24"/>
        </w:rPr>
      </w:pPr>
    </w:p>
    <w:p w14:paraId="6738BD1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 Gregory Mankiw dice algo similar sobre la economía, e identificándola con el origen griego que significa “el que administra un hogar. Es decir la administración de la vida de ese hogar, la administración para que pueda posibilitarse la vida en ese hogar. No es un asunto cualquiera como se ve, sino vital. De organización de cómo vivir, cómo poder vivir. Y para eso hay que fijar con qué recursos se cuenta, o cómo generar los recursos para la subsistencia, pero no hablamos de cualquier recurso sino de aquellos recursos escasos, que si no fueran escasos estaríamos hablando por gusto. La economía aprecia una primera observación: existen sólo recursos escasos, y por lo tanto no todos pueden tener todo, y la distribución tiene que ser en referencia a ese conocimiento: hay recursos escasos.</w:t>
      </w:r>
    </w:p>
    <w:p w14:paraId="06BBEE4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Sobre la base de los recursos escasos gira todo el asunto económico.  Necesita hacerse una serie de jerarquías de prioridades sobre qué actividades producirán nuevos recursos, o cuáles son los mejores usos de esos recursos escasos, y así, la economía entra en un fenómeno más complejo, el fenómeno valorativo, es decir, ya no se muestra en el mundo de los hechos, sino de los </w:t>
      </w:r>
      <w:r w:rsidRPr="000D3432">
        <w:rPr>
          <w:rFonts w:asciiTheme="minorHAnsi" w:hAnsiTheme="minorHAnsi"/>
          <w:szCs w:val="24"/>
        </w:rPr>
        <w:lastRenderedPageBreak/>
        <w:t>derechos, del derecho.</w:t>
      </w:r>
    </w:p>
    <w:p w14:paraId="72B022F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 el primer elemento es la conciencia de que se trabaja con “recursos escasos”, el segundo elemento descubierto es la de “asignación” de estos recursos escasos, es decir cómo se va a trabajar con esos recursos escasos. Asignación de cada una de las actividades a realizar para mantener la casa, el </w:t>
      </w:r>
      <w:r w:rsidRPr="000D3432">
        <w:rPr>
          <w:rFonts w:asciiTheme="minorHAnsi" w:hAnsiTheme="minorHAnsi"/>
          <w:i/>
          <w:szCs w:val="24"/>
        </w:rPr>
        <w:t>oikos</w:t>
      </w:r>
      <w:r w:rsidRPr="000D3432">
        <w:rPr>
          <w:rFonts w:asciiTheme="minorHAnsi" w:hAnsiTheme="minorHAnsi"/>
          <w:szCs w:val="24"/>
        </w:rPr>
        <w:t xml:space="preserve"> griego. Hay luego otra operación la “decisión”.</w:t>
      </w:r>
    </w:p>
    <w:p w14:paraId="6A39E7B2" w14:textId="77777777" w:rsidR="0082775B" w:rsidRPr="000D3432" w:rsidRDefault="0082775B" w:rsidP="00A95498">
      <w:pPr>
        <w:jc w:val="both"/>
        <w:rPr>
          <w:rFonts w:asciiTheme="minorHAnsi" w:hAnsiTheme="minorHAnsi"/>
          <w:szCs w:val="24"/>
        </w:rPr>
      </w:pPr>
    </w:p>
    <w:p w14:paraId="4A7A77A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definición a la que llega por último N. Gregory Mankiw es: “La economía es el estudio del modo en que la sociedad gestiona sus recursos escasos”.</w:t>
      </w:r>
      <w:r w:rsidRPr="000D3432">
        <w:rPr>
          <w:rStyle w:val="Refdenotaalpie"/>
          <w:rFonts w:asciiTheme="minorHAnsi" w:hAnsiTheme="minorHAnsi"/>
          <w:sz w:val="24"/>
          <w:szCs w:val="24"/>
        </w:rPr>
        <w:footnoteReference w:id="767"/>
      </w:r>
    </w:p>
    <w:p w14:paraId="574CE8EE" w14:textId="77777777" w:rsidR="0082775B" w:rsidRPr="000D3432" w:rsidRDefault="0082775B" w:rsidP="00A95498">
      <w:pPr>
        <w:jc w:val="both"/>
        <w:rPr>
          <w:rFonts w:asciiTheme="minorHAnsi" w:hAnsiTheme="minorHAnsi"/>
          <w:szCs w:val="24"/>
        </w:rPr>
      </w:pPr>
    </w:p>
    <w:p w14:paraId="3C90D332"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LA EMPRESA</w:t>
      </w:r>
    </w:p>
    <w:p w14:paraId="1B02EBC0" w14:textId="77777777" w:rsidR="0082775B" w:rsidRPr="000D3432" w:rsidRDefault="0082775B" w:rsidP="00A95498">
      <w:pPr>
        <w:jc w:val="both"/>
        <w:rPr>
          <w:rFonts w:asciiTheme="minorHAnsi" w:hAnsiTheme="minorHAnsi"/>
          <w:szCs w:val="24"/>
        </w:rPr>
      </w:pPr>
    </w:p>
    <w:p w14:paraId="5A1ADC4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concepto moderno de empresa deja atrás la antigua concepción etimológica, del latín in-prehnsa (acción ardua y dificultosa), porque hoy la empresa no es sólo una “acción ardua y dificultosa”, sino mucho más. La etimología ha dejado paso al uso, y en el caso de la empresa, el uso ha tecnificado a esta institución, la ha dotado de nuevos elementos que hoy son sus componentes centrales como organización y coordinación de “capital y trabajo”. Además se ha determinado también cómo funciona la operación empresarial. </w:t>
      </w:r>
    </w:p>
    <w:p w14:paraId="538133C2" w14:textId="77777777" w:rsidR="0082775B" w:rsidRPr="000D3432" w:rsidRDefault="0082775B" w:rsidP="00A95498">
      <w:pPr>
        <w:jc w:val="both"/>
        <w:rPr>
          <w:rFonts w:asciiTheme="minorHAnsi" w:hAnsiTheme="minorHAnsi"/>
          <w:szCs w:val="24"/>
        </w:rPr>
      </w:pPr>
    </w:p>
    <w:p w14:paraId="1EAB7A8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etimología ya no es suficiente para entender a la empresa. La importancia de la etimología está en descubrir las razones y las funciones de esa creación. Y no tanto en determinar el tiempo de creación. No es el tiempo, sino las razones y las funciones que asume a partir de esa creación lo que interesa cuando estudiamos una institución por su historia etimológica. Por lo mismo un empresario jamás se pregunta de dónde nació la empresa. Eso sería un artilugio absurdo. Se pregunta más bien, “por qué” nació dicha empresa. El por qué explica los factores externos, la necesidad externa o social, es decir la demanda. Y todo empresario lo que siempre intenta descubrir es cuál es la demanda, qué demandan.</w:t>
      </w:r>
    </w:p>
    <w:p w14:paraId="3387AFAF" w14:textId="77777777" w:rsidR="0082775B" w:rsidRPr="000D3432" w:rsidRDefault="0082775B" w:rsidP="00A95498">
      <w:pPr>
        <w:jc w:val="both"/>
        <w:rPr>
          <w:rFonts w:asciiTheme="minorHAnsi" w:hAnsiTheme="minorHAnsi"/>
          <w:szCs w:val="24"/>
        </w:rPr>
      </w:pPr>
    </w:p>
    <w:p w14:paraId="776B99F9" w14:textId="3E7C8028" w:rsidR="009E6E2E" w:rsidRPr="000D3432" w:rsidRDefault="0082775B" w:rsidP="00A95498">
      <w:pPr>
        <w:jc w:val="both"/>
        <w:rPr>
          <w:rFonts w:asciiTheme="minorHAnsi" w:hAnsiTheme="minorHAnsi"/>
          <w:szCs w:val="24"/>
        </w:rPr>
      </w:pPr>
      <w:r w:rsidRPr="000D3432">
        <w:rPr>
          <w:rFonts w:asciiTheme="minorHAnsi" w:hAnsiTheme="minorHAnsi"/>
          <w:szCs w:val="24"/>
        </w:rPr>
        <w:t>La definición de empresa tiene como elementos a la “organización, producción, y la participación del capital y el trabajo”</w:t>
      </w:r>
      <w:r w:rsidR="009E6E2E" w:rsidRPr="000D3432">
        <w:rPr>
          <w:rStyle w:val="Refdenotaalpie"/>
          <w:rFonts w:asciiTheme="minorHAnsi" w:hAnsiTheme="minorHAnsi"/>
          <w:sz w:val="24"/>
          <w:szCs w:val="24"/>
        </w:rPr>
        <w:footnoteReference w:id="768"/>
      </w:r>
      <w:r w:rsidR="009E6E2E" w:rsidRPr="000D3432">
        <w:rPr>
          <w:rFonts w:asciiTheme="minorHAnsi" w:hAnsiTheme="minorHAnsi"/>
          <w:szCs w:val="24"/>
        </w:rPr>
        <w:t xml:space="preserve"> </w:t>
      </w:r>
    </w:p>
    <w:p w14:paraId="75FED7A5" w14:textId="77777777" w:rsidR="009E6E2E" w:rsidRPr="000D3432" w:rsidRDefault="009E6E2E" w:rsidP="00A95498">
      <w:pPr>
        <w:jc w:val="both"/>
        <w:rPr>
          <w:rFonts w:asciiTheme="minorHAnsi" w:hAnsiTheme="minorHAnsi"/>
          <w:szCs w:val="24"/>
        </w:rPr>
      </w:pPr>
    </w:p>
    <w:p w14:paraId="4CA3CE40"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 xml:space="preserve">Se organiza tanto a las personas como a los recursos, con una finalidad específica. La idea de empresa, o su composición es más bien como una célula básica de la sociedad. Reemplazaríamos a la empresa, por la familia, sería realmente eficaz. Porque la familia como célula básica de la sociedad no funciona, y no funciona porque no funciona como empresa.  Es decir, participación de capital y trabajo. Y cuando nos referimos a capital no estamos hablando únicamente de dinero o bienes, sino que incluimos en él al ser humano. El ser humano es un capital, porque capital es todo aquello que puede producir utilidades, ganancias, es una potencia, o un recurso. El hombre es un capital, el capital humano. </w:t>
      </w:r>
    </w:p>
    <w:p w14:paraId="432C4A16" w14:textId="77777777" w:rsidR="009E6E2E" w:rsidRPr="000D3432" w:rsidRDefault="009E6E2E" w:rsidP="00A95498">
      <w:pPr>
        <w:jc w:val="both"/>
        <w:rPr>
          <w:rFonts w:asciiTheme="minorHAnsi" w:hAnsiTheme="minorHAnsi"/>
          <w:b/>
          <w:szCs w:val="24"/>
        </w:rPr>
      </w:pPr>
    </w:p>
    <w:p w14:paraId="152309DB" w14:textId="77777777" w:rsidR="009E6E2E" w:rsidRPr="000D3432" w:rsidRDefault="009E6E2E" w:rsidP="00A95498">
      <w:pPr>
        <w:jc w:val="both"/>
        <w:rPr>
          <w:rFonts w:asciiTheme="minorHAnsi" w:hAnsiTheme="minorHAnsi"/>
          <w:b/>
          <w:szCs w:val="24"/>
        </w:rPr>
      </w:pPr>
      <w:r w:rsidRPr="000D3432">
        <w:rPr>
          <w:rFonts w:asciiTheme="minorHAnsi" w:hAnsiTheme="minorHAnsi"/>
          <w:b/>
          <w:szCs w:val="24"/>
        </w:rPr>
        <w:t>---</w:t>
      </w:r>
    </w:p>
    <w:p w14:paraId="7C3DE48E"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“Esa valoración se convirtió en respeto, el respeto en agrado y el agrado en amor.”</w:t>
      </w:r>
    </w:p>
    <w:p w14:paraId="6D761F28" w14:textId="77777777" w:rsidR="009E6E2E" w:rsidRPr="000D3432" w:rsidRDefault="009E6E2E" w:rsidP="00A95498">
      <w:pPr>
        <w:jc w:val="both"/>
        <w:rPr>
          <w:rFonts w:asciiTheme="minorHAnsi" w:hAnsiTheme="minorHAnsi"/>
          <w:szCs w:val="24"/>
        </w:rPr>
      </w:pPr>
    </w:p>
    <w:p w14:paraId="6796403C"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En la economía, como en el amor, todo empieza por la valoración. Esa es la clave de todo el intercambio emocional. Se valora a un ser humano por algo, belleza, candidez, inteligencia, personalidad, etc. Pero es la valoración la que lleva al derecho. No hay pues derecho sin previa valoración, sin esa valoración que se traduce o transforma en respeto, en imposición psicológica.</w:t>
      </w:r>
    </w:p>
    <w:p w14:paraId="0A2B1DA2" w14:textId="77777777" w:rsidR="009E6E2E" w:rsidRPr="000D3432" w:rsidRDefault="009E6E2E" w:rsidP="00A95498">
      <w:pPr>
        <w:jc w:val="both"/>
        <w:rPr>
          <w:rFonts w:asciiTheme="minorHAnsi" w:hAnsiTheme="minorHAnsi"/>
          <w:szCs w:val="24"/>
        </w:rPr>
      </w:pPr>
    </w:p>
    <w:p w14:paraId="331C8F8B" w14:textId="77777777" w:rsidR="009E6E2E" w:rsidRPr="000D3432" w:rsidRDefault="009E6E2E" w:rsidP="00A95498">
      <w:pPr>
        <w:pStyle w:val="Ttulo"/>
        <w:jc w:val="both"/>
        <w:rPr>
          <w:rFonts w:asciiTheme="minorHAnsi" w:hAnsiTheme="minorHAnsi"/>
        </w:rPr>
      </w:pPr>
      <w:r w:rsidRPr="000D3432">
        <w:rPr>
          <w:rFonts w:asciiTheme="minorHAnsi" w:hAnsiTheme="minorHAnsi"/>
        </w:rPr>
        <w:t>El Estado  y la economía de mercado</w:t>
      </w:r>
    </w:p>
    <w:p w14:paraId="69BB8A1B" w14:textId="77777777" w:rsidR="009E6E2E" w:rsidRPr="000D3432" w:rsidRDefault="009E6E2E" w:rsidP="00A95498">
      <w:pPr>
        <w:jc w:val="both"/>
        <w:rPr>
          <w:rFonts w:asciiTheme="minorHAnsi" w:hAnsiTheme="minorHAnsi"/>
          <w:szCs w:val="24"/>
        </w:rPr>
      </w:pPr>
    </w:p>
    <w:p w14:paraId="5AAE1A01"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 xml:space="preserve">El Estado ha sido el mayor invento de la economía. Arropada bajo conceptos políticos-jurídicos el Estado es un monstruo económico, un producto de la economía, del mercado. </w:t>
      </w:r>
    </w:p>
    <w:p w14:paraId="64287D4A" w14:textId="77777777" w:rsidR="009E6E2E" w:rsidRPr="000D3432" w:rsidRDefault="009E6E2E" w:rsidP="00A95498">
      <w:pPr>
        <w:jc w:val="both"/>
        <w:rPr>
          <w:rFonts w:asciiTheme="minorHAnsi" w:hAnsiTheme="minorHAnsi"/>
          <w:szCs w:val="24"/>
        </w:rPr>
      </w:pPr>
    </w:p>
    <w:p w14:paraId="005B736D"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 xml:space="preserve">Desde que existe el Estado ya deja de haber economía libre, o economía de mercado, o mejor, ya no existe en la economía de mercado la no intervención del Estado, porque el Estado siempre está presente, en todas las sociedades, a través de sus impuestos, aranceles, etc., etc. Así que la libertad de mercado, o la teoría de que en una economía de mercado no interviene el Estado es falsa. Y nunca habrá tal economía de mercado, en el concepto que Ludwig von Mises explica: "El Estado es un aparato social de fuerza y coacción" "no interfiere en su mecánica -dentro del mercado, o de la economía de mercado-, ni interviene en aquellas actividades de los ciudadanos que el propio mercado encauza", porque aunque el Estado no interviene directamente, si interviene, siempre. Así que es una estafa eso de la economía de mercado. El Estado interviene siempre por su sola existencia. ¿Cómo habría economía de  mercado? , pues, si seguimos la teoría explicada, tendríamos que prescindir del Estado. </w:t>
      </w:r>
    </w:p>
    <w:p w14:paraId="4F67D385" w14:textId="77777777" w:rsidR="009E6E2E" w:rsidRPr="000D3432" w:rsidRDefault="009E6E2E" w:rsidP="00A95498">
      <w:pPr>
        <w:jc w:val="both"/>
        <w:rPr>
          <w:rFonts w:asciiTheme="minorHAnsi" w:hAnsiTheme="minorHAnsi"/>
          <w:szCs w:val="24"/>
        </w:rPr>
      </w:pPr>
    </w:p>
    <w:p w14:paraId="5D2A74A0"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Sin embargo la economía de mercado intenta explicar otra cosa: el uso del mercado, es decir el hecho de poder hacer transacciones al costo mínimo, reducción de los gastos o costos de transacción.</w:t>
      </w:r>
    </w:p>
    <w:p w14:paraId="40C90826"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Además, estas transacciones, dentro del mercado, solo son reflejo de  ciertos juicios de valor, que se expresan en las "estructura de precios", es decir en los "tipos de cambio". Es decir que todas las transacciones -dice Mises- pueden retrotraerse a ciertos "actos electivos". Pero no me queda claro mucho esto, porque todos los actos electivos, todas nuestras decisiones no responden siempre a juicios de valor, como uso y definición de la razón, sino que responden a actos instintivos; y estos actos instintivos, son producto ya no de la naturaleza, de los instintos primarios, sino productos que son transformados por los conceptos culturales, así se forman nuevos instintos que responden mas bien a una creación cultural, a una determinación conceptual. Yo creo a veces que no hay juicios de valor, como elemento primigenio de la elección, sino actos instintivos, y son estos los que tienen una carga valorativa, y provocan una dirección.</w:t>
      </w:r>
    </w:p>
    <w:p w14:paraId="7B4A7477"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 </w:t>
      </w:r>
    </w:p>
    <w:p w14:paraId="7262F130"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 xml:space="preserve">Ahora bien, si el mercado somos todos, el asunto es ubicarse en la mejor posición, es decir que la economía está en la posición del mercado que nos ubicamos, eso viene a graficarse luego, en eso que se llama división del trabajo. </w:t>
      </w:r>
    </w:p>
    <w:p w14:paraId="58CBB74C" w14:textId="77777777" w:rsidR="009E6E2E" w:rsidRPr="000D3432" w:rsidRDefault="009E6E2E" w:rsidP="00A95498">
      <w:pPr>
        <w:jc w:val="both"/>
        <w:rPr>
          <w:rFonts w:asciiTheme="minorHAnsi" w:hAnsiTheme="minorHAnsi"/>
          <w:szCs w:val="24"/>
        </w:rPr>
      </w:pPr>
    </w:p>
    <w:p w14:paraId="1A43B800"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 xml:space="preserve">Ah, parece que los juicios de valor que tiene el ser humano son fácilmente determinables por el tipo de cambio que realizan, es decir el tipo de compra venta. </w:t>
      </w:r>
    </w:p>
    <w:p w14:paraId="32F6A63A" w14:textId="77777777" w:rsidR="009E6E2E" w:rsidRPr="000D3432" w:rsidRDefault="009E6E2E" w:rsidP="00A95498">
      <w:pPr>
        <w:jc w:val="both"/>
        <w:rPr>
          <w:rFonts w:asciiTheme="minorHAnsi" w:hAnsiTheme="minorHAnsi"/>
          <w:szCs w:val="24"/>
        </w:rPr>
      </w:pPr>
    </w:p>
    <w:p w14:paraId="3B53CAD3" w14:textId="77777777" w:rsidR="009E6E2E" w:rsidRPr="000D3432" w:rsidRDefault="009E6E2E" w:rsidP="00A95498">
      <w:pPr>
        <w:jc w:val="both"/>
        <w:rPr>
          <w:rFonts w:asciiTheme="minorHAnsi" w:hAnsiTheme="minorHAnsi"/>
          <w:szCs w:val="24"/>
        </w:rPr>
      </w:pPr>
      <w:r w:rsidRPr="000D3432">
        <w:rPr>
          <w:rFonts w:asciiTheme="minorHAnsi" w:hAnsiTheme="minorHAnsi"/>
          <w:szCs w:val="24"/>
        </w:rPr>
        <w:t>El concepto de poder lo define todo, poder comprar, poder tener enamorada, poder, poder, poder, poder.</w:t>
      </w:r>
    </w:p>
    <w:p w14:paraId="1898CCA2" w14:textId="77777777" w:rsidR="009E6E2E" w:rsidRPr="000D3432" w:rsidRDefault="009E6E2E" w:rsidP="00A95498">
      <w:pPr>
        <w:jc w:val="both"/>
        <w:rPr>
          <w:rFonts w:asciiTheme="minorHAnsi" w:hAnsiTheme="minorHAnsi"/>
          <w:szCs w:val="24"/>
        </w:rPr>
      </w:pPr>
    </w:p>
    <w:p w14:paraId="38EF1D5F" w14:textId="77777777" w:rsidR="009E6E2E" w:rsidRPr="000D3432" w:rsidRDefault="009E6E2E"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48469A08" w14:textId="77777777" w:rsidR="009E6E2E" w:rsidRPr="000D3432" w:rsidRDefault="009E6E2E" w:rsidP="00A95498">
      <w:pPr>
        <w:numPr>
          <w:ilvl w:val="12"/>
          <w:numId w:val="0"/>
        </w:numPr>
        <w:ind w:firstLine="426"/>
        <w:rPr>
          <w:rFonts w:asciiTheme="minorHAnsi" w:hAnsiTheme="minorHAnsi"/>
          <w:color w:val="000000"/>
          <w:szCs w:val="24"/>
        </w:rPr>
      </w:pPr>
    </w:p>
    <w:p w14:paraId="578FFA8C" w14:textId="77777777" w:rsidR="009E6E2E" w:rsidRPr="000D3432" w:rsidRDefault="009E6E2E" w:rsidP="00A95498">
      <w:pPr>
        <w:numPr>
          <w:ilvl w:val="12"/>
          <w:numId w:val="0"/>
        </w:numPr>
        <w:ind w:firstLine="426"/>
        <w:rPr>
          <w:rFonts w:asciiTheme="minorHAnsi" w:hAnsiTheme="minorHAnsi"/>
          <w:color w:val="000000"/>
          <w:szCs w:val="24"/>
        </w:rPr>
      </w:pPr>
    </w:p>
    <w:p w14:paraId="498BBE4D" w14:textId="77777777" w:rsidR="009E6E2E" w:rsidRPr="000D3432" w:rsidRDefault="009E6E2E" w:rsidP="00A95498">
      <w:pPr>
        <w:numPr>
          <w:ilvl w:val="12"/>
          <w:numId w:val="0"/>
        </w:numPr>
        <w:ind w:firstLine="426"/>
        <w:rPr>
          <w:rFonts w:asciiTheme="minorHAnsi" w:hAnsiTheme="minorHAnsi"/>
          <w:color w:val="000000"/>
          <w:szCs w:val="24"/>
        </w:rPr>
      </w:pPr>
    </w:p>
    <w:p w14:paraId="111069F7" w14:textId="77777777" w:rsidR="009E6E2E" w:rsidRPr="000D3432" w:rsidRDefault="009E6E2E" w:rsidP="00A95498">
      <w:pPr>
        <w:numPr>
          <w:ilvl w:val="12"/>
          <w:numId w:val="0"/>
        </w:numPr>
        <w:ind w:firstLine="426"/>
        <w:rPr>
          <w:rFonts w:asciiTheme="minorHAnsi" w:hAnsiTheme="minorHAnsi"/>
          <w:color w:val="000000"/>
          <w:szCs w:val="24"/>
        </w:rPr>
      </w:pPr>
    </w:p>
    <w:p w14:paraId="3DBDE1FA" w14:textId="77777777" w:rsidR="009E6E2E" w:rsidRPr="000D3432" w:rsidRDefault="009E6E2E" w:rsidP="00A95498">
      <w:pPr>
        <w:numPr>
          <w:ilvl w:val="12"/>
          <w:numId w:val="0"/>
        </w:numPr>
        <w:ind w:firstLine="426"/>
        <w:rPr>
          <w:rFonts w:asciiTheme="minorHAnsi" w:hAnsiTheme="minorHAnsi"/>
          <w:color w:val="000000"/>
          <w:szCs w:val="24"/>
        </w:rPr>
      </w:pPr>
    </w:p>
    <w:p w14:paraId="389304F8" w14:textId="77777777" w:rsidR="009E6E2E" w:rsidRPr="000D3432" w:rsidRDefault="009E6E2E" w:rsidP="00A95498">
      <w:pPr>
        <w:numPr>
          <w:ilvl w:val="12"/>
          <w:numId w:val="0"/>
        </w:numPr>
        <w:ind w:firstLine="426"/>
        <w:rPr>
          <w:rFonts w:asciiTheme="minorHAnsi" w:hAnsiTheme="minorHAnsi"/>
          <w:color w:val="000000"/>
          <w:szCs w:val="24"/>
        </w:rPr>
      </w:pPr>
    </w:p>
    <w:p w14:paraId="7B326D11" w14:textId="77777777" w:rsidR="009E6E2E" w:rsidRPr="000D3432" w:rsidRDefault="009E6E2E" w:rsidP="00A95498">
      <w:pPr>
        <w:numPr>
          <w:ilvl w:val="12"/>
          <w:numId w:val="0"/>
        </w:numPr>
        <w:ind w:firstLine="426"/>
        <w:rPr>
          <w:rFonts w:asciiTheme="minorHAnsi" w:hAnsiTheme="minorHAnsi"/>
          <w:color w:val="000000"/>
          <w:szCs w:val="24"/>
        </w:rPr>
      </w:pPr>
    </w:p>
    <w:p w14:paraId="588F103F" w14:textId="77777777" w:rsidR="009E6E2E" w:rsidRPr="000D3432" w:rsidRDefault="009E6E2E" w:rsidP="00A95498">
      <w:pPr>
        <w:numPr>
          <w:ilvl w:val="12"/>
          <w:numId w:val="0"/>
        </w:numPr>
        <w:ind w:firstLine="426"/>
        <w:rPr>
          <w:rFonts w:asciiTheme="minorHAnsi" w:hAnsiTheme="minorHAnsi"/>
          <w:color w:val="000000"/>
          <w:szCs w:val="24"/>
        </w:rPr>
      </w:pPr>
    </w:p>
    <w:p w14:paraId="036F3075" w14:textId="77777777" w:rsidR="009E6E2E" w:rsidRPr="000D3432" w:rsidRDefault="009E6E2E" w:rsidP="00A95498">
      <w:pPr>
        <w:pStyle w:val="Ttulo"/>
        <w:rPr>
          <w:rFonts w:asciiTheme="minorHAnsi" w:hAnsiTheme="minorHAnsi"/>
        </w:rPr>
      </w:pPr>
      <w:r w:rsidRPr="000D3432">
        <w:rPr>
          <w:rFonts w:asciiTheme="minorHAnsi" w:hAnsiTheme="minorHAnsi"/>
        </w:rPr>
        <w:t xml:space="preserve">JEAN PAUL SARTRE </w:t>
      </w:r>
    </w:p>
    <w:p w14:paraId="5BA2BDBC" w14:textId="77777777" w:rsidR="009E6E2E" w:rsidRPr="000D3432" w:rsidRDefault="009E6E2E" w:rsidP="00A95498">
      <w:pPr>
        <w:pStyle w:val="Ttulo"/>
        <w:rPr>
          <w:rFonts w:asciiTheme="minorHAnsi" w:hAnsiTheme="minorHAnsi"/>
        </w:rPr>
      </w:pPr>
      <w:r w:rsidRPr="000D3432">
        <w:rPr>
          <w:rFonts w:asciiTheme="minorHAnsi" w:hAnsiTheme="minorHAnsi"/>
        </w:rPr>
        <w:t>______________ DESDE LA ÓPTICA DEL DERECHO ______________</w:t>
      </w:r>
    </w:p>
    <w:p w14:paraId="0D55CF35" w14:textId="77777777" w:rsidR="009E6E2E" w:rsidRPr="000D3432" w:rsidRDefault="009E6E2E" w:rsidP="00A95498">
      <w:pPr>
        <w:jc w:val="both"/>
        <w:rPr>
          <w:rFonts w:asciiTheme="minorHAnsi" w:hAnsiTheme="minorHAnsi"/>
          <w:szCs w:val="24"/>
        </w:rPr>
      </w:pPr>
    </w:p>
    <w:p w14:paraId="2FFAEC09" w14:textId="77777777" w:rsidR="009E6E2E" w:rsidRPr="000D3432" w:rsidRDefault="009E6E2E" w:rsidP="00A95498">
      <w:pPr>
        <w:jc w:val="both"/>
        <w:rPr>
          <w:rFonts w:asciiTheme="minorHAnsi" w:hAnsiTheme="minorHAnsi"/>
          <w:szCs w:val="24"/>
        </w:rPr>
      </w:pPr>
    </w:p>
    <w:p w14:paraId="483DEF8F" w14:textId="77777777" w:rsidR="009E6E2E" w:rsidRPr="000D3432" w:rsidRDefault="009E6E2E" w:rsidP="00A95498">
      <w:pPr>
        <w:jc w:val="both"/>
        <w:rPr>
          <w:rFonts w:asciiTheme="minorHAnsi" w:hAnsiTheme="minorHAnsi"/>
          <w:szCs w:val="24"/>
        </w:rPr>
      </w:pPr>
    </w:p>
    <w:p w14:paraId="0B1C1612" w14:textId="77777777" w:rsidR="009E6E2E" w:rsidRPr="000D3432" w:rsidRDefault="009E6E2E" w:rsidP="00A95498">
      <w:pPr>
        <w:jc w:val="both"/>
        <w:rPr>
          <w:rFonts w:asciiTheme="minorHAnsi" w:hAnsiTheme="minorHAnsi"/>
          <w:szCs w:val="24"/>
        </w:rPr>
      </w:pPr>
    </w:p>
    <w:p w14:paraId="4F877134" w14:textId="77777777" w:rsidR="009E6E2E" w:rsidRPr="000D3432" w:rsidRDefault="009E6E2E" w:rsidP="00A95498">
      <w:pPr>
        <w:jc w:val="both"/>
        <w:rPr>
          <w:rFonts w:asciiTheme="minorHAnsi" w:hAnsiTheme="minorHAnsi"/>
          <w:szCs w:val="24"/>
        </w:rPr>
      </w:pPr>
    </w:p>
    <w:p w14:paraId="1A0EA85E" w14:textId="77777777" w:rsidR="009E6E2E" w:rsidRPr="000D3432" w:rsidRDefault="009E6E2E" w:rsidP="00A95498">
      <w:pPr>
        <w:pStyle w:val="Textodecuerpo"/>
        <w:spacing w:line="240" w:lineRule="auto"/>
        <w:rPr>
          <w:rFonts w:asciiTheme="minorHAnsi" w:hAnsiTheme="minorHAnsi"/>
          <w:sz w:val="24"/>
          <w:szCs w:val="24"/>
        </w:rPr>
      </w:pPr>
      <w:r w:rsidRPr="000D3432">
        <w:rPr>
          <w:rFonts w:asciiTheme="minorHAnsi" w:hAnsiTheme="minorHAnsi"/>
          <w:sz w:val="24"/>
          <w:szCs w:val="24"/>
        </w:rPr>
        <w:t>Hace mucho que no tengo noticias de Jean Paul Sartre, escribió creo algo sobre el existencialismo, entre la penumbra del compromiso de escribir, y la necesidad de revitalizar su propia existencia. En el Perú fue uno de sus mayores admiradores Mario Vargas Llosa, al que decían –según cuenta el mismo- “el sartresillo valiente”. No puedo decir mucho sobre Sartre, sobre su vida, no puedo decir, por ejemplo, que nació en Francia, ni que fue titulado el paladín de Francia, ni que logró escribir enormes tomos sobre el Ser y la Nada, por ejemplo, o sobre Jean Genet, al cual, gracias a sus profunda meditaciones y opiniones públicas, dieron libertad, pues estaba en cárcel –si es que no me equivoco-.</w:t>
      </w:r>
    </w:p>
    <w:p w14:paraId="3F5DD4C6" w14:textId="77777777" w:rsidR="009E6E2E" w:rsidRPr="000D3432" w:rsidRDefault="009E6E2E" w:rsidP="00A95498">
      <w:pPr>
        <w:pStyle w:val="Textodecuerpo"/>
        <w:spacing w:line="240" w:lineRule="auto"/>
        <w:rPr>
          <w:rFonts w:asciiTheme="minorHAnsi" w:hAnsiTheme="minorHAnsi"/>
          <w:sz w:val="24"/>
          <w:szCs w:val="24"/>
        </w:rPr>
      </w:pPr>
    </w:p>
    <w:p w14:paraId="0DB8735E" w14:textId="77777777" w:rsidR="009E6E2E" w:rsidRPr="000D3432" w:rsidRDefault="009E6E2E" w:rsidP="00A95498">
      <w:pPr>
        <w:pStyle w:val="Textodecuerpo"/>
        <w:spacing w:line="240" w:lineRule="auto"/>
        <w:rPr>
          <w:rFonts w:asciiTheme="minorHAnsi" w:hAnsiTheme="minorHAnsi"/>
          <w:sz w:val="24"/>
          <w:szCs w:val="24"/>
        </w:rPr>
      </w:pPr>
      <w:r w:rsidRPr="000D3432">
        <w:rPr>
          <w:rFonts w:asciiTheme="minorHAnsi" w:hAnsiTheme="minorHAnsi"/>
          <w:sz w:val="24"/>
          <w:szCs w:val="24"/>
        </w:rPr>
        <w:t>No, no puedo hablar mucho de Sartre, pues sólo sé de el muy pocas cosas,  cosas tan comunes como la idea del “compromiso del escritor” que parecía consistir en que era preferible apoyar a los niños antes que escribir obras. No, no puedo hablar tampoco de esa manía por tomarse todo en serio, como si la vida misma fuera seria. Ni puedo recordar si acaso se equivocó mucho. Sólo puedo hablar de Sartre desde una perspectiva de abogado, es decir, de las normas jurídicas. Perspectiva, por cierto, que se presiente oscura, aburrida, y nada agradable. Pero el Derecho, para mi, es la más grande expresión de lo que siente el hombre. Es sentir la vida en carne hueso.</w:t>
      </w:r>
    </w:p>
    <w:p w14:paraId="782EA2E7" w14:textId="77777777" w:rsidR="009E6E2E" w:rsidRPr="000D3432" w:rsidRDefault="009E6E2E" w:rsidP="00A95498">
      <w:pPr>
        <w:jc w:val="both"/>
        <w:rPr>
          <w:rFonts w:asciiTheme="minorHAnsi" w:hAnsiTheme="minorHAnsi"/>
          <w:szCs w:val="24"/>
          <w:lang w:val="es-MX"/>
        </w:rPr>
      </w:pPr>
    </w:p>
    <w:p w14:paraId="302C7C3E"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Hablar de Jean Paul Sartre sobre los 100 años de Libertad, es remitirse, en nuestra vida, a un tipo de ordenamiento social, que tiene que pasar por la expresión jurídica, no puede haber libertad sino existe libertad jurídica, y ésta es una ficción inventada por los seres humanos para poder convivir.</w:t>
      </w:r>
    </w:p>
    <w:p w14:paraId="35A727F9" w14:textId="77777777" w:rsidR="009E6E2E" w:rsidRPr="000D3432" w:rsidRDefault="009E6E2E" w:rsidP="00A95498">
      <w:pPr>
        <w:jc w:val="both"/>
        <w:rPr>
          <w:rFonts w:asciiTheme="minorHAnsi" w:hAnsiTheme="minorHAnsi"/>
          <w:szCs w:val="24"/>
          <w:lang w:val="es-MX"/>
        </w:rPr>
      </w:pPr>
    </w:p>
    <w:p w14:paraId="68B53FF0" w14:textId="77777777" w:rsidR="009E6E2E" w:rsidRPr="000D3432" w:rsidRDefault="009E6E2E" w:rsidP="00A95498">
      <w:pPr>
        <w:widowControl/>
        <w:overflowPunct/>
        <w:autoSpaceDE/>
        <w:autoSpaceDN/>
        <w:adjustRightInd/>
        <w:ind w:left="360"/>
        <w:jc w:val="center"/>
        <w:textAlignment w:val="auto"/>
        <w:rPr>
          <w:rFonts w:asciiTheme="minorHAnsi" w:hAnsiTheme="minorHAnsi"/>
          <w:szCs w:val="24"/>
          <w:lang w:val="es-MX"/>
        </w:rPr>
      </w:pPr>
      <w:r w:rsidRPr="000D3432">
        <w:rPr>
          <w:rFonts w:asciiTheme="minorHAnsi" w:hAnsiTheme="minorHAnsi"/>
          <w:szCs w:val="24"/>
          <w:lang w:val="es-MX"/>
        </w:rPr>
        <w:t>- -</w:t>
      </w:r>
    </w:p>
    <w:p w14:paraId="0C62DB24" w14:textId="77777777" w:rsidR="009E6E2E" w:rsidRPr="000D3432" w:rsidRDefault="009E6E2E" w:rsidP="00A95498">
      <w:pPr>
        <w:pStyle w:val="Textodecuerpo"/>
        <w:spacing w:line="240" w:lineRule="auto"/>
        <w:rPr>
          <w:rFonts w:asciiTheme="minorHAnsi" w:hAnsiTheme="minorHAnsi"/>
          <w:b/>
          <w:sz w:val="24"/>
          <w:szCs w:val="24"/>
          <w:lang w:val="es-ES_tradnl"/>
        </w:rPr>
      </w:pPr>
    </w:p>
    <w:p w14:paraId="477DBEB5" w14:textId="77777777" w:rsidR="009E6E2E" w:rsidRPr="000D3432" w:rsidRDefault="009E6E2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Shopenhauer diría que la libertad es “un concepto negativo”, ¿por qué?, porque por el entendemos “la ausencia de todo obstáculo”.</w:t>
      </w:r>
      <w:r w:rsidRPr="000D3432">
        <w:rPr>
          <w:rStyle w:val="Refdenotaalpie"/>
          <w:rFonts w:asciiTheme="minorHAnsi" w:hAnsiTheme="minorHAnsi"/>
          <w:sz w:val="24"/>
          <w:szCs w:val="24"/>
          <w:lang w:val="es-ES_tradnl"/>
        </w:rPr>
        <w:footnoteReference w:id="769"/>
      </w:r>
      <w:r w:rsidRPr="000D3432">
        <w:rPr>
          <w:rFonts w:asciiTheme="minorHAnsi" w:hAnsiTheme="minorHAnsi"/>
          <w:sz w:val="24"/>
          <w:szCs w:val="24"/>
          <w:lang w:val="es-ES_tradnl"/>
        </w:rPr>
        <w:t xml:space="preserve"> La libertad más bien es una fuerza que se representa, que se manifiesta, que se expresa, y como tal debe ser positiva. Shopenhauer, partiendo de este concepto distingue los tipos de libertad y los divide en: Libertad física, Libertad intelectual, y la Libertad moral; las cuales intentaremos explicar brevemente:</w:t>
      </w:r>
    </w:p>
    <w:p w14:paraId="3E09FC4C" w14:textId="77777777" w:rsidR="009E6E2E" w:rsidRPr="000D3432" w:rsidRDefault="009E6E2E" w:rsidP="00A95498">
      <w:pPr>
        <w:pStyle w:val="Textodecuerpo"/>
        <w:spacing w:line="240" w:lineRule="auto"/>
        <w:rPr>
          <w:rFonts w:asciiTheme="minorHAnsi" w:hAnsiTheme="minorHAnsi"/>
          <w:sz w:val="24"/>
          <w:szCs w:val="24"/>
          <w:lang w:val="es-ES_tradnl"/>
        </w:rPr>
      </w:pPr>
    </w:p>
    <w:p w14:paraId="2020C195" w14:textId="77777777" w:rsidR="009E6E2E" w:rsidRPr="000D3432" w:rsidRDefault="009E6E2E" w:rsidP="00A95498">
      <w:pPr>
        <w:pStyle w:val="Textodecuerpo"/>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a) Libertad física:</w:t>
      </w:r>
    </w:p>
    <w:p w14:paraId="23AF4008" w14:textId="77777777" w:rsidR="009E6E2E" w:rsidRPr="000D3432" w:rsidRDefault="009E6E2E" w:rsidP="00A95498">
      <w:pPr>
        <w:pStyle w:val="Textodecuerpo"/>
        <w:spacing w:line="240" w:lineRule="auto"/>
        <w:rPr>
          <w:rFonts w:asciiTheme="minorHAnsi" w:hAnsiTheme="minorHAnsi"/>
          <w:sz w:val="24"/>
          <w:szCs w:val="24"/>
          <w:lang w:val="es-ES_tradnl"/>
        </w:rPr>
      </w:pPr>
    </w:p>
    <w:p w14:paraId="153830A6" w14:textId="77777777" w:rsidR="009E6E2E" w:rsidRPr="000D3432" w:rsidRDefault="009E6E2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Que para Shopenhauer no es más que la “ausencia  de cualquier tipo de obstáculo </w:t>
      </w:r>
      <w:r w:rsidRPr="000D3432">
        <w:rPr>
          <w:rFonts w:asciiTheme="minorHAnsi" w:hAnsiTheme="minorHAnsi"/>
          <w:i/>
          <w:sz w:val="24"/>
          <w:szCs w:val="24"/>
          <w:lang w:val="es-ES_tradnl"/>
        </w:rPr>
        <w:t>material.</w:t>
      </w:r>
    </w:p>
    <w:p w14:paraId="27AF1D8F" w14:textId="77777777" w:rsidR="009E6E2E" w:rsidRPr="000D3432" w:rsidRDefault="009E6E2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“Designa la ausencia de condiciones vejatorias”,</w:t>
      </w:r>
      <w:r w:rsidRPr="000D3432">
        <w:rPr>
          <w:rStyle w:val="Refdenotaalpie"/>
          <w:rFonts w:asciiTheme="minorHAnsi" w:hAnsiTheme="minorHAnsi"/>
          <w:sz w:val="24"/>
          <w:szCs w:val="24"/>
          <w:lang w:val="es-ES_tradnl"/>
        </w:rPr>
        <w:footnoteReference w:id="770"/>
      </w:r>
      <w:r w:rsidRPr="000D3432">
        <w:rPr>
          <w:rFonts w:asciiTheme="minorHAnsi" w:hAnsiTheme="minorHAnsi"/>
          <w:sz w:val="24"/>
          <w:szCs w:val="24"/>
          <w:lang w:val="es-ES_tradnl"/>
        </w:rPr>
        <w:t xml:space="preserve"> y esas condiciones vejatorias serían las que disminuyen al hombre en su condición de hombre y de sujeto de derecho y dignidad. Pero cuando algo se dice que es voluntario, se dice que tiene raíz en su voluntad, es por que es una acción libre, es decir cuando los actos no son imposibilitados por ningún obstáculo. Sin embargo, no siempre sucede que la voluntad es el libre discurrir de la fuerza del hombre, no siempre se pueda dar rienda suelta a las potencialidades y quereres del hombre. La libertad se halla obstruida por factores muy diversos. Cuando esos obstáculos son físicos, materiales, como un muro, una montaña, etc., entonces la voluntad sufre no por razones inmateriales sino por condiciones físicas -valga la redundancia-, y la voluntad queda fuera del radio operativo del individuo. La experiencia, la observación demuestra el obstáculo, y “bajo este significado el concepto de la libertad no está expuesto a ninguna duda o controversia, pues siempre puede darse testimonio de su realidad a través de la experiencia.”</w:t>
      </w:r>
      <w:r w:rsidRPr="000D3432">
        <w:rPr>
          <w:rStyle w:val="Refdenotaalpie"/>
          <w:rFonts w:asciiTheme="minorHAnsi" w:hAnsiTheme="minorHAnsi"/>
          <w:sz w:val="24"/>
          <w:szCs w:val="24"/>
          <w:lang w:val="es-ES_tradnl"/>
        </w:rPr>
        <w:footnoteReference w:id="771"/>
      </w:r>
      <w:r w:rsidRPr="000D3432">
        <w:rPr>
          <w:rFonts w:asciiTheme="minorHAnsi" w:hAnsiTheme="minorHAnsi"/>
          <w:sz w:val="24"/>
          <w:szCs w:val="24"/>
          <w:lang w:val="es-ES_tradnl"/>
        </w:rPr>
        <w:t xml:space="preserve"> Así: “El concepto de libertad, en este su significado original inmediato y popular, se refiere sólo al </w:t>
      </w:r>
      <w:r w:rsidRPr="000D3432">
        <w:rPr>
          <w:rFonts w:asciiTheme="minorHAnsi" w:hAnsiTheme="minorHAnsi"/>
          <w:i/>
          <w:sz w:val="24"/>
          <w:szCs w:val="24"/>
          <w:lang w:val="es-ES_tradnl"/>
        </w:rPr>
        <w:t xml:space="preserve">poder </w:t>
      </w:r>
      <w:r w:rsidRPr="000D3432">
        <w:rPr>
          <w:rFonts w:asciiTheme="minorHAnsi" w:hAnsiTheme="minorHAnsi"/>
          <w:sz w:val="24"/>
          <w:szCs w:val="24"/>
          <w:lang w:val="es-ES_tradnl"/>
        </w:rPr>
        <w:t xml:space="preserve">(poder obrar), es decir, a la ausencia de obstáculos en sus acciones.” </w:t>
      </w:r>
      <w:r w:rsidRPr="000D3432">
        <w:rPr>
          <w:rStyle w:val="Refdenotaalpie"/>
          <w:rFonts w:asciiTheme="minorHAnsi" w:hAnsiTheme="minorHAnsi"/>
          <w:sz w:val="24"/>
          <w:szCs w:val="24"/>
          <w:lang w:val="es-ES_tradnl"/>
        </w:rPr>
        <w:footnoteReference w:id="772"/>
      </w:r>
      <w:r w:rsidRPr="000D3432">
        <w:rPr>
          <w:rFonts w:asciiTheme="minorHAnsi" w:hAnsiTheme="minorHAnsi"/>
          <w:sz w:val="24"/>
          <w:szCs w:val="24"/>
          <w:lang w:val="es-ES_tradnl"/>
        </w:rPr>
        <w:t xml:space="preserve"> No hay duda de cual es el obstáculo. Las razones son,  pasibles de ser verificados por medio de los sentidos.  </w:t>
      </w:r>
    </w:p>
    <w:p w14:paraId="040DB4D8" w14:textId="77777777" w:rsidR="009E6E2E" w:rsidRPr="000D3432" w:rsidRDefault="009E6E2E" w:rsidP="00A95498">
      <w:pPr>
        <w:pStyle w:val="Textodecuerpo"/>
        <w:spacing w:line="240" w:lineRule="auto"/>
        <w:rPr>
          <w:rFonts w:asciiTheme="minorHAnsi" w:hAnsiTheme="minorHAnsi"/>
          <w:sz w:val="24"/>
          <w:szCs w:val="24"/>
          <w:lang w:val="es-ES_tradnl"/>
        </w:rPr>
      </w:pPr>
    </w:p>
    <w:p w14:paraId="1CDF774C" w14:textId="77777777" w:rsidR="009E6E2E" w:rsidRPr="000D3432" w:rsidRDefault="009E6E2E" w:rsidP="00A95498">
      <w:pPr>
        <w:pStyle w:val="Textodecuerpo"/>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b) Libertad intelectual:</w:t>
      </w:r>
    </w:p>
    <w:p w14:paraId="43F05442" w14:textId="77777777" w:rsidR="009E6E2E" w:rsidRPr="000D3432" w:rsidRDefault="009E6E2E" w:rsidP="00A95498">
      <w:pPr>
        <w:pStyle w:val="Textodecuerpo"/>
        <w:spacing w:line="240" w:lineRule="auto"/>
        <w:rPr>
          <w:rFonts w:asciiTheme="minorHAnsi" w:hAnsiTheme="minorHAnsi"/>
          <w:sz w:val="24"/>
          <w:szCs w:val="24"/>
          <w:lang w:val="es-ES_tradnl"/>
        </w:rPr>
      </w:pPr>
    </w:p>
    <w:p w14:paraId="75DD43E9" w14:textId="77777777" w:rsidR="009E6E2E" w:rsidRPr="000D3432" w:rsidRDefault="009E6E2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Hay que establecer que para hablar de este tipo de libertad lo primero es establecer qué es el intelecto, y decir, luego, que el intelecto es la facultad del conocimiento, que como fenómeno psíquico luego actúa sobre la voluntad. Así: “El hombre intelectualmente libre, es aquel que cuando la voluntad puede decidirse de acuerdo con la naturaleza del hombre, o sea de acuerdo con el carácter individual del hombre, y manifestarse sin trabas según su propia esencia.</w:t>
      </w:r>
      <w:r w:rsidRPr="000D3432">
        <w:rPr>
          <w:rStyle w:val="Refdenotaalpie"/>
          <w:rFonts w:asciiTheme="minorHAnsi" w:hAnsiTheme="minorHAnsi"/>
          <w:sz w:val="24"/>
          <w:szCs w:val="24"/>
          <w:lang w:val="es-ES_tradnl"/>
        </w:rPr>
        <w:footnoteReference w:id="773"/>
      </w:r>
      <w:r w:rsidRPr="000D3432">
        <w:rPr>
          <w:rFonts w:asciiTheme="minorHAnsi" w:hAnsiTheme="minorHAnsi"/>
          <w:sz w:val="24"/>
          <w:szCs w:val="24"/>
          <w:lang w:val="es-ES_tradnl"/>
        </w:rPr>
        <w:t xml:space="preserve"> Por lo tanto la libertad intelectual se manifiesta en las acciones, en el resultado de las acciones y conductas del hombre. Es decir, un hombre es intelectualmente libre cuando “sus acciones son sólo el resultado de la reacción de su voluntad ante los motivos que se le presentan en el mundo externo de la misma manera que a todos los demás. Es entonces cuando se le atribuyen sus acciones moral y jurídicamente.” </w:t>
      </w:r>
      <w:r w:rsidRPr="000D3432">
        <w:rPr>
          <w:rStyle w:val="Refdenotaalpie"/>
          <w:rFonts w:asciiTheme="minorHAnsi" w:hAnsiTheme="minorHAnsi"/>
          <w:sz w:val="24"/>
          <w:szCs w:val="24"/>
          <w:lang w:val="es-ES_tradnl"/>
        </w:rPr>
        <w:footnoteReference w:id="774"/>
      </w:r>
      <w:r w:rsidRPr="000D3432">
        <w:rPr>
          <w:rFonts w:asciiTheme="minorHAnsi" w:hAnsiTheme="minorHAnsi"/>
          <w:sz w:val="24"/>
          <w:szCs w:val="24"/>
          <w:lang w:val="es-ES_tradnl"/>
        </w:rPr>
        <w:t xml:space="preserve"> Existe relación entre el individuo y sus conocimientos, y sus motivos; puesto que el intelecto es el medio de los motivos: “el </w:t>
      </w:r>
      <w:r w:rsidRPr="000D3432">
        <w:rPr>
          <w:rFonts w:asciiTheme="minorHAnsi" w:hAnsiTheme="minorHAnsi"/>
          <w:i/>
          <w:sz w:val="24"/>
          <w:szCs w:val="24"/>
          <w:lang w:val="es-ES_tradnl"/>
        </w:rPr>
        <w:t>medium</w:t>
      </w:r>
      <w:r w:rsidRPr="000D3432">
        <w:rPr>
          <w:rFonts w:asciiTheme="minorHAnsi" w:hAnsiTheme="minorHAnsi"/>
          <w:sz w:val="24"/>
          <w:szCs w:val="24"/>
          <w:lang w:val="es-ES_tradnl"/>
        </w:rPr>
        <w:t xml:space="preserve"> del motivo es el </w:t>
      </w:r>
      <w:r w:rsidRPr="000D3432">
        <w:rPr>
          <w:rFonts w:asciiTheme="minorHAnsi" w:hAnsiTheme="minorHAnsi"/>
          <w:i/>
          <w:sz w:val="24"/>
          <w:szCs w:val="24"/>
          <w:lang w:val="es-ES_tradnl"/>
        </w:rPr>
        <w:t>conocimiento”</w:t>
      </w:r>
      <w:r w:rsidRPr="000D3432">
        <w:rPr>
          <w:rStyle w:val="Refdenotaalpie"/>
          <w:rFonts w:asciiTheme="minorHAnsi" w:hAnsiTheme="minorHAnsi"/>
          <w:sz w:val="24"/>
          <w:szCs w:val="24"/>
          <w:lang w:val="es-ES_tradnl"/>
        </w:rPr>
        <w:footnoteReference w:id="775"/>
      </w:r>
      <w:r w:rsidRPr="000D3432">
        <w:rPr>
          <w:rFonts w:asciiTheme="minorHAnsi" w:hAnsiTheme="minorHAnsi"/>
          <w:sz w:val="24"/>
          <w:szCs w:val="24"/>
          <w:lang w:val="es-ES_tradnl"/>
        </w:rPr>
        <w:t>, “si falta el conocimiento, falta también necesariamente el movimiento por motivos”.</w:t>
      </w:r>
      <w:r w:rsidRPr="000D3432">
        <w:rPr>
          <w:rStyle w:val="Refdenotaalpie"/>
          <w:rFonts w:asciiTheme="minorHAnsi" w:hAnsiTheme="minorHAnsi"/>
          <w:sz w:val="24"/>
          <w:szCs w:val="24"/>
          <w:lang w:val="es-ES_tradnl"/>
        </w:rPr>
        <w:footnoteReference w:id="776"/>
      </w:r>
      <w:r w:rsidRPr="000D3432">
        <w:rPr>
          <w:rFonts w:asciiTheme="minorHAnsi" w:hAnsiTheme="minorHAnsi"/>
          <w:sz w:val="24"/>
          <w:szCs w:val="24"/>
          <w:lang w:val="es-ES_tradnl"/>
        </w:rPr>
        <w:t xml:space="preserve"> La libertad intelectual parte, entonces, del conocimiento y del tratamiento que el ser humano da a estos conocimientos, a esos saberes. Es el intelecto el dominante, es éste el conjunto o sistema de conocimientos; pues en síntesis el intelecto es conocimiento que responde a motivaciones. Shopenhauer le atribuye a este conocer, la característica central de todos los animales; y claro, dentro de los animales están los seres humanos de carne y hueso -como diría Unamuno-. No olvidemos que la carácterística diferenciable del ser humano es su condición de animal de conocimiento, sujeto y objeto de conocimiento, es más “…la verdadera característica del animal sea el conocer, el representar. El animal, como tal, se mueve siempre hacia un fin, con un propósito, el cual debe ser conocido por él, esto es, debe representársele como algo diferente de él mismo y tener conciencia de este algo. Por consiguiente, hay que definir al animal diciendo que es ‘lo que conoce”.</w:t>
      </w:r>
      <w:r w:rsidRPr="000D3432">
        <w:rPr>
          <w:rStyle w:val="Refdenotaalpie"/>
          <w:rFonts w:asciiTheme="minorHAnsi" w:hAnsiTheme="minorHAnsi"/>
          <w:sz w:val="24"/>
          <w:szCs w:val="24"/>
          <w:lang w:val="es-ES_tradnl"/>
        </w:rPr>
        <w:footnoteReference w:id="777"/>
      </w:r>
      <w:r w:rsidRPr="000D3432">
        <w:rPr>
          <w:rFonts w:asciiTheme="minorHAnsi" w:hAnsiTheme="minorHAnsi"/>
          <w:sz w:val="24"/>
          <w:szCs w:val="24"/>
          <w:lang w:val="es-ES_tradnl"/>
        </w:rPr>
        <w:t xml:space="preserve"> Y el hombre es ese animal que conoce, y por lo tanto tiene intelecto, por que es nada más que conjunto de conocimientos y de representaciones conceptuales. </w:t>
      </w:r>
    </w:p>
    <w:p w14:paraId="44833CFA" w14:textId="77777777" w:rsidR="009E6E2E" w:rsidRPr="000D3432" w:rsidRDefault="009E6E2E" w:rsidP="00A95498">
      <w:pPr>
        <w:pStyle w:val="Textodecuerpo"/>
        <w:spacing w:line="240" w:lineRule="auto"/>
        <w:rPr>
          <w:rFonts w:asciiTheme="minorHAnsi" w:hAnsiTheme="minorHAnsi"/>
          <w:sz w:val="24"/>
          <w:szCs w:val="24"/>
          <w:lang w:val="es-ES_tradnl"/>
        </w:rPr>
      </w:pPr>
    </w:p>
    <w:p w14:paraId="79C71C0F" w14:textId="77777777" w:rsidR="009E6E2E" w:rsidRPr="000D3432" w:rsidRDefault="009E6E2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Bueno, cuando la libertad intelectual se ve obstaculizada, ya no hay voluntad, podemos explicarlo reseñando a Shopenhauer quien escribe que: “Esta libertad intelectual queda </w:t>
      </w:r>
      <w:r w:rsidRPr="000D3432">
        <w:rPr>
          <w:rFonts w:asciiTheme="minorHAnsi" w:hAnsiTheme="minorHAnsi"/>
          <w:i/>
          <w:sz w:val="24"/>
          <w:szCs w:val="24"/>
          <w:lang w:val="es-ES_tradnl"/>
        </w:rPr>
        <w:t>suprimida</w:t>
      </w:r>
      <w:r w:rsidRPr="000D3432">
        <w:rPr>
          <w:rFonts w:asciiTheme="minorHAnsi" w:hAnsiTheme="minorHAnsi"/>
          <w:sz w:val="24"/>
          <w:szCs w:val="24"/>
          <w:lang w:val="es-ES_tradnl"/>
        </w:rPr>
        <w:t>, o bien cuando el medio de los motivos, la facultad del conocimiento, está trastornado temporal o definitivamente, o cuando las circunstancias exteriores en determinados casos adulteran la aprehensión de los motivos. El primer caso es el de la locura, el delirio, el paroxismo y el delirio de la borrachera; el segundo el de un error del cual no somos culpables, como, por ejemplo, cuando alguien sirve veneno en lugar de medicina o dispara contra el criado que ha entrado por la noche tomándolo por un ladrón. En ambos casos los motivos están adulterados y, por lo tanto, la voluntad no puede decidirse como lo haría bajo las mismas circunstancias si el intelecto se los suministrase correctamente.”</w:t>
      </w:r>
      <w:r w:rsidRPr="000D3432">
        <w:rPr>
          <w:rStyle w:val="Refdenotaalpie"/>
          <w:rFonts w:asciiTheme="minorHAnsi" w:hAnsiTheme="minorHAnsi"/>
          <w:sz w:val="24"/>
          <w:szCs w:val="24"/>
          <w:lang w:val="es-ES_tradnl"/>
        </w:rPr>
        <w:footnoteReference w:id="778"/>
      </w:r>
      <w:r w:rsidRPr="000D3432">
        <w:rPr>
          <w:rFonts w:asciiTheme="minorHAnsi" w:hAnsiTheme="minorHAnsi"/>
          <w:sz w:val="24"/>
          <w:szCs w:val="24"/>
          <w:lang w:val="es-ES_tradnl"/>
        </w:rPr>
        <w:t xml:space="preserve"> La pregunta sería luego, en el caso del derecho a la información, ¿cuándo la voluntad de conocer está intelectualmente limitada?, o ¿cuándo debería estar limitada la libertad intelectual de conocer?</w:t>
      </w:r>
    </w:p>
    <w:p w14:paraId="668C5219" w14:textId="77777777" w:rsidR="009E6E2E" w:rsidRPr="000D3432" w:rsidRDefault="009E6E2E" w:rsidP="00A95498">
      <w:pPr>
        <w:pStyle w:val="Textodecuerpo"/>
        <w:spacing w:line="240" w:lineRule="auto"/>
        <w:rPr>
          <w:rFonts w:asciiTheme="minorHAnsi" w:hAnsiTheme="minorHAnsi"/>
          <w:sz w:val="24"/>
          <w:szCs w:val="24"/>
          <w:lang w:val="es-ES_tradnl"/>
        </w:rPr>
      </w:pPr>
    </w:p>
    <w:p w14:paraId="30368397" w14:textId="77777777" w:rsidR="009E6E2E" w:rsidRPr="000D3432" w:rsidRDefault="009E6E2E" w:rsidP="00A95498">
      <w:pPr>
        <w:pStyle w:val="Textodecuerpo"/>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c) La libertad moral:</w:t>
      </w:r>
    </w:p>
    <w:p w14:paraId="36631105" w14:textId="77777777" w:rsidR="009E6E2E" w:rsidRPr="000D3432" w:rsidRDefault="009E6E2E" w:rsidP="00A95498">
      <w:pPr>
        <w:pStyle w:val="Textodecuerpo"/>
        <w:spacing w:line="240" w:lineRule="auto"/>
        <w:rPr>
          <w:rFonts w:asciiTheme="minorHAnsi" w:hAnsiTheme="minorHAnsi"/>
          <w:sz w:val="24"/>
          <w:szCs w:val="24"/>
          <w:lang w:val="es-ES_tradnl"/>
        </w:rPr>
      </w:pPr>
    </w:p>
    <w:p w14:paraId="1190CC81" w14:textId="77777777" w:rsidR="009E6E2E" w:rsidRPr="000D3432" w:rsidRDefault="009E6E2E"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Lo interesante de la libertad moral es la apreciación de que un motivo no tiene fuerza irresistible, porque puede ser vencida por otro motivo más fuerte. No es lo mismo que un obstáculo material.</w:t>
      </w:r>
    </w:p>
    <w:p w14:paraId="7B02229D" w14:textId="77777777" w:rsidR="009E6E2E" w:rsidRPr="000D3432" w:rsidRDefault="009E6E2E" w:rsidP="00A95498">
      <w:pPr>
        <w:pStyle w:val="Textodecuerpo"/>
        <w:spacing w:line="240" w:lineRule="auto"/>
        <w:jc w:val="center"/>
        <w:rPr>
          <w:rFonts w:asciiTheme="minorHAnsi" w:hAnsiTheme="minorHAnsi"/>
          <w:b/>
          <w:sz w:val="24"/>
          <w:szCs w:val="24"/>
          <w:lang w:val="es-ES_tradnl"/>
        </w:rPr>
      </w:pPr>
      <w:r w:rsidRPr="000D3432">
        <w:rPr>
          <w:rFonts w:asciiTheme="minorHAnsi" w:hAnsiTheme="minorHAnsi"/>
          <w:b/>
          <w:sz w:val="24"/>
          <w:szCs w:val="24"/>
          <w:lang w:val="es-ES_tradnl"/>
        </w:rPr>
        <w:t>T</w:t>
      </w:r>
      <w:r w:rsidRPr="000D3432">
        <w:rPr>
          <w:rFonts w:asciiTheme="minorHAnsi" w:hAnsiTheme="minorHAnsi"/>
          <w:sz w:val="24"/>
          <w:szCs w:val="24"/>
          <w:lang w:val="es-MX"/>
        </w:rPr>
        <w:t>÷</w:t>
      </w:r>
    </w:p>
    <w:p w14:paraId="1BF6D241"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Las anécdotas de Sartre no las contaré yo, no puedo hablar de Sartre desde su historia, es decir, desde el registro de los acontecimientos que hicieron de él un ser único y exclusivo, sui generis.</w:t>
      </w:r>
    </w:p>
    <w:p w14:paraId="66ECCCC5" w14:textId="77777777" w:rsidR="009E6E2E" w:rsidRPr="000D3432" w:rsidRDefault="009E6E2E" w:rsidP="00A95498">
      <w:pPr>
        <w:jc w:val="both"/>
        <w:rPr>
          <w:rFonts w:asciiTheme="minorHAnsi" w:hAnsiTheme="minorHAnsi"/>
          <w:szCs w:val="24"/>
          <w:lang w:val="es-MX"/>
        </w:rPr>
      </w:pPr>
    </w:p>
    <w:p w14:paraId="25789482"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La libertad para Jean Paúl Sartre dejó un  pequeño legajo, un registro en la historia, un registro social, político, económico, moral, religioso, y también un registro “jurídico”. Lo jurídico, como ustedes podrán observar, en la conglomeración extraordinaria y concreta, una síntesis de todo lo social, es decir, es un resumen de los factores que mueven al mundo, al ser humano, es decir, un resumen de los factores económicos, sociales, políticos, morales y religiosos. Eso es lo jurídico, resumen de estos factores; armonización de los mismos, con un principio, el monopolio y el respaldo de dicho monopolio a través de la fuerza coactiva.</w:t>
      </w:r>
    </w:p>
    <w:p w14:paraId="1DE60B22" w14:textId="77777777" w:rsidR="009E6E2E" w:rsidRPr="000D3432" w:rsidRDefault="009E6E2E" w:rsidP="00A95498">
      <w:pPr>
        <w:jc w:val="both"/>
        <w:rPr>
          <w:rFonts w:asciiTheme="minorHAnsi" w:hAnsiTheme="minorHAnsi"/>
          <w:szCs w:val="24"/>
          <w:lang w:val="es-MX"/>
        </w:rPr>
      </w:pPr>
    </w:p>
    <w:p w14:paraId="1D45CAE8"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 xml:space="preserve">En realidad no es la Libertad que entendía Sartre lo que nos debe interesar, ni siquiera que se hayan cumplido cien años de su fallecimiento, ni siquiera que sus palabras sobre la existencia precede a la esencia. No es nada de eso lo importante, sino su fuerza, la fuerza que pudo transmitir a todos los que lo leyeron, el desencanto de la escritura, a la que llamó “compromiso”, el desamor al pensamiento, al que desterró con la existencia; su negación del legalismo, al que consumó con la liberación de Jean Genet; su gran estilo para la refutación de lo establecido; su capacidad abrumadora para argumentar y redefinir conceptos. </w:t>
      </w:r>
    </w:p>
    <w:p w14:paraId="1985D890" w14:textId="77777777" w:rsidR="009E6E2E" w:rsidRPr="000D3432" w:rsidRDefault="009E6E2E" w:rsidP="00A95498">
      <w:pPr>
        <w:jc w:val="both"/>
        <w:rPr>
          <w:rFonts w:asciiTheme="minorHAnsi" w:hAnsiTheme="minorHAnsi"/>
          <w:szCs w:val="24"/>
          <w:lang w:val="es-MX"/>
        </w:rPr>
      </w:pPr>
    </w:p>
    <w:p w14:paraId="3ED1BB38"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 xml:space="preserve">Jean Paul Sartre es un pensador, pero el mismo piensa que eso no es primero, sino existir. No cae en el idealismo, sino en la realidad objetiva; intenta despojarse de toda malversación que te posibilita la literatura, no es la palabra, un libro lo que importa, sino el ser humano, por eso se atreve a afirmar que es mejor dejar de escribir y ayudar a los niños pobres; por eso, y por un gran acto de vanidad, desprecia el premio Nóbel. Porque siente que todo eso no tiene sentido cuando el ser humano se deprime y se consume en un escalofrío innecesario. No, Jean Paul Sartre no cree en la vida del escritor. Es un hombre que se libera, se libera de la mediocridad, de esa mediocridad que hace que unos crean que escribir es un asunto sagrado, divino, superior. </w:t>
      </w:r>
    </w:p>
    <w:p w14:paraId="0F0821F2"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 xml:space="preserve">No creo que alguien serio realmente piense que escribir sea un acto serio; es más bien un gran acto de vanidad, una contemplación del yo, un regocijo para consigo mismo; como diciendo, ¡yo he escrito esto? Que genio que soy. </w:t>
      </w:r>
    </w:p>
    <w:p w14:paraId="460B0925" w14:textId="77777777" w:rsidR="009E6E2E" w:rsidRPr="000D3432" w:rsidRDefault="009E6E2E" w:rsidP="00A95498">
      <w:pPr>
        <w:jc w:val="both"/>
        <w:rPr>
          <w:rFonts w:asciiTheme="minorHAnsi" w:hAnsiTheme="minorHAnsi"/>
          <w:szCs w:val="24"/>
          <w:lang w:val="es-MX"/>
        </w:rPr>
      </w:pPr>
    </w:p>
    <w:p w14:paraId="306AAE2E"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Sartre en una entrevista a cargo de R. Fornet, M. Casñas y A. Gómez; que ha salido en ese fantástico mundo virtual que es el Internet expresa que se ha declarado anarquista. Sartre dice que ha tomado la palabra Anarquía en su sentido etimológico, es decir como “sociedad sin poder, sin Estado”.  y agrega ¿Qué es una sociedad que no tiene poderes?. ¿Imaginan ustedes lo que puede haber representado esa idea planteada por Sartre para su generación?</w:t>
      </w:r>
    </w:p>
    <w:p w14:paraId="07A8D71B" w14:textId="77777777" w:rsidR="009E6E2E" w:rsidRPr="000D3432" w:rsidRDefault="009E6E2E" w:rsidP="00A95498">
      <w:pPr>
        <w:jc w:val="both"/>
        <w:rPr>
          <w:rFonts w:asciiTheme="minorHAnsi" w:hAnsiTheme="minorHAnsi"/>
          <w:szCs w:val="24"/>
          <w:lang w:val="es-MX"/>
        </w:rPr>
      </w:pPr>
    </w:p>
    <w:p w14:paraId="7350E9B7"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 xml:space="preserve">Por un lado, pensar que Sartre se pensaba anarquista significa que no creía en una sociedad con Estado, o con poderes, que piensa que el Estado no es perfecto para la sociedad, y que el poder tampoco logra nada fructífero para el desarrollo de la sociedad. </w:t>
      </w:r>
    </w:p>
    <w:p w14:paraId="0223198E" w14:textId="77777777" w:rsidR="009E6E2E" w:rsidRPr="000D3432" w:rsidRDefault="009E6E2E" w:rsidP="00A95498">
      <w:pPr>
        <w:jc w:val="both"/>
        <w:rPr>
          <w:rFonts w:asciiTheme="minorHAnsi" w:hAnsiTheme="minorHAnsi"/>
          <w:szCs w:val="24"/>
          <w:lang w:val="es-MX"/>
        </w:rPr>
      </w:pPr>
    </w:p>
    <w:p w14:paraId="17980AAB" w14:textId="77777777" w:rsidR="009E6E2E" w:rsidRPr="000D3432" w:rsidRDefault="009E6E2E" w:rsidP="00A95498">
      <w:pPr>
        <w:jc w:val="both"/>
        <w:rPr>
          <w:rFonts w:asciiTheme="minorHAnsi" w:hAnsiTheme="minorHAnsi"/>
          <w:szCs w:val="24"/>
          <w:lang w:val="es-MX"/>
        </w:rPr>
      </w:pPr>
      <w:r w:rsidRPr="000D3432">
        <w:rPr>
          <w:rFonts w:asciiTheme="minorHAnsi" w:hAnsiTheme="minorHAnsi"/>
          <w:szCs w:val="24"/>
          <w:lang w:val="es-MX"/>
        </w:rPr>
        <w:t>-------------</w:t>
      </w:r>
    </w:p>
    <w:p w14:paraId="3EDE10CC"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La política es un tema siempre discutible; pues de ella se dicen y atribuyen muy diversos y divergentes sentidos: como que es “el arte de gobernar”. La mentira es un valor que no entra en las categorías negativas del fenómenos político. La política no está en las categorías morales, sino entre las dimensiones de control, gobierno y administración del poder público y privado. No se intenta hacer buenos a los hombres, con la política, sino gobernarlos mejor, no un principio moral, sino organizativo, no por la conciencia, sino por la necesidad.</w:t>
      </w:r>
    </w:p>
    <w:p w14:paraId="6837484F" w14:textId="77777777" w:rsidR="009E6E2E" w:rsidRPr="000D3432" w:rsidRDefault="009E6E2E" w:rsidP="00A95498">
      <w:pPr>
        <w:jc w:val="both"/>
        <w:rPr>
          <w:rFonts w:asciiTheme="minorHAnsi" w:hAnsiTheme="minorHAnsi"/>
          <w:szCs w:val="24"/>
          <w:lang w:val="es-PE"/>
        </w:rPr>
      </w:pPr>
    </w:p>
    <w:p w14:paraId="2BDDF59D"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La política también ha sido concebida como el “actuar público del ser humano, en donde prima el logro del objetivo principal: la obtención del poder, a cualquier precio y por cualquier medio (los fines justifican los medios), etc.</w:t>
      </w:r>
    </w:p>
    <w:p w14:paraId="7D24459F" w14:textId="77777777" w:rsidR="009E6E2E" w:rsidRPr="000D3432" w:rsidRDefault="009E6E2E" w:rsidP="00A95498">
      <w:pPr>
        <w:jc w:val="both"/>
        <w:rPr>
          <w:rFonts w:asciiTheme="minorHAnsi" w:hAnsiTheme="minorHAnsi"/>
          <w:szCs w:val="24"/>
          <w:lang w:val="es-PE"/>
        </w:rPr>
      </w:pPr>
    </w:p>
    <w:p w14:paraId="738FF0CD"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En ese enjambre de concepciones nos quedamos atrapados en la ignorancia y el error. Confundidos por la mezcla que hacemos de moral y política, por entremezclar los valores que pertenecen a uno dentro del otro. Olvidando que esos discursos (el moral, y el político) aunque contienen referentes comunes (como la sociedad y su “normación” o regulación normativa) son dimensiones diferentes y autónomas, es decir crean y tienen su propio campo de estudio, especulación y aplicación. Mientras que el primero (el moral) pretende –según su discurso- hacer buenos a los hombres, la dimensión política sólo pretende organizarlos a través del poder.</w:t>
      </w:r>
    </w:p>
    <w:p w14:paraId="7415D50A" w14:textId="77777777" w:rsidR="009E6E2E" w:rsidRPr="000D3432" w:rsidRDefault="009E6E2E" w:rsidP="00A95498">
      <w:pPr>
        <w:jc w:val="both"/>
        <w:rPr>
          <w:rFonts w:asciiTheme="minorHAnsi" w:hAnsiTheme="minorHAnsi"/>
          <w:szCs w:val="24"/>
          <w:lang w:val="es-PE"/>
        </w:rPr>
      </w:pPr>
    </w:p>
    <w:p w14:paraId="049AE87B"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Así, confundidos, nunca podemos salir del embrollo, menos aplicar la utilidad de las ciencias políticas, en general, y de la política en particular. Por eso hacer disgresiones sobre la política resulta no sólo fascinante y divertido, sino trascendental para el derecho, porque se trata de un fenómeno normativo y de poder, de relación de fuerzas. Y puesto que la política es un instrumento para poder vivir, para el bien de los seres humanos en general y no para un grupo en particular. La política es un fenómeno colectivo, puesto que se define por sus efectos colectivos, sociales, por tal razón importa a todos y no sólo a uno. La trascendencia de ella está en su carácter general, colectivo, social, y lo que tienen que ver con lo social, con la totalidad involucra necesariamente al Estado. El Estado es también un fenómeno colectivo, social, político, de organización de la sociedad a través del poder.</w:t>
      </w:r>
    </w:p>
    <w:p w14:paraId="45D5764C" w14:textId="77777777" w:rsidR="009E6E2E" w:rsidRPr="000D3432" w:rsidRDefault="009E6E2E" w:rsidP="00A95498">
      <w:pPr>
        <w:jc w:val="both"/>
        <w:rPr>
          <w:rFonts w:asciiTheme="minorHAnsi" w:hAnsiTheme="minorHAnsi"/>
          <w:szCs w:val="24"/>
          <w:lang w:val="es-PE"/>
        </w:rPr>
      </w:pPr>
    </w:p>
    <w:p w14:paraId="2928239E"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 xml:space="preserve">Política y Estado se corresponden pues ambas trabajan en referencia a la organización de la sociedad, y esta la constituimos nosotros. Como podemos ver, la política tiene que ver con la sociedad, y está con nosotros, con cada uno de nosotros; porque querámoslo o no estamos rodeados de mundo, de sociedad. Desde que nacemos estamos frente, al costado, etc., de personas, de gente que está ahí, y ese estar allí de los demás implica ya un efecto sobre nosotros. Son los efectos los que se intentan regular, prever y estabilizar en el Derecho. La política intentan describir esos efectos, y el Derecho los norma o prescribe, para darles cierta unidad y coherencia con los fines de la sociedad. Esa sociedad que suponen evidentemente un acto relacional, una relación entre los individuos; y por  consiguiente también la regulación de estas relaciones. La relación, pues, provoca e impone criterios de conducta, o conductas en sí mismas. Fenómeno que tiene, como vemos, un carácter pedagógico, es decir, formativo, forma al ser humano, le moldea su forma o conducta. La relación social es pues formativa.  Somos, en parte o totalmente, producto y formados por esa sociedad, </w:t>
      </w:r>
    </w:p>
    <w:p w14:paraId="03EB2E5B" w14:textId="77777777" w:rsidR="009E6E2E" w:rsidRPr="000D3432" w:rsidRDefault="009E6E2E" w:rsidP="00A95498">
      <w:pPr>
        <w:jc w:val="both"/>
        <w:rPr>
          <w:rFonts w:asciiTheme="minorHAnsi" w:hAnsiTheme="minorHAnsi"/>
          <w:szCs w:val="24"/>
          <w:lang w:val="es-PE"/>
        </w:rPr>
      </w:pPr>
    </w:p>
    <w:p w14:paraId="705E173F"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 xml:space="preserve">“Esa sociedad que nos rodea y empapa, .. nos irá también dando </w:t>
      </w:r>
      <w:r w:rsidRPr="000D3432">
        <w:rPr>
          <w:rFonts w:asciiTheme="minorHAnsi" w:hAnsiTheme="minorHAnsi"/>
          <w:i/>
          <w:szCs w:val="24"/>
          <w:lang w:val="es-PE"/>
        </w:rPr>
        <w:t>forma</w:t>
      </w:r>
      <w:r w:rsidRPr="000D3432">
        <w:rPr>
          <w:rFonts w:asciiTheme="minorHAnsi" w:hAnsiTheme="minorHAnsi"/>
          <w:szCs w:val="24"/>
          <w:lang w:val="es-PE"/>
        </w:rPr>
        <w:t xml:space="preserve"> (…formará los hábitos de nuestra mente y las destrezas o rutinas de nuestro cuerpo)”.</w:t>
      </w:r>
      <w:r w:rsidRPr="000D3432">
        <w:rPr>
          <w:rStyle w:val="Refdenotaalpie"/>
          <w:rFonts w:asciiTheme="minorHAnsi" w:hAnsiTheme="minorHAnsi"/>
          <w:sz w:val="24"/>
          <w:szCs w:val="24"/>
          <w:lang w:val="es-PE"/>
        </w:rPr>
        <w:footnoteReference w:id="779"/>
      </w:r>
      <w:r w:rsidRPr="000D3432">
        <w:rPr>
          <w:rFonts w:asciiTheme="minorHAnsi" w:hAnsiTheme="minorHAnsi"/>
          <w:szCs w:val="24"/>
          <w:lang w:val="es-PE"/>
        </w:rPr>
        <w:t xml:space="preserve"> Pero esa sociedad que nos forma esta hecha también por nosotros, nosotros la pensamos y la hacemos, nosotros somos parte de esa sociedad que nos forma y por lo tanto también la formamos, formamos nuestra sociedad. La reciprocidad es evidente, porque toda relación implica necesariamente una mutua implicación y correspondencia, una mutua afectación. “La sociedad se supone está pensada por hombres como nosotros y para hombres como nosotros”</w:t>
      </w:r>
      <w:r w:rsidRPr="000D3432">
        <w:rPr>
          <w:rStyle w:val="Refdenotaalpie"/>
          <w:rFonts w:asciiTheme="minorHAnsi" w:hAnsiTheme="minorHAnsi"/>
          <w:sz w:val="24"/>
          <w:szCs w:val="24"/>
          <w:lang w:val="es-PE"/>
        </w:rPr>
        <w:footnoteReference w:id="780"/>
      </w:r>
      <w:r w:rsidRPr="000D3432">
        <w:rPr>
          <w:rFonts w:asciiTheme="minorHAnsi" w:hAnsiTheme="minorHAnsi"/>
          <w:szCs w:val="24"/>
          <w:lang w:val="es-PE"/>
        </w:rPr>
        <w:t>. Pensar el mundo en el cual queremos vivir, o hacer vivible una sociedad es una de las pretensiones de la política, porque a pesar que la política es búsqueda del poder, no se restringe a ella simplemente, sino no sería una disciplina social, se trata de entender cómo funciona el poder, y cómo nos organizamos en relación a la distribución o ejercicio del poder. Y aunque el concepto de política es referido a la “acción organizada para la conquista, posesión y ejercicio del poder”, la política va mucho más allá, se trata de organización del poder, y de establecer la mejor relación entre gobernantes y gobernados; de control del poder. La política es un instrumento inventado por el hombre para tratar de vivir lo mejor posible, desde un conocimiento: el poder.</w:t>
      </w:r>
    </w:p>
    <w:p w14:paraId="64AEC2F2" w14:textId="77777777" w:rsidR="009E6E2E" w:rsidRPr="000D3432" w:rsidRDefault="009E6E2E" w:rsidP="00A95498">
      <w:pPr>
        <w:jc w:val="both"/>
        <w:rPr>
          <w:rFonts w:asciiTheme="minorHAnsi" w:hAnsiTheme="minorHAnsi"/>
          <w:szCs w:val="24"/>
          <w:lang w:val="es-PE"/>
        </w:rPr>
      </w:pPr>
    </w:p>
    <w:p w14:paraId="1F79AFE2" w14:textId="77777777" w:rsidR="009E6E2E" w:rsidRPr="000D3432" w:rsidRDefault="009E6E2E" w:rsidP="00A95498">
      <w:pPr>
        <w:jc w:val="center"/>
        <w:rPr>
          <w:rFonts w:asciiTheme="minorHAnsi" w:hAnsiTheme="minorHAnsi"/>
          <w:szCs w:val="24"/>
          <w:lang w:val="es-MX"/>
        </w:rPr>
      </w:pPr>
      <w:r w:rsidRPr="000D3432">
        <w:rPr>
          <w:rFonts w:asciiTheme="minorHAnsi" w:hAnsiTheme="minorHAnsi"/>
          <w:szCs w:val="24"/>
          <w:lang w:val="es-MX"/>
        </w:rPr>
        <w:t>-------------</w:t>
      </w:r>
    </w:p>
    <w:p w14:paraId="1A5D2F25" w14:textId="77777777" w:rsidR="009E6E2E" w:rsidRPr="000D3432" w:rsidRDefault="009E6E2E" w:rsidP="00A95498">
      <w:pPr>
        <w:jc w:val="both"/>
        <w:rPr>
          <w:rFonts w:asciiTheme="minorHAnsi" w:hAnsiTheme="minorHAnsi"/>
          <w:szCs w:val="24"/>
          <w:lang w:val="es-MX"/>
        </w:rPr>
      </w:pPr>
    </w:p>
    <w:p w14:paraId="03E66135" w14:textId="77777777" w:rsidR="009E6E2E" w:rsidRPr="000D3432" w:rsidRDefault="009E6E2E" w:rsidP="00A95498">
      <w:pPr>
        <w:jc w:val="both"/>
        <w:rPr>
          <w:rFonts w:asciiTheme="minorHAnsi" w:hAnsiTheme="minorHAnsi"/>
          <w:szCs w:val="24"/>
          <w:lang w:val="es-PE"/>
        </w:rPr>
      </w:pPr>
      <w:r w:rsidRPr="000D3432">
        <w:rPr>
          <w:rFonts w:asciiTheme="minorHAnsi" w:hAnsiTheme="minorHAnsi"/>
          <w:szCs w:val="24"/>
          <w:lang w:val="es-PE"/>
        </w:rPr>
        <w:t xml:space="preserve">El Estado no nace por azar, ni porque una comunidad primitiva se haya desgastado; nace como un rompimiento, como una fuerza, una nueva fuerza que pretende, se pretende superior, y mejor que la anterior forma de organización. Es un acto de soberbia el nacimiento del Estado, pero sigue los mismos pasos de organización social anterior, se basa en “vínculos”, en el establecimiento y redescubrimiento de vínculos entre los seres humanos, que esta vez ya no serán los de “parentesco”, necesariamente, pero serán “vínculos” de todas formas, vínculos que unen, que obligan, que orientan, que organizan. El Estado es, pues, un vínculo que ata, por la fuerza o por la persuasión  la voluntad de los seres humanos. Vínculo que se convierte en organismo, en ordenamiento, en aquello que ordena cierto tipo de relaciones sociales, cierta manera de relacionarse. El Estado es pues un ordenamiento político, porque se pretende organizador de las fuerzas de gobierno, de los órdenes de gobierno. </w:t>
      </w:r>
    </w:p>
    <w:p w14:paraId="382BDBA9" w14:textId="77777777" w:rsidR="009E6E2E" w:rsidRPr="000D3432" w:rsidRDefault="009E6E2E" w:rsidP="00A95498">
      <w:pPr>
        <w:jc w:val="center"/>
        <w:rPr>
          <w:rFonts w:asciiTheme="minorHAnsi" w:hAnsiTheme="minorHAnsi"/>
          <w:szCs w:val="24"/>
          <w:lang w:val="es-MX"/>
        </w:rPr>
      </w:pPr>
      <w:r w:rsidRPr="000D3432">
        <w:rPr>
          <w:rFonts w:asciiTheme="minorHAnsi" w:hAnsiTheme="minorHAnsi"/>
          <w:szCs w:val="24"/>
          <w:lang w:val="es-MX"/>
        </w:rPr>
        <w:t>--- - -</w:t>
      </w:r>
    </w:p>
    <w:p w14:paraId="0596BF16" w14:textId="77777777" w:rsidR="009E6E2E" w:rsidRPr="000D3432" w:rsidRDefault="009E6E2E" w:rsidP="00A95498">
      <w:pPr>
        <w:pStyle w:val="Parrafffo"/>
        <w:spacing w:line="240" w:lineRule="auto"/>
        <w:ind w:left="0"/>
        <w:rPr>
          <w:rFonts w:asciiTheme="minorHAnsi" w:hAnsiTheme="minorHAnsi"/>
          <w:b w:val="0"/>
          <w:sz w:val="24"/>
          <w:szCs w:val="24"/>
          <w:lang w:val="es-PE"/>
        </w:rPr>
      </w:pPr>
    </w:p>
    <w:p w14:paraId="032D568F" w14:textId="77777777" w:rsidR="009E6E2E" w:rsidRPr="000D3432" w:rsidRDefault="009E6E2E" w:rsidP="00A95498">
      <w:pPr>
        <w:pStyle w:val="Parrafffo"/>
        <w:keepNext w:val="0"/>
        <w:widowControl w:val="0"/>
        <w:spacing w:line="240" w:lineRule="auto"/>
        <w:ind w:left="708"/>
        <w:rPr>
          <w:rFonts w:asciiTheme="minorHAnsi" w:hAnsiTheme="minorHAnsi"/>
          <w:b w:val="0"/>
          <w:sz w:val="24"/>
          <w:szCs w:val="24"/>
          <w:lang w:val="es-PE"/>
        </w:rPr>
      </w:pPr>
      <w:r w:rsidRPr="000D3432">
        <w:rPr>
          <w:rFonts w:asciiTheme="minorHAnsi" w:hAnsiTheme="minorHAnsi"/>
          <w:b w:val="0"/>
          <w:sz w:val="24"/>
          <w:szCs w:val="24"/>
          <w:lang w:val="es-PE"/>
        </w:rPr>
        <w:t>“Un estado existe donde hay un aparato político, instituciones de gobierno, tales como una sala de justicia, un parlamento o congreso, más funcionarios públicos civiles, gobernando sobre un territorio dado, cuya autoridad se respalda por un sistema legal y por la capacidad de emplear la fuerza para implantar sus políticas”(</w:t>
      </w:r>
      <w:r w:rsidRPr="000D3432">
        <w:rPr>
          <w:rStyle w:val="Refdenotaalpie"/>
          <w:rFonts w:asciiTheme="minorHAnsi" w:hAnsiTheme="minorHAnsi"/>
          <w:b w:val="0"/>
          <w:sz w:val="24"/>
          <w:szCs w:val="24"/>
          <w:lang w:val="es-PE"/>
        </w:rPr>
        <w:footnoteReference w:id="781"/>
      </w:r>
      <w:r w:rsidRPr="000D3432">
        <w:rPr>
          <w:rFonts w:asciiTheme="minorHAnsi" w:hAnsiTheme="minorHAnsi"/>
          <w:b w:val="0"/>
          <w:sz w:val="24"/>
          <w:szCs w:val="24"/>
          <w:lang w:val="es-PE"/>
        </w:rPr>
        <w:t>).</w:t>
      </w:r>
    </w:p>
    <w:p w14:paraId="7D5E5BD3" w14:textId="77777777" w:rsidR="009E6E2E" w:rsidRPr="000D3432" w:rsidRDefault="009E6E2E" w:rsidP="00A95498">
      <w:pPr>
        <w:pStyle w:val="Textodecuerpo"/>
        <w:spacing w:line="240" w:lineRule="auto"/>
        <w:rPr>
          <w:rFonts w:asciiTheme="minorHAnsi" w:hAnsiTheme="minorHAnsi"/>
          <w:b/>
          <w:sz w:val="24"/>
          <w:szCs w:val="24"/>
          <w:lang w:val="es-PE"/>
        </w:rPr>
      </w:pPr>
    </w:p>
    <w:p w14:paraId="27F5B07B" w14:textId="77777777" w:rsidR="0082775B" w:rsidRPr="000D3432" w:rsidRDefault="009E6E2E" w:rsidP="00A95498">
      <w:pPr>
        <w:pStyle w:val="Textodecuerpo"/>
        <w:spacing w:line="240" w:lineRule="auto"/>
        <w:rPr>
          <w:rFonts w:asciiTheme="minorHAnsi" w:hAnsiTheme="minorHAnsi"/>
          <w:sz w:val="24"/>
          <w:szCs w:val="24"/>
          <w:lang w:val="es-PE"/>
        </w:rPr>
      </w:pPr>
      <w:r w:rsidRPr="000D3432">
        <w:rPr>
          <w:rFonts w:asciiTheme="minorHAnsi" w:hAnsiTheme="minorHAnsi"/>
          <w:sz w:val="24"/>
          <w:szCs w:val="24"/>
          <w:lang w:val="es-PE"/>
        </w:rPr>
        <w:t>El resumen general del nacimiento del Estado moderno nos lo explica sintética e inteligentemente Norberto Bobbio,  quien escribe que: “...los grandes Estados … surgieron de la disolución de la sociedad medieval. Esta sociedad fue una sociedad pluralista, es decir, formada por varios ordenamientos jurídicos, que se oponían o que se integraban: por encima de los que hoy son los Estados nacionales había ordenamientos jurídicos universales como la Iglesia y el Imperio y había ordenamientos particulares por debajo de la sociedad nacional, como los feudos, las corporaciones y los municipios. También la familia, considerada en la tradición del pensamiento cristiano como una sociedad natural, era en sí misma un ordenamiento. El Estado moderno se fue formando a través de la eliminación y la absorción de los ordenamientos jurídicos superiores e inferiores por la sociedad nacional, por medio de un proceso que se podría llamar de monopolización de la producción jurídica. Si por poder entendemos la capacidad que tienen ciertos grupos sociales para promulgar normas de conducta válidas para todos los miembros de la comunidad, y de hacerlas respetar aun con el recurso de la fuerza (el llamado poder coactivo), la formación del Estado moderno corre paralela a la formación de un poder coactivo cada vez más centralizado y, por lo tanto, a la supresión gradual de los centros de poder inferiores y superiores al Estado, lo que tuvo como consecuencia la eliminación de todo centro de producción jurídica que no fuera el mismo Estado. La tendencia a identificar el derecho con el derecho estatal, que hoy todavía existe, es una consecuencia histórica del proceso de concentración del poder normativo y coactivo que caracterizó el surgimiento del Estado nacional moderno.”(</w:t>
      </w:r>
      <w:r w:rsidRPr="000D3432">
        <w:rPr>
          <w:rStyle w:val="Refdenotaalpie"/>
          <w:rFonts w:asciiTheme="minorHAnsi" w:hAnsiTheme="minorHAnsi"/>
          <w:sz w:val="24"/>
          <w:szCs w:val="24"/>
          <w:lang w:val="es-PE"/>
        </w:rPr>
        <w:footnoteReference w:id="782"/>
      </w:r>
      <w:r w:rsidRPr="000D3432">
        <w:rPr>
          <w:rFonts w:asciiTheme="minorHAnsi" w:hAnsiTheme="minorHAnsi"/>
          <w:sz w:val="24"/>
          <w:szCs w:val="24"/>
          <w:lang w:val="es-PE"/>
        </w:rPr>
        <w:t>)</w:t>
      </w:r>
      <w:r w:rsidR="0082775B" w:rsidRPr="000D3432">
        <w:rPr>
          <w:rFonts w:asciiTheme="minorHAnsi" w:hAnsiTheme="minorHAnsi"/>
          <w:sz w:val="24"/>
          <w:szCs w:val="24"/>
          <w:lang w:val="es-PE"/>
        </w:rPr>
        <w:t xml:space="preserve"> </w:t>
      </w:r>
    </w:p>
    <w:p w14:paraId="17802EC9"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 - - - - - - - -</w:t>
      </w:r>
    </w:p>
    <w:p w14:paraId="2B8F8F2A" w14:textId="77777777" w:rsidR="0082775B" w:rsidRPr="000D3432" w:rsidRDefault="0082775B" w:rsidP="00A95498">
      <w:pPr>
        <w:jc w:val="both"/>
        <w:rPr>
          <w:rFonts w:asciiTheme="minorHAnsi" w:hAnsiTheme="minorHAnsi"/>
          <w:szCs w:val="24"/>
          <w:lang w:val="es-MX"/>
        </w:rPr>
      </w:pPr>
    </w:p>
    <w:p w14:paraId="3D74164D"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Pero al margen de eso, cuando leo que Sartre se autocalificó de anarquista no me queda nada más que recordar el concepto que daba Edgar Bodenheimer sobre el Derecho. Bodenheimer decía: “El Derecho es un punto intermedio entre la anarquía y el despotismo”. La relación es, como ven, muy forzada. Pero cualquier idea que tenga que ver con el Estado, y con el Poder, tiene que ver necesariamente con el Derecho. Las ideas sartreanas no eran meras especulaciones literarias, filosóficas, sino que prevenían o subvertían contra un mundo de Estado, de poder, de Derecho, y a la vez, querían o propugnaban un mundo derecho. </w:t>
      </w:r>
    </w:p>
    <w:p w14:paraId="29884BDC" w14:textId="77777777" w:rsidR="0082775B" w:rsidRPr="000D3432" w:rsidRDefault="0082775B" w:rsidP="00A95498">
      <w:pPr>
        <w:jc w:val="both"/>
        <w:rPr>
          <w:rFonts w:asciiTheme="minorHAnsi" w:hAnsiTheme="minorHAnsi"/>
          <w:szCs w:val="24"/>
          <w:lang w:val="es-MX"/>
        </w:rPr>
      </w:pPr>
    </w:p>
    <w:p w14:paraId="6CD30020"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No puedo dejar, por ello pensar que el anarquismo de Sartre es más bien una refutación a la sociedad en su existencia político jurídica. Decir que no se cree en el Estado es decir, que no se cree en aquello que le da existencia,  o sea es no creer en el Derecho, en aquello que te da Libertad. </w:t>
      </w:r>
    </w:p>
    <w:p w14:paraId="75B8B738" w14:textId="77777777" w:rsidR="0082775B" w:rsidRPr="000D3432" w:rsidRDefault="0082775B" w:rsidP="00A95498">
      <w:pPr>
        <w:jc w:val="both"/>
        <w:rPr>
          <w:rFonts w:asciiTheme="minorHAnsi" w:hAnsiTheme="minorHAnsi"/>
          <w:szCs w:val="24"/>
          <w:lang w:val="es-MX"/>
        </w:rPr>
      </w:pPr>
    </w:p>
    <w:p w14:paraId="4A59D940"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Parece, sin embargo, que hablar de Sartre desde la perspectiva jurídica es un descalabro, es estar desconectado del discurso fundamental que en este día se tiene que tocar. Pero, puedo decirles una cosa, Sartre inspiró, aunque tal vez no </w:t>
      </w:r>
      <w:r w:rsidRPr="000D3432">
        <w:rPr>
          <w:rFonts w:asciiTheme="minorHAnsi" w:hAnsiTheme="minorHAnsi"/>
          <w:szCs w:val="24"/>
          <w:lang w:val="es-MX"/>
        </w:rPr>
        <w:lastRenderedPageBreak/>
        <w:t xml:space="preserve">fue su propósito, el espíritu jurídico de su tiempo, y también de este tiempo. Sin ir muy lejos, tenemos a un gran jurista, Fernando Sessarego, que toma algunas raíces existencialistas, en su trabajo de tesis jurídica denominada “Bosquejo para una determinación ontológica del derecho”, que luego fue publicada en parte, con el título de “El Derecho como Libertad”. </w:t>
      </w:r>
    </w:p>
    <w:p w14:paraId="73F05A77" w14:textId="77777777" w:rsidR="0082775B" w:rsidRPr="000D3432" w:rsidRDefault="0082775B" w:rsidP="00A95498">
      <w:pPr>
        <w:numPr>
          <w:ilvl w:val="12"/>
          <w:numId w:val="0"/>
        </w:numPr>
        <w:ind w:firstLine="426"/>
        <w:rPr>
          <w:rFonts w:asciiTheme="minorHAnsi" w:hAnsiTheme="minorHAnsi"/>
          <w:color w:val="000000"/>
          <w:szCs w:val="24"/>
          <w:lang w:val="es-MX"/>
        </w:rPr>
      </w:pPr>
      <w:r w:rsidRPr="000D3432">
        <w:rPr>
          <w:rFonts w:asciiTheme="minorHAnsi" w:hAnsiTheme="minorHAnsi"/>
          <w:color w:val="000000"/>
          <w:szCs w:val="24"/>
          <w:lang w:val="es-MX"/>
        </w:rPr>
        <w:br w:type="page"/>
      </w:r>
    </w:p>
    <w:p w14:paraId="66CB8ED9"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2A341258"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2AB088F2"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5182709F"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14277342"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487D693E"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0E3B4731"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1326EA36"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56F3D110" w14:textId="77777777" w:rsidR="0082775B" w:rsidRPr="000D3432" w:rsidRDefault="0082775B" w:rsidP="00A95498">
      <w:pPr>
        <w:numPr>
          <w:ilvl w:val="12"/>
          <w:numId w:val="0"/>
        </w:numPr>
        <w:ind w:firstLine="426"/>
        <w:rPr>
          <w:rFonts w:asciiTheme="minorHAnsi" w:hAnsiTheme="minorHAnsi"/>
          <w:color w:val="000000"/>
          <w:szCs w:val="24"/>
          <w:lang w:val="es-MX"/>
        </w:rPr>
      </w:pPr>
    </w:p>
    <w:p w14:paraId="62A83C89" w14:textId="77777777" w:rsidR="0082775B" w:rsidRPr="000D3432" w:rsidRDefault="0082775B" w:rsidP="00A95498">
      <w:pPr>
        <w:pStyle w:val="Epgrafe"/>
        <w:widowControl/>
        <w:rPr>
          <w:rFonts w:asciiTheme="minorHAnsi" w:hAnsiTheme="minorHAnsi"/>
          <w:szCs w:val="24"/>
          <w:lang w:val="es-ES_tradnl"/>
        </w:rPr>
      </w:pPr>
      <w:r w:rsidRPr="000D3432">
        <w:rPr>
          <w:rFonts w:asciiTheme="minorHAnsi" w:hAnsiTheme="minorHAnsi"/>
          <w:szCs w:val="24"/>
          <w:lang w:val="es-ES_tradnl"/>
        </w:rPr>
        <w:t xml:space="preserve">EL CONCEPTO DE DELITO DENTRO DE LAS CATEGORÍAS DE </w:t>
      </w:r>
    </w:p>
    <w:p w14:paraId="6B2738EC" w14:textId="77777777" w:rsidR="0082775B" w:rsidRPr="000D3432" w:rsidRDefault="0082775B" w:rsidP="00A95498">
      <w:pPr>
        <w:pStyle w:val="Epgrafe"/>
        <w:widowControl/>
        <w:rPr>
          <w:rFonts w:asciiTheme="minorHAnsi" w:hAnsiTheme="minorHAnsi"/>
          <w:szCs w:val="24"/>
          <w:lang w:val="es-ES_tradnl"/>
        </w:rPr>
      </w:pPr>
      <w:r w:rsidRPr="000D3432">
        <w:rPr>
          <w:rFonts w:asciiTheme="minorHAnsi" w:hAnsiTheme="minorHAnsi"/>
          <w:szCs w:val="24"/>
          <w:lang w:val="es-ES_tradnl"/>
        </w:rPr>
        <w:t>“USURPACIÓN DE FUNCIONES O USURPACIÓN DE AUTORIDAD”</w:t>
      </w:r>
    </w:p>
    <w:p w14:paraId="5ABF97D0" w14:textId="77777777" w:rsidR="0082775B" w:rsidRPr="000D3432" w:rsidRDefault="0082775B" w:rsidP="00A95498">
      <w:pPr>
        <w:widowControl/>
        <w:jc w:val="center"/>
        <w:rPr>
          <w:rFonts w:asciiTheme="minorHAnsi" w:hAnsiTheme="minorHAnsi"/>
          <w:szCs w:val="24"/>
          <w:lang w:val="es-ES_tradnl"/>
        </w:rPr>
      </w:pPr>
      <w:r w:rsidRPr="000D3432">
        <w:rPr>
          <w:rFonts w:asciiTheme="minorHAnsi" w:hAnsiTheme="minorHAnsi"/>
          <w:szCs w:val="24"/>
          <w:lang w:val="es-ES_tradnl"/>
        </w:rPr>
        <w:t>_________________________________________________________________</w:t>
      </w:r>
    </w:p>
    <w:p w14:paraId="032FFDED" w14:textId="77777777" w:rsidR="0082775B" w:rsidRPr="000D3432" w:rsidRDefault="0082775B" w:rsidP="00A95498">
      <w:pPr>
        <w:pStyle w:val="Textodecuerpo"/>
        <w:widowControl/>
        <w:spacing w:line="240" w:lineRule="auto"/>
        <w:rPr>
          <w:rFonts w:asciiTheme="minorHAnsi" w:hAnsiTheme="minorHAnsi"/>
          <w:b/>
          <w:sz w:val="24"/>
          <w:szCs w:val="24"/>
          <w:lang w:val="es-ES_tradnl"/>
        </w:rPr>
      </w:pPr>
    </w:p>
    <w:p w14:paraId="632D2E22" w14:textId="77777777" w:rsidR="0082775B" w:rsidRPr="000D3432" w:rsidRDefault="0082775B" w:rsidP="00A95498">
      <w:pPr>
        <w:pStyle w:val="Textodecuerpo"/>
        <w:widowControl/>
        <w:spacing w:line="240" w:lineRule="auto"/>
        <w:rPr>
          <w:rFonts w:asciiTheme="minorHAnsi" w:hAnsiTheme="minorHAnsi"/>
          <w:b/>
          <w:sz w:val="24"/>
          <w:szCs w:val="24"/>
          <w:lang w:val="es-ES_tradnl"/>
        </w:rPr>
      </w:pPr>
    </w:p>
    <w:p w14:paraId="574FC1AB" w14:textId="77777777" w:rsidR="0082775B" w:rsidRPr="000D3432" w:rsidRDefault="0082775B" w:rsidP="00A95498">
      <w:pPr>
        <w:pStyle w:val="Textodecuerpo"/>
        <w:widowControl/>
        <w:spacing w:line="240" w:lineRule="auto"/>
        <w:rPr>
          <w:rFonts w:asciiTheme="minorHAnsi" w:hAnsiTheme="minorHAnsi"/>
          <w:b/>
          <w:sz w:val="24"/>
          <w:szCs w:val="24"/>
          <w:lang w:val="es-ES_tradnl"/>
        </w:rPr>
      </w:pPr>
    </w:p>
    <w:p w14:paraId="29C59C82" w14:textId="77777777" w:rsidR="0082775B" w:rsidRPr="000D3432" w:rsidRDefault="0082775B" w:rsidP="00A95498">
      <w:pPr>
        <w:pStyle w:val="Textodecuerpo"/>
        <w:widowControl/>
        <w:spacing w:line="240" w:lineRule="auto"/>
        <w:rPr>
          <w:rFonts w:asciiTheme="minorHAnsi" w:hAnsiTheme="minorHAnsi"/>
          <w:b/>
          <w:sz w:val="24"/>
          <w:szCs w:val="24"/>
          <w:lang w:val="es-ES_tradnl"/>
        </w:rPr>
      </w:pPr>
    </w:p>
    <w:p w14:paraId="1D11E379" w14:textId="77777777" w:rsidR="0082775B" w:rsidRPr="000D3432" w:rsidRDefault="0082775B" w:rsidP="00A95498">
      <w:pPr>
        <w:pStyle w:val="Textodecuerpo"/>
        <w:widowControl/>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Para tratar este asunto tendríamos que saber primero qué es usurpación. Y la idea que se nos viene es la de que alguien le quita su puesto a otro. Usurpar significaría que otro tome el puesto que no le corresponde, pero no sólo el puesto, sino que además utilice esa posición determinada para efectuar operaciones, potestades y poderes que le pertenecen al otro, al usurpado. Usurpación sería, entonces, ponerse en el lugar del otro, para usar de sus derechos, pero no de sus deberes. Uso indebido, inadecuado, ilegítimo del poder que le pertenece a otro individuo. Allí pues tenemos una idea primaria. </w:t>
      </w:r>
    </w:p>
    <w:p w14:paraId="52504DEE" w14:textId="77777777" w:rsidR="0082775B" w:rsidRPr="000D3432" w:rsidRDefault="0082775B" w:rsidP="00A95498">
      <w:pPr>
        <w:pStyle w:val="Textodecuerpo"/>
        <w:widowControl/>
        <w:spacing w:line="240" w:lineRule="auto"/>
        <w:rPr>
          <w:rFonts w:asciiTheme="minorHAnsi" w:hAnsiTheme="minorHAnsi"/>
          <w:b/>
          <w:sz w:val="24"/>
          <w:szCs w:val="24"/>
          <w:lang w:val="es-ES_tradnl"/>
        </w:rPr>
      </w:pPr>
    </w:p>
    <w:p w14:paraId="6DCA8D68"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Ahora, si hablamos de funciones, estas tienen que estar determinadas siempre dentro de un cuerpo, es decir, una función tiene un cuerpo; sólo cumple funciones aquello que pertenece a un todo. O mejor, una función se determina en relación directa y subordinada con el cuerpo principal. Si alguien tiene una función es porque se constituye como eje central. Su función sería pues, una facultad, un objetivo, un deber, y también un derecho, pero nace de ese eje central, de ese sujeto. Función es aquel destino que tiene un sujeto u objeto. Función es lo que tiene que hacer, sí o sí, un determinado objeto.</w:t>
      </w:r>
    </w:p>
    <w:p w14:paraId="0E9FC8D8" w14:textId="77777777" w:rsidR="0082775B" w:rsidRPr="000D3432" w:rsidRDefault="0082775B" w:rsidP="00A95498">
      <w:pPr>
        <w:widowControl/>
        <w:jc w:val="both"/>
        <w:rPr>
          <w:rFonts w:asciiTheme="minorHAnsi" w:hAnsiTheme="minorHAnsi"/>
          <w:szCs w:val="24"/>
          <w:lang w:val="es-ES_tradnl"/>
        </w:rPr>
      </w:pPr>
    </w:p>
    <w:p w14:paraId="22E8B5E7"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Ahora bien, en Derecho la usurpación de funciones está integrado dentro del sistema jurídico, dentro de los Delitos contra la Administración Pública, es decir contra el Estado y su forma de organización. Pero para hablar de delito, de la comisión de un delito se tiene que pasar primero por el hecho de saber qué es un delito, aunque esto parezca ya sobreentendido, puesto que es necesario delimitar espacial y temporalmente nuestra concepción jurídica. Si usamos la terminología jurídica, un delito sería aquel “acto ilícito, típico, culposo, etc. Pero si seguimos a Francesco Carnelutti, un delito no es más que la guerra individualizada que se ha prohibido.</w:t>
      </w:r>
    </w:p>
    <w:p w14:paraId="54971192" w14:textId="77777777" w:rsidR="0082775B" w:rsidRPr="000D3432" w:rsidRDefault="0082775B" w:rsidP="00A95498">
      <w:pPr>
        <w:widowControl/>
        <w:jc w:val="both"/>
        <w:rPr>
          <w:rFonts w:asciiTheme="minorHAnsi" w:hAnsiTheme="minorHAnsi"/>
          <w:szCs w:val="24"/>
          <w:lang w:val="es-ES_tradnl"/>
        </w:rPr>
      </w:pPr>
    </w:p>
    <w:p w14:paraId="4289DFC9"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El bien jurídico tutelado o protegido es la administración de justicia (concepción objetiva) que significa “división material de funciones estatales fundamentales” </w:t>
      </w:r>
      <w:r w:rsidRPr="000D3432">
        <w:rPr>
          <w:rFonts w:asciiTheme="minorHAnsi" w:hAnsiTheme="minorHAnsi"/>
          <w:szCs w:val="24"/>
          <w:lang w:val="es-ES_tradnl"/>
        </w:rPr>
        <w:lastRenderedPageBreak/>
        <w:t xml:space="preserve">(legislativo, ejecutivo, judicial). Así, en el concepto subjetivo se fundamenta la división de poderes con prescindencia de sus funciones. </w:t>
      </w:r>
    </w:p>
    <w:p w14:paraId="3E5B0261" w14:textId="77777777" w:rsidR="0082775B" w:rsidRPr="000D3432" w:rsidRDefault="0082775B" w:rsidP="00A95498">
      <w:pPr>
        <w:widowControl/>
        <w:jc w:val="both"/>
        <w:rPr>
          <w:rFonts w:asciiTheme="minorHAnsi" w:hAnsiTheme="minorHAnsi"/>
          <w:szCs w:val="24"/>
          <w:lang w:val="es-ES_tradnl"/>
        </w:rPr>
      </w:pPr>
    </w:p>
    <w:p w14:paraId="44770D58"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Además, tenemos que tener muy claro que la función pública es una actividad realizada a nombre del Estado. Y que existe en la sociedad órganos y planos jerarquizados, asignaciones propias de cargos y competencias. Y además que la función pública está en estrecha relación con los fines de la política nacional. </w:t>
      </w:r>
    </w:p>
    <w:p w14:paraId="2647B519" w14:textId="77777777" w:rsidR="0082775B" w:rsidRPr="000D3432" w:rsidRDefault="0082775B" w:rsidP="00A95498">
      <w:pPr>
        <w:widowControl/>
        <w:jc w:val="both"/>
        <w:rPr>
          <w:rFonts w:asciiTheme="minorHAnsi" w:hAnsiTheme="minorHAnsi"/>
          <w:szCs w:val="24"/>
          <w:lang w:val="es-ES_tradnl"/>
        </w:rPr>
      </w:pPr>
    </w:p>
    <w:p w14:paraId="27FB488A"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Así, en la usurpación de funciones el bien jurídico protegido como norma penal es el correcto funcionamiento de la administración pública; y puesto que el objeto de la acción ilícita, como dicen los autores, hace referencia a funciones y no a servicios. </w:t>
      </w:r>
    </w:p>
    <w:p w14:paraId="6E1AA268" w14:textId="77777777" w:rsidR="0082775B" w:rsidRPr="000D3432" w:rsidRDefault="0082775B" w:rsidP="00A95498">
      <w:pPr>
        <w:widowControl/>
        <w:jc w:val="both"/>
        <w:rPr>
          <w:rFonts w:asciiTheme="minorHAnsi" w:hAnsiTheme="minorHAnsi"/>
          <w:szCs w:val="24"/>
          <w:lang w:val="es-ES_tradnl"/>
        </w:rPr>
      </w:pPr>
    </w:p>
    <w:p w14:paraId="0ED56C8A"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Además, usando un moderno diccionario virtual (pirata) de la Real Academia de la Lengua Española (así dice la etiqueta),  “usurpar” viene también del latin: </w:t>
      </w:r>
      <w:r w:rsidRPr="000D3432">
        <w:rPr>
          <w:rFonts w:asciiTheme="minorHAnsi" w:hAnsiTheme="minorHAnsi"/>
          <w:i/>
          <w:szCs w:val="24"/>
          <w:lang w:val="es-ES_tradnl"/>
        </w:rPr>
        <w:t>usurpare</w:t>
      </w:r>
      <w:r w:rsidRPr="000D3432">
        <w:rPr>
          <w:rFonts w:asciiTheme="minorHAnsi" w:hAnsiTheme="minorHAnsi"/>
          <w:szCs w:val="24"/>
          <w:lang w:val="es-ES_tradnl"/>
        </w:rPr>
        <w:t xml:space="preserve">, y significa en un primer sentido: ese acto de “apoderarse de una propiedad o de un derecho que legítimamente pertenece a otro, por lo general con violencia”, o, en un segundo sentido: “arrogarse la dignidad, empleo u oficio de otro, y usarlos como si fueran propios”. </w:t>
      </w:r>
    </w:p>
    <w:p w14:paraId="2CB1AE3E" w14:textId="77777777" w:rsidR="0082775B" w:rsidRPr="000D3432" w:rsidRDefault="0082775B" w:rsidP="00A95498">
      <w:pPr>
        <w:widowControl/>
        <w:jc w:val="both"/>
        <w:rPr>
          <w:rFonts w:asciiTheme="minorHAnsi" w:hAnsiTheme="minorHAnsi"/>
          <w:szCs w:val="24"/>
          <w:lang w:val="es-ES_tradnl"/>
        </w:rPr>
      </w:pPr>
    </w:p>
    <w:p w14:paraId="37765EA2"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Decir usurpación de funciones y usurpar (en el segundo sentido aludido por el Diccionario de la Real Academia de la Lengua Española) sería lo mismo, habría más bien tautología. </w:t>
      </w:r>
    </w:p>
    <w:p w14:paraId="53194C16" w14:textId="77777777" w:rsidR="0082775B" w:rsidRPr="000D3432" w:rsidRDefault="0082775B" w:rsidP="00A95498">
      <w:pPr>
        <w:widowControl/>
        <w:jc w:val="both"/>
        <w:rPr>
          <w:rFonts w:asciiTheme="minorHAnsi" w:hAnsiTheme="minorHAnsi"/>
          <w:szCs w:val="24"/>
          <w:lang w:val="es-ES_tradnl"/>
        </w:rPr>
      </w:pPr>
    </w:p>
    <w:p w14:paraId="0C88BCAA"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Tenemos que ver cuando este acto de arrogarse el oficio de otro y usarlo como propio se convierte en delito, o ¿todo acto de este tipo es delito? No, sólo los que tienen consecuencias jurídicas. </w:t>
      </w:r>
    </w:p>
    <w:p w14:paraId="74BA82F9" w14:textId="77777777" w:rsidR="0082775B" w:rsidRPr="000D3432" w:rsidRDefault="0082775B" w:rsidP="00A95498">
      <w:pPr>
        <w:widowControl/>
        <w:jc w:val="both"/>
        <w:rPr>
          <w:rFonts w:asciiTheme="minorHAnsi" w:hAnsiTheme="minorHAnsi"/>
          <w:szCs w:val="24"/>
          <w:lang w:val="es-ES_tradnl"/>
        </w:rPr>
      </w:pPr>
    </w:p>
    <w:p w14:paraId="323F73A8"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Para entender este problema debemos primero definir qué es el delito, o cómo puede definirse.</w:t>
      </w:r>
    </w:p>
    <w:p w14:paraId="4744CEC5" w14:textId="77777777" w:rsidR="0082775B" w:rsidRPr="000D3432" w:rsidRDefault="0082775B" w:rsidP="00A95498">
      <w:pPr>
        <w:widowControl/>
        <w:jc w:val="both"/>
        <w:rPr>
          <w:rFonts w:asciiTheme="minorHAnsi" w:hAnsiTheme="minorHAnsi"/>
          <w:szCs w:val="24"/>
          <w:lang w:val="es-ES_tradnl"/>
        </w:rPr>
      </w:pPr>
    </w:p>
    <w:p w14:paraId="35BD3422"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Los tratadistas peruanos han usado una vieja fórmula, y dicen que “el delito es la acción típicamente antijurídica y culpable” (Raúl Peña Cabrera) Pero esta es una conceptualización técnica, que quiere, o se propone establecer los medios para operar “objetivamente” el tratamiento de los actos u hechos llamados delitos.  Sin embargo, no queda suficientemente clara la definición, porque un delito no es sólo una “acción típicamente antijurídica y culpable”. Estos elementos, si bien son  útiles para descifrar y descubrir cuando un hecho social es delito, no son suficientes, porque no todos los hechos sociales que perjudican, o dañan, o perturban a la sociedad, o a los individuos que ella compone. Un acto, o un hecho social se vuelve delito cuando daña, de alguna manera, a la sociedad, o a un individuo que pertenece a esa sociedad, incluso si no se halla tipificado, es decir, si no se encuentra descrito como delito dentro de una norma jurídica. El elemento tipificación queda corto para fenómenos que no se han logrado prever a priori, y que abundan hoy por la inmediación de las nuevas tecnologías descubiertas. </w:t>
      </w:r>
    </w:p>
    <w:p w14:paraId="3685CAA7" w14:textId="77777777" w:rsidR="0082775B" w:rsidRPr="000D3432" w:rsidRDefault="0082775B" w:rsidP="00A95498">
      <w:pPr>
        <w:widowControl/>
        <w:jc w:val="both"/>
        <w:rPr>
          <w:rFonts w:asciiTheme="minorHAnsi" w:hAnsiTheme="minorHAnsi"/>
          <w:szCs w:val="24"/>
          <w:lang w:val="es-ES_tradnl"/>
        </w:rPr>
      </w:pPr>
    </w:p>
    <w:p w14:paraId="45BC3B64"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lastRenderedPageBreak/>
        <w:t>El delito es nada más que una configuración social determinada, delito sería por ejemplo, ¿la guerra entre los individuos? Si dos sujetos se pelean, ¿puede esto constituir delito? no necesariamente, lo que constituye delito son las consecuencias de esa pelea, consecuencias para los propios individuos y para la sociedad. La guerra entre estos dos individuos no es, entonces un delito por su configuración interna, sino externa, por que entran en relación otros elementos, como son la sociedad, las consecuencias que puede acarrear que dos personas se peleen, y las consecuencias que pueden derivarse del hecho de que dos personas se peleen, por ejemplo, que todos se pelean, y que vuelvan a la venganza privada, a la guerra privada. Esto es lo que se niega con el derecho: la guerra privada. La guerra es arrebatada del individuo.</w:t>
      </w:r>
    </w:p>
    <w:p w14:paraId="613F332F" w14:textId="77777777" w:rsidR="0082775B" w:rsidRPr="000D3432" w:rsidRDefault="0082775B" w:rsidP="00A95498">
      <w:pPr>
        <w:widowControl/>
        <w:jc w:val="both"/>
        <w:rPr>
          <w:rFonts w:asciiTheme="minorHAnsi" w:hAnsiTheme="minorHAnsi"/>
          <w:szCs w:val="24"/>
          <w:lang w:val="es-ES_tradnl"/>
        </w:rPr>
      </w:pPr>
    </w:p>
    <w:p w14:paraId="509B7355" w14:textId="77777777" w:rsidR="0082775B" w:rsidRPr="000D3432" w:rsidRDefault="0082775B" w:rsidP="00A95498">
      <w:pPr>
        <w:widowControl/>
        <w:jc w:val="both"/>
        <w:rPr>
          <w:rFonts w:asciiTheme="minorHAnsi" w:hAnsiTheme="minorHAnsi"/>
          <w:szCs w:val="24"/>
          <w:lang w:val="es-ES_tradnl"/>
        </w:rPr>
      </w:pPr>
      <w:r w:rsidRPr="000D3432">
        <w:rPr>
          <w:rFonts w:asciiTheme="minorHAnsi" w:hAnsiTheme="minorHAnsi"/>
          <w:szCs w:val="24"/>
          <w:lang w:val="es-ES_tradnl"/>
        </w:rPr>
        <w:t xml:space="preserve">Como dijimos estas son sólo apreciaciones primarias a lo que es el delito dentro de la categoría racional de la usurpación de funciones. </w:t>
      </w:r>
    </w:p>
    <w:p w14:paraId="76A454E0"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1958FCC7" w14:textId="77777777" w:rsidR="0082775B" w:rsidRPr="000D3432" w:rsidRDefault="0082775B" w:rsidP="00A95498">
      <w:pPr>
        <w:numPr>
          <w:ilvl w:val="12"/>
          <w:numId w:val="0"/>
        </w:numPr>
        <w:ind w:firstLine="426"/>
        <w:rPr>
          <w:rFonts w:asciiTheme="minorHAnsi" w:hAnsiTheme="minorHAnsi"/>
          <w:color w:val="000000"/>
          <w:szCs w:val="24"/>
        </w:rPr>
      </w:pPr>
    </w:p>
    <w:p w14:paraId="05E62B40" w14:textId="77777777" w:rsidR="0082775B" w:rsidRPr="000D3432" w:rsidRDefault="0082775B" w:rsidP="00A95498">
      <w:pPr>
        <w:numPr>
          <w:ilvl w:val="12"/>
          <w:numId w:val="0"/>
        </w:numPr>
        <w:ind w:firstLine="426"/>
        <w:rPr>
          <w:rFonts w:asciiTheme="minorHAnsi" w:hAnsiTheme="minorHAnsi"/>
          <w:color w:val="000000"/>
          <w:szCs w:val="24"/>
        </w:rPr>
      </w:pPr>
    </w:p>
    <w:p w14:paraId="6A15D844" w14:textId="77777777" w:rsidR="0082775B" w:rsidRPr="000D3432" w:rsidRDefault="0082775B" w:rsidP="00A95498">
      <w:pPr>
        <w:numPr>
          <w:ilvl w:val="12"/>
          <w:numId w:val="0"/>
        </w:numPr>
        <w:ind w:firstLine="426"/>
        <w:rPr>
          <w:rFonts w:asciiTheme="minorHAnsi" w:hAnsiTheme="minorHAnsi"/>
          <w:color w:val="000000"/>
          <w:szCs w:val="24"/>
        </w:rPr>
      </w:pPr>
    </w:p>
    <w:p w14:paraId="63169460" w14:textId="77777777" w:rsidR="0082775B" w:rsidRPr="000D3432" w:rsidRDefault="0082775B" w:rsidP="00A95498">
      <w:pPr>
        <w:jc w:val="both"/>
        <w:rPr>
          <w:rFonts w:asciiTheme="minorHAnsi" w:hAnsiTheme="minorHAnsi"/>
          <w:b/>
          <w:bCs/>
          <w:szCs w:val="24"/>
        </w:rPr>
      </w:pPr>
    </w:p>
    <w:p w14:paraId="74470163" w14:textId="77777777" w:rsidR="0082775B" w:rsidRPr="000D3432" w:rsidRDefault="0082775B" w:rsidP="00A95498">
      <w:pPr>
        <w:jc w:val="both"/>
        <w:rPr>
          <w:rFonts w:asciiTheme="minorHAnsi" w:hAnsiTheme="minorHAnsi"/>
          <w:b/>
          <w:bCs/>
          <w:szCs w:val="24"/>
        </w:rPr>
      </w:pPr>
    </w:p>
    <w:p w14:paraId="630D1CFD" w14:textId="77777777" w:rsidR="0082775B" w:rsidRPr="000D3432" w:rsidRDefault="0082775B" w:rsidP="00A95498">
      <w:pPr>
        <w:jc w:val="both"/>
        <w:rPr>
          <w:rFonts w:asciiTheme="minorHAnsi" w:hAnsiTheme="minorHAnsi"/>
          <w:b/>
          <w:bCs/>
          <w:szCs w:val="24"/>
        </w:rPr>
      </w:pPr>
    </w:p>
    <w:p w14:paraId="091DF0A7" w14:textId="77777777" w:rsidR="0082775B" w:rsidRPr="000D3432" w:rsidRDefault="0082775B" w:rsidP="00A95498">
      <w:pPr>
        <w:jc w:val="center"/>
        <w:rPr>
          <w:rFonts w:asciiTheme="minorHAnsi" w:hAnsiTheme="minorHAnsi"/>
          <w:b/>
          <w:szCs w:val="24"/>
        </w:rPr>
      </w:pPr>
      <w:r w:rsidRPr="000D3432">
        <w:rPr>
          <w:rFonts w:asciiTheme="minorHAnsi" w:hAnsiTheme="minorHAnsi"/>
          <w:b/>
          <w:szCs w:val="24"/>
        </w:rPr>
        <w:t>_______________ AMOR , SOLIDARIDAD y MERCADO _______________</w:t>
      </w:r>
    </w:p>
    <w:p w14:paraId="5CA5E8DE" w14:textId="77777777" w:rsidR="0082775B" w:rsidRPr="000D3432" w:rsidRDefault="0082775B" w:rsidP="00A95498">
      <w:pPr>
        <w:jc w:val="center"/>
        <w:rPr>
          <w:rFonts w:asciiTheme="minorHAnsi" w:hAnsiTheme="minorHAnsi"/>
          <w:b/>
          <w:szCs w:val="24"/>
        </w:rPr>
      </w:pPr>
    </w:p>
    <w:p w14:paraId="63E3814F" w14:textId="77777777" w:rsidR="0082775B" w:rsidRPr="000D3432" w:rsidRDefault="0082775B" w:rsidP="00A95498">
      <w:pPr>
        <w:jc w:val="right"/>
        <w:rPr>
          <w:rFonts w:asciiTheme="minorHAnsi" w:hAnsiTheme="minorHAnsi"/>
          <w:szCs w:val="24"/>
        </w:rPr>
      </w:pPr>
      <w:r w:rsidRPr="000D3432">
        <w:rPr>
          <w:rFonts w:asciiTheme="minorHAnsi" w:hAnsiTheme="minorHAnsi"/>
          <w:szCs w:val="24"/>
        </w:rPr>
        <w:t xml:space="preserve">“El amor es algo bello porque embellece”. </w:t>
      </w:r>
    </w:p>
    <w:p w14:paraId="29E4ACC9" w14:textId="77777777" w:rsidR="0082775B" w:rsidRPr="000D3432" w:rsidRDefault="0082775B" w:rsidP="00A95498">
      <w:pPr>
        <w:jc w:val="right"/>
        <w:rPr>
          <w:rFonts w:asciiTheme="minorHAnsi" w:hAnsiTheme="minorHAnsi"/>
          <w:b/>
          <w:szCs w:val="24"/>
        </w:rPr>
      </w:pPr>
      <w:r w:rsidRPr="000D3432">
        <w:rPr>
          <w:rFonts w:asciiTheme="minorHAnsi" w:hAnsiTheme="minorHAnsi"/>
          <w:szCs w:val="24"/>
        </w:rPr>
        <w:t>(Osho)</w:t>
      </w:r>
    </w:p>
    <w:p w14:paraId="44C562E0" w14:textId="77777777" w:rsidR="0082775B" w:rsidRPr="000D3432" w:rsidRDefault="0082775B" w:rsidP="00A95498">
      <w:pPr>
        <w:jc w:val="both"/>
        <w:rPr>
          <w:rFonts w:asciiTheme="minorHAnsi" w:hAnsiTheme="minorHAnsi"/>
          <w:b/>
          <w:szCs w:val="24"/>
        </w:rPr>
      </w:pPr>
    </w:p>
    <w:p w14:paraId="636F0CA1"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En Navidad el complicado, burbujeante, y placentero amor se vigoriza.  En esa fecha aparece también otro gran principio del amor, otro gran acto amoroso: la solidaridad, que no es cualquier principio, sino aquel que permite articular y arreglar las diferencias entre la libertad (como tiranía de la voluntad, que impele al hombre a desear hacer todo lo que le plazca, sin restricciones), y la igualdad que implica el respeto a los derechos de los demás, a pesar de la singularidad del ser humano. Si eres igual a los demás, no significa que lo seas realmente, sino que sabiendo que eres diferente, debes actuar como igual para que el resto te tome como tal, te respete como igual. Si eres hecho a imagen y semejanza, entonces, tienes que respetar a tus semejantes. Se trata de niveles sociales que permiten la convivencia. La igualdad no es un concepto natural sino jurídico, no se constituye dentro del marco de la naturaleza, sino dentro del de la sociedad, del derecho; no te lo ha dado la naturaleza, sino que lo ha creado el hombre para sí. La naturaleza hace a todos diferentes, a unos más fuertes, a otros más débiles, etc. El Derecho intenta anular las diferencias naturales, por lo tanto se niega a ser objeto de la tiranía de la naturaleza.</w:t>
      </w:r>
    </w:p>
    <w:p w14:paraId="364473DA" w14:textId="77777777" w:rsidR="0082775B" w:rsidRPr="000D3432" w:rsidRDefault="0082775B" w:rsidP="00A95498">
      <w:pPr>
        <w:ind w:firstLine="708"/>
        <w:jc w:val="both"/>
        <w:rPr>
          <w:rFonts w:asciiTheme="minorHAnsi" w:hAnsiTheme="minorHAnsi"/>
          <w:szCs w:val="24"/>
        </w:rPr>
      </w:pPr>
    </w:p>
    <w:p w14:paraId="7B1D333B"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La Navidad es también un invento del hombre, para llenarse de amor, de placer, de energía, de fe, y hasta de dinero no importa el motivo, lo importante es llenarse de salud física y mental. Por eso en Navidad compartir se convierte en el lema; darles amor a los demás te hace feliz. Dar felicidad da felicidad. Por eso llevar una sonrisa a todos los necesitados se convierte en el paradigma. Lo cierto es que en días pre navideños la proyección social se hace felizmente efectiva. Las personas -algunas escondidas pudorosamente tras el ropaje de alguna institución- se lanzan a brindar amor; y hacen obras de caridad. Otros hacen campaña navideña (es un acto de guerra contra la indiferencia, la apatía y el desamor) para ayudar a los más pobres; se alistan bolsas y cajas de regalos, se preparan deliciosas chocolatadas, se proyectan colectas de ayuda social, etc., y todo para los más pobres.</w:t>
      </w:r>
    </w:p>
    <w:p w14:paraId="2A4351C0" w14:textId="77777777" w:rsidR="0082775B" w:rsidRPr="000D3432" w:rsidRDefault="0082775B" w:rsidP="00A95498">
      <w:pPr>
        <w:ind w:firstLine="708"/>
        <w:jc w:val="both"/>
        <w:rPr>
          <w:rFonts w:asciiTheme="minorHAnsi" w:hAnsiTheme="minorHAnsi"/>
          <w:szCs w:val="24"/>
        </w:rPr>
      </w:pPr>
    </w:p>
    <w:p w14:paraId="73A3FB34"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 xml:space="preserve">Claro que a veces -poquísimas- incluso se llega a confundir el amor hacia los demás con una simple campaña comercial, con simple marketing político. Y parece que empezara el show, porque todos quieren parecer “buena gente”; marketing político -se diría. Pero eso no importa, son minucias, si se evidencian y contabilizan los beneficios, si se hace de la Navidad un motor de apoyo social, si se regalan víveres, juguetes a los más necesitados; ¡aunque sólo sea para hacer imagen! No importa el motivo. Lo importante es que se hagan todos esos </w:t>
      </w:r>
      <w:r w:rsidRPr="000D3432">
        <w:rPr>
          <w:rFonts w:asciiTheme="minorHAnsi" w:hAnsiTheme="minorHAnsi"/>
          <w:szCs w:val="24"/>
        </w:rPr>
        <w:lastRenderedPageBreak/>
        <w:t xml:space="preserve">actos amorosos de solidaridad hacia los más necesitados. Aquí los medios justifican los fines. Son los medios (apoyo a los más necesitados, etc.) lo importante y no los fines (imagen política, etc) Voltaire contaba -hablando sobre las </w:t>
      </w:r>
      <w:r w:rsidRPr="000D3432">
        <w:rPr>
          <w:rFonts w:asciiTheme="minorHAnsi" w:hAnsiTheme="minorHAnsi"/>
          <w:i/>
          <w:szCs w:val="24"/>
        </w:rPr>
        <w:t>virtudes</w:t>
      </w:r>
      <w:r w:rsidRPr="000D3432">
        <w:rPr>
          <w:rFonts w:asciiTheme="minorHAnsi" w:hAnsiTheme="minorHAnsi"/>
          <w:szCs w:val="24"/>
        </w:rPr>
        <w:t xml:space="preserve">, en su Diccionario Filosófico-: “Algunos teólogos dicen que el divino emperador Antonino (999) no era virtuoso; que era un estoico testarudo que, no contento con mandar a los hombres, quería, además, ser estimado por ellos; que hacía recaer sobre sí mismo el bien que sembraba en el género humano; que </w:t>
      </w:r>
      <w:r w:rsidRPr="000D3432">
        <w:rPr>
          <w:rFonts w:asciiTheme="minorHAnsi" w:hAnsiTheme="minorHAnsi"/>
          <w:b/>
          <w:szCs w:val="24"/>
        </w:rPr>
        <w:t>toda su vida fue justo, laborioso y bienhechor por vanidad</w:t>
      </w:r>
      <w:r w:rsidRPr="000D3432">
        <w:rPr>
          <w:rFonts w:asciiTheme="minorHAnsi" w:hAnsiTheme="minorHAnsi"/>
          <w:szCs w:val="24"/>
        </w:rPr>
        <w:t>, y que no hizo sino engañar a los hombres mediante sus virtudes. Oyendo esto, no puedo menos de exclamar: ¡Dios mío, dadnos siempre bribones semejantes a él!”. Ven, los fines no importan si los medios son creativos y positivos de por sí.</w:t>
      </w:r>
    </w:p>
    <w:p w14:paraId="74E8EC87" w14:textId="77777777" w:rsidR="0082775B" w:rsidRPr="000D3432" w:rsidRDefault="0082775B" w:rsidP="00A95498">
      <w:pPr>
        <w:jc w:val="both"/>
        <w:rPr>
          <w:rFonts w:asciiTheme="minorHAnsi" w:hAnsiTheme="minorHAnsi"/>
          <w:szCs w:val="24"/>
        </w:rPr>
      </w:pPr>
    </w:p>
    <w:p w14:paraId="26C6F3F3"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 xml:space="preserve">En todo este regocijo navideño, algunas entidades han tomado posiciones estratégicas de acción y proyección. Se ha convertido en actos en vez de teorías institucionales, y emprenden entusiastas campañas navideñas. </w:t>
      </w:r>
    </w:p>
    <w:p w14:paraId="39898353" w14:textId="77777777" w:rsidR="0082775B" w:rsidRPr="000D3432" w:rsidRDefault="0082775B" w:rsidP="00A95498">
      <w:pPr>
        <w:ind w:firstLine="708"/>
        <w:jc w:val="both"/>
        <w:rPr>
          <w:rFonts w:asciiTheme="minorHAnsi" w:hAnsiTheme="minorHAnsi"/>
          <w:szCs w:val="24"/>
        </w:rPr>
      </w:pPr>
    </w:p>
    <w:p w14:paraId="6B7FDD05"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Son las intrincadas formas de amor, porque amar es involucrarse, comprometerse, no es teoría, sino acción. No es un “yo te amo aunque tú no lo sepas y aunque no te lo demuestre”. Eso no vale. Por que el amor, como el Derecho, es demostración, es ejercicio más que teoría. Es acción y no  sólo pensamiento, es conducta, y no sólo psicología.</w:t>
      </w:r>
    </w:p>
    <w:p w14:paraId="234EE8CD" w14:textId="77777777" w:rsidR="0082775B" w:rsidRPr="000D3432" w:rsidRDefault="0082775B" w:rsidP="00A95498">
      <w:pPr>
        <w:jc w:val="both"/>
        <w:rPr>
          <w:rFonts w:asciiTheme="minorHAnsi" w:hAnsiTheme="minorHAnsi"/>
          <w:szCs w:val="24"/>
        </w:rPr>
      </w:pPr>
    </w:p>
    <w:p w14:paraId="2545CE2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Las acciones, fuerza y sacrificio de las instituciones por llevar felicidad en fiestas navideñas, a los más pobres, es necesario resaltarlas, no hay que callarlas, sino gritarlas al viento (callarlas sería pura mediocridad y mezquindad, propia de espíritus secos), porque las buenas acciones jamás deben pasar desapercibidas. Así que hay que decirlas, aunque en ello nos vaya la tan manoseada estratagema para anularnos, como por ejemplo tacharnos de “sobones”, o “pateros”. Palabras necias que detienen siempre la creatividad; y son dichas, por lo general, por los que no hacen nada, por los hortelanos: los que no comen y no dejan comer. Por eso brindo por aquellos que se atreven a hacer y decir cosas nobles, por su buena fe y voluntad; porque el mundo necesita gente como ellos; que piensen en construir y no en destruir. Que piensen en crear y no en insultar. Si la clave del progreso está en el hecho de parecer o ser “figuretti”, pues seámoslo siempre, si el resultado lo amerita. No se debe olvidar que hacer actos de caridad y amor navideño implica también gastos económicos, y realmente se conoce a una persona por la “capacidad de desprendimiento de su patrimonio”.  Plagiemos, pues, el acto de crear, de construir, y olvidemos esa maldita manía de ver sólo los defectos. Si sólo vez defectos, ¿qué aprendes? Sólo defectos. Ve virtudes y llénate con ellas. </w:t>
      </w:r>
    </w:p>
    <w:p w14:paraId="020355B0" w14:textId="77777777" w:rsidR="0082775B" w:rsidRPr="000D3432" w:rsidRDefault="0082775B" w:rsidP="00A95498">
      <w:pPr>
        <w:jc w:val="both"/>
        <w:rPr>
          <w:rFonts w:asciiTheme="minorHAnsi" w:hAnsiTheme="minorHAnsi"/>
          <w:szCs w:val="24"/>
        </w:rPr>
      </w:pPr>
    </w:p>
    <w:p w14:paraId="54FB0366"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AMOR, MERCADO Y NAVIDAD:</w:t>
      </w:r>
    </w:p>
    <w:p w14:paraId="3CBE3E51" w14:textId="77777777" w:rsidR="0082775B" w:rsidRPr="000D3432" w:rsidRDefault="0082775B" w:rsidP="00A95498">
      <w:pPr>
        <w:ind w:firstLine="708"/>
        <w:jc w:val="both"/>
        <w:rPr>
          <w:rFonts w:asciiTheme="minorHAnsi" w:hAnsiTheme="minorHAnsi"/>
          <w:szCs w:val="24"/>
        </w:rPr>
      </w:pPr>
    </w:p>
    <w:p w14:paraId="6969873C"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 xml:space="preserve">La Navidad también es mercado, es consumo. El consumo está en relación directa con nuestros deseos, con nuestras necesidades; y el hombre necesita de amor. El amor -como se ve en Navidad, Día de los enamorados, etc.- es un fenómeno muy bien utilizado por el  mercado. Se vende aquello que represente amor. Y nos convertimos en amorosos cuando mandamos, por </w:t>
      </w:r>
      <w:r w:rsidRPr="000D3432">
        <w:rPr>
          <w:rFonts w:asciiTheme="minorHAnsi" w:hAnsiTheme="minorHAnsi"/>
          <w:szCs w:val="24"/>
        </w:rPr>
        <w:lastRenderedPageBreak/>
        <w:t xml:space="preserve">ejemplo una tarjetita navideña (mientras más cara, más se ama, se piensa). Eso indica que el amor también cuesta, o al menos la representación del amor), es la representación y no el objeto lo importante. El amor no expresado no vale para el mercado. “¡No!, dice el mercado. Para qué quiero que el mundo se ame si no lo expresa. Expresiones económicas, transacciones comerciales es lo que quiere el mercado”. Son las expresiones lo que el mercado busca poner en relieve, o mejor son estas expresiones lo que hace del mercado tal: transacciones comerciales. Todo el mundo sabe que el hombre no necesita -como los animales-, solo comida, aire, etc, necesita más, mucho más para vivir, necesita amor, estética,  pasión. Todos estos inventos nacidos de su condición existencial, de la conciencia de su existencia. </w:t>
      </w:r>
    </w:p>
    <w:p w14:paraId="1075F286" w14:textId="77777777" w:rsidR="0082775B" w:rsidRPr="000D3432" w:rsidRDefault="0082775B" w:rsidP="00A95498">
      <w:pPr>
        <w:ind w:firstLine="708"/>
        <w:jc w:val="both"/>
        <w:rPr>
          <w:rFonts w:asciiTheme="minorHAnsi" w:hAnsiTheme="minorHAnsi"/>
          <w:szCs w:val="24"/>
        </w:rPr>
      </w:pPr>
    </w:p>
    <w:p w14:paraId="17E5BD79"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Consumimos Navidad y lo que ello representa. Es un hecho económico y no sólo un hecho social. El mercado nunca deja de estar presente, porque mercado es relación, y el hombre, o mujer, lo que quiere, lo que necesita, es relacionarse. Navidad también es mercado: transacciones comerciales, transacciones amorosas. La mercancía es el amor. Todos los objetos no valen por su configuración material sino por su “plusválica” consistencia sentimental. El valor agregado es el amor. Y el asunto es fenomenal en materia comercial. El amor en el mercado vale muchísimo más que el oro, es más, no tiene medida. Pero el mercado tiene sentido utilitario; para este los motivos no importan si no pueden ser convertidos en valor agregado. Y el amor es el mejor valor agregado que existe. (“La decadencia está prohibida en nuestras jodidas mentes”. Héroes del Silencio).</w:t>
      </w:r>
    </w:p>
    <w:p w14:paraId="63A286AC" w14:textId="77777777" w:rsidR="0082775B" w:rsidRPr="000D3432" w:rsidRDefault="0082775B" w:rsidP="00A95498">
      <w:pPr>
        <w:numPr>
          <w:ilvl w:val="12"/>
          <w:numId w:val="0"/>
        </w:numPr>
        <w:ind w:firstLine="426"/>
        <w:rPr>
          <w:rFonts w:asciiTheme="minorHAnsi" w:hAnsiTheme="minorHAnsi"/>
          <w:color w:val="000000"/>
          <w:szCs w:val="24"/>
        </w:rPr>
      </w:pPr>
    </w:p>
    <w:p w14:paraId="6D156BC5"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69D444FF" w14:textId="77777777" w:rsidR="0082775B" w:rsidRPr="000D3432" w:rsidRDefault="0082775B" w:rsidP="00A95498">
      <w:pPr>
        <w:numPr>
          <w:ilvl w:val="12"/>
          <w:numId w:val="0"/>
        </w:numPr>
        <w:ind w:firstLine="426"/>
        <w:rPr>
          <w:rFonts w:asciiTheme="minorHAnsi" w:hAnsiTheme="minorHAnsi"/>
          <w:color w:val="000000"/>
          <w:szCs w:val="24"/>
        </w:rPr>
      </w:pPr>
    </w:p>
    <w:p w14:paraId="0F67E227" w14:textId="77777777" w:rsidR="0082775B" w:rsidRPr="000D3432" w:rsidRDefault="0082775B" w:rsidP="00A95498">
      <w:pPr>
        <w:numPr>
          <w:ilvl w:val="12"/>
          <w:numId w:val="0"/>
        </w:numPr>
        <w:ind w:firstLine="426"/>
        <w:rPr>
          <w:rFonts w:asciiTheme="minorHAnsi" w:hAnsiTheme="minorHAnsi"/>
          <w:color w:val="000000"/>
          <w:szCs w:val="24"/>
        </w:rPr>
      </w:pPr>
    </w:p>
    <w:p w14:paraId="1F5B9AC8" w14:textId="77777777" w:rsidR="0082775B" w:rsidRPr="000D3432" w:rsidRDefault="0082775B" w:rsidP="00A95498">
      <w:pPr>
        <w:numPr>
          <w:ilvl w:val="12"/>
          <w:numId w:val="0"/>
        </w:numPr>
        <w:ind w:firstLine="426"/>
        <w:rPr>
          <w:rFonts w:asciiTheme="minorHAnsi" w:hAnsiTheme="minorHAnsi"/>
          <w:color w:val="000000"/>
          <w:szCs w:val="24"/>
        </w:rPr>
      </w:pPr>
    </w:p>
    <w:p w14:paraId="184DAF5E" w14:textId="77777777" w:rsidR="0082775B" w:rsidRPr="000D3432" w:rsidRDefault="0082775B" w:rsidP="00A95498">
      <w:pPr>
        <w:numPr>
          <w:ilvl w:val="12"/>
          <w:numId w:val="0"/>
        </w:numPr>
        <w:ind w:firstLine="426"/>
        <w:rPr>
          <w:rFonts w:asciiTheme="minorHAnsi" w:hAnsiTheme="minorHAnsi"/>
          <w:color w:val="000000"/>
          <w:szCs w:val="24"/>
        </w:rPr>
      </w:pPr>
    </w:p>
    <w:p w14:paraId="774D7247" w14:textId="77777777" w:rsidR="0082775B" w:rsidRPr="000D3432" w:rsidRDefault="0082775B" w:rsidP="00A95498">
      <w:pPr>
        <w:numPr>
          <w:ilvl w:val="12"/>
          <w:numId w:val="0"/>
        </w:numPr>
        <w:ind w:firstLine="426"/>
        <w:rPr>
          <w:rFonts w:asciiTheme="minorHAnsi" w:hAnsiTheme="minorHAnsi"/>
          <w:color w:val="000000"/>
          <w:szCs w:val="24"/>
        </w:rPr>
      </w:pPr>
    </w:p>
    <w:p w14:paraId="7125F26B" w14:textId="77777777" w:rsidR="0082775B" w:rsidRPr="000D3432" w:rsidRDefault="0082775B" w:rsidP="00A95498">
      <w:pPr>
        <w:numPr>
          <w:ilvl w:val="12"/>
          <w:numId w:val="0"/>
        </w:numPr>
        <w:ind w:firstLine="426"/>
        <w:rPr>
          <w:rFonts w:asciiTheme="minorHAnsi" w:hAnsiTheme="minorHAnsi"/>
          <w:color w:val="000000"/>
          <w:szCs w:val="24"/>
        </w:rPr>
      </w:pPr>
    </w:p>
    <w:p w14:paraId="57D1F0F9" w14:textId="77777777" w:rsidR="0082775B" w:rsidRPr="000D3432" w:rsidRDefault="0082775B" w:rsidP="00A95498">
      <w:pPr>
        <w:numPr>
          <w:ilvl w:val="12"/>
          <w:numId w:val="0"/>
        </w:numPr>
        <w:ind w:firstLine="426"/>
        <w:rPr>
          <w:rFonts w:asciiTheme="minorHAnsi" w:hAnsiTheme="minorHAnsi"/>
          <w:color w:val="000000"/>
          <w:szCs w:val="24"/>
        </w:rPr>
      </w:pPr>
    </w:p>
    <w:p w14:paraId="2C167546" w14:textId="77777777" w:rsidR="0082775B" w:rsidRPr="000D3432" w:rsidRDefault="0082775B" w:rsidP="00A95498">
      <w:pPr>
        <w:jc w:val="center"/>
        <w:rPr>
          <w:rFonts w:asciiTheme="minorHAnsi" w:hAnsiTheme="minorHAnsi"/>
          <w:b/>
          <w:szCs w:val="24"/>
        </w:rPr>
      </w:pPr>
    </w:p>
    <w:p w14:paraId="749DB8B9" w14:textId="77777777" w:rsidR="0082775B" w:rsidRPr="000D3432" w:rsidRDefault="0082775B" w:rsidP="00A95498">
      <w:pPr>
        <w:jc w:val="center"/>
        <w:rPr>
          <w:rFonts w:asciiTheme="minorHAnsi" w:hAnsiTheme="minorHAnsi"/>
          <w:b/>
          <w:szCs w:val="24"/>
        </w:rPr>
      </w:pPr>
    </w:p>
    <w:p w14:paraId="61C4772F" w14:textId="77777777" w:rsidR="0082775B" w:rsidRPr="000D3432" w:rsidRDefault="0082775B" w:rsidP="00A95498">
      <w:pPr>
        <w:jc w:val="center"/>
        <w:rPr>
          <w:rFonts w:asciiTheme="minorHAnsi" w:hAnsiTheme="minorHAnsi"/>
          <w:b/>
          <w:szCs w:val="24"/>
        </w:rPr>
      </w:pPr>
      <w:r w:rsidRPr="000D3432">
        <w:rPr>
          <w:rFonts w:asciiTheme="minorHAnsi" w:hAnsiTheme="minorHAnsi"/>
          <w:b/>
          <w:szCs w:val="24"/>
        </w:rPr>
        <w:t>_____________________ DERECHO AL SEXO _____________________</w:t>
      </w:r>
    </w:p>
    <w:p w14:paraId="491D2828" w14:textId="77777777" w:rsidR="0082775B" w:rsidRPr="000D3432" w:rsidRDefault="0082775B" w:rsidP="00A95498">
      <w:pPr>
        <w:jc w:val="both"/>
        <w:rPr>
          <w:rFonts w:asciiTheme="minorHAnsi" w:hAnsiTheme="minorHAnsi"/>
          <w:szCs w:val="24"/>
        </w:rPr>
      </w:pPr>
    </w:p>
    <w:p w14:paraId="7E9A5773" w14:textId="77777777" w:rsidR="0082775B" w:rsidRPr="000D3432" w:rsidRDefault="0082775B" w:rsidP="00A95498">
      <w:pPr>
        <w:jc w:val="both"/>
        <w:rPr>
          <w:rFonts w:asciiTheme="minorHAnsi" w:hAnsiTheme="minorHAnsi"/>
          <w:szCs w:val="24"/>
        </w:rPr>
      </w:pPr>
    </w:p>
    <w:p w14:paraId="0219DD94" w14:textId="77777777" w:rsidR="0082775B" w:rsidRPr="000D3432" w:rsidRDefault="0082775B" w:rsidP="00A95498">
      <w:pPr>
        <w:jc w:val="both"/>
        <w:rPr>
          <w:rFonts w:asciiTheme="minorHAnsi" w:hAnsiTheme="minorHAnsi"/>
          <w:szCs w:val="24"/>
        </w:rPr>
      </w:pPr>
    </w:p>
    <w:p w14:paraId="3556218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Tocar el tema de la sexualidad puede parecer un tanto atrevido, y a veces hasta descarado; pero no hablar de ello en estos tiempos sería realmente escandaloso; además, ¿por qué no hablar del acto más natural -y por lo tanto más sano- que experimenta el hombre? No hay, pues, motivo para asustarse, y menos si recordamos que incluso en la Edad Media -la edad de la oscuridad, del ocultamiento- se hablaba del sexo públicamente con cierta libertad y peculiaridad en las áreas académicas; eso es al menos lo que cuenta Ramos Núnez -jurista, metodólogo, investigador y divertido narrador- en su locuaz y lúcido libro</w:t>
      </w:r>
      <w:r w:rsidRPr="000D3432">
        <w:rPr>
          <w:rFonts w:asciiTheme="minorHAnsi" w:hAnsiTheme="minorHAnsi"/>
          <w:i/>
          <w:szCs w:val="24"/>
        </w:rPr>
        <w:t>: “Cómo hacer una tesis de Derecho y no envejecer en el intento”,</w:t>
      </w:r>
      <w:r w:rsidRPr="000D3432">
        <w:rPr>
          <w:rFonts w:asciiTheme="minorHAnsi" w:hAnsiTheme="minorHAnsi"/>
          <w:szCs w:val="24"/>
        </w:rPr>
        <w:t xml:space="preserve"> en el que introduce -estoy seguro que maliciosamente-  un asunto sexual, con la fácil excusa de presentar un ejemplo de lo que era una tesis en la Edad Media: “Tal vez -escribe- para entender mejor el significado de una tesis valdría la pena recordar aquellas que se elaboraban en la época medieval que consistían tan sólo en la defensa oral de una posición polémica: </w:t>
      </w:r>
      <w:r w:rsidRPr="000D3432">
        <w:rPr>
          <w:rFonts w:asciiTheme="minorHAnsi" w:hAnsiTheme="minorHAnsi"/>
          <w:i/>
          <w:szCs w:val="24"/>
        </w:rPr>
        <w:t>Los ángeles carecen de sexo</w:t>
      </w:r>
      <w:r w:rsidRPr="000D3432">
        <w:rPr>
          <w:rFonts w:asciiTheme="minorHAnsi" w:hAnsiTheme="minorHAnsi"/>
          <w:szCs w:val="24"/>
        </w:rPr>
        <w:t xml:space="preserve">. Otro estudiante, con apoyo de las escrituras, retrucaría: </w:t>
      </w:r>
      <w:r w:rsidRPr="000D3432">
        <w:rPr>
          <w:rFonts w:asciiTheme="minorHAnsi" w:hAnsiTheme="minorHAnsi"/>
          <w:i/>
          <w:szCs w:val="24"/>
        </w:rPr>
        <w:t>Los ángeles tienen sexo masculino</w:t>
      </w:r>
      <w:r w:rsidRPr="000D3432">
        <w:rPr>
          <w:rFonts w:asciiTheme="minorHAnsi" w:hAnsiTheme="minorHAnsi"/>
          <w:szCs w:val="24"/>
        </w:rPr>
        <w:t xml:space="preserve">. Otro diría, a la luz de su bello aspecto: </w:t>
      </w:r>
      <w:r w:rsidRPr="000D3432">
        <w:rPr>
          <w:rFonts w:asciiTheme="minorHAnsi" w:hAnsiTheme="minorHAnsi"/>
          <w:i/>
          <w:szCs w:val="24"/>
        </w:rPr>
        <w:t>Los ángeles son mujeres</w:t>
      </w:r>
      <w:r w:rsidRPr="000D3432">
        <w:rPr>
          <w:rFonts w:asciiTheme="minorHAnsi" w:hAnsiTheme="minorHAnsi"/>
          <w:szCs w:val="24"/>
        </w:rPr>
        <w:t xml:space="preserve">.” Sin embargo, a pesar de haber pasado ya tanto tiempo desde la Edad Media, el sexo hoy sigue estando sospechosa y maliciosamente negado, ocultado y enterrado por velos lingüísticos, palabras elegantes, eufemísticas, adjetivos honoríficos, términos pretenciosos y falseadores como: “civilización”, “cultura”, “moral”, “progreso”, “decencia”,  etc., etc., conceptos que han hecho que esa relación sexo-realidad haya ido siendo desconectada a nivel colectivo y público de sus fibras auténticas, permitiendo que el hombre vaya perdiendo como ‘ser’ (lo que uno es) y ¿ganando? como ‘forma’ (lo que uno debe aparentar ser). Todas estas negaciones categorizadas en el orden de los hechos podrían ser denominadas: “actos de ocultamiento” de la sexualidad. Lo paradójico es que para ello se ha utilizado al paladín de la libertad: al Derecho, al jus, usando de su fuerza coactiva tan descaradamente como haya sido posible, y en todas sus dimensiones. No puede olvidarse que quienes querían escapar de las negaciones y de los actos de ocultamiento de la experiencia sexual, y meterse de lleno en la espesura del mundo sexual y, además, difundir estos conocimientos, eran sacrosantamente bloqueados por reglas de orden moral, respaldados y legitimados por normas jurídicas, sin importar que estas normas -morales y jurídicas- fueran tan hipócritas como contrarias al ser mismo, al humano en su plena naturaleza. ¿Cuáles eran los conceptos o instituciones usadas para </w:t>
      </w:r>
      <w:r w:rsidRPr="000D3432">
        <w:rPr>
          <w:rFonts w:asciiTheme="minorHAnsi" w:hAnsiTheme="minorHAnsi"/>
          <w:szCs w:val="24"/>
        </w:rPr>
        <w:lastRenderedPageBreak/>
        <w:t>legitimar el bloqueo del conocimiento de la realidad sexual y de su libre difusión? Nada más y nada menos que las mismas palabras que hoy se utilizan para seguir bloqueando cualquier intento de dar rienda suelta a la creatividad humana (Nietzsche lo llamaría la ‘</w:t>
      </w:r>
      <w:r w:rsidRPr="000D3432">
        <w:rPr>
          <w:rFonts w:asciiTheme="minorHAnsi" w:hAnsiTheme="minorHAnsi"/>
          <w:i/>
          <w:szCs w:val="24"/>
        </w:rPr>
        <w:t>voluntad de poderío’</w:t>
      </w:r>
      <w:r w:rsidRPr="000D3432">
        <w:rPr>
          <w:rFonts w:asciiTheme="minorHAnsi" w:hAnsiTheme="minorHAnsi"/>
          <w:szCs w:val="24"/>
        </w:rPr>
        <w:t>: dar rienda suelta a nuestras potencialidades;  o en sus palabras: “…</w:t>
      </w:r>
      <w:r w:rsidRPr="000D3432">
        <w:rPr>
          <w:rFonts w:asciiTheme="minorHAnsi" w:hAnsiTheme="minorHAnsi"/>
          <w:i/>
          <w:szCs w:val="24"/>
        </w:rPr>
        <w:t xml:space="preserve">, </w:t>
      </w:r>
      <w:r w:rsidRPr="000D3432">
        <w:rPr>
          <w:rFonts w:asciiTheme="minorHAnsi" w:hAnsiTheme="minorHAnsi"/>
          <w:szCs w:val="24"/>
        </w:rPr>
        <w:t xml:space="preserve">dar libre curso </w:t>
      </w:r>
      <w:r w:rsidRPr="000D3432">
        <w:rPr>
          <w:rFonts w:asciiTheme="minorHAnsi" w:hAnsiTheme="minorHAnsi"/>
          <w:i/>
          <w:szCs w:val="24"/>
        </w:rPr>
        <w:t>a su fuerza”</w:t>
      </w:r>
      <w:r w:rsidRPr="000D3432">
        <w:rPr>
          <w:rFonts w:asciiTheme="minorHAnsi" w:hAnsiTheme="minorHAnsi"/>
          <w:szCs w:val="24"/>
        </w:rPr>
        <w:t xml:space="preserve">), los mismos términos carceleros: “dignidad”, “moral”, “respeto” “buenas costumbres”, “pudor”, “bienestar social”, “orden”, etc.  No negamos de estos términos algunos rasgos benéficos, pero tampoco olvidamos su lado oscuro, que parece ser más directa y eficaz, hasta porcentualmente mayor, puesto que la fuerza de estos términos -que encierran instituciones definitivas- es endemoniada, y hasta atroz; tienen una carga de autocensura espeluznante, ante la que uno ya no puede oponer nada si no quiere verse estigmatizado como irrespetuoso, hereje, blasfemo, mal educado, antisocial, etc., términos que logran poner de manifiesto la falta de autenticidad del hombre; es precisamente por este tipo de actos de ocultamiento y lenguaje dogmatico (que encierra una verdad indiscutible), por las que ser auténtico en este mundo, es lo más difícil que se pueda pretender. Lo peor es que la sociedad misma está entrenada para no permitirte ser auténtico, eso, a sus ojos resultaría una monstruosidad. Los que intentan saltar estos límites se convierten de inmediato colectiva y subconscientemente en una especie de parias, apestados,  etc. Las palabras se convierten luego en aplastantes incitadores de la modorra, y el ocultamiento se manifiesta en esplendor. El sermón -según estos términos-: no hacer nada, nada fuera de los cánones establecidos. Todo debe ser como es y no pasar de allí. Las cosas deben cambiar lo suficiente como para que nada cambie (Mangabeira lo llamaría </w:t>
      </w:r>
      <w:r w:rsidRPr="000D3432">
        <w:rPr>
          <w:rFonts w:asciiTheme="minorHAnsi" w:hAnsiTheme="minorHAnsi"/>
          <w:i/>
          <w:szCs w:val="24"/>
        </w:rPr>
        <w:t>Modernización Tradicionalista</w:t>
      </w:r>
      <w:r w:rsidRPr="000D3432">
        <w:rPr>
          <w:rFonts w:asciiTheme="minorHAnsi" w:hAnsiTheme="minorHAnsi"/>
          <w:szCs w:val="24"/>
        </w:rPr>
        <w:t>). O intentando aclara mejor las cosas, tomemos un ejemplo, el del término moral, la tan manoseada moral, del que todos hablan como un fin, pero nunca entienden muy bien como funciona. Savater explica la característica negativa de este concepto, y dice: “</w:t>
      </w:r>
      <w:r w:rsidRPr="000D3432">
        <w:rPr>
          <w:rFonts w:asciiTheme="minorHAnsi" w:hAnsiTheme="minorHAnsi"/>
          <w:i/>
          <w:szCs w:val="24"/>
        </w:rPr>
        <w:t xml:space="preserve">la moral no es otra cosa más que la posibilidad aceptada y venerada de </w:t>
      </w:r>
      <w:r w:rsidRPr="000D3432">
        <w:rPr>
          <w:rFonts w:asciiTheme="minorHAnsi" w:hAnsiTheme="minorHAnsi"/>
          <w:szCs w:val="24"/>
        </w:rPr>
        <w:t>pensar contra uno mismo</w:t>
      </w:r>
      <w:r w:rsidRPr="000D3432">
        <w:rPr>
          <w:rFonts w:asciiTheme="minorHAnsi" w:hAnsiTheme="minorHAnsi"/>
          <w:i/>
          <w:szCs w:val="24"/>
        </w:rPr>
        <w:t xml:space="preserve">, de juzgarse y sancionarse a uno mismo, de acuerdo con una regla suprema y general: ser moral es admitir la posibilidad de tener culpables remordimientos </w:t>
      </w:r>
      <w:r w:rsidRPr="000D3432">
        <w:rPr>
          <w:rFonts w:asciiTheme="minorHAnsi" w:hAnsiTheme="minorHAnsi"/>
          <w:szCs w:val="24"/>
        </w:rPr>
        <w:t>por haber hecho algo que realmente se quería hacer,</w:t>
      </w:r>
      <w:r w:rsidRPr="000D3432">
        <w:rPr>
          <w:rFonts w:asciiTheme="minorHAnsi" w:hAnsiTheme="minorHAnsi"/>
          <w:i/>
          <w:szCs w:val="24"/>
        </w:rPr>
        <w:t xml:space="preserve"> o aún peor, admitir contra toda evidencia de nuestra carne y de nuestro espíritu, que uno no quiere realmente hacer nunca más que lo que la moral ordena, y que sólo por incidental desvío se infringe la norma.”</w:t>
      </w:r>
      <w:r w:rsidRPr="000D3432">
        <w:rPr>
          <w:rFonts w:asciiTheme="minorHAnsi" w:hAnsiTheme="minorHAnsi"/>
          <w:szCs w:val="24"/>
        </w:rPr>
        <w:t xml:space="preserve"> Esto por supuesto no quiere decir que todo lo moral es malo, sino más bien que es dañino todo aquello que va contra nuestra propia e interna condición de ser humano, de </w:t>
      </w:r>
      <w:r w:rsidRPr="000D3432">
        <w:rPr>
          <w:rFonts w:asciiTheme="minorHAnsi" w:hAnsiTheme="minorHAnsi"/>
          <w:i/>
          <w:szCs w:val="24"/>
        </w:rPr>
        <w:t>homos eroticus</w:t>
      </w:r>
      <w:r w:rsidRPr="000D3432">
        <w:rPr>
          <w:rFonts w:asciiTheme="minorHAnsi" w:hAnsiTheme="minorHAnsi"/>
          <w:szCs w:val="24"/>
        </w:rPr>
        <w:t xml:space="preserve">, de tener, desde que nacemos -según Freud- la libido (apetito sexual). </w:t>
      </w:r>
    </w:p>
    <w:p w14:paraId="4451ED33" w14:textId="77777777" w:rsidR="0082775B" w:rsidRPr="000D3432" w:rsidRDefault="0082775B" w:rsidP="00A95498">
      <w:pPr>
        <w:ind w:firstLine="708"/>
        <w:jc w:val="both"/>
        <w:rPr>
          <w:rFonts w:asciiTheme="minorHAnsi" w:hAnsiTheme="minorHAnsi"/>
          <w:szCs w:val="24"/>
        </w:rPr>
      </w:pPr>
      <w:r w:rsidRPr="000D3432">
        <w:rPr>
          <w:rFonts w:asciiTheme="minorHAnsi" w:hAnsiTheme="minorHAnsi"/>
          <w:szCs w:val="24"/>
        </w:rPr>
        <w:t>Pero se me objetará que hoy nadie tiene ya pudor en hablar públicamente sobre el sexo; hoy el trauma está superado, por lo tanto el tema es irrelevante, puesto que el sexo ya no es tabú en estos tiempos y eso significaría que ya no existen actos de ocultamiento de la sexualidad. Se dirá que hoy el sexo se habla y practica libremente. Bien, pues yo digo que eso es sino completamente falso al menos inexacto. No es cierto que el sexo haya dejado de ser tabú. Por ejemplo, ninguna otra institución</w:t>
      </w:r>
      <w:r w:rsidRPr="000D3432">
        <w:rPr>
          <w:rFonts w:asciiTheme="minorHAnsi" w:hAnsiTheme="minorHAnsi"/>
          <w:position w:val="6"/>
          <w:szCs w:val="24"/>
        </w:rPr>
        <w:t> </w:t>
      </w:r>
      <w:r w:rsidRPr="000D3432">
        <w:rPr>
          <w:rFonts w:asciiTheme="minorHAnsi" w:hAnsiTheme="minorHAnsi"/>
          <w:szCs w:val="24"/>
        </w:rPr>
        <w:t xml:space="preserve"> podría auspiciar, descarada y abiertamente, un proyecto donde los términos sexo crudo, desnudez, exhibición, sean tratados con suficiente desparpajo. Inmediatamente se confundiría sexo con pornografía, desnudez con morbo; y cualquier intento de ahuyentar todo </w:t>
      </w:r>
      <w:r w:rsidRPr="000D3432">
        <w:rPr>
          <w:rFonts w:asciiTheme="minorHAnsi" w:hAnsiTheme="minorHAnsi"/>
          <w:szCs w:val="24"/>
        </w:rPr>
        <w:lastRenderedPageBreak/>
        <w:t>mal entendido sería ineficaz, inútil. Es decir: el sexo sigue siendo tabú, aunque usted no lo crea. Es algo que se mira lo más decentemente posible, pero se desea subjetivamente con el menor respeto posible.</w:t>
      </w:r>
    </w:p>
    <w:p w14:paraId="1605993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Es evidente, entonces, que aún hoy existe un cierto temor a exponer nuestros instintos con total sinceridad, por ese afán de librarnos del término moralmente acusatorio de  “morboso”, que nos condenaría a perder nuestra muy buena imagen pública de “normal” y “sano”, tan necesarios para formarnos una carrera laboral y política. Además el orden jurídico prohíbe cualquier exhibición de sinceridad sexual (te hallan con cientos de revistas eróticas y puedes ser acusado de enfermo sexual, violador, etc.). Luego salta la pregunta: ¿Qué queda para los humanos necesitados de una libre sexualidad? Quedan los “chupódromos”, el burdel y las chicas fáciles, clandestinamente encubiertos por las luces bajas, la oscuridad y la noche. Lo cómico es que en el caso de los burdeles, por ejemplo, el panorama se presenta como un fenómeno curioso, donde se conjugan muy bien el respeto con el orden jurídico. La moralidad en estos ambientes y con esta clase de mujeres se transforma en la libertad sexual como regla de consenso. La norma moral sería aquí “tener sexo” sin machaqueos de censura y autocensura. Lo que tienes es más bien cierta culpa de no haber “ocupado” a una de estas mujeres, que se te exhiben como mercancía barata y lista, y que “trabajan honradamente” para ganarse la vida legalmente justificadas. Lo bueno es que estas chicas no pretenderán que justifiques tu lengua salida, tu boca babosa y llena de saliva, tus ansias de amar salvajemente el cuerpo humano, tu “morbo”; y lo mejor es que allí sí está permitido “jurídicamente” tu comportamiento sexual, aunque moralmente sea reprimido. El Derecho se muestra así benevolente, flexible, humano, y se dedica más bien a aspectos de orden y seguridad (control higiénico de las vendedoras de humanidad sexual, licencias diversas, etc.). El discurso sexual se da allí con soltura, con descaro y bastante distante de toda moralidad urbana.</w:t>
      </w:r>
    </w:p>
    <w:p w14:paraId="6FD49F9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Esto haría recordar a otros tiempos, antes del siglo XVII, por ejemplo, los discursos eróticos eran más abiertos, más libres, menos hipócritas. Había cierta desfachatez en la desnudez, las carnes se bamboleaban entre la sonrisa natural de los demás, pero a partir de la burguesía victoriana, el discurso erótico se fundió en el rincón del silencio, de lo místico, de lo secreto. Y aunque el cuerpo quería liberarse, el orden social, jurídico, lo prohibía. Contranaturaleza de los instintos. El discurso erótico era exiliado al reino del matrimonio, a la alcoba conyugal y reducido a una función reproductora; fuera de allí, era inmoral, y drásticamente penado -explica Foucault-. Así que el silencio cundió ampliamente, y los actos de ocultamiento funcionaban en su máxima expresión. Y la sexualidad quedó retenida, muda, hipócrita, </w:t>
      </w:r>
      <w:r w:rsidRPr="000D3432">
        <w:rPr>
          <w:rFonts w:asciiTheme="minorHAnsi" w:hAnsiTheme="minorHAnsi"/>
          <w:i/>
          <w:szCs w:val="24"/>
        </w:rPr>
        <w:t>“la sexualidad es cuidadosamente encerrada. Se muda. La familia conyugal la confisca. Y la absorbe por entero en la seriedad de la función reproductora.... el único lugar de sexualidad reconocida, utilitaria y fecunda: la alcoba de los padres.”</w:t>
      </w:r>
    </w:p>
    <w:p w14:paraId="4AFB22F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r>
    </w:p>
    <w:p w14:paraId="1F7875A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El sexo y el Derecho no han podido desligarse del discurso político, del discurso explicativo, justificatorio, y de su relación con el poder. Para Freud la naturaleza fundamental en el hombre del cual parten todos sus actos sería el sexo, y Adler piensa que es el sexo el fundamento principal de la sociedad (todo esto si mal no me acuerdo). </w:t>
      </w:r>
    </w:p>
    <w:p w14:paraId="6B467C6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lastRenderedPageBreak/>
        <w:tab/>
        <w:t>Para graficar mas retóricamente a la relación del poder con el sexo (y toda relacion con el poder tiene que ver con el Derecho) podemos observar la profundidad de una frase, achacada a Victor Andrés Belaunde, que golpea así:</w:t>
      </w:r>
    </w:p>
    <w:p w14:paraId="0A1F7B79" w14:textId="77777777" w:rsidR="0082775B" w:rsidRPr="000D3432" w:rsidRDefault="0082775B" w:rsidP="00A95498">
      <w:pPr>
        <w:jc w:val="both"/>
        <w:rPr>
          <w:rFonts w:asciiTheme="minorHAnsi" w:hAnsiTheme="minorHAnsi"/>
          <w:szCs w:val="24"/>
        </w:rPr>
      </w:pPr>
    </w:p>
    <w:p w14:paraId="74D094C4" w14:textId="77777777" w:rsidR="0082775B" w:rsidRPr="000D3432" w:rsidRDefault="0082775B" w:rsidP="00A95498">
      <w:pPr>
        <w:tabs>
          <w:tab w:val="left" w:pos="720"/>
        </w:tabs>
        <w:ind w:left="720" w:hanging="720"/>
        <w:jc w:val="both"/>
        <w:rPr>
          <w:rFonts w:asciiTheme="minorHAnsi" w:hAnsiTheme="minorHAnsi"/>
          <w:b/>
          <w:i/>
          <w:szCs w:val="24"/>
        </w:rPr>
      </w:pPr>
      <w:r w:rsidRPr="000D3432">
        <w:rPr>
          <w:rFonts w:asciiTheme="minorHAnsi" w:hAnsiTheme="minorHAnsi"/>
          <w:b/>
          <w:i/>
          <w:szCs w:val="24"/>
        </w:rPr>
        <w:tab/>
        <w:t xml:space="preserve"> “El sexo es el poder de los jóvenes, y el poder es el sexo de los viejos”.</w:t>
      </w:r>
    </w:p>
    <w:p w14:paraId="00E80BCF" w14:textId="77777777" w:rsidR="0082775B" w:rsidRPr="000D3432" w:rsidRDefault="0082775B" w:rsidP="00A95498">
      <w:pPr>
        <w:tabs>
          <w:tab w:val="left" w:pos="720"/>
        </w:tabs>
        <w:ind w:left="720" w:hanging="720"/>
        <w:jc w:val="both"/>
        <w:rPr>
          <w:rFonts w:asciiTheme="minorHAnsi" w:hAnsiTheme="minorHAnsi"/>
          <w:szCs w:val="24"/>
        </w:rPr>
      </w:pPr>
    </w:p>
    <w:p w14:paraId="6119A73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Claro que este no es de ninguna manera un consuelo para los viejos, pero indica la relación sexo-poder como factor fundamental de la vida humana; esbozada como característica de vitalidad en los jóvenes y ficcionada como una no resignación en los viejos. </w:t>
      </w:r>
    </w:p>
    <w:p w14:paraId="302FD5F9" w14:textId="77777777" w:rsidR="0082775B" w:rsidRPr="000D3432" w:rsidRDefault="0082775B" w:rsidP="00A95498">
      <w:pPr>
        <w:jc w:val="both"/>
        <w:rPr>
          <w:rFonts w:asciiTheme="minorHAnsi" w:hAnsiTheme="minorHAnsi"/>
          <w:szCs w:val="24"/>
        </w:rPr>
      </w:pPr>
    </w:p>
    <w:p w14:paraId="3630883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Por otro lado, la represión del sexo reforzada por las normas de moralidad, del Derecho y de las buenas costumbres tienen su contradicción rotunda en las propias personas paradigmas de moralidad, como por ejemplo la reina Victoria. Esta reina, teñida con el manto de moralidad, portadora de este signo, era -según escribe Eduardo Galeano- una gran narcotraficante de opio, que introdujo tal droga en la China, por medios nada morales, y -ante la oposición del régimen- mediante la guerra. Todo debidamente cubierto, eso sí.</w:t>
      </w:r>
      <w:r w:rsidRPr="000D3432">
        <w:rPr>
          <w:rFonts w:asciiTheme="minorHAnsi" w:hAnsiTheme="minorHAnsi"/>
          <w:szCs w:val="24"/>
        </w:rPr>
        <w:tab/>
      </w:r>
    </w:p>
    <w:p w14:paraId="7EE6D994" w14:textId="77777777" w:rsidR="0082775B" w:rsidRPr="000D3432" w:rsidRDefault="0082775B" w:rsidP="00A95498">
      <w:pPr>
        <w:jc w:val="both"/>
        <w:rPr>
          <w:rFonts w:asciiTheme="minorHAnsi" w:hAnsiTheme="minorHAnsi"/>
          <w:szCs w:val="24"/>
        </w:rPr>
      </w:pPr>
    </w:p>
    <w:p w14:paraId="7936120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El cubrimiento de la sexualidad ha utilizado argumentos discursivos de toda índole, desde los que señalan que el sexo fuera del matrimonio es un “pecado”(la iglesia), hasta los planteamientos de orden moral: el sexo es “inmoral” y por lo tanto malo. Esto ya es conocido, pero lo poco conocido es que la iglesia, y todos las instituciones que condenaban el sexo ya sabían de antemano que no era malo, que no era pecado, que no era inmoral. Sino que era una estrategia del poder, para mantener el orden a un nivel subconsciente extraordinariamente eficaz, creando como elemento de represión y de control la mejor arma que se haya podido inventar: la autocensura. </w:t>
      </w:r>
    </w:p>
    <w:p w14:paraId="2A5E7BC6" w14:textId="77777777" w:rsidR="0082775B" w:rsidRPr="000D3432" w:rsidRDefault="0082775B" w:rsidP="00A95498">
      <w:pPr>
        <w:jc w:val="both"/>
        <w:rPr>
          <w:rFonts w:asciiTheme="minorHAnsi" w:hAnsiTheme="minorHAnsi"/>
          <w:szCs w:val="24"/>
        </w:rPr>
      </w:pPr>
    </w:p>
    <w:p w14:paraId="05BF1DB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Es impresionante que aunque la represión sexual se haya fabricado con flores de trapo, el sistema funciona hasta ahora, en los lugares más liberales que existen, por ejemplo, escribe Charles Bukowski que a John Bryan, editor del periódico “underground” Open City, le echaron de su anterior trabajo en otro periódico de mayor prestigio Free Press </w:t>
      </w:r>
      <w:r w:rsidRPr="000D3432">
        <w:rPr>
          <w:rFonts w:asciiTheme="minorHAnsi" w:hAnsiTheme="minorHAnsi"/>
          <w:b/>
          <w:i/>
          <w:szCs w:val="24"/>
        </w:rPr>
        <w:t>“por oponerse a que le borraran el pene y los huevos al Niño Jesús. Esto en la portada del número de Navidad.”</w:t>
      </w:r>
      <w:r w:rsidRPr="000D3432">
        <w:rPr>
          <w:rFonts w:asciiTheme="minorHAnsi" w:hAnsiTheme="minorHAnsi"/>
          <w:szCs w:val="24"/>
        </w:rPr>
        <w:t xml:space="preserve">, esto en los Estados Unidos de Norteamérica, nada menos. Imagino la historia vivida en este país, “el país de las oportunidades, la potencia mundial del mundo, el país desarrollado, el paradigma de civilización a la que los países subdesarrollados queremos -algún día- llegar, el país de la libertad, etc. y pienso que la hipocresía, el miedo estratégico a quedar mal con el resto del mundo es aún muy fuerte. El fenómeno se presenta ya no desde un punto de vista moral. No se esconde el sexo, o se lo disimula por moral, principios, razones éticas, sino por cuestiones netamente prácticas, materiales, económicas, políticas, estratégicas y tácticas, es decir son posicionamientos o posturas estratégicas. Lo malo de estas operaciones es que la gente se ve anclada en una serie de contradicciones, hipocresías y cinismos, que le impiden desarrollarse libre y creativamente, distanciando el sexo del derecho, o planteándolas como dos </w:t>
      </w:r>
      <w:r w:rsidRPr="000D3432">
        <w:rPr>
          <w:rFonts w:asciiTheme="minorHAnsi" w:hAnsiTheme="minorHAnsi"/>
          <w:szCs w:val="24"/>
        </w:rPr>
        <w:lastRenderedPageBreak/>
        <w:t>cosas separadas; el caso lo muestra el último presidente de los Estados Unidos y su famosa y descarada amante oral.</w:t>
      </w:r>
    </w:p>
    <w:p w14:paraId="0FE2E313" w14:textId="77777777" w:rsidR="0082775B" w:rsidRPr="000D3432" w:rsidRDefault="0082775B" w:rsidP="00A95498">
      <w:pPr>
        <w:jc w:val="both"/>
        <w:rPr>
          <w:rFonts w:asciiTheme="minorHAnsi" w:hAnsiTheme="minorHAnsi"/>
          <w:szCs w:val="24"/>
        </w:rPr>
      </w:pPr>
    </w:p>
    <w:p w14:paraId="0E2E063B"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UNA RETROSPECTIVA MIRADA HACIA BABILONIA Y EL CÓDIGO DE HAMMURABI</w:t>
      </w:r>
    </w:p>
    <w:p w14:paraId="16B1AD0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 </w:t>
      </w:r>
    </w:p>
    <w:p w14:paraId="394688E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Pero veamos un poco más de historia, o imaginación, de algunos hombres llamados historiadores sobre el tratamiento de la sexualidad en la antigua Babilonia, de donde se conoce el primer código de Hammurabi.</w:t>
      </w:r>
    </w:p>
    <w:p w14:paraId="61FDFC3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En Babilonia, por ejemplo, se concibe que la mujer está creada para dar placer al hombre, para concebir hijos, para llevar la casa.</w:t>
      </w:r>
    </w:p>
    <w:p w14:paraId="67C10FE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En ese sistema de vida, la mujer casada podía ser repudiada a sola declaración del marido, por causas como por ejemplo esterilidad, enfermedad, condición de mala mujer, etc. Pero, además, el hombre que repudiaba a su mujer, podía, a título de generosidad, conservarla en calidad de esclava. Esto estaba debidamente normado y consentido. No escandalizaba a nadie y era de lo más natural y justo. El Derecho además lo contemplaba, como un fenómeno de organización social.</w:t>
      </w:r>
    </w:p>
    <w:p w14:paraId="748C403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En este sistema antiguo las diferencias entre hombre y mujer eran a veces extremas; por ejemplo, en caso de adulterio, infidelidad por parte del hombre, éste no recibía castigo; pero la mujer infiel era arrojada encadenada al río. Acto que se consideraba el más justo de todos los actos. </w:t>
      </w:r>
    </w:p>
    <w:p w14:paraId="4389B29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La mujer que tuviera amante, de ser encontrada </w:t>
      </w:r>
      <w:r w:rsidRPr="000D3432">
        <w:rPr>
          <w:rFonts w:asciiTheme="minorHAnsi" w:hAnsiTheme="minorHAnsi"/>
          <w:i/>
          <w:szCs w:val="24"/>
        </w:rPr>
        <w:t>in fraganti</w:t>
      </w:r>
      <w:r w:rsidRPr="000D3432">
        <w:rPr>
          <w:rFonts w:asciiTheme="minorHAnsi" w:hAnsiTheme="minorHAnsi"/>
          <w:szCs w:val="24"/>
        </w:rPr>
        <w:t>, era arrojada atada junto a su amante al río.</w:t>
      </w:r>
    </w:p>
    <w:p w14:paraId="14950E8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Pero si la infidelidad de la mujer era sólo una sospecha, también eran arrojados al agua, sin ataduras; sometiendo a los designios del dios río la inocencia o culpabilidad de los acusados.</w:t>
      </w:r>
    </w:p>
    <w:p w14:paraId="355AB89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La castración y la amputación de la nariz eran otros medios de castigar a los que cometían delitos sexuales. Y a los intermediarios que ofrecían al público aventuras con mujeres casadas se les cortaba las orejas, por lo que andaban muy desorejados.</w:t>
      </w:r>
    </w:p>
    <w:p w14:paraId="746956F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Otra nota singular era que el marido podía entregar a su mujer -con hijos y todos- en calidad de prenda, por alguna deuda, al acreedor, por tres años, que con el tiempo fueron extendiéndose, lo que luego se convertiría en una especie de trata de esclavas.</w:t>
      </w:r>
    </w:p>
    <w:p w14:paraId="083B4710" w14:textId="77777777" w:rsidR="0082775B" w:rsidRPr="000D3432" w:rsidRDefault="0082775B" w:rsidP="00A95498">
      <w:pPr>
        <w:jc w:val="both"/>
        <w:rPr>
          <w:rFonts w:asciiTheme="minorHAnsi" w:hAnsiTheme="minorHAnsi"/>
          <w:szCs w:val="24"/>
        </w:rPr>
      </w:pPr>
    </w:p>
    <w:p w14:paraId="6521DCCB"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LEJOS DE BABILONIA</w:t>
      </w:r>
    </w:p>
    <w:p w14:paraId="5F20497C" w14:textId="77777777" w:rsidR="0082775B" w:rsidRPr="000D3432" w:rsidRDefault="0082775B" w:rsidP="00A95498">
      <w:pPr>
        <w:jc w:val="both"/>
        <w:rPr>
          <w:rFonts w:asciiTheme="minorHAnsi" w:hAnsiTheme="minorHAnsi"/>
          <w:szCs w:val="24"/>
        </w:rPr>
      </w:pPr>
    </w:p>
    <w:p w14:paraId="74B00FE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 xml:space="preserve">Hoy se trata más bien de una relación más horizontal. La mujer ya no está a nivel inferior que el hombre, pero sigue jodiendo, </w:t>
      </w:r>
      <w:r w:rsidRPr="000D3432">
        <w:rPr>
          <w:rFonts w:asciiTheme="minorHAnsi" w:hAnsiTheme="minorHAnsi"/>
          <w:i/>
          <w:szCs w:val="24"/>
        </w:rPr>
        <w:t>“las mujeres son básicamente animales estúpidos, pero se concentran tanto y tan enteramente en el varón que a menudo le derrotan mientras él anda pensando en otras cosas”</w:t>
      </w:r>
      <w:r w:rsidRPr="000D3432">
        <w:rPr>
          <w:rFonts w:asciiTheme="minorHAnsi" w:hAnsiTheme="minorHAnsi"/>
          <w:szCs w:val="24"/>
        </w:rPr>
        <w:t>. Las mujeres se basan en que tanto ella como el hombre provienen del mismo lugar, del hueco de su madre -me refiero al vientre-. Por suerte no todas las mujeres se ajustan a la descripción de Bukowski, y en el peor de los casos las cosas -a veces- se invierten y es el hombre el que se vuelve el “animal estúpido”.</w:t>
      </w:r>
    </w:p>
    <w:p w14:paraId="215F2CC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r>
      <w:r w:rsidRPr="000D3432">
        <w:rPr>
          <w:rFonts w:asciiTheme="minorHAnsi" w:hAnsiTheme="minorHAnsi"/>
          <w:szCs w:val="24"/>
        </w:rPr>
        <w:tab/>
        <w:t xml:space="preserve">Salta una inquietud, ¿en realidad qué somos nosotros? Científicamente -o aproximativamente- hablando diríamos que no somos más </w:t>
      </w:r>
      <w:r w:rsidRPr="000D3432">
        <w:rPr>
          <w:rFonts w:asciiTheme="minorHAnsi" w:hAnsiTheme="minorHAnsi"/>
          <w:szCs w:val="24"/>
        </w:rPr>
        <w:lastRenderedPageBreak/>
        <w:t>que “</w:t>
      </w:r>
      <w:r w:rsidRPr="000D3432">
        <w:rPr>
          <w:rFonts w:asciiTheme="minorHAnsi" w:hAnsiTheme="minorHAnsi"/>
          <w:i/>
          <w:szCs w:val="24"/>
        </w:rPr>
        <w:t>ese espermatozoide que tuvo la casualidad de nacer porque cuando su progenitor se puso caliente su madre estaba a mano. Si no sólo hubiéramos  sido una víctima más de una necesaria masturbación.”</w:t>
      </w:r>
      <w:r w:rsidRPr="000D3432">
        <w:rPr>
          <w:rFonts w:asciiTheme="minorHAnsi" w:hAnsiTheme="minorHAnsi"/>
          <w:szCs w:val="24"/>
        </w:rPr>
        <w:t xml:space="preserve"> De lo contrario nos hubiéramos encontrado en la categoría de los espermatozoides perdidos, o sea que </w:t>
      </w:r>
      <w:r w:rsidRPr="000D3432">
        <w:rPr>
          <w:rFonts w:asciiTheme="minorHAnsi" w:hAnsiTheme="minorHAnsi"/>
          <w:i/>
          <w:szCs w:val="24"/>
        </w:rPr>
        <w:t>“No nos engañemos. Todos podíamos habernos perdido en una masturbación”</w:t>
      </w:r>
      <w:r w:rsidRPr="000D3432">
        <w:rPr>
          <w:rFonts w:asciiTheme="minorHAnsi" w:hAnsiTheme="minorHAnsi"/>
          <w:szCs w:val="24"/>
        </w:rPr>
        <w:t xml:space="preserve">. </w:t>
      </w:r>
    </w:p>
    <w:p w14:paraId="5B455436" w14:textId="77777777" w:rsidR="0082775B" w:rsidRPr="000D3432" w:rsidRDefault="0082775B" w:rsidP="00A95498">
      <w:pPr>
        <w:jc w:val="both"/>
        <w:rPr>
          <w:rFonts w:asciiTheme="minorHAnsi" w:hAnsiTheme="minorHAnsi"/>
          <w:szCs w:val="24"/>
        </w:rPr>
      </w:pPr>
    </w:p>
    <w:p w14:paraId="0DBC82D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b/>
        <w:t>Pero no somos sólo eso, algunos pertenecemos a la categoría de los “accidentes”, aceptados sabiamente con un resignado: “que se le va a hacer”,  asimilado bajo la presión de una mujer bonita,  (o fea) que nos ha llenado de harto sentimiento de culpa, por razones de amor, o simplemente de estrategia económica (somos el enganche para una vida mejor). Entonces nos convertimos en la extensión y evolución de ese espermatozoide soltado irresponsablemente por un momento de placer, lujuria, o trampita. Otros somos producto de una muy inteligente planificación familiar (por lo general no creo en eso) y así, por mil motivos más vamos llegando, a empujones, tropezando, de revés o derecho, etc.</w:t>
      </w:r>
    </w:p>
    <w:p w14:paraId="13F56408" w14:textId="77777777" w:rsidR="0082775B" w:rsidRPr="000D3432" w:rsidRDefault="0082775B" w:rsidP="00A95498">
      <w:pPr>
        <w:numPr>
          <w:ilvl w:val="12"/>
          <w:numId w:val="0"/>
        </w:numPr>
        <w:ind w:firstLine="426"/>
        <w:rPr>
          <w:rFonts w:asciiTheme="minorHAnsi" w:hAnsiTheme="minorHAnsi"/>
          <w:color w:val="000000"/>
          <w:szCs w:val="24"/>
        </w:rPr>
      </w:pPr>
    </w:p>
    <w:p w14:paraId="480B312A" w14:textId="77777777" w:rsidR="0082775B" w:rsidRPr="000D3432" w:rsidRDefault="0082775B" w:rsidP="00A95498">
      <w:pPr>
        <w:numPr>
          <w:ilvl w:val="12"/>
          <w:numId w:val="0"/>
        </w:numPr>
        <w:ind w:firstLine="426"/>
        <w:rPr>
          <w:rFonts w:asciiTheme="minorHAnsi" w:hAnsiTheme="minorHAnsi"/>
          <w:color w:val="000000"/>
          <w:szCs w:val="24"/>
        </w:rPr>
      </w:pPr>
    </w:p>
    <w:p w14:paraId="706A032E" w14:textId="77777777" w:rsidR="0082775B" w:rsidRPr="000D3432" w:rsidRDefault="0082775B" w:rsidP="00A95498">
      <w:pPr>
        <w:numPr>
          <w:ilvl w:val="12"/>
          <w:numId w:val="0"/>
        </w:numPr>
        <w:ind w:firstLine="426"/>
        <w:rPr>
          <w:rFonts w:asciiTheme="minorHAnsi" w:hAnsiTheme="minorHAnsi"/>
          <w:color w:val="000000"/>
          <w:szCs w:val="24"/>
        </w:rPr>
      </w:pPr>
    </w:p>
    <w:p w14:paraId="2E08DD45"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251D66BA" w14:textId="77777777" w:rsidR="0082775B" w:rsidRPr="000D3432" w:rsidRDefault="0082775B" w:rsidP="00A95498">
      <w:pPr>
        <w:numPr>
          <w:ilvl w:val="12"/>
          <w:numId w:val="0"/>
        </w:numPr>
        <w:ind w:firstLine="426"/>
        <w:rPr>
          <w:rFonts w:asciiTheme="minorHAnsi" w:hAnsiTheme="minorHAnsi"/>
          <w:color w:val="000000"/>
          <w:szCs w:val="24"/>
        </w:rPr>
      </w:pPr>
    </w:p>
    <w:p w14:paraId="73FAAC0F" w14:textId="77777777" w:rsidR="0082775B" w:rsidRPr="000D3432" w:rsidRDefault="0082775B" w:rsidP="00A95498">
      <w:pPr>
        <w:numPr>
          <w:ilvl w:val="12"/>
          <w:numId w:val="0"/>
        </w:numPr>
        <w:ind w:firstLine="426"/>
        <w:rPr>
          <w:rFonts w:asciiTheme="minorHAnsi" w:hAnsiTheme="minorHAnsi"/>
          <w:color w:val="000000"/>
          <w:szCs w:val="24"/>
        </w:rPr>
      </w:pPr>
    </w:p>
    <w:p w14:paraId="72A7A804" w14:textId="77777777" w:rsidR="0082775B" w:rsidRPr="000D3432" w:rsidRDefault="0082775B" w:rsidP="00A95498">
      <w:pPr>
        <w:numPr>
          <w:ilvl w:val="12"/>
          <w:numId w:val="0"/>
        </w:numPr>
        <w:ind w:firstLine="426"/>
        <w:rPr>
          <w:rFonts w:asciiTheme="minorHAnsi" w:hAnsiTheme="minorHAnsi"/>
          <w:color w:val="000000"/>
          <w:szCs w:val="24"/>
        </w:rPr>
      </w:pPr>
    </w:p>
    <w:p w14:paraId="24E5A94D" w14:textId="77777777" w:rsidR="0082775B" w:rsidRPr="000D3432" w:rsidRDefault="0082775B" w:rsidP="00A95498">
      <w:pPr>
        <w:numPr>
          <w:ilvl w:val="12"/>
          <w:numId w:val="0"/>
        </w:numPr>
        <w:ind w:firstLine="426"/>
        <w:rPr>
          <w:rFonts w:asciiTheme="minorHAnsi" w:hAnsiTheme="minorHAnsi"/>
          <w:color w:val="000000"/>
          <w:szCs w:val="24"/>
        </w:rPr>
      </w:pPr>
    </w:p>
    <w:p w14:paraId="199CAE97" w14:textId="77777777" w:rsidR="0082775B" w:rsidRPr="000D3432" w:rsidRDefault="0082775B" w:rsidP="00A95498">
      <w:pPr>
        <w:numPr>
          <w:ilvl w:val="12"/>
          <w:numId w:val="0"/>
        </w:numPr>
        <w:ind w:firstLine="426"/>
        <w:rPr>
          <w:rFonts w:asciiTheme="minorHAnsi" w:hAnsiTheme="minorHAnsi"/>
          <w:color w:val="000000"/>
          <w:szCs w:val="24"/>
        </w:rPr>
      </w:pPr>
    </w:p>
    <w:p w14:paraId="2AE29280" w14:textId="77777777" w:rsidR="0082775B" w:rsidRPr="000D3432" w:rsidRDefault="0082775B" w:rsidP="00A95498">
      <w:pPr>
        <w:numPr>
          <w:ilvl w:val="12"/>
          <w:numId w:val="0"/>
        </w:numPr>
        <w:ind w:firstLine="426"/>
        <w:rPr>
          <w:rFonts w:asciiTheme="minorHAnsi" w:hAnsiTheme="minorHAnsi"/>
          <w:color w:val="000000"/>
          <w:szCs w:val="24"/>
        </w:rPr>
      </w:pPr>
    </w:p>
    <w:p w14:paraId="511B0274" w14:textId="77777777" w:rsidR="0082775B" w:rsidRPr="000D3432" w:rsidRDefault="0082775B" w:rsidP="00A95498">
      <w:pPr>
        <w:numPr>
          <w:ilvl w:val="12"/>
          <w:numId w:val="0"/>
        </w:numPr>
        <w:ind w:firstLine="426"/>
        <w:rPr>
          <w:rFonts w:asciiTheme="minorHAnsi" w:hAnsiTheme="minorHAnsi"/>
          <w:color w:val="000000"/>
          <w:szCs w:val="24"/>
        </w:rPr>
      </w:pPr>
    </w:p>
    <w:p w14:paraId="143A00B3" w14:textId="77777777" w:rsidR="0082775B" w:rsidRPr="000D3432" w:rsidRDefault="0082775B" w:rsidP="00A95498">
      <w:pPr>
        <w:numPr>
          <w:ilvl w:val="12"/>
          <w:numId w:val="0"/>
        </w:numPr>
        <w:ind w:firstLine="426"/>
        <w:rPr>
          <w:rFonts w:asciiTheme="minorHAnsi" w:hAnsiTheme="minorHAnsi"/>
          <w:color w:val="000000"/>
          <w:szCs w:val="24"/>
        </w:rPr>
      </w:pPr>
    </w:p>
    <w:p w14:paraId="10397D5D" w14:textId="77777777" w:rsidR="0082775B" w:rsidRPr="000D3432" w:rsidRDefault="0082775B" w:rsidP="00A95498">
      <w:pPr>
        <w:pStyle w:val="Epgrafe"/>
        <w:widowControl/>
        <w:rPr>
          <w:rFonts w:asciiTheme="minorHAnsi" w:hAnsiTheme="minorHAnsi"/>
          <w:szCs w:val="24"/>
          <w:lang w:val="es-ES"/>
        </w:rPr>
      </w:pPr>
      <w:r w:rsidRPr="000D3432">
        <w:rPr>
          <w:rFonts w:asciiTheme="minorHAnsi" w:hAnsiTheme="minorHAnsi"/>
          <w:szCs w:val="24"/>
          <w:lang w:val="es-ES"/>
        </w:rPr>
        <w:t xml:space="preserve">El DERECHO PROCESAL CIVIL, </w:t>
      </w:r>
    </w:p>
    <w:p w14:paraId="088B2451" w14:textId="77777777" w:rsidR="0082775B" w:rsidRPr="000D3432" w:rsidRDefault="0082775B" w:rsidP="00A95498">
      <w:pPr>
        <w:pStyle w:val="Epgrafe"/>
        <w:widowControl/>
        <w:rPr>
          <w:rFonts w:asciiTheme="minorHAnsi" w:hAnsiTheme="minorHAnsi"/>
          <w:szCs w:val="24"/>
          <w:lang w:val="es-ES"/>
        </w:rPr>
      </w:pPr>
      <w:r w:rsidRPr="000D3432">
        <w:rPr>
          <w:rFonts w:asciiTheme="minorHAnsi" w:hAnsiTheme="minorHAnsi"/>
          <w:szCs w:val="24"/>
          <w:lang w:val="es-ES"/>
        </w:rPr>
        <w:t>__________DESDE LA ÓPTICA DE JAMES GOLDSCHMIDT__________</w:t>
      </w:r>
    </w:p>
    <w:p w14:paraId="5CFCEE7F" w14:textId="77777777" w:rsidR="0082775B" w:rsidRPr="000D3432" w:rsidRDefault="0082775B" w:rsidP="00A95498">
      <w:pPr>
        <w:pStyle w:val="Epgrafe"/>
        <w:widowControl/>
        <w:jc w:val="both"/>
        <w:rPr>
          <w:rFonts w:asciiTheme="minorHAnsi" w:hAnsiTheme="minorHAnsi"/>
          <w:b w:val="0"/>
          <w:bCs/>
          <w:szCs w:val="24"/>
          <w:lang w:val="es-ES"/>
        </w:rPr>
      </w:pPr>
    </w:p>
    <w:p w14:paraId="6E566B61" w14:textId="77777777" w:rsidR="0082775B" w:rsidRPr="000D3432" w:rsidRDefault="0082775B" w:rsidP="00A95498">
      <w:pPr>
        <w:pStyle w:val="Epgrafe"/>
        <w:widowControl/>
        <w:jc w:val="both"/>
        <w:rPr>
          <w:rFonts w:asciiTheme="minorHAnsi" w:hAnsiTheme="minorHAnsi"/>
          <w:b w:val="0"/>
          <w:bCs/>
          <w:szCs w:val="24"/>
          <w:lang w:val="es-ES"/>
        </w:rPr>
      </w:pPr>
      <w:r w:rsidRPr="000D3432">
        <w:rPr>
          <w:rFonts w:asciiTheme="minorHAnsi" w:hAnsiTheme="minorHAnsi"/>
          <w:szCs w:val="24"/>
          <w:lang w:val="es-ES"/>
        </w:rPr>
        <w:t>SUMARIO</w:t>
      </w:r>
      <w:r w:rsidRPr="000D3432">
        <w:rPr>
          <w:rFonts w:asciiTheme="minorHAnsi" w:hAnsiTheme="minorHAnsi"/>
          <w:b w:val="0"/>
          <w:bCs/>
          <w:szCs w:val="24"/>
          <w:lang w:val="es-ES"/>
        </w:rPr>
        <w:t xml:space="preserve">.- I.- El Derecho Procesal Civil.  II.- Conceptos de Derecho Procesal. III.- Naturaleza jurídica del proceso. 1.- El proceso como contrato. </w:t>
      </w:r>
      <w:r w:rsidRPr="000D3432">
        <w:rPr>
          <w:rFonts w:asciiTheme="minorHAnsi" w:hAnsiTheme="minorHAnsi"/>
          <w:b w:val="0"/>
          <w:szCs w:val="24"/>
          <w:lang w:val="es-ES"/>
        </w:rPr>
        <w:t xml:space="preserve">IV.- El derecho procesal visto desde la teoría jurídica de James Goldschmidt. 1.- Método. 2.- Tribunales. 3.- Definiendo el Derecho a través de los tribunales. 4.- La tutela jurídica. </w:t>
      </w:r>
    </w:p>
    <w:p w14:paraId="04626200" w14:textId="77777777" w:rsidR="0082775B" w:rsidRPr="000D3432" w:rsidRDefault="0082775B" w:rsidP="00A95498">
      <w:pPr>
        <w:pStyle w:val="Epgrafe"/>
        <w:widowControl/>
        <w:jc w:val="both"/>
        <w:rPr>
          <w:rFonts w:asciiTheme="minorHAnsi" w:hAnsiTheme="minorHAnsi"/>
          <w:b w:val="0"/>
          <w:bCs/>
          <w:szCs w:val="24"/>
          <w:lang w:val="es-ES"/>
        </w:rPr>
      </w:pPr>
    </w:p>
    <w:p w14:paraId="4D5653EB" w14:textId="77777777" w:rsidR="0082775B" w:rsidRPr="000D3432" w:rsidRDefault="0082775B" w:rsidP="00A95498">
      <w:pPr>
        <w:pStyle w:val="Epgrafe"/>
        <w:widowControl/>
        <w:jc w:val="both"/>
        <w:rPr>
          <w:rFonts w:asciiTheme="minorHAnsi" w:hAnsiTheme="minorHAnsi"/>
          <w:szCs w:val="24"/>
          <w:lang w:val="es-ES"/>
        </w:rPr>
      </w:pPr>
      <w:r w:rsidRPr="000D3432">
        <w:rPr>
          <w:rFonts w:asciiTheme="minorHAnsi" w:hAnsiTheme="minorHAnsi"/>
          <w:szCs w:val="24"/>
          <w:lang w:val="es-ES"/>
        </w:rPr>
        <w:t>I.- EL DERECHO PROCESAL CIVIL</w:t>
      </w:r>
    </w:p>
    <w:p w14:paraId="03DE47E0" w14:textId="77777777" w:rsidR="0082775B" w:rsidRPr="000D3432" w:rsidRDefault="0082775B" w:rsidP="00A95498">
      <w:pPr>
        <w:pStyle w:val="Epgrafe"/>
        <w:widowControl/>
        <w:jc w:val="both"/>
        <w:rPr>
          <w:rFonts w:asciiTheme="minorHAnsi" w:hAnsiTheme="minorHAnsi"/>
          <w:szCs w:val="24"/>
          <w:lang w:val="es-ES"/>
        </w:rPr>
      </w:pPr>
    </w:p>
    <w:p w14:paraId="01780644" w14:textId="77777777" w:rsidR="0082775B" w:rsidRPr="000D3432" w:rsidRDefault="0082775B" w:rsidP="00A95498">
      <w:pPr>
        <w:pStyle w:val="Epgrafe"/>
        <w:widowControl/>
        <w:jc w:val="both"/>
        <w:rPr>
          <w:rFonts w:asciiTheme="minorHAnsi" w:hAnsiTheme="minorHAnsi"/>
          <w:b w:val="0"/>
          <w:bCs/>
          <w:szCs w:val="24"/>
          <w:lang w:val="es-ES"/>
        </w:rPr>
      </w:pPr>
      <w:r w:rsidRPr="000D3432">
        <w:rPr>
          <w:rFonts w:asciiTheme="minorHAnsi" w:hAnsiTheme="minorHAnsi"/>
          <w:b w:val="0"/>
          <w:bCs/>
          <w:szCs w:val="24"/>
          <w:lang w:val="es-ES"/>
        </w:rPr>
        <w:t>El Derecho es realmente amplio. Por eso es necesario clasificar su estudio y  diseccionarlo en las partes mínimas, para poder estudiarlo y comprenderlo; pero sin olvidar que su estudio -operación intelectual, teórica- no puede dejar de lado a la práctica, y lo más cercano a la práctica en el Derecho es la vida misma. Esta vida está marcada por formas o métodos (</w:t>
      </w:r>
      <w:r w:rsidRPr="000D3432">
        <w:rPr>
          <w:rStyle w:val="Refdenotaalpie"/>
          <w:rFonts w:asciiTheme="minorHAnsi" w:hAnsiTheme="minorHAnsi"/>
          <w:b w:val="0"/>
          <w:bCs/>
          <w:sz w:val="24"/>
          <w:szCs w:val="24"/>
        </w:rPr>
        <w:footnoteReference w:id="783"/>
      </w:r>
      <w:r w:rsidRPr="000D3432">
        <w:rPr>
          <w:rFonts w:asciiTheme="minorHAnsi" w:hAnsiTheme="minorHAnsi"/>
          <w:b w:val="0"/>
          <w:bCs/>
          <w:szCs w:val="24"/>
          <w:lang w:val="es-ES"/>
        </w:rPr>
        <w:t xml:space="preserve">) usados por la sociedad cuando tienen problemas sociales, cuando intentan conseguir, retener, reivindicar, etc., algo para sí. Estos hechos sociales se convierten en jurídicos; y su manejo se observa en los procesos jurídicos. </w:t>
      </w:r>
    </w:p>
    <w:p w14:paraId="7495006B" w14:textId="77777777" w:rsidR="0082775B" w:rsidRPr="000D3432" w:rsidRDefault="0082775B" w:rsidP="00A95498">
      <w:pPr>
        <w:pStyle w:val="Epgrafe"/>
        <w:widowControl/>
        <w:jc w:val="both"/>
        <w:rPr>
          <w:rFonts w:asciiTheme="minorHAnsi" w:hAnsiTheme="minorHAnsi"/>
          <w:b w:val="0"/>
          <w:bCs/>
          <w:szCs w:val="24"/>
          <w:lang w:val="es-ES"/>
        </w:rPr>
      </w:pPr>
    </w:p>
    <w:p w14:paraId="133DFF0A"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r w:rsidRPr="000D3432">
        <w:rPr>
          <w:rFonts w:asciiTheme="minorHAnsi" w:hAnsiTheme="minorHAnsi"/>
          <w:bCs/>
          <w:szCs w:val="24"/>
        </w:rPr>
        <w:t>El Derecho procesal tiene innegable importancia porque se trata del estudio y tratamiento de los métodos de solución de conflictos de intereses. El Derecho Procesal es una disciplina jurídica, que por ser tal responde o tiene naturaleza pública, y su objetivo principal a desarrollar es el estudiar las normas jurídicas y principios que vienen a regular la actividad jurisdiccional del Estado, en sus diferentes y diversos aspectos; por lo tanto el Derecho Procesal analiza y fija el procedimiento a seguir por el Derecho positivo.</w:t>
      </w:r>
    </w:p>
    <w:p w14:paraId="4C6DCC84"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p>
    <w:p w14:paraId="2B4BD266"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r w:rsidRPr="000D3432">
        <w:rPr>
          <w:rFonts w:asciiTheme="minorHAnsi" w:hAnsiTheme="minorHAnsi"/>
          <w:bCs/>
          <w:szCs w:val="24"/>
        </w:rPr>
        <w:t xml:space="preserve">El Derecho procesal es aquel que instrumentaliza la posibilidad de la defensa de los derechos del ser humano. Tiene una doble función. Por un lado “Regula el ejercicio de la soberanía del Estado”, es decir que el poder absoluto del Estado tiene en el proceso sus límites. Es más cuando el  Estado administra justicia a los particulares, a las personas jurídicas de derecho privado y a las entidades públicas en las relaciones con aquellas y entre ellas mismas (incluyendo al mismo Estado); el Derecho procesal tiene encargada la función de organizar estas relaciones, y la consecuente administración de justicia. Por otro lado, el Derecho procesal no se agota allí, además “establece el conjunto de principios </w:t>
      </w:r>
      <w:r w:rsidRPr="000D3432">
        <w:rPr>
          <w:rFonts w:asciiTheme="minorHAnsi" w:hAnsiTheme="minorHAnsi"/>
          <w:bCs/>
          <w:szCs w:val="24"/>
        </w:rPr>
        <w:lastRenderedPageBreak/>
        <w:t>que debe encauzar, garantizar y hacer efectivo la acción de los asociados para la protección de su vida, su dignidad, su libertad, su  patrimonio y sus derechos de toda clase, frente a los terceros, al Estado mismo y a las entidades públicas que de éste emanan, bien sea cuando sucede una simple amenaza o en presencia de un hecho consumado” -dice Hernando Devis Echandía.  Dos son pues las actividades principales del Derecho procesal 1) Regulación del ejercicio de la soberanía del Estado, y 2) Establecimiento de un conjunto de principios rectores.</w:t>
      </w:r>
    </w:p>
    <w:p w14:paraId="16D362DB"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p>
    <w:p w14:paraId="46843031"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r w:rsidRPr="000D3432">
        <w:rPr>
          <w:rFonts w:asciiTheme="minorHAnsi" w:hAnsiTheme="minorHAnsi"/>
          <w:bCs/>
          <w:szCs w:val="24"/>
        </w:rPr>
        <w:t>El Derecho procesal es de categoría pública, esto indica que son “normas de orden público”, eso significa que “no pueden derogarse por acuerdo entre las partes interesadas”, por que su existencia no responde a la libertad de las partes, sino a la necesidad de regular y normar las formas de solucionar problemas sociales, que tienen un ejercicio particular, pero que tienen consecuencias generales, sociales, colectivas. El Derecho procesal es público por los efectos que pretende obtener. Al ser un derecho público “son generalmente de imperativo cumplimiento y prevalecen en cada país sobre las leyes extranjeras” -escribiría Hernando Devis Echandía, el mismo que concluye una definición sobre el Derecho procesal más precisa, y alude que es un Derecho público, además de formal, instrumental, de medio, autónomo y de imperativo cumplimiento. Es pues necesario plantear y ampliar el concepto de Derecho Procesal.</w:t>
      </w:r>
    </w:p>
    <w:p w14:paraId="5839B053"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p>
    <w:p w14:paraId="382E48E7" w14:textId="77777777" w:rsidR="0082775B" w:rsidRPr="000D3432" w:rsidRDefault="0082775B" w:rsidP="00A95498">
      <w:pPr>
        <w:pStyle w:val="Sangra2detdecuerpo"/>
        <w:widowControl/>
        <w:spacing w:after="0" w:line="240" w:lineRule="auto"/>
        <w:ind w:left="0"/>
        <w:jc w:val="both"/>
        <w:rPr>
          <w:rFonts w:asciiTheme="minorHAnsi" w:hAnsiTheme="minorHAnsi"/>
          <w:b/>
          <w:szCs w:val="24"/>
        </w:rPr>
      </w:pPr>
      <w:r w:rsidRPr="000D3432">
        <w:rPr>
          <w:rFonts w:asciiTheme="minorHAnsi" w:hAnsiTheme="minorHAnsi"/>
          <w:b/>
          <w:szCs w:val="24"/>
        </w:rPr>
        <w:t>II. CONCEPTOS DE DERECHO PROCESAL:</w:t>
      </w:r>
    </w:p>
    <w:p w14:paraId="62AF9D35"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p>
    <w:p w14:paraId="062EEB8D"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r w:rsidRPr="000D3432">
        <w:rPr>
          <w:rFonts w:asciiTheme="minorHAnsi" w:hAnsiTheme="minorHAnsi"/>
          <w:bCs/>
          <w:szCs w:val="24"/>
        </w:rPr>
        <w:t>A pesar de haber dado una idea previa del concepto del Derecho procesal, puede ser conveniente exponer algunos otros conceptos, que pueden, de acuerdo al temperamento de cada lector, afianzar una cosmovisión más nítida y cabal sobre el fenómeno procesal. Pero esto no es fácil, porque la mayoría de autores sólo describen lo que entienden por Derecho procesal, y le atribuyen ciertos requisitos o elementos, que a nuestro parecer no completan el significado que buscamos entender de esta institución jurídica. Así, tenemos a un Devis Echandía que describe al Derecho procesal como un conjunto de normas y principios que “fijan el procedimiento a seguirse” al utilizar el Derecho positivo, y determinan las personas que intervienen. Estas normas y principios “regulan la función jurisdiccional del Estado”, dicho en otros términos, “regulan la actividad de administrar justicia del Estado”, y tienen su relevancia en el fin perseguido, regular “la manera de restablecer los derechos y las situaciones jurídicas vulneradas”. Como se puede apreciar, el Derecho Procesal categoriza a las entidades que intervienen en un conflicto de intereses y asegura un tratamiento del fenómeno en controversia, garantizando también un resultado.</w:t>
      </w:r>
    </w:p>
    <w:p w14:paraId="510F25E9"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p>
    <w:p w14:paraId="4D2E437F" w14:textId="77777777" w:rsidR="0082775B" w:rsidRPr="000D3432" w:rsidRDefault="0082775B" w:rsidP="00A95498">
      <w:pPr>
        <w:pStyle w:val="Sangra2detdecuerpo"/>
        <w:widowControl/>
        <w:spacing w:after="0" w:line="240" w:lineRule="auto"/>
        <w:ind w:left="0"/>
        <w:jc w:val="both"/>
        <w:rPr>
          <w:rFonts w:asciiTheme="minorHAnsi" w:hAnsiTheme="minorHAnsi"/>
          <w:bCs/>
          <w:szCs w:val="24"/>
        </w:rPr>
      </w:pPr>
      <w:r w:rsidRPr="000D3432">
        <w:rPr>
          <w:rFonts w:asciiTheme="minorHAnsi" w:hAnsiTheme="minorHAnsi"/>
          <w:bCs/>
          <w:szCs w:val="24"/>
        </w:rPr>
        <w:t xml:space="preserve">El concepto más completo, a nuestro parecer, nos lo da </w:t>
      </w:r>
      <w:r w:rsidRPr="000D3432">
        <w:rPr>
          <w:rFonts w:asciiTheme="minorHAnsi" w:hAnsiTheme="minorHAnsi"/>
          <w:bCs/>
          <w:i/>
          <w:szCs w:val="24"/>
        </w:rPr>
        <w:t>Areal y Fenochietto, -citado por Marco Gerardo Monroy Cabra-, escribe: “</w:t>
      </w:r>
      <w:r w:rsidRPr="000D3432">
        <w:rPr>
          <w:rFonts w:asciiTheme="minorHAnsi" w:hAnsiTheme="minorHAnsi"/>
          <w:bCs/>
          <w:szCs w:val="24"/>
        </w:rPr>
        <w:t xml:space="preserve">que el contenido del derecho procesal es el siguiente: 1) jurisdicción y competencia de los tribunales y régimen jurídico a que se hallan sometidos los componentes de estos últimos (facultades, deberes de los jueces y sus auxiliares); 2) naturaleza, elementos y condiciones de la acción y régimen jurídico de las partes y de sus representantes </w:t>
      </w:r>
      <w:r w:rsidRPr="000D3432">
        <w:rPr>
          <w:rFonts w:asciiTheme="minorHAnsi" w:hAnsiTheme="minorHAnsi"/>
          <w:bCs/>
          <w:szCs w:val="24"/>
        </w:rPr>
        <w:lastRenderedPageBreak/>
        <w:t xml:space="preserve">asistentes, y 3) requisitos y efectos de los actos procesales y trámite del proceso a través de sus distintas instancias. El derecho material que reconoce y garantiza los derechos subjetivos de las personas tiene diverso contenido, pues lo integran las normas civiles, comerciales, laborales, penales, administrativas, etc. El derecho procesal hace efectivos los derechos reconocidos previamente por la ley sustancial e indica las formas como el juez puede aplicar la norma sustancial al caso concreto. El derecho procesal estudia el concepto del proceso, sus presupuestos, su finalidad, su objeto, su estructura. Igualmente, trata de las personas que hacen el proceso (juez, partes y auxiliares de la justicia), cómo lo deben hacer, qué efectos produce, los actos que ejecutan (actos procesales) y los resultados. Por último, el derecho procesal reglamenta la facultad de solucionar los conflictos por el Estado (jurisdicción) y el derecho que tienen lo particulares a que el órgano jurisdiccional les resuelva sus controversias (acción), todo lo cual se regula mediante las normas procesales.” </w:t>
      </w:r>
    </w:p>
    <w:p w14:paraId="02E02F8A" w14:textId="77777777" w:rsidR="0082775B" w:rsidRPr="000D3432" w:rsidRDefault="0082775B" w:rsidP="00A95498">
      <w:pPr>
        <w:pStyle w:val="Ttulo1"/>
        <w:spacing w:line="240" w:lineRule="auto"/>
        <w:rPr>
          <w:rFonts w:asciiTheme="minorHAnsi" w:hAnsiTheme="minorHAnsi"/>
          <w:b w:val="0"/>
          <w:bCs/>
          <w:sz w:val="24"/>
          <w:szCs w:val="24"/>
        </w:rPr>
      </w:pPr>
    </w:p>
    <w:p w14:paraId="6D8C70C9" w14:textId="77777777" w:rsidR="0082775B" w:rsidRPr="000D3432" w:rsidRDefault="0082775B" w:rsidP="00A95498">
      <w:pPr>
        <w:pStyle w:val="Ttulo1"/>
        <w:spacing w:line="240" w:lineRule="auto"/>
        <w:rPr>
          <w:rFonts w:asciiTheme="minorHAnsi" w:hAnsiTheme="minorHAnsi"/>
          <w:sz w:val="24"/>
          <w:szCs w:val="24"/>
        </w:rPr>
      </w:pPr>
      <w:bookmarkStart w:id="145" w:name="_Toc318102954"/>
      <w:r w:rsidRPr="000D3432">
        <w:rPr>
          <w:rFonts w:asciiTheme="minorHAnsi" w:hAnsiTheme="minorHAnsi"/>
          <w:b w:val="0"/>
          <w:bCs/>
          <w:sz w:val="24"/>
          <w:szCs w:val="24"/>
        </w:rPr>
        <w:t>Francesco Carnelutti recomendaba, por su parte, que “lo primero que debe hacer quien estudie Derecho Procesal es, por un lado, ir a ver un proceso, y por otro, tener el Código de Procedimientos sobre la mesa”</w:t>
      </w:r>
      <w:bookmarkEnd w:id="145"/>
    </w:p>
    <w:p w14:paraId="3FCFBCF1" w14:textId="77777777" w:rsidR="0082775B" w:rsidRPr="000D3432" w:rsidRDefault="0082775B" w:rsidP="00A95498">
      <w:pPr>
        <w:pStyle w:val="Textodecuerpo"/>
        <w:widowControl/>
        <w:spacing w:line="240" w:lineRule="auto"/>
        <w:rPr>
          <w:rFonts w:asciiTheme="minorHAnsi" w:hAnsiTheme="minorHAnsi"/>
          <w:b/>
          <w:bCs/>
          <w:iCs/>
          <w:sz w:val="24"/>
          <w:szCs w:val="24"/>
        </w:rPr>
      </w:pPr>
    </w:p>
    <w:p w14:paraId="1F9045F1" w14:textId="77777777" w:rsidR="0082775B" w:rsidRPr="000D3432" w:rsidRDefault="0082775B" w:rsidP="00A95498">
      <w:pPr>
        <w:pStyle w:val="Textodecuerpo"/>
        <w:widowControl/>
        <w:spacing w:line="240" w:lineRule="auto"/>
        <w:rPr>
          <w:rFonts w:asciiTheme="minorHAnsi" w:hAnsiTheme="minorHAnsi"/>
          <w:bCs/>
          <w:iCs/>
          <w:sz w:val="24"/>
          <w:szCs w:val="24"/>
        </w:rPr>
      </w:pPr>
      <w:r w:rsidRPr="000D3432">
        <w:rPr>
          <w:rFonts w:asciiTheme="minorHAnsi" w:hAnsiTheme="minorHAnsi"/>
          <w:bCs/>
          <w:iCs/>
          <w:sz w:val="24"/>
          <w:szCs w:val="24"/>
        </w:rPr>
        <w:t>Pues, bien, parece que el vocablo “proceso”, tiene su referencia en el término latín: “</w:t>
      </w:r>
      <w:r w:rsidRPr="000D3432">
        <w:rPr>
          <w:rFonts w:asciiTheme="minorHAnsi" w:hAnsiTheme="minorHAnsi"/>
          <w:bCs/>
          <w:i/>
          <w:iCs/>
          <w:sz w:val="24"/>
          <w:szCs w:val="24"/>
        </w:rPr>
        <w:t>processus</w:t>
      </w:r>
      <w:r w:rsidRPr="000D3432">
        <w:rPr>
          <w:rFonts w:asciiTheme="minorHAnsi" w:hAnsiTheme="minorHAnsi"/>
          <w:bCs/>
          <w:iCs/>
          <w:sz w:val="24"/>
          <w:szCs w:val="24"/>
        </w:rPr>
        <w:t>”, que significa, “paso, avance”. El proceso, tomado desde ese referente, sería así el paso, o pasos, que determinan cierto camino. Son los pasos, pues, los que hacen el camino, lo definen, y construyen en sí el camino. Estos pasos son los actos procesales, y el cumplimiento de ellos garantiza llegar al fin perseguido por el Proceso Jurídico: Resolver un conflicto de intereses, eliminar una incertidumbre jurídica, hacer efectivo la tutela jurídica de un derecho. Llegar a un interés reconocido por el Estado, a  través del Derecho procesal. Debemos, sin embargo, entender que: “Interés no significa un juicio, sino una posición del hombre, o más exactamente: la posición favorable a la satisfacción de una necesidad. La posesión del alimento o del dinero es, ante todo, un interés, porque quien posee uno u otro está en condiciones de satisfacer su hambre.”(</w:t>
      </w:r>
      <w:r w:rsidRPr="000D3432">
        <w:rPr>
          <w:rStyle w:val="Refdenotaalpie"/>
          <w:rFonts w:asciiTheme="minorHAnsi" w:hAnsiTheme="minorHAnsi"/>
          <w:bCs/>
          <w:iCs/>
          <w:sz w:val="24"/>
          <w:szCs w:val="24"/>
        </w:rPr>
        <w:footnoteReference w:id="784"/>
      </w:r>
      <w:r w:rsidRPr="000D3432">
        <w:rPr>
          <w:rFonts w:asciiTheme="minorHAnsi" w:hAnsiTheme="minorHAnsi"/>
          <w:bCs/>
          <w:iCs/>
          <w:sz w:val="24"/>
          <w:szCs w:val="24"/>
        </w:rPr>
        <w:t>).</w:t>
      </w:r>
    </w:p>
    <w:p w14:paraId="7CD7E099" w14:textId="77777777" w:rsidR="0082775B" w:rsidRPr="000D3432" w:rsidRDefault="0082775B" w:rsidP="00A95498">
      <w:pPr>
        <w:pStyle w:val="Textodecuerpo"/>
        <w:widowControl/>
        <w:spacing w:line="240" w:lineRule="auto"/>
        <w:rPr>
          <w:rFonts w:asciiTheme="minorHAnsi" w:hAnsiTheme="minorHAnsi"/>
          <w:bCs/>
          <w:iCs/>
          <w:sz w:val="24"/>
          <w:szCs w:val="24"/>
        </w:rPr>
      </w:pPr>
    </w:p>
    <w:p w14:paraId="00D05AAD" w14:textId="77777777" w:rsidR="0082775B" w:rsidRPr="000D3432" w:rsidRDefault="0082775B" w:rsidP="00A95498">
      <w:pPr>
        <w:pStyle w:val="Textodecuerpo"/>
        <w:widowControl/>
        <w:spacing w:line="240" w:lineRule="auto"/>
        <w:rPr>
          <w:rFonts w:asciiTheme="minorHAnsi" w:hAnsiTheme="minorHAnsi"/>
          <w:bCs/>
          <w:sz w:val="24"/>
          <w:szCs w:val="24"/>
        </w:rPr>
      </w:pPr>
      <w:r w:rsidRPr="000D3432">
        <w:rPr>
          <w:rFonts w:asciiTheme="minorHAnsi" w:hAnsiTheme="minorHAnsi"/>
          <w:bCs/>
          <w:sz w:val="24"/>
          <w:szCs w:val="24"/>
        </w:rPr>
        <w:t>Proceso en su acepción común significa “acción de ir hacia delante”, desenvolvimiento de determinadas acciones humanas (actos procesales). En este sentido “proceso significa una secuencia de actos humanos con un fin determinado; secuencia que tiene dos extremos, un inicio y un fin, y dentro de ellos diversos actos.”</w:t>
      </w:r>
    </w:p>
    <w:p w14:paraId="54335385" w14:textId="77777777" w:rsidR="0082775B" w:rsidRPr="000D3432" w:rsidRDefault="0082775B" w:rsidP="00A95498">
      <w:pPr>
        <w:pStyle w:val="Textodecuerpo"/>
        <w:widowControl/>
        <w:spacing w:line="240" w:lineRule="auto"/>
        <w:rPr>
          <w:rFonts w:asciiTheme="minorHAnsi" w:hAnsiTheme="minorHAnsi"/>
          <w:bCs/>
          <w:sz w:val="24"/>
          <w:szCs w:val="24"/>
        </w:rPr>
      </w:pPr>
    </w:p>
    <w:p w14:paraId="501809C1" w14:textId="77777777" w:rsidR="0082775B" w:rsidRPr="000D3432" w:rsidRDefault="0082775B" w:rsidP="00A95498">
      <w:pPr>
        <w:pStyle w:val="Textodecuerpo"/>
        <w:widowControl/>
        <w:spacing w:line="240" w:lineRule="auto"/>
        <w:rPr>
          <w:rFonts w:asciiTheme="minorHAnsi" w:hAnsiTheme="minorHAnsi"/>
          <w:bCs/>
          <w:iCs/>
          <w:sz w:val="24"/>
          <w:szCs w:val="24"/>
        </w:rPr>
      </w:pPr>
      <w:r w:rsidRPr="000D3432">
        <w:rPr>
          <w:rFonts w:asciiTheme="minorHAnsi" w:hAnsiTheme="minorHAnsi"/>
          <w:bCs/>
          <w:iCs/>
          <w:sz w:val="24"/>
          <w:szCs w:val="24"/>
        </w:rPr>
        <w:t xml:space="preserve">Esa “secuencia de actos humanos” no existen arbitrariamente y dispuestos al azar; sino son más bien predeterminados, establecidos con anterioridad a su realización, puestos ahí justo para algo, para un determinado objetivo o fin. El fin, como ya lo dijimos, lo determina el hombre, y en el proceso jurídico se trata de los pasos destinados a “resolver un conflicto de </w:t>
      </w:r>
      <w:r w:rsidRPr="000D3432">
        <w:rPr>
          <w:rFonts w:asciiTheme="minorHAnsi" w:hAnsiTheme="minorHAnsi"/>
          <w:bCs/>
          <w:iCs/>
          <w:sz w:val="24"/>
          <w:szCs w:val="24"/>
        </w:rPr>
        <w:lastRenderedPageBreak/>
        <w:t xml:space="preserve">intereses”,  la “eliminación de una incertidumbre” o  “determinación de una certeza”. </w:t>
      </w:r>
    </w:p>
    <w:p w14:paraId="453B20C2" w14:textId="77777777" w:rsidR="0082775B" w:rsidRPr="000D3432" w:rsidRDefault="0082775B" w:rsidP="00A95498">
      <w:pPr>
        <w:pStyle w:val="Textodecuerpo"/>
        <w:widowControl/>
        <w:spacing w:line="240" w:lineRule="auto"/>
        <w:rPr>
          <w:rFonts w:asciiTheme="minorHAnsi" w:hAnsiTheme="minorHAnsi"/>
          <w:bCs/>
          <w:sz w:val="24"/>
          <w:szCs w:val="24"/>
        </w:rPr>
      </w:pPr>
    </w:p>
    <w:p w14:paraId="08647EAF" w14:textId="77777777" w:rsidR="0082775B" w:rsidRPr="000D3432" w:rsidRDefault="0082775B" w:rsidP="00A95498">
      <w:pPr>
        <w:pStyle w:val="Textodecuerpo"/>
        <w:widowControl/>
        <w:spacing w:line="240" w:lineRule="auto"/>
        <w:rPr>
          <w:rFonts w:asciiTheme="minorHAnsi" w:hAnsiTheme="minorHAnsi"/>
          <w:bCs/>
          <w:iCs/>
          <w:sz w:val="24"/>
          <w:szCs w:val="24"/>
        </w:rPr>
      </w:pPr>
      <w:r w:rsidRPr="000D3432">
        <w:rPr>
          <w:rFonts w:asciiTheme="minorHAnsi" w:hAnsiTheme="minorHAnsi"/>
          <w:bCs/>
          <w:iCs/>
          <w:sz w:val="24"/>
          <w:szCs w:val="24"/>
        </w:rPr>
        <w:t xml:space="preserve">El Proceso en el campo del Derecho, es más bien un fenómeno humano, una invención del hombre para solucionar, de alguna forma, sus conflictos de intereses, para otorgarle la última palabra a un tercero – el juez- en la determinación del derecho. </w:t>
      </w:r>
    </w:p>
    <w:p w14:paraId="125CA8A3" w14:textId="77777777" w:rsidR="0082775B" w:rsidRPr="000D3432" w:rsidRDefault="0082775B" w:rsidP="00A95498">
      <w:pPr>
        <w:pStyle w:val="Textodecuerpo"/>
        <w:widowControl/>
        <w:spacing w:line="240" w:lineRule="auto"/>
        <w:rPr>
          <w:rFonts w:asciiTheme="minorHAnsi" w:hAnsiTheme="minorHAnsi"/>
          <w:bCs/>
          <w:sz w:val="24"/>
          <w:szCs w:val="24"/>
        </w:rPr>
      </w:pPr>
    </w:p>
    <w:p w14:paraId="07BE3D60" w14:textId="77777777" w:rsidR="0082775B" w:rsidRPr="000D3432" w:rsidRDefault="0082775B" w:rsidP="00A95498">
      <w:pPr>
        <w:pStyle w:val="Textodecuerpo"/>
        <w:widowControl/>
        <w:spacing w:line="240" w:lineRule="auto"/>
        <w:rPr>
          <w:rFonts w:asciiTheme="minorHAnsi" w:hAnsiTheme="minorHAnsi"/>
          <w:b/>
          <w:bCs/>
          <w:sz w:val="24"/>
          <w:szCs w:val="24"/>
        </w:rPr>
      </w:pPr>
      <w:r w:rsidRPr="000D3432">
        <w:rPr>
          <w:rFonts w:asciiTheme="minorHAnsi" w:hAnsiTheme="minorHAnsi"/>
          <w:bCs/>
          <w:iCs/>
          <w:sz w:val="24"/>
          <w:szCs w:val="24"/>
        </w:rPr>
        <w:t xml:space="preserve">Se podría decir, técnicamente, que “el proceso </w:t>
      </w:r>
      <w:r w:rsidRPr="000D3432">
        <w:rPr>
          <w:rFonts w:asciiTheme="minorHAnsi" w:hAnsiTheme="minorHAnsi"/>
          <w:bCs/>
          <w:sz w:val="24"/>
          <w:szCs w:val="24"/>
        </w:rPr>
        <w:t>es un conjunto o cúmulo de actos de orden temporal, formal, dinámico lógico y sistemático que se impulsa y desarrolla con una determinada finalidad, que es la de administrar justicia por parte del Estado como una de sus funciones de orden jurisdiccional.”(</w:t>
      </w:r>
      <w:r w:rsidRPr="000D3432">
        <w:rPr>
          <w:rStyle w:val="Refdenotaalpie"/>
          <w:rFonts w:asciiTheme="minorHAnsi" w:hAnsiTheme="minorHAnsi"/>
          <w:bCs/>
          <w:sz w:val="24"/>
          <w:szCs w:val="24"/>
        </w:rPr>
        <w:footnoteReference w:id="785"/>
      </w:r>
      <w:r w:rsidRPr="000D3432">
        <w:rPr>
          <w:rFonts w:asciiTheme="minorHAnsi" w:hAnsiTheme="minorHAnsi"/>
          <w:bCs/>
          <w:sz w:val="24"/>
          <w:szCs w:val="24"/>
        </w:rPr>
        <w:t>).</w:t>
      </w:r>
    </w:p>
    <w:p w14:paraId="28453C48" w14:textId="77777777" w:rsidR="0082775B" w:rsidRPr="000D3432" w:rsidRDefault="0082775B" w:rsidP="00A95498">
      <w:pPr>
        <w:pStyle w:val="Textodecuerpo"/>
        <w:widowControl/>
        <w:spacing w:line="240" w:lineRule="auto"/>
        <w:rPr>
          <w:rFonts w:asciiTheme="minorHAnsi" w:hAnsiTheme="minorHAnsi"/>
          <w:b/>
          <w:bCs/>
          <w:sz w:val="24"/>
          <w:szCs w:val="24"/>
        </w:rPr>
      </w:pPr>
    </w:p>
    <w:p w14:paraId="032656AC" w14:textId="77777777" w:rsidR="0082775B" w:rsidRPr="000D3432" w:rsidRDefault="0082775B" w:rsidP="00A95498">
      <w:pPr>
        <w:tabs>
          <w:tab w:val="left" w:pos="435"/>
        </w:tabs>
        <w:jc w:val="both"/>
        <w:rPr>
          <w:rFonts w:asciiTheme="minorHAnsi" w:hAnsiTheme="minorHAnsi"/>
          <w:bCs/>
          <w:iCs/>
          <w:szCs w:val="24"/>
        </w:rPr>
      </w:pPr>
      <w:r w:rsidRPr="000D3432">
        <w:rPr>
          <w:rFonts w:asciiTheme="minorHAnsi" w:hAnsiTheme="minorHAnsi"/>
          <w:bCs/>
          <w:iCs/>
          <w:szCs w:val="24"/>
        </w:rPr>
        <w:t>Eduardo Couture escribe que “el Proceso es más bien una secuencia en que se desenvuelven bien progresivamente con el objeto de resolver un conflicto de intereses sometido a la decisión de la autoridad de intereses sometido a la decisión de la autoridad jurisdiccional”. Mientras tanto, Gelsi Bidart, afirma que: “El proceso es un Organismo o sistema Estructural de actos dispuestos en vista de un fin común que es de alcanzar el acto concluido que pone fin al proceso (sentencia), de esta manera el proceso aparece jurídicamente como un medio de determinar el derecho dentro de un conflicto a fin de hacer realidad la administración de justicia en la sociedad”.</w:t>
      </w:r>
    </w:p>
    <w:p w14:paraId="70D7C705" w14:textId="77777777" w:rsidR="0082775B" w:rsidRPr="000D3432" w:rsidRDefault="0082775B" w:rsidP="00A95498">
      <w:pPr>
        <w:pStyle w:val="Ttulo1"/>
        <w:spacing w:line="240" w:lineRule="auto"/>
        <w:rPr>
          <w:rFonts w:asciiTheme="minorHAnsi" w:hAnsiTheme="minorHAnsi"/>
          <w:b w:val="0"/>
          <w:sz w:val="24"/>
          <w:szCs w:val="24"/>
        </w:rPr>
      </w:pPr>
    </w:p>
    <w:p w14:paraId="20FAF00D" w14:textId="77777777" w:rsidR="0082775B" w:rsidRPr="000D3432" w:rsidRDefault="0082775B" w:rsidP="00A95498">
      <w:pPr>
        <w:pStyle w:val="Ttulo1"/>
        <w:spacing w:line="240" w:lineRule="auto"/>
        <w:rPr>
          <w:rFonts w:asciiTheme="minorHAnsi" w:hAnsiTheme="minorHAnsi"/>
          <w:b w:val="0"/>
          <w:sz w:val="24"/>
          <w:szCs w:val="24"/>
        </w:rPr>
      </w:pPr>
      <w:bookmarkStart w:id="146" w:name="_Toc318102955"/>
      <w:r w:rsidRPr="000D3432">
        <w:rPr>
          <w:rFonts w:asciiTheme="minorHAnsi" w:hAnsiTheme="minorHAnsi"/>
          <w:b w:val="0"/>
          <w:sz w:val="24"/>
          <w:szCs w:val="24"/>
        </w:rPr>
        <w:t>Pero es Piero Calamandrei quien escribe que “el proceso es ante todo un método de cognición, esto es, de conocimiento de la verdad.”</w:t>
      </w:r>
      <w:bookmarkEnd w:id="146"/>
      <w:r w:rsidRPr="000D3432">
        <w:rPr>
          <w:rFonts w:asciiTheme="minorHAnsi" w:hAnsiTheme="minorHAnsi"/>
          <w:b w:val="0"/>
          <w:sz w:val="24"/>
          <w:szCs w:val="24"/>
        </w:rPr>
        <w:t xml:space="preserve"> </w:t>
      </w:r>
    </w:p>
    <w:p w14:paraId="55D7D60C" w14:textId="77777777" w:rsidR="0082775B" w:rsidRPr="000D3432" w:rsidRDefault="0082775B" w:rsidP="00A95498">
      <w:pPr>
        <w:pStyle w:val="Ttulo1"/>
        <w:spacing w:line="240" w:lineRule="auto"/>
        <w:rPr>
          <w:rFonts w:asciiTheme="minorHAnsi" w:hAnsiTheme="minorHAnsi"/>
          <w:b w:val="0"/>
          <w:sz w:val="24"/>
          <w:szCs w:val="24"/>
        </w:rPr>
      </w:pPr>
    </w:p>
    <w:p w14:paraId="543B7475" w14:textId="77777777" w:rsidR="0082775B" w:rsidRPr="000D3432" w:rsidRDefault="0082775B" w:rsidP="00A95498">
      <w:pPr>
        <w:pStyle w:val="Ttulo1"/>
        <w:spacing w:line="240" w:lineRule="auto"/>
        <w:rPr>
          <w:rFonts w:asciiTheme="minorHAnsi" w:hAnsiTheme="minorHAnsi"/>
          <w:b w:val="0"/>
          <w:sz w:val="24"/>
          <w:szCs w:val="24"/>
        </w:rPr>
      </w:pPr>
      <w:bookmarkStart w:id="147" w:name="_Toc318102956"/>
      <w:r w:rsidRPr="000D3432">
        <w:rPr>
          <w:rFonts w:asciiTheme="minorHAnsi" w:hAnsiTheme="minorHAnsi"/>
          <w:b w:val="0"/>
          <w:sz w:val="24"/>
          <w:szCs w:val="24"/>
        </w:rPr>
        <w:t>Este último es el concepto más general y claro que hemos encontrado. El proceso jurídico no es más que un “método de cognición”, es decir, una forma de conocer, un esquema para llegar a cierta certidumbre, una manera predeterminada de intentar establecer cómo sucedieron las cosas. Pero su carácter jurídico implica que no sólo se necesita conocer cómo sucedieron los hechos, sino además, qué consecuencias resultan de esos hechos; y determinar si esas consecuencias tienen calidad de jurídicas o no, atentan o no contra los derechos de los seres humanos. Esa es la segunda fase. La tercera fase consiste en -una vez determinado cómo fueron los hechos, descrito las consecuencias jurídicas- ejercitar una solución, que se traduce en una sentencia, que no es más que el acto jurídico emitido por el Juez, con autoridad y legitimidad dada por Estado, para imponer una decisión determinada con efectos jurídicos (es decir con carga coactiva -factibles de ser ejercitados mediante la fuerza legítima del Estado a través de sus organismos).</w:t>
      </w:r>
      <w:bookmarkEnd w:id="147"/>
    </w:p>
    <w:p w14:paraId="07EF8E24" w14:textId="77777777" w:rsidR="0082775B" w:rsidRPr="000D3432" w:rsidRDefault="0082775B" w:rsidP="00A95498">
      <w:pPr>
        <w:pStyle w:val="Ttulo1"/>
        <w:spacing w:line="240" w:lineRule="auto"/>
        <w:rPr>
          <w:rFonts w:asciiTheme="minorHAnsi" w:hAnsiTheme="minorHAnsi"/>
          <w:b w:val="0"/>
          <w:sz w:val="24"/>
          <w:szCs w:val="24"/>
        </w:rPr>
      </w:pPr>
    </w:p>
    <w:p w14:paraId="0C2CA232" w14:textId="77777777" w:rsidR="0082775B" w:rsidRPr="000D3432" w:rsidRDefault="0082775B" w:rsidP="00A95498">
      <w:pPr>
        <w:pStyle w:val="Ttulo1"/>
        <w:spacing w:line="240" w:lineRule="auto"/>
        <w:rPr>
          <w:rFonts w:asciiTheme="minorHAnsi" w:hAnsiTheme="minorHAnsi"/>
          <w:b w:val="0"/>
          <w:sz w:val="24"/>
          <w:szCs w:val="24"/>
        </w:rPr>
      </w:pPr>
      <w:bookmarkStart w:id="148" w:name="_Toc318102957"/>
      <w:r w:rsidRPr="000D3432">
        <w:rPr>
          <w:rFonts w:asciiTheme="minorHAnsi" w:hAnsiTheme="minorHAnsi"/>
          <w:b w:val="0"/>
          <w:sz w:val="24"/>
          <w:szCs w:val="24"/>
        </w:rPr>
        <w:t>Es, entonces, cierto que  el proceso son “hechos o actos a los que se les asignan unas consecuencias jurídicas”.(</w:t>
      </w:r>
      <w:r w:rsidRPr="000D3432">
        <w:rPr>
          <w:rStyle w:val="Refdenotaalpie"/>
          <w:rFonts w:asciiTheme="minorHAnsi" w:hAnsiTheme="minorHAnsi"/>
          <w:b w:val="0"/>
          <w:sz w:val="24"/>
          <w:szCs w:val="24"/>
        </w:rPr>
        <w:footnoteReference w:id="786"/>
      </w:r>
      <w:r w:rsidRPr="000D3432">
        <w:rPr>
          <w:rFonts w:asciiTheme="minorHAnsi" w:hAnsiTheme="minorHAnsi"/>
          <w:b w:val="0"/>
          <w:sz w:val="24"/>
          <w:szCs w:val="24"/>
        </w:rPr>
        <w:t>) Sin esta característica el proceso no sería jurídico. Y lo jurídico tiene que ver con lo que sea exigible socialmente, es decir la existencia de una exigencia social de solución”.(</w:t>
      </w:r>
      <w:r w:rsidRPr="000D3432">
        <w:rPr>
          <w:rStyle w:val="Refdenotaalpie"/>
          <w:rFonts w:asciiTheme="minorHAnsi" w:hAnsiTheme="minorHAnsi"/>
          <w:b w:val="0"/>
          <w:sz w:val="24"/>
          <w:szCs w:val="24"/>
        </w:rPr>
        <w:footnoteReference w:id="787"/>
      </w:r>
      <w:r w:rsidRPr="000D3432">
        <w:rPr>
          <w:rFonts w:asciiTheme="minorHAnsi" w:hAnsiTheme="minorHAnsi"/>
          <w:b w:val="0"/>
          <w:sz w:val="24"/>
          <w:szCs w:val="24"/>
        </w:rPr>
        <w:t>)</w:t>
      </w:r>
      <w:bookmarkEnd w:id="148"/>
    </w:p>
    <w:p w14:paraId="27570499" w14:textId="77777777" w:rsidR="0082775B" w:rsidRPr="000D3432" w:rsidRDefault="0082775B" w:rsidP="00A95498">
      <w:pPr>
        <w:jc w:val="both"/>
        <w:rPr>
          <w:rFonts w:asciiTheme="minorHAnsi" w:hAnsiTheme="minorHAnsi"/>
          <w:bCs/>
          <w:szCs w:val="24"/>
        </w:rPr>
      </w:pPr>
    </w:p>
    <w:p w14:paraId="50583068" w14:textId="77777777" w:rsidR="0082775B" w:rsidRPr="000D3432" w:rsidRDefault="0082775B" w:rsidP="00A95498">
      <w:pPr>
        <w:jc w:val="both"/>
        <w:rPr>
          <w:rFonts w:asciiTheme="minorHAnsi" w:hAnsiTheme="minorHAnsi"/>
          <w:bCs/>
          <w:szCs w:val="24"/>
        </w:rPr>
      </w:pPr>
      <w:r w:rsidRPr="000D3432">
        <w:rPr>
          <w:rFonts w:asciiTheme="minorHAnsi" w:hAnsiTheme="minorHAnsi"/>
          <w:bCs/>
          <w:szCs w:val="24"/>
        </w:rPr>
        <w:t>¿Que se persigue con esta determinación anterior al hecho, de los actos? Dotar de seguridad al Derecho.</w:t>
      </w:r>
    </w:p>
    <w:p w14:paraId="6245E2EA" w14:textId="77777777" w:rsidR="0082775B" w:rsidRPr="000D3432" w:rsidRDefault="0082775B" w:rsidP="00A95498">
      <w:pPr>
        <w:jc w:val="both"/>
        <w:rPr>
          <w:rFonts w:asciiTheme="minorHAnsi" w:hAnsiTheme="minorHAnsi"/>
          <w:bCs/>
          <w:szCs w:val="24"/>
        </w:rPr>
      </w:pPr>
    </w:p>
    <w:p w14:paraId="2E1F22BF" w14:textId="77777777" w:rsidR="0082775B" w:rsidRPr="000D3432" w:rsidRDefault="0082775B" w:rsidP="00A95498">
      <w:pPr>
        <w:jc w:val="both"/>
        <w:rPr>
          <w:rFonts w:asciiTheme="minorHAnsi" w:hAnsiTheme="minorHAnsi"/>
          <w:bCs/>
          <w:szCs w:val="24"/>
        </w:rPr>
      </w:pPr>
      <w:r w:rsidRPr="000D3432">
        <w:rPr>
          <w:rFonts w:asciiTheme="minorHAnsi" w:hAnsiTheme="minorHAnsi"/>
          <w:bCs/>
          <w:szCs w:val="24"/>
        </w:rPr>
        <w:t>Si usáramos a Nietzsche, el proceso sería un “puente” entre la necesidad y el fin. Pero si usáramos a Savater, podríamos decir que los procesos son simplemente actos racionales, y en tanto racionales son ecuaciones. Esta razonabilidad es la necesaria para poder vivir, coexistir, no atropellarnos y autoeliminarnos, “En una palabra, para lograr vivir hay que razonar…”(</w:t>
      </w:r>
      <w:r w:rsidRPr="000D3432">
        <w:rPr>
          <w:rStyle w:val="Refdenotaalpie"/>
          <w:rFonts w:asciiTheme="minorHAnsi" w:hAnsiTheme="minorHAnsi"/>
          <w:bCs/>
          <w:sz w:val="24"/>
          <w:szCs w:val="24"/>
        </w:rPr>
        <w:footnoteReference w:id="788"/>
      </w:r>
      <w:r w:rsidRPr="000D3432">
        <w:rPr>
          <w:rFonts w:asciiTheme="minorHAnsi" w:hAnsiTheme="minorHAnsi"/>
          <w:bCs/>
          <w:szCs w:val="24"/>
        </w:rPr>
        <w:t>). El proceso sería así una forma de administrar racionalmente la sociedad y la natural variedad de subjetividades en conflicto. El Derecho sería así siempre una guerra reglamentada(</w:t>
      </w:r>
      <w:r w:rsidRPr="000D3432">
        <w:rPr>
          <w:rStyle w:val="Refdenotaalpie"/>
          <w:rFonts w:asciiTheme="minorHAnsi" w:hAnsiTheme="minorHAnsi"/>
          <w:bCs/>
          <w:sz w:val="24"/>
          <w:szCs w:val="24"/>
        </w:rPr>
        <w:footnoteReference w:id="789"/>
      </w:r>
      <w:r w:rsidRPr="000D3432">
        <w:rPr>
          <w:rFonts w:asciiTheme="minorHAnsi" w:hAnsiTheme="minorHAnsi"/>
          <w:bCs/>
          <w:szCs w:val="24"/>
        </w:rPr>
        <w:t>). Y estas reglas, que reglamentan la guerra, son precisamente lo que constituye el proceso, esas reglas reglamentadas, positividad y dinamismo.</w:t>
      </w:r>
    </w:p>
    <w:p w14:paraId="7B84B6E6" w14:textId="77777777" w:rsidR="0082775B" w:rsidRPr="000D3432" w:rsidRDefault="0082775B" w:rsidP="00A95498">
      <w:pPr>
        <w:jc w:val="both"/>
        <w:rPr>
          <w:rFonts w:asciiTheme="minorHAnsi" w:hAnsiTheme="minorHAnsi"/>
          <w:bCs/>
          <w:szCs w:val="24"/>
        </w:rPr>
      </w:pPr>
    </w:p>
    <w:p w14:paraId="2D699AA1" w14:textId="77777777" w:rsidR="0082775B" w:rsidRPr="000D3432" w:rsidRDefault="0082775B" w:rsidP="00A95498">
      <w:pPr>
        <w:jc w:val="both"/>
        <w:rPr>
          <w:rFonts w:asciiTheme="minorHAnsi" w:hAnsiTheme="minorHAnsi"/>
          <w:bCs/>
          <w:szCs w:val="24"/>
        </w:rPr>
      </w:pPr>
      <w:r w:rsidRPr="000D3432">
        <w:rPr>
          <w:rFonts w:asciiTheme="minorHAnsi" w:hAnsiTheme="minorHAnsi"/>
          <w:bCs/>
          <w:szCs w:val="24"/>
        </w:rPr>
        <w:t>Cabe una observación, si el proceso son “reglas reglamentadas”, eso ¿indicaría que son sólo esas reglas y nada más?, es decir que existirían en las reglas y no más allá de ellas? O dicho de otra manera: ¿Existiría en esas reglas cierta verdad inmovible, y certera?</w:t>
      </w:r>
    </w:p>
    <w:p w14:paraId="475DDCBE" w14:textId="77777777" w:rsidR="0082775B" w:rsidRPr="000D3432" w:rsidRDefault="0082775B" w:rsidP="00A95498">
      <w:pPr>
        <w:jc w:val="both"/>
        <w:rPr>
          <w:rFonts w:asciiTheme="minorHAnsi" w:hAnsiTheme="minorHAnsi"/>
          <w:bCs/>
          <w:szCs w:val="24"/>
        </w:rPr>
      </w:pPr>
    </w:p>
    <w:p w14:paraId="76EA3F16" w14:textId="77777777" w:rsidR="0082775B" w:rsidRPr="000D3432" w:rsidRDefault="0082775B" w:rsidP="00A95498">
      <w:pPr>
        <w:jc w:val="both"/>
        <w:rPr>
          <w:rFonts w:asciiTheme="minorHAnsi" w:hAnsiTheme="minorHAnsi"/>
          <w:bCs/>
          <w:szCs w:val="24"/>
        </w:rPr>
      </w:pPr>
      <w:r w:rsidRPr="000D3432">
        <w:rPr>
          <w:rFonts w:asciiTheme="minorHAnsi" w:hAnsiTheme="minorHAnsi"/>
          <w:bCs/>
          <w:szCs w:val="24"/>
        </w:rPr>
        <w:t xml:space="preserve">El proceso son actos secuenciales preordenadas, o predeterminadas, pero ¿deben ser tan arbitrarias como los números? La teoría viene aceptando que ya </w:t>
      </w:r>
      <w:r w:rsidRPr="000D3432">
        <w:rPr>
          <w:rFonts w:asciiTheme="minorHAnsi" w:hAnsiTheme="minorHAnsi"/>
          <w:bCs/>
          <w:szCs w:val="24"/>
        </w:rPr>
        <w:lastRenderedPageBreak/>
        <w:t xml:space="preserve">no es posible aplicar el derecho al pie de la letra, pero, ¿se cumple esto en todos los actos procesales? Para resolver esto la doctrina ha separado los actos administrativos de los actos jurisprudenciales, aún así, a nuestro parecer, no se ha conseguido lograr el equilibrio entre técnica y vida. </w:t>
      </w:r>
    </w:p>
    <w:p w14:paraId="13831592" w14:textId="77777777" w:rsidR="0082775B" w:rsidRPr="000D3432" w:rsidRDefault="0082775B" w:rsidP="00A95498">
      <w:pPr>
        <w:jc w:val="both"/>
        <w:rPr>
          <w:rFonts w:asciiTheme="minorHAnsi" w:hAnsiTheme="minorHAnsi"/>
          <w:bCs/>
          <w:szCs w:val="24"/>
        </w:rPr>
      </w:pPr>
    </w:p>
    <w:p w14:paraId="26DF4F24" w14:textId="77777777" w:rsidR="0082775B" w:rsidRPr="000D3432" w:rsidRDefault="0082775B" w:rsidP="00A95498">
      <w:pPr>
        <w:jc w:val="both"/>
        <w:rPr>
          <w:rFonts w:asciiTheme="minorHAnsi" w:hAnsiTheme="minorHAnsi"/>
          <w:bCs/>
          <w:szCs w:val="24"/>
        </w:rPr>
      </w:pPr>
      <w:r w:rsidRPr="000D3432">
        <w:rPr>
          <w:rFonts w:asciiTheme="minorHAnsi" w:hAnsiTheme="minorHAnsi"/>
          <w:bCs/>
          <w:szCs w:val="24"/>
        </w:rPr>
        <w:t>Pues, bien, eso se debe a que el proceso no es sólo un conjunto de actos preordenados…., sino más bien son prácticas, prácticas que no están encuadradas totalmente en la normatividad adjetiva. Es en conclusión la armonización entre la vida real y la virtualidad dispuesta en los textos normativos.</w:t>
      </w:r>
    </w:p>
    <w:p w14:paraId="5FEBEE65" w14:textId="77777777" w:rsidR="0082775B" w:rsidRPr="000D3432" w:rsidRDefault="0082775B" w:rsidP="00A95498">
      <w:pPr>
        <w:pStyle w:val="Epgrafe"/>
        <w:widowControl/>
        <w:rPr>
          <w:rFonts w:asciiTheme="minorHAnsi" w:hAnsiTheme="minorHAnsi"/>
          <w:b w:val="0"/>
          <w:bCs/>
          <w:szCs w:val="24"/>
          <w:lang w:val="es-ES"/>
        </w:rPr>
      </w:pPr>
    </w:p>
    <w:p w14:paraId="79257C1E" w14:textId="77777777" w:rsidR="0082775B" w:rsidRPr="000D3432" w:rsidRDefault="0082775B" w:rsidP="00A95498">
      <w:pPr>
        <w:pStyle w:val="Ttulo3"/>
        <w:rPr>
          <w:rFonts w:asciiTheme="minorHAnsi" w:hAnsiTheme="minorHAnsi"/>
          <w:b/>
          <w:color w:val="auto"/>
          <w:sz w:val="24"/>
          <w:szCs w:val="24"/>
        </w:rPr>
      </w:pPr>
      <w:bookmarkStart w:id="149" w:name="_Toc318102958"/>
      <w:r w:rsidRPr="000D3432">
        <w:rPr>
          <w:rFonts w:asciiTheme="minorHAnsi" w:hAnsiTheme="minorHAnsi"/>
          <w:b/>
          <w:color w:val="auto"/>
          <w:sz w:val="24"/>
          <w:szCs w:val="24"/>
        </w:rPr>
        <w:t>III.- NATURALEZA JURÍDICA DEL PROCESO</w:t>
      </w:r>
      <w:bookmarkEnd w:id="149"/>
    </w:p>
    <w:p w14:paraId="2E178C8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876D3C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¿Quién entiende qué es naturaleza? Eso es siempre tan complicado por una razón, no se delimita su «contexto». Pues, puede hablarse de muchas «naturalezas». El hombre es natural, la naturaleza de las cosas, las leyes naturales, la naturaleza del proceso jurídico, etc. </w:t>
      </w:r>
    </w:p>
    <w:p w14:paraId="61A891F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AF40AB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En Filosofía -según el diccionario- la «Naturaleza» sería la «condición propia y esencia de los seres», «Lo propio de cada ser viviente», «carácter, temperamento» de las cosas, «originario». Es decir, aquello que lo define como ser, y por tal único y distinto de los demás.</w:t>
      </w:r>
    </w:p>
    <w:p w14:paraId="1F4CF15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5D37A0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Ferrater Mora explica que  es necesario distinguir entre «lo que es por naturaleza y lo que es por convención». Pero en síntesis explica que la Naturaleza es «un principio y una causa de movimiento y de reposo para la cosa en la cual reside inmediatamente por sí y no por accidente», «La naturaleza es «substancia y causa». Sin embargo, la primera diferenciación entre lo que es por naturaleza y lo que es por convención nos aclara el fenómeno. Todo lo convencional –entre ellos el derecho, para el positivismo- no es natural.</w:t>
      </w:r>
    </w:p>
    <w:p w14:paraId="7CFD868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51EF26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Punto aparte, lo primero que podemos hacer es diferenciar cuando hablamos de naturaleza, como del medio ambiente en el que vivimos, de la Naturaleza de las cosas, la causa o principio de su movimiento.</w:t>
      </w:r>
    </w:p>
    <w:p w14:paraId="2F4597D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BDF88D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Parafraseando a Santo Tomás, hay tres sentidos de lo que se entiende por Naturaleza: «como ‘principio intrínseco de movimiento’, ‘como esencia, forma, índole de una cosa’, y como ‘la totalidad de todas las substancias’.</w:t>
      </w:r>
    </w:p>
    <w:p w14:paraId="6992A47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9BC075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La naturaleza es la razón, causa, o justificación por la cual una cosa se constituye como tal. Se busca establecer la naturaleza, en este caso del proceso, sólo para establecer cuál es el centro, la fuerza, el principio, la razón de ser del proceso jurídico, es decir, se intenta determinar un principio de necesidad, «lo que no puede ser de otro modo y lo que, por consiguiente, existe sólo de un modo», correcto, porque de otra forma se desnaturalizaría, perdería el sentido por el que existe. Por eso se busca ‘precisar’, ‘definir’, la materia o la estructura de experimentación y ejercicio del Derecho. También Kelsen y Luis Diez Picazo se interesan en este asunto de la naturaleza.</w:t>
      </w:r>
    </w:p>
    <w:p w14:paraId="7D72E24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B5FD52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El interés por definir cuál es la naturaleza del proceso jurídico es saber y establecer el «fundamento último» del proceso, la base de su movimiento, la justificación de ese movimiento (aquello que lo hace válido, legítimo, exigible), la dirección del movimiento, etc. </w:t>
      </w:r>
    </w:p>
    <w:p w14:paraId="6680E95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A84CD4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El problema planteado –saber cuál es la naturaleza jurídica del proceso- es trascendental porque persigue establecer un orden, o categorías de razonamiento, que servirán como sistemas de argumentación para la aplicación y ejercicio del Derecho. Saber cuál es la naturaleza jurídica del proceso permitiría, a partir de esa premisa, seguir otras premisas; es un sistema. Por ejemplo se podría estar </w:t>
      </w:r>
      <w:r w:rsidRPr="000D3432">
        <w:rPr>
          <w:rFonts w:asciiTheme="minorHAnsi" w:hAnsiTheme="minorHAnsi"/>
          <w:bCs/>
          <w:szCs w:val="24"/>
        </w:rPr>
        <w:t xml:space="preserve">determinando «qué vínculo une a las partes con el juez». </w:t>
      </w:r>
      <w:r w:rsidRPr="000D3432">
        <w:rPr>
          <w:rFonts w:asciiTheme="minorHAnsi" w:hAnsiTheme="minorHAnsi"/>
          <w:szCs w:val="24"/>
        </w:rPr>
        <w:t>Cosa sumamente necesaria, para establecer o visualizar el radio de operatividad o acción del derecho. En consecuencia, la naturaleza es una «causa prima», «causa primera», de la cual surgen «efectos», «consecuencias», «responsabilidades» jurídicas; exigibles socialmente.</w:t>
      </w:r>
    </w:p>
    <w:p w14:paraId="53C4F83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4673F9F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Esto podría explicarse con un pequeño ejemplo, casi siempre expuesto, pero nada mejor que ello para ser mejor entendido. Se trata de la figura del «Matrimonio». Este es ¿un contrato o una institución?, ¿Cuál es su naturaleza jurídica? y ¿cuál la importancia de determinar esta naturaleza jurídica?. Es simple. Si el Matrimonio es un ‘</w:t>
      </w:r>
      <w:r w:rsidRPr="000D3432">
        <w:rPr>
          <w:rFonts w:asciiTheme="minorHAnsi" w:hAnsiTheme="minorHAnsi"/>
          <w:iCs/>
          <w:szCs w:val="24"/>
        </w:rPr>
        <w:t>contrato’</w:t>
      </w:r>
      <w:r w:rsidRPr="000D3432">
        <w:rPr>
          <w:rFonts w:asciiTheme="minorHAnsi" w:hAnsiTheme="minorHAnsi"/>
          <w:szCs w:val="24"/>
        </w:rPr>
        <w:t>, las categorías de razonamiento jurídico ya están dadas. Entonces, todo el proceso deberá derivarse «necesariamente» (sí y solo sí) de esta categorización. Todo el proceso, el juicio, tendrá como premisa principal esta realidad jurídica. Luego se buscará saber qué es un contrato y su respectiva ubicación en la normatividad, doctrina y jurisprudencia,  y de allí se deriva todo el razonamiento jurídico posterior. Así de simple. Ahora, si el matrimonio es una ‘</w:t>
      </w:r>
      <w:r w:rsidRPr="000D3432">
        <w:rPr>
          <w:rFonts w:asciiTheme="minorHAnsi" w:hAnsiTheme="minorHAnsi"/>
          <w:iCs/>
          <w:szCs w:val="24"/>
        </w:rPr>
        <w:t>institución’</w:t>
      </w:r>
      <w:r w:rsidRPr="000D3432">
        <w:rPr>
          <w:rFonts w:asciiTheme="minorHAnsi" w:hAnsiTheme="minorHAnsi"/>
          <w:szCs w:val="24"/>
        </w:rPr>
        <w:t>, sucede el mismo fenómeno: quedan establecidos los márgenes del razonamiento jurídico, los cauces por donde debe correr el fenómeno procesal están ya determinados. En fin, no se trata nada más que de establecer los ‘centros’ y ‘límites’ de operación; que se persiga la esencia de un acto jurídico.</w:t>
      </w:r>
    </w:p>
    <w:p w14:paraId="6A49C00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A591FC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No obstante todos los esfuerzos para determinar la naturaleza jurídica del proceso, ha habido, para ello, varias apreciaciones históricamente expuestas. Tenemos, así: El proceso como contrato;  como un cuasi contrato; como una relación jurídica; como situación jurídica; como entidad jurídica compleja; como institución.</w:t>
      </w:r>
    </w:p>
    <w:p w14:paraId="38247DC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AF9A0B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b/>
          <w:szCs w:val="24"/>
        </w:rPr>
        <w:t>1.- El proceso  como contrato</w:t>
      </w:r>
    </w:p>
    <w:p w14:paraId="0596940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CB8747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Según esta teoría, la relación, el vínculo que une a las partes -se dice- es de «orden contractual». Esto quiere decir que en el proceso las partes «se encuentran vinculados con el mismo lazo que une a los contratantes»: «la voluntad». Pero esto sólo si la naturaleza jurídica del proceso es un «contrato». Entonces habría que explicar, ¿cuál es el fundamento de esta teoría  para decir que el proceso es un ‘contrato’?, </w:t>
      </w:r>
    </w:p>
    <w:p w14:paraId="4B595A2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DE4E23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lastRenderedPageBreak/>
        <w:t>Debemos tener en cuenta que el “fundamento” debe ser «irresistible», válido por sí mismo, para ser tal. Un fundamento, como dijera Bobbio, es aducir motivos que justifiquen nuestra elección, es «algo que sirve para algo», algo que «sirve de base» para «soportar» algo,  es una “fuerza irresistible y última”.</w:t>
      </w:r>
    </w:p>
    <w:p w14:paraId="10C6189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AAB1C5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Esta teoría –la del proceso como contrato- ha tomado su fundamento en una institución del derecho romano, la </w:t>
      </w:r>
      <w:r w:rsidRPr="000D3432">
        <w:rPr>
          <w:rFonts w:asciiTheme="minorHAnsi" w:hAnsiTheme="minorHAnsi"/>
          <w:i/>
          <w:szCs w:val="24"/>
        </w:rPr>
        <w:t xml:space="preserve"> litis contestatio</w:t>
      </w:r>
      <w:r w:rsidRPr="000D3432">
        <w:rPr>
          <w:rFonts w:asciiTheme="minorHAnsi" w:hAnsiTheme="minorHAnsi"/>
          <w:szCs w:val="24"/>
        </w:rPr>
        <w:t xml:space="preserve">, que «supone, en forma expresa o implícita, un acuerdo de voluntades». La palabra clave, aquí, es: «acuerdo de ‘voluntades’». Sobre la voluntad ha hablado fervientemente y como eje de toda la vida un magnífico filósofo: Arthur Shopenhauer. Por supuesto ha habido quien contradijo su teoría: Friedrich Nietzsche, quién asume que más bien ha sido la causa prima de la vida el poder, la voluntad de poder. Cosas aparte. </w:t>
      </w:r>
    </w:p>
    <w:p w14:paraId="316A551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74F7BB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¿Qué es la </w:t>
      </w:r>
      <w:r w:rsidRPr="000D3432">
        <w:rPr>
          <w:rFonts w:asciiTheme="minorHAnsi" w:hAnsiTheme="minorHAnsi"/>
          <w:i/>
          <w:szCs w:val="24"/>
        </w:rPr>
        <w:t>litis contestatio</w:t>
      </w:r>
      <w:r w:rsidRPr="000D3432">
        <w:rPr>
          <w:rFonts w:asciiTheme="minorHAnsi" w:hAnsiTheme="minorHAnsi"/>
          <w:szCs w:val="24"/>
        </w:rPr>
        <w:t xml:space="preserve">? Sintéticamente Juan Monroy Galvez explica que es «la relación establecida entre demandante y demandado», y ésta relación  era «producto de un ‘acuerdo de voluntades’». El fenómeno estaba basado en «la colaboración de las partes para estructurar la fórmula, la precisión -surgida del consenso- de los términos del debate, la libertad con que las partes proponían su derecho, aunque era finalmente perfilado por el magistrado». Esta concurrencia de voluntades, este consenso, este manejo libre de la exposición de su derecho de las partes fue el motivo en la cual esta teoría se aposentó. </w:t>
      </w:r>
    </w:p>
    <w:p w14:paraId="1F4A214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9EC708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Para hacer más extensa el análisis («El diccionario dice que extender es hacer que una cosa aumente su superficie y ocupe así más espacio. Extender también significa esparcir, desenvolver, desplegar y ocupar cierta extensión de terreno. En su sentido original y primario extender es un concepto espacial» / Octavio Paz) el asunto, hemos de trasladarnos mentalmente a la historia del derecho romano. Roma nos ha heredado su Derecho (en occidente).</w:t>
      </w:r>
    </w:p>
    <w:p w14:paraId="7EA6821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4D8FD3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Haciendo un breve resumen, siguiendo el libro </w:t>
      </w:r>
      <w:r w:rsidRPr="000D3432">
        <w:rPr>
          <w:rFonts w:asciiTheme="minorHAnsi" w:hAnsiTheme="minorHAnsi"/>
          <w:i/>
          <w:iCs/>
          <w:szCs w:val="24"/>
        </w:rPr>
        <w:t>Introducción al proceso civil</w:t>
      </w:r>
      <w:r w:rsidRPr="000D3432">
        <w:rPr>
          <w:rFonts w:asciiTheme="minorHAnsi" w:hAnsiTheme="minorHAnsi"/>
          <w:szCs w:val="24"/>
        </w:rPr>
        <w:t xml:space="preserve">, de Juan Monroy Galvez, Edición Temis, diremos que el Proceso civil en Roma existieron «dos grandes sistemas procesales: </w:t>
      </w:r>
      <w:r w:rsidRPr="000D3432">
        <w:rPr>
          <w:rFonts w:asciiTheme="minorHAnsi" w:hAnsiTheme="minorHAnsi"/>
          <w:i/>
          <w:szCs w:val="24"/>
        </w:rPr>
        <w:t>el ordinario y el extraordinario</w:t>
      </w:r>
      <w:r w:rsidRPr="000D3432">
        <w:rPr>
          <w:rFonts w:asciiTheme="minorHAnsi" w:hAnsiTheme="minorHAnsi"/>
          <w:szCs w:val="24"/>
        </w:rPr>
        <w:t>».</w:t>
      </w:r>
    </w:p>
    <w:p w14:paraId="23776A5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73693D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Es en el sistema ordinario donde se distinguen dos fases, la </w:t>
      </w:r>
      <w:r w:rsidRPr="000D3432">
        <w:rPr>
          <w:rFonts w:asciiTheme="minorHAnsi" w:hAnsiTheme="minorHAnsi"/>
          <w:i/>
          <w:szCs w:val="24"/>
        </w:rPr>
        <w:t>legis actiones</w:t>
      </w:r>
      <w:r w:rsidRPr="000D3432">
        <w:rPr>
          <w:rFonts w:asciiTheme="minorHAnsi" w:hAnsiTheme="minorHAnsi"/>
          <w:szCs w:val="24"/>
        </w:rPr>
        <w:t xml:space="preserve"> y la del procedimiento formulario.</w:t>
      </w:r>
    </w:p>
    <w:p w14:paraId="43D3A1C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8F36D3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El sistema ordinario tiene un  nombre, de aparente latín que aclara mejor su contenido y función, se le llama sistema </w:t>
      </w:r>
      <w:r w:rsidRPr="000D3432">
        <w:rPr>
          <w:rFonts w:asciiTheme="minorHAnsi" w:hAnsiTheme="minorHAnsi"/>
          <w:i/>
          <w:szCs w:val="24"/>
        </w:rPr>
        <w:t xml:space="preserve"> ordo iudiciorum privatorum</w:t>
      </w:r>
      <w:r w:rsidRPr="000D3432">
        <w:rPr>
          <w:rFonts w:asciiTheme="minorHAnsi" w:hAnsiTheme="minorHAnsi"/>
          <w:iCs/>
          <w:szCs w:val="24"/>
        </w:rPr>
        <w:t xml:space="preserve"> (o</w:t>
      </w:r>
      <w:r w:rsidRPr="000D3432">
        <w:rPr>
          <w:rFonts w:asciiTheme="minorHAnsi" w:hAnsiTheme="minorHAnsi"/>
          <w:szCs w:val="24"/>
        </w:rPr>
        <w:t>rdenamiento de los juicios privados). Surge una apreciación simple. Se trata de juicios «privados».</w:t>
      </w:r>
    </w:p>
    <w:p w14:paraId="1DB0FFB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A4DEBB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Este sistema ordinario incluye la </w:t>
      </w:r>
      <w:r w:rsidRPr="000D3432">
        <w:rPr>
          <w:rFonts w:asciiTheme="minorHAnsi" w:hAnsiTheme="minorHAnsi"/>
          <w:i/>
          <w:szCs w:val="24"/>
        </w:rPr>
        <w:t>legis actione</w:t>
      </w:r>
      <w:r w:rsidRPr="000D3432">
        <w:rPr>
          <w:rFonts w:asciiTheme="minorHAnsi" w:hAnsiTheme="minorHAnsi"/>
          <w:szCs w:val="24"/>
        </w:rPr>
        <w:t xml:space="preserve">s, dentro de la cual se encuentra la </w:t>
      </w:r>
      <w:r w:rsidRPr="000D3432">
        <w:rPr>
          <w:rFonts w:asciiTheme="minorHAnsi" w:hAnsiTheme="minorHAnsi"/>
          <w:i/>
          <w:szCs w:val="24"/>
        </w:rPr>
        <w:t>etapa in iure</w:t>
      </w:r>
      <w:r w:rsidRPr="000D3432">
        <w:rPr>
          <w:rFonts w:asciiTheme="minorHAnsi" w:hAnsiTheme="minorHAnsi"/>
          <w:szCs w:val="24"/>
        </w:rPr>
        <w:t xml:space="preserve">, de donde se desprende la </w:t>
      </w:r>
      <w:r w:rsidRPr="000D3432">
        <w:rPr>
          <w:rFonts w:asciiTheme="minorHAnsi" w:hAnsiTheme="minorHAnsi"/>
          <w:i/>
          <w:szCs w:val="24"/>
        </w:rPr>
        <w:t>litis contestatio.</w:t>
      </w:r>
      <w:r w:rsidRPr="000D3432">
        <w:rPr>
          <w:rFonts w:asciiTheme="minorHAnsi" w:hAnsiTheme="minorHAnsi"/>
          <w:szCs w:val="24"/>
        </w:rPr>
        <w:tab/>
      </w:r>
    </w:p>
    <w:p w14:paraId="0A57963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D2B205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b/>
          <w:i/>
          <w:szCs w:val="24"/>
        </w:rPr>
        <w:t>La etapa in iure</w:t>
      </w:r>
      <w:r w:rsidRPr="000D3432">
        <w:rPr>
          <w:rFonts w:asciiTheme="minorHAnsi" w:hAnsiTheme="minorHAnsi"/>
          <w:szCs w:val="24"/>
        </w:rPr>
        <w:t xml:space="preserve">: Sabido es que los romanos han sido paradigmas de formas. Veamos como eran las formas del proceso en esta etapa. Había un magistrado que estaba a cargo de la etapa del </w:t>
      </w:r>
      <w:r w:rsidRPr="000D3432">
        <w:rPr>
          <w:rFonts w:asciiTheme="minorHAnsi" w:hAnsiTheme="minorHAnsi"/>
          <w:i/>
          <w:szCs w:val="24"/>
        </w:rPr>
        <w:t>in iure</w:t>
      </w:r>
      <w:r w:rsidRPr="000D3432">
        <w:rPr>
          <w:rFonts w:asciiTheme="minorHAnsi" w:hAnsiTheme="minorHAnsi"/>
          <w:szCs w:val="24"/>
        </w:rPr>
        <w:t xml:space="preserve">. El demandante citaba al demandado, </w:t>
      </w:r>
      <w:r w:rsidRPr="000D3432">
        <w:rPr>
          <w:rFonts w:asciiTheme="minorHAnsi" w:hAnsiTheme="minorHAnsi"/>
          <w:szCs w:val="24"/>
        </w:rPr>
        <w:lastRenderedPageBreak/>
        <w:t xml:space="preserve">en un acto privado llamado </w:t>
      </w:r>
      <w:r w:rsidRPr="000D3432">
        <w:rPr>
          <w:rFonts w:asciiTheme="minorHAnsi" w:hAnsiTheme="minorHAnsi"/>
          <w:i/>
          <w:szCs w:val="24"/>
        </w:rPr>
        <w:t>in ius vocatio</w:t>
      </w:r>
      <w:r w:rsidRPr="000D3432">
        <w:rPr>
          <w:rFonts w:asciiTheme="minorHAnsi" w:hAnsiTheme="minorHAnsi"/>
          <w:szCs w:val="24"/>
        </w:rPr>
        <w:t xml:space="preserve">. Una convocación. Dado lo personalismo del proceso en caso de que el demandado no concurriera al acto el Juez investía de poder al demandante para que éste pueda llevar «por la fuerza» al demandado donde lo encontrara. Imagínense ahora cómo éste hombre, el demandante iba en busca del demandado para invocarlo, para practicarle la fórmula mágica que permitiera al acto ser legítimo y jurídico; porque ha de saberse que el demandado tenía que pronunciar unas palabras ante el demandado para poder llevarlo ante el magistrado. El demandante investido de poder al encontrar al demandado decía: </w:t>
      </w:r>
      <w:r w:rsidRPr="000D3432">
        <w:rPr>
          <w:rFonts w:asciiTheme="minorHAnsi" w:hAnsiTheme="minorHAnsi"/>
          <w:i/>
          <w:szCs w:val="24"/>
        </w:rPr>
        <w:t>ius te voco o in ius sequere</w:t>
      </w:r>
      <w:r w:rsidRPr="000D3432">
        <w:rPr>
          <w:rFonts w:asciiTheme="minorHAnsi" w:hAnsiTheme="minorHAnsi"/>
          <w:szCs w:val="24"/>
        </w:rPr>
        <w:t xml:space="preserve">, que debe haber significado un pronunciamiento atroz para el demandado, el cual -imaginamos- debe haber intentado evitar por todos los medios ser encontrado o escuchar la invocación, las palabras mágicas, o mejor, las palabras jurídicas que permitieran al demandante -en caso de que el demandado no obedeciera a la invocación del demandado- tomar testigos y llevarlo a la fuerza, </w:t>
      </w:r>
      <w:r w:rsidRPr="000D3432">
        <w:rPr>
          <w:rFonts w:asciiTheme="minorHAnsi" w:hAnsiTheme="minorHAnsi"/>
          <w:i/>
          <w:szCs w:val="24"/>
        </w:rPr>
        <w:t xml:space="preserve">obtorto collo, </w:t>
      </w:r>
      <w:r w:rsidRPr="000D3432">
        <w:rPr>
          <w:rFonts w:asciiTheme="minorHAnsi" w:hAnsiTheme="minorHAnsi"/>
          <w:iCs/>
          <w:szCs w:val="24"/>
        </w:rPr>
        <w:t>ante la justicia</w:t>
      </w:r>
      <w:r w:rsidRPr="000D3432">
        <w:rPr>
          <w:rFonts w:asciiTheme="minorHAnsi" w:hAnsiTheme="minorHAnsi"/>
          <w:i/>
          <w:szCs w:val="24"/>
        </w:rPr>
        <w:t>.</w:t>
      </w:r>
      <w:r w:rsidRPr="000D3432">
        <w:rPr>
          <w:rFonts w:asciiTheme="minorHAnsi" w:hAnsiTheme="minorHAnsi"/>
          <w:szCs w:val="24"/>
        </w:rPr>
        <w:t xml:space="preserve"> </w:t>
      </w:r>
    </w:p>
    <w:p w14:paraId="5A855BD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4921089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Bien, una vez ante el magistrado había de desarrollarse la audiencia. Resumiendo, «A todo este acto de determinación de lo que iba a constituir el conflicto a someterse al </w:t>
      </w:r>
      <w:r w:rsidRPr="000D3432">
        <w:rPr>
          <w:rFonts w:asciiTheme="minorHAnsi" w:hAnsiTheme="minorHAnsi"/>
          <w:i/>
          <w:szCs w:val="24"/>
        </w:rPr>
        <w:t>iudex</w:t>
      </w:r>
      <w:r w:rsidRPr="000D3432">
        <w:rPr>
          <w:rFonts w:asciiTheme="minorHAnsi" w:hAnsiTheme="minorHAnsi"/>
          <w:szCs w:val="24"/>
        </w:rPr>
        <w:t xml:space="preserve"> -con lo que finalizaba la actuación ante el magistrado-, se llamaba </w:t>
      </w:r>
      <w:r w:rsidRPr="000D3432">
        <w:rPr>
          <w:rFonts w:asciiTheme="minorHAnsi" w:hAnsiTheme="minorHAnsi"/>
          <w:i/>
          <w:szCs w:val="24"/>
        </w:rPr>
        <w:t>litiscontestatio.</w:t>
      </w:r>
      <w:r w:rsidRPr="000D3432">
        <w:rPr>
          <w:rFonts w:asciiTheme="minorHAnsi" w:hAnsiTheme="minorHAnsi"/>
          <w:szCs w:val="24"/>
        </w:rPr>
        <w:t xml:space="preserve"> Adviértanse que en la </w:t>
      </w:r>
      <w:r w:rsidRPr="000D3432">
        <w:rPr>
          <w:rFonts w:asciiTheme="minorHAnsi" w:hAnsiTheme="minorHAnsi"/>
          <w:i/>
          <w:szCs w:val="24"/>
        </w:rPr>
        <w:t>legis actiones</w:t>
      </w:r>
      <w:r w:rsidRPr="000D3432">
        <w:rPr>
          <w:rFonts w:asciiTheme="minorHAnsi" w:hAnsiTheme="minorHAnsi"/>
          <w:szCs w:val="24"/>
        </w:rPr>
        <w:t xml:space="preserve"> la </w:t>
      </w:r>
      <w:r w:rsidRPr="000D3432">
        <w:rPr>
          <w:rFonts w:asciiTheme="minorHAnsi" w:hAnsiTheme="minorHAnsi"/>
          <w:i/>
          <w:szCs w:val="24"/>
        </w:rPr>
        <w:t>litiscontestatio</w:t>
      </w:r>
      <w:r w:rsidRPr="000D3432">
        <w:rPr>
          <w:rFonts w:asciiTheme="minorHAnsi" w:hAnsiTheme="minorHAnsi"/>
          <w:szCs w:val="24"/>
        </w:rPr>
        <w:t xml:space="preserve"> servía tanto para determinar el o los puntos controvertidos, como para que las partes se sometan al juez que acordaron elegir.» (Juan Monroy Galvez). </w:t>
      </w:r>
    </w:p>
    <w:p w14:paraId="13537F9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0553A66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Hay, además, otro antecedente, que también expone Monroy Galvez, parafraseando a Vittorio Scialoja -el gran maestro de Francesco Carnelutti- que nos puede dar una idea más clara del por qué esta teoría tiene como fundamento que el proceso es un contrato. </w:t>
      </w:r>
    </w:p>
    <w:p w14:paraId="75241E6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05B0275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En Roma, «los jueces eran elegidos entre los ciudadanos particulares», claro que «no todos los ciudadanos podían ser llamados a cumplir las funciones del juez». Bien, pero Scialoja escribe: «En los tiempos más antiguos, parece ser que las partes solían ponerse de acuerdo para proponer que se nombrara como juez a una determinada persona, y en tal caso el  magistrado nombraba la que gozaba de la confianza de ambos contendientes...» Esta parece ser más bien una alusión a un árbitro que a un Juez, pero la historia nos dicen que se trata efectivamente de la designación del Juez. El mismo era «elegido» por las partes, o lo que es lo mismo era elegido a  través de la manifestación de la voluntad de las partes.</w:t>
      </w:r>
    </w:p>
    <w:p w14:paraId="51E23C9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F3BAD6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Esta teoría aparece recuperada por la doctrina francesa, fines del siglo XVIII, donde el proceso era considerado una «convención», puesto que «los contratos sólo producen efectos entre quienes los convienen. Esto llevó a denominar y considerar al proceso como un </w:t>
      </w:r>
      <w:r w:rsidRPr="000D3432">
        <w:rPr>
          <w:rFonts w:asciiTheme="minorHAnsi" w:hAnsiTheme="minorHAnsi"/>
          <w:i/>
          <w:szCs w:val="24"/>
        </w:rPr>
        <w:t>contrato judicial</w:t>
      </w:r>
      <w:r w:rsidRPr="000D3432">
        <w:rPr>
          <w:rFonts w:asciiTheme="minorHAnsi" w:hAnsiTheme="minorHAnsi"/>
          <w:szCs w:val="24"/>
        </w:rPr>
        <w:t>, esto es, como una especie de los contratos civiles, a cuya regulación debía someterse (consentimiento, capacidad, objeto y causa). » (Juan Monroy)</w:t>
      </w:r>
    </w:p>
    <w:p w14:paraId="5F78DB0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A7790C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La negación a esta teoría reside en el  hecho mismo de la voluntad. No hay voluntad (deseo consciente de participar en algo, «Facultad que mueve a hacer o </w:t>
      </w:r>
      <w:r w:rsidRPr="000D3432">
        <w:rPr>
          <w:rFonts w:asciiTheme="minorHAnsi" w:hAnsiTheme="minorHAnsi"/>
          <w:szCs w:val="24"/>
        </w:rPr>
        <w:lastRenderedPageBreak/>
        <w:t>no hacer una cosa previa deliberación»).</w:t>
      </w:r>
    </w:p>
    <w:p w14:paraId="17FB12F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61274C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Para entender un poco mejor qué es la voluntad citaremos a Marco Aurelio Risolia, que en su libro «Soberanía y crisis del contrato en nuestra legislación civil» escribe cosas realmente clarificadoras.  Escribe: «Portalis dijo, hace ya muchos años: ‘El derecho es la voluntad’». Esto es trascendental. Si el derecho es voluntad, ¿qué es voluntad?. «Stammler ha tenido ocasión de escribir que la noción misma del derecho no es más que un aspecto del problema de la voluntad; que el derecho es pura y simplemente una voluntad que tiende a la consecución de determinados fines, valiéndose de determinados medios aptos para su realización; que la génesis psicológica de la noción de derecho radica en el germen común de toda voluntad». </w:t>
      </w:r>
    </w:p>
    <w:p w14:paraId="5D17C0B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3497AC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Cs/>
          <w:szCs w:val="24"/>
        </w:rPr>
      </w:pPr>
      <w:r w:rsidRPr="000D3432">
        <w:rPr>
          <w:rFonts w:asciiTheme="minorHAnsi" w:hAnsiTheme="minorHAnsi"/>
          <w:szCs w:val="24"/>
        </w:rPr>
        <w:t xml:space="preserve">«Los griegos  y los escolásticos decían de ella –de la voluntad- que es una facultad del alma», y que «desde San Agustín a Schopenhauer,... toda la vida consciente está gobernada por la voluntad». «La voluntad supone la determinación libre y la facultad de elegir entre distintas posibilidades». «La voluntad aparece, pues, en aquellos fenómenos de los que somos o creemos ser nosotros mismos la causa (…) «la voluntad es el aspecto activo de la vida consciente. El signo que la denuncia es la acción; su manifestación objetiva, el acto voluntario». </w:t>
      </w:r>
      <w:r w:rsidRPr="000D3432">
        <w:rPr>
          <w:rFonts w:asciiTheme="minorHAnsi" w:hAnsiTheme="minorHAnsi"/>
          <w:bCs/>
          <w:szCs w:val="24"/>
        </w:rPr>
        <w:t>La naturaleza del proceso se vincula luego a la existencia de la voluntad social.</w:t>
      </w:r>
    </w:p>
    <w:p w14:paraId="64F7407D" w14:textId="77777777" w:rsidR="0082775B" w:rsidRPr="000D3432" w:rsidRDefault="0082775B" w:rsidP="00A95498">
      <w:pPr>
        <w:jc w:val="both"/>
        <w:rPr>
          <w:rFonts w:asciiTheme="minorHAnsi" w:hAnsiTheme="minorHAnsi"/>
          <w:bCs/>
          <w:szCs w:val="24"/>
        </w:rPr>
      </w:pPr>
    </w:p>
    <w:p w14:paraId="7C71D758"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IV.- EL DERECHO PROCESAL VISTO DESDE LA TEORÍA JURÍDICA DE JAMES GOLDSCHMIDT</w:t>
      </w:r>
    </w:p>
    <w:p w14:paraId="365F464D" w14:textId="77777777" w:rsidR="0082775B" w:rsidRPr="000D3432" w:rsidRDefault="0082775B" w:rsidP="00A95498">
      <w:pPr>
        <w:pStyle w:val="Epgrafe"/>
        <w:widowControl/>
        <w:rPr>
          <w:rFonts w:asciiTheme="minorHAnsi" w:hAnsiTheme="minorHAnsi"/>
          <w:b w:val="0"/>
          <w:bCs/>
          <w:szCs w:val="24"/>
          <w:lang w:val="es-ES"/>
        </w:rPr>
      </w:pPr>
    </w:p>
    <w:p w14:paraId="0018D13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bCs/>
          <w:smallCaps/>
          <w:szCs w:val="24"/>
        </w:rPr>
        <w:t>Hace</w:t>
      </w:r>
      <w:r w:rsidRPr="000D3432">
        <w:rPr>
          <w:rFonts w:asciiTheme="minorHAnsi" w:hAnsiTheme="minorHAnsi"/>
          <w:b/>
          <w:smallCaps/>
          <w:szCs w:val="24"/>
        </w:rPr>
        <w:t xml:space="preserve"> </w:t>
      </w:r>
      <w:r w:rsidRPr="000D3432">
        <w:rPr>
          <w:rFonts w:asciiTheme="minorHAnsi" w:hAnsiTheme="minorHAnsi"/>
          <w:szCs w:val="24"/>
        </w:rPr>
        <w:t xml:space="preserve">muchos años atrás, hurgando entre libros viejos, que estaban en la cima de unos estantes modernos, encontré lo que se llama un clásico del Derecho. Un libraco de empaste antiguo, un enorme y grueso libro de Derecho procesal civil, cuyo autor era, nada menos, que el gran procesalista alemán James Goldschmidt. </w:t>
      </w:r>
    </w:p>
    <w:p w14:paraId="531EEB4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4348A0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El libro tiene más de 900 paginas, con letras apretadísimas y pequeñas; sus hojas han sido ya afectadas por el tiempo que les ha dado el matiz amarillo, desgastado, macerado -como el buen vino -  y sin embargo reaccionario, es decir, resistente aún. Sus hojas amarillas parecen prefiguran una verdadera elipsis temporal. </w:t>
      </w:r>
    </w:p>
    <w:p w14:paraId="4EA160A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006B70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Leer ese libro en su totalidad es casi imposible. Tiene demasiada información apretadísima y sintética. Así que el mejor método para abordarlo es leer sólo partes de él, e intentar mediante la intuición y el razonamiento hacer una sinopsis de la sabiduría contenida en la obra de James Goldschmidt. Esto por supuesto es dificilísimo. </w:t>
      </w:r>
    </w:p>
    <w:p w14:paraId="3CA8236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963893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Goldschmidt desde el inicio explica lo que es el proceso civil, y escribe: “el proceso civil … es el método que siguen los Tribunales para definir la existencia del derecho de la persona que demanda, frente al Estado, a ser tutelada jurídicamente, y para otorgar esta tutela en el caso de que tal derecho exista.” </w:t>
      </w:r>
    </w:p>
    <w:p w14:paraId="1A94493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45CA9AD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lastRenderedPageBreak/>
        <w:t>Hay varios conceptos claves en esta definición de proceso civil: “método”, “Tribunales”, “definir el derecho”, “tutela jurídica”. “Estado”. Los cuales trataremos de diseccionar líneas abajo.</w:t>
      </w:r>
    </w:p>
    <w:p w14:paraId="08A27F8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D03F11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b/>
          <w:i/>
          <w:szCs w:val="24"/>
        </w:rPr>
        <w:t>1.- MÉTODO:</w:t>
      </w:r>
    </w:p>
    <w:p w14:paraId="7B456B1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ab/>
      </w:r>
    </w:p>
    <w:p w14:paraId="3129C90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Este es un concepto que alude al orden, como contraposición al caos, al desorden. El significado puede ir desde el dado por José Ferrater Mora, quien define al método como el “orden manifestado en un conjunto de reglas”, hasta los dados por Friedrich Nietzsche: “el método, el cual tiene que ser esencialmente economía de principios”. Hemos de usar más bien el concepto que da Claude Du Pasquier, que entiende al método como el “conjunto de procedimientos intelectuales de que hace uso el jurista para descubrir la verdad jurídica”. Es en este último sentido en el cual parece incidir James Goldschmidt. Lo importante de tener “método” es que ello nos permite “afrontar un determinado problema”, y “darle tratamiento”. En términos de Umberto Eco, se diría, que el método no es nada más que “adquisición de una capacidad para localizar los problemas, para afrontarlos…, y para exponerlos siguiendo ciertas técnicas de comunicación”. Todo esto significaría que el proceso civil es un método, cierta capacidad para el tratamiento de los problemas jurídicos y solución, o resolución de los mismos a través de los medios permitidos por ley, o sea a través de técnicas de comunicación (formas). El método en el proceso civil es determinado por las formas, pero los que usan el método no tienen que ser forma (concepción cuadrada y matemática del procedimiento) sino “</w:t>
      </w:r>
      <w:r w:rsidRPr="000D3432">
        <w:rPr>
          <w:rFonts w:asciiTheme="minorHAnsi" w:hAnsiTheme="minorHAnsi"/>
          <w:i/>
          <w:szCs w:val="24"/>
        </w:rPr>
        <w:t xml:space="preserve">forma y elementos extraformales”; </w:t>
      </w:r>
      <w:r w:rsidRPr="000D3432">
        <w:rPr>
          <w:rFonts w:asciiTheme="minorHAnsi" w:hAnsiTheme="minorHAnsi"/>
          <w:szCs w:val="24"/>
        </w:rPr>
        <w:t xml:space="preserve">estos elementos extraformales indican el uso de las formas con el matiz humano, con la plasticidad que permiten las relaciones humanas; así el método en el proceso civil se convierte en la “elección ordenada de los medios más adecuados para llegar a las metas”, que son, en esta materia, la solución o resolución de los conflictos de intereses y la eliminación de una incertidumbre jurídica, que lleva necesariamente a establecer o “definir un derecho”; que a su vez integra necesariamente una “tutela jurídica” por parte del Estado. </w:t>
      </w:r>
    </w:p>
    <w:p w14:paraId="2B12585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9D3643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b/>
          <w:szCs w:val="24"/>
        </w:rPr>
        <w:t>2.- TRIBUNALES</w:t>
      </w:r>
      <w:r w:rsidRPr="000D3432">
        <w:rPr>
          <w:rFonts w:asciiTheme="minorHAnsi" w:hAnsiTheme="minorHAnsi"/>
          <w:b/>
          <w:i/>
          <w:szCs w:val="24"/>
        </w:rPr>
        <w:t>:</w:t>
      </w:r>
    </w:p>
    <w:p w14:paraId="3DB923D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02A0EB6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Goldschmidt define a los tribunales en esa exigencia del ciudadano de recurrir a los tribunales para que se “defina la existencia o no del derecho reclamado”, demandado. Lo curioso es que Goldschmidt cerca al proceso civil como categoría del Derecho Público. Su referencia de que “el proceso civil es el método que siguen los Tribunales”  indica que está tomando un razonamiento  jerárquico procesal y en la cual ubica en la cima los Tribunales y no al individuo. El proceso civil no es ya el uso de los individuos para exigir su derecho, y por consiguiente la tutela jurídica del Estado, sino que son los Tribunales, el todo, los que son tomados como índice de análisis de lo que es el proceso civil. El proceso así es sólo el medio de los Tribunales para configurar su actuación o no. La figura central serían pues, los Tribunales, es decir, Derecho público. </w:t>
      </w:r>
    </w:p>
    <w:p w14:paraId="7274021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781429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En la doctrina política esta potestad, poder, de los Tribunales se debe a que el </w:t>
      </w:r>
      <w:r w:rsidRPr="000D3432">
        <w:rPr>
          <w:rFonts w:asciiTheme="minorHAnsi" w:hAnsiTheme="minorHAnsi"/>
          <w:szCs w:val="24"/>
        </w:rPr>
        <w:lastRenderedPageBreak/>
        <w:t>hombre en un determinado momento de su existencia, adoptó también un determinado modo de convivencia, un régimen político, Monarquía, República, Dictadura, etc. El hecho es que esto se produce como consecuencia de la historia política. Luego de haberse puesto de acuerdo, los hombres, que la acción directa (el sistema de autocomposición de solución de conflictos, la ley de la selva, hacerse justicia por cuenta o mano propia, calificar personalmente la pretensión, etc.) no les convenía, determinaron pasar a otro sistema político -de organización de la sociedad-  denominado la acción indirecta, el sistema de heterocomposición, el contrato social, etc., por medio de la cual cedían a un tercero la potestad de decidir sobre un determinado conflicto de intereses. Sucede luego la monopolización del poder en manos de un ente abstracto al cual se le llama Estado,  y como este tiene todo el poder deciden dividirlo en tres, denominados: Poder Ejecutivo (Gobierno), Poder Legislativo (Congreso, Cámaras, etc. Dan leyes), Poder Judicial (tribunales, cortes, juzgados, etc.). Este último poder es al que se refiere Goldschmitd,</w:t>
      </w:r>
      <w:r w:rsidRPr="000D3432">
        <w:rPr>
          <w:rFonts w:asciiTheme="minorHAnsi" w:hAnsiTheme="minorHAnsi"/>
          <w:position w:val="7"/>
          <w:szCs w:val="24"/>
        </w:rPr>
        <w:t>9</w:t>
      </w:r>
      <w:r w:rsidRPr="000D3432">
        <w:rPr>
          <w:rFonts w:asciiTheme="minorHAnsi" w:hAnsiTheme="minorHAnsi"/>
          <w:szCs w:val="24"/>
        </w:rPr>
        <w:t xml:space="preserve"> para el cual ha sido creado el proceso civil como instrumento de su actuación, como sistema de su operatividad. Ellos -los tribunales- son a fin de cuentas los que determinarán si existe derecho o no; tienen el poder de “definir la existencia del derecho de la persona que demanda”.</w:t>
      </w:r>
    </w:p>
    <w:p w14:paraId="64E46C9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A27304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iCs/>
          <w:szCs w:val="24"/>
        </w:rPr>
      </w:pPr>
      <w:r w:rsidRPr="000D3432">
        <w:rPr>
          <w:rFonts w:asciiTheme="minorHAnsi" w:hAnsiTheme="minorHAnsi"/>
          <w:b/>
          <w:i/>
          <w:szCs w:val="24"/>
        </w:rPr>
        <w:t xml:space="preserve">3.- </w:t>
      </w:r>
      <w:r w:rsidRPr="000D3432">
        <w:rPr>
          <w:rFonts w:asciiTheme="minorHAnsi" w:hAnsiTheme="minorHAnsi"/>
          <w:b/>
          <w:iCs/>
          <w:szCs w:val="24"/>
        </w:rPr>
        <w:t>DEFINIENDO EL DERECHO A TRAVÉS DE LOS TRIBUNALES:</w:t>
      </w:r>
    </w:p>
    <w:p w14:paraId="3C74EA7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C52BD2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Son los tribunales los que definen, a través del proceso, la existencia o no del derecho del demandante. Por este supuesto, el demandante exige que el Estado lo tutele, o mejor dicho, tutele su pretensión, su derecho; para ello necesita que los tribunales confirmen su pretensión como derecho existente y exigible, legítimo. </w:t>
      </w:r>
    </w:p>
    <w:p w14:paraId="3D30562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02667BF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El proceso civil es un medio, un sistema normativo, para llegar a cierta verdad jurídica, con el fin de establecer un derecho o desestimarlo, etc. Surge como respuesta a la necesidad de definir el derecho, la existencia de un derecho. El medio es el proceso, el fin es el derecho, la determinación del derecho y su consecuente tutela. ¿Cómo se hace eso?, ¿cómo se define el derecho?; el derecho  tiene que ser definido por un tercero (el Estado) y no por cada individuo?</w:t>
      </w:r>
    </w:p>
    <w:p w14:paraId="30AEDCD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F5A243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Para definir el Derecho es necesario establecer primero con qué criterios se va a hacer. Puede, por ejemplo, usarse la corriente jurídica iusnaturalista, la positivista, etc. El Derecho, en el primer caso, sería definido por lo que es “justo”; sólo lo que es justo es Derecho. En la jusfilosofía del positivismo Derecho sería sólo lo que estaría escrito, lo positivo, lo puesto por una autoridad. El Derecho sería la norma escrita, si no hay norma escrita no hay Derecho.</w:t>
      </w:r>
    </w:p>
    <w:p w14:paraId="002BCD6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B740BE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La necesidad de todo esto es dar fijeza a los “criterios de decisión”. “En el texto de Pomponio, (…) se nos decía que las leyes se escribieron en una tablas de bronce y que fueron colocadas en la plaza pública, para que pudieran ser abiertamente conocidas por todos. Se trata de dotar de fijeza a los criterios </w:t>
      </w:r>
      <w:r w:rsidRPr="000D3432">
        <w:rPr>
          <w:rFonts w:asciiTheme="minorHAnsi" w:hAnsiTheme="minorHAnsi"/>
          <w:szCs w:val="24"/>
        </w:rPr>
        <w:lastRenderedPageBreak/>
        <w:t xml:space="preserve">generales de decisión. De poder predecir o pronosticar con alguna dosis de acierto el resultado de los futuros litigios.” (Luis Diez Picazo). </w:t>
      </w:r>
    </w:p>
    <w:p w14:paraId="1DF9D08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3C1759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El Derecho, pues, debe ser definido por el Estado por una simple cuestión. Si se deja calificar y determinar lo que es derecho a cada individuo se entraría en el estado de guerra de todos contra todos. Por eso se le ha dado a un tercero la potestad de decidir, y a las partes la potestad de presentar las pruebas de que su pretensión es justa. “Si cada individuo o cada minoría se otorgara el derecho de definir lo que es justo, ese sectarismo se convertiría pronto en ‘todos contra todos’ (Régis Debray). Por eso la definición del Derecho está a cargo del Estado -en la categoría de lo general-, y de los tribunales -en la categoría de lo específico. La finalidad es conciliar la libertad del hombre con la necesidad de un orden social. La libertad se extiende hasta donde empieza la libertad del otro. Son razones de convivencia. Una vez planteado o definido el Derecho, el Estado tiene la obligación de tutelar ese derecho. Eso se llama Tutela Jurídica. </w:t>
      </w:r>
    </w:p>
    <w:p w14:paraId="7FC9756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EA8DB4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i/>
          <w:szCs w:val="24"/>
        </w:rPr>
      </w:pPr>
      <w:r w:rsidRPr="000D3432">
        <w:rPr>
          <w:rFonts w:asciiTheme="minorHAnsi" w:hAnsiTheme="minorHAnsi"/>
          <w:b/>
          <w:szCs w:val="24"/>
        </w:rPr>
        <w:t>4.- LA TUTELA JURÍDICA</w:t>
      </w:r>
      <w:r w:rsidRPr="000D3432">
        <w:rPr>
          <w:rFonts w:asciiTheme="minorHAnsi" w:hAnsiTheme="minorHAnsi"/>
          <w:b/>
          <w:i/>
          <w:szCs w:val="24"/>
        </w:rPr>
        <w:t>:</w:t>
      </w:r>
    </w:p>
    <w:p w14:paraId="5EF2543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195BF3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La Tutela jurídica o jurisdiccional, es “el que tiene todo sujeto de derechos -solo por el hecho de serlo- y que lo titula para exigir al Estado haga efectiva su función jurisdiccional.” (Juan Monroy Gálvez). El Código Procesal Civil parece más claro: Artículo I.- </w:t>
      </w:r>
      <w:r w:rsidRPr="000D3432">
        <w:rPr>
          <w:rFonts w:asciiTheme="minorHAnsi" w:hAnsiTheme="minorHAnsi"/>
          <w:i/>
          <w:szCs w:val="24"/>
        </w:rPr>
        <w:t>Derecho a la tutela jurisdiccional efectiva.</w:t>
      </w:r>
      <w:r w:rsidRPr="000D3432">
        <w:rPr>
          <w:rFonts w:asciiTheme="minorHAnsi" w:hAnsiTheme="minorHAnsi"/>
          <w:szCs w:val="24"/>
        </w:rPr>
        <w:t xml:space="preserve"> Toda persona tiene derecho a la tutela jurisdiccional efectiva para el ejercicio o defensa de sus derechos o intereses, con sujeción a un debido proceso”.</w:t>
      </w:r>
    </w:p>
    <w:p w14:paraId="38D45BE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45D72B2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Ha de tenerse en cuenta que en el Derecho Procesal el ideal es contradictorio al propuesto por un Filósofo Alemán: Kant. El Derecho procesal es un instrumento para conseguir la tutela del Estado. Kant propugnaba, por el contrario, por todos los medios, la liberación del hombre de su tutela, y define esta condición de liberación en el concepto de Ilustración. “La ilustración es la liberación del hombre de su culpable incapacidad”, incapacidad de hacerse justicia por propia cuenta, “la incapacidad significa la imposibilidad de servirse de su inteligencia sin la guía de otro”. El otro, en este caso, sería el Estado. La culpabilidad de solicitar tutela no está en el poder, sino en la falta de valor. “Esta incapacidad es culpable porque su causa no reside en la falta de inteligencia sino de decisión y de valor para servirse por si mismo de ella, sin la tutela de otro.” Y es precisamente la tutela y además “jurídica” la que propone o dispone el Derecho Procesal. Es decir que en el Derecho subjetivo lo inherente es la idea, pero, acaso el Derecho tiene su existencia en el Derecho procesal, es decir, en  aquellas técnicas, formas o modos de solucionar los conflictos de intereses.</w:t>
      </w:r>
    </w:p>
    <w:p w14:paraId="6A9F366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8F7194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El proceso civil es así nada más que “el método” para “definir” la “existencia del derecho de una persona”. Este método (pasos, secuencias, ordenados) es -dice Goldschmidt- el que “siguen los Tribunales”. El Estado estaría así -a través de sus Tribunales- obligado a definir “la existencia o no existencia del derecho demandado” y a (en caso concurra el derecho) declarar este derecho y consecuentemente otorgar “la tutela jurídica”.</w:t>
      </w:r>
    </w:p>
    <w:p w14:paraId="3A92CA4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C6628C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lastRenderedPageBreak/>
        <w:t>En este supuesto existe un individuo que exige frente al Estado tutela jurídica, y los Tribunales existen en atención a este derecho,  “a exigir tutela jurídica” en vista de ser de competencia administrar justicia” por el  monopolio que de este han obtenido. Esto indica que el Estado está en la obligación de administrar justicia. Esta es la concesión hecha por la sociedad, por la cual el hombre acepta y decide que otro, un tercero, “el Estado”, administre justicia. El proceso civil es, entonces, un método que usan los Tribunales, ¿para qué?, para definir la existencia del derecho de la persona que demanda ante el Estado tutela jurídica.</w:t>
      </w:r>
    </w:p>
    <w:p w14:paraId="6638571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A7177DB"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Goldschmidt, hace una clara clasificación y determinación de los elementos esenciales del proceso civil: a) El Proceso civil es un procedimiento, un camino concebido para la aplicación del Derecho. Cumple, en tanto, algunas funciones: a)1.- Una función esencialmente lógico-teórica encaminada a determinar en cada caso lo que sea justo. b) 1.- Ejecutar lo reconocido como Derecho.</w:t>
      </w:r>
    </w:p>
    <w:p w14:paraId="0E0FBB0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0C86539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James Goldschmidt, con una clara capacidad metodológica, afirma que “El objeto del proceso civil es el examen del Derecho (pretensión) del actor contra el Estado a obtener la tutela jurídica, mediante sentencia favorable y consiguiente ejecución de la misma (acción penal), si fuera susceptible de ella (es decir, si es una sentencia condenatoria o una prestación o a permitir la ejecución forzosa).</w:t>
      </w:r>
    </w:p>
    <w:p w14:paraId="18424245" w14:textId="77777777" w:rsidR="0082775B" w:rsidRPr="000D3432" w:rsidRDefault="0082775B" w:rsidP="00A95498">
      <w:pPr>
        <w:numPr>
          <w:ilvl w:val="12"/>
          <w:numId w:val="0"/>
        </w:numPr>
        <w:ind w:firstLine="426"/>
        <w:rPr>
          <w:rFonts w:asciiTheme="minorHAnsi" w:hAnsiTheme="minorHAnsi"/>
          <w:color w:val="000000"/>
          <w:szCs w:val="24"/>
        </w:rPr>
      </w:pPr>
    </w:p>
    <w:p w14:paraId="40F50631" w14:textId="77777777" w:rsidR="0082775B" w:rsidRPr="000D3432" w:rsidRDefault="0082775B" w:rsidP="00A95498">
      <w:pPr>
        <w:numPr>
          <w:ilvl w:val="12"/>
          <w:numId w:val="0"/>
        </w:numPr>
        <w:ind w:firstLine="426"/>
        <w:rPr>
          <w:rFonts w:asciiTheme="minorHAnsi" w:hAnsiTheme="minorHAnsi"/>
          <w:color w:val="000000"/>
          <w:szCs w:val="24"/>
        </w:rPr>
      </w:pPr>
    </w:p>
    <w:p w14:paraId="12FB5753" w14:textId="77777777" w:rsidR="0082775B" w:rsidRPr="000D3432" w:rsidRDefault="0082775B" w:rsidP="00A95498">
      <w:pPr>
        <w:numPr>
          <w:ilvl w:val="12"/>
          <w:numId w:val="0"/>
        </w:numPr>
        <w:ind w:firstLine="426"/>
        <w:rPr>
          <w:rFonts w:asciiTheme="minorHAnsi" w:hAnsiTheme="minorHAnsi"/>
          <w:color w:val="333333"/>
          <w:szCs w:val="24"/>
        </w:rPr>
      </w:pPr>
      <w:r w:rsidRPr="000D3432">
        <w:rPr>
          <w:rFonts w:asciiTheme="minorHAnsi" w:hAnsiTheme="minorHAnsi"/>
          <w:color w:val="000000"/>
          <w:szCs w:val="24"/>
        </w:rPr>
        <w:br w:type="page"/>
      </w:r>
    </w:p>
    <w:p w14:paraId="4F51D69B" w14:textId="77777777" w:rsidR="0082775B" w:rsidRPr="000D3432" w:rsidRDefault="0082775B" w:rsidP="00A95498">
      <w:pPr>
        <w:pStyle w:val="Ttulo1"/>
        <w:spacing w:line="240" w:lineRule="auto"/>
        <w:rPr>
          <w:rFonts w:asciiTheme="minorHAnsi" w:hAnsiTheme="minorHAnsi"/>
          <w:color w:val="333333"/>
          <w:sz w:val="24"/>
          <w:szCs w:val="24"/>
        </w:rPr>
      </w:pPr>
    </w:p>
    <w:p w14:paraId="11A2CEC7" w14:textId="77777777" w:rsidR="0082775B" w:rsidRPr="000D3432" w:rsidRDefault="0082775B" w:rsidP="00A95498">
      <w:pPr>
        <w:pStyle w:val="Ttulo1"/>
        <w:spacing w:line="240" w:lineRule="auto"/>
        <w:rPr>
          <w:rFonts w:asciiTheme="minorHAnsi" w:hAnsiTheme="minorHAnsi"/>
          <w:color w:val="333333"/>
          <w:sz w:val="24"/>
          <w:szCs w:val="24"/>
        </w:rPr>
      </w:pPr>
    </w:p>
    <w:p w14:paraId="2DE3734C" w14:textId="77777777" w:rsidR="0082775B" w:rsidRPr="000D3432" w:rsidRDefault="0082775B" w:rsidP="00A95498">
      <w:pPr>
        <w:pStyle w:val="Ttulo1"/>
        <w:spacing w:line="240" w:lineRule="auto"/>
        <w:rPr>
          <w:rFonts w:asciiTheme="minorHAnsi" w:hAnsiTheme="minorHAnsi"/>
          <w:color w:val="333333"/>
          <w:sz w:val="24"/>
          <w:szCs w:val="24"/>
        </w:rPr>
      </w:pPr>
    </w:p>
    <w:p w14:paraId="09CAFDA2" w14:textId="77777777" w:rsidR="0082775B" w:rsidRPr="000D3432" w:rsidRDefault="0082775B" w:rsidP="00A95498">
      <w:pPr>
        <w:pStyle w:val="Ttulo1"/>
        <w:spacing w:line="240" w:lineRule="auto"/>
        <w:rPr>
          <w:rFonts w:asciiTheme="minorHAnsi" w:hAnsiTheme="minorHAnsi"/>
          <w:color w:val="333333"/>
          <w:sz w:val="24"/>
          <w:szCs w:val="24"/>
        </w:rPr>
      </w:pPr>
    </w:p>
    <w:p w14:paraId="4B70ED38" w14:textId="77777777" w:rsidR="0082775B" w:rsidRPr="000D3432" w:rsidRDefault="0082775B" w:rsidP="00A95498">
      <w:pPr>
        <w:pStyle w:val="Ttulo1"/>
        <w:spacing w:line="240" w:lineRule="auto"/>
        <w:rPr>
          <w:rFonts w:asciiTheme="minorHAnsi" w:hAnsiTheme="minorHAnsi"/>
          <w:color w:val="333333"/>
          <w:sz w:val="24"/>
          <w:szCs w:val="24"/>
        </w:rPr>
      </w:pPr>
    </w:p>
    <w:p w14:paraId="46494E1E" w14:textId="77777777" w:rsidR="0082775B" w:rsidRPr="000D3432" w:rsidRDefault="0082775B" w:rsidP="00A95498">
      <w:pPr>
        <w:pStyle w:val="Ttulo1"/>
        <w:spacing w:line="240" w:lineRule="auto"/>
        <w:rPr>
          <w:rFonts w:asciiTheme="minorHAnsi" w:hAnsiTheme="minorHAnsi"/>
          <w:color w:val="333333"/>
          <w:sz w:val="24"/>
          <w:szCs w:val="24"/>
        </w:rPr>
      </w:pPr>
    </w:p>
    <w:p w14:paraId="0546A766" w14:textId="77777777" w:rsidR="0082775B" w:rsidRPr="000D3432" w:rsidRDefault="0082775B" w:rsidP="00A95498">
      <w:pPr>
        <w:rPr>
          <w:rFonts w:asciiTheme="minorHAnsi" w:hAnsiTheme="minorHAnsi"/>
          <w:szCs w:val="24"/>
        </w:rPr>
      </w:pPr>
    </w:p>
    <w:p w14:paraId="0290A703" w14:textId="77777777" w:rsidR="0082775B" w:rsidRPr="000D3432" w:rsidRDefault="0082775B" w:rsidP="00A95498">
      <w:pPr>
        <w:pStyle w:val="Ttulo1"/>
        <w:spacing w:line="240" w:lineRule="auto"/>
        <w:rPr>
          <w:rFonts w:asciiTheme="minorHAnsi" w:hAnsiTheme="minorHAnsi"/>
          <w:color w:val="333333"/>
          <w:sz w:val="24"/>
          <w:szCs w:val="24"/>
        </w:rPr>
      </w:pPr>
    </w:p>
    <w:p w14:paraId="0263BEFD" w14:textId="77777777" w:rsidR="0082775B" w:rsidRPr="000D3432" w:rsidRDefault="0082775B" w:rsidP="00A95498">
      <w:pPr>
        <w:pStyle w:val="Ttulo1"/>
        <w:spacing w:line="240" w:lineRule="auto"/>
        <w:jc w:val="center"/>
        <w:rPr>
          <w:rFonts w:asciiTheme="minorHAnsi" w:hAnsiTheme="minorHAnsi"/>
          <w:color w:val="333333"/>
          <w:sz w:val="24"/>
          <w:szCs w:val="24"/>
        </w:rPr>
      </w:pPr>
      <w:bookmarkStart w:id="150" w:name="_Toc318102959"/>
      <w:r w:rsidRPr="000D3432">
        <w:rPr>
          <w:rFonts w:asciiTheme="minorHAnsi" w:hAnsiTheme="minorHAnsi"/>
          <w:color w:val="333333"/>
          <w:sz w:val="24"/>
          <w:szCs w:val="24"/>
        </w:rPr>
        <w:t>_______ UNA CONCEPCIÓN PRIMITIVA DEL DERECHO CIVIL_______</w:t>
      </w:r>
      <w:bookmarkEnd w:id="150"/>
    </w:p>
    <w:p w14:paraId="47A2996C" w14:textId="77777777" w:rsidR="0082775B" w:rsidRPr="000D3432" w:rsidRDefault="0082775B" w:rsidP="00A95498">
      <w:pPr>
        <w:jc w:val="center"/>
        <w:rPr>
          <w:rFonts w:asciiTheme="minorHAnsi" w:hAnsiTheme="minorHAnsi"/>
          <w:szCs w:val="24"/>
        </w:rPr>
      </w:pPr>
      <w:r w:rsidRPr="000D3432">
        <w:rPr>
          <w:rFonts w:asciiTheme="minorHAnsi" w:hAnsiTheme="minorHAnsi"/>
          <w:szCs w:val="24"/>
        </w:rPr>
        <w:t>(Nociones del Derecho Civil desde la perspectiva de</w:t>
      </w:r>
    </w:p>
    <w:p w14:paraId="43E4A6D6" w14:textId="77777777" w:rsidR="0082775B" w:rsidRPr="000D3432" w:rsidRDefault="0082775B" w:rsidP="00A95498">
      <w:pPr>
        <w:jc w:val="center"/>
        <w:rPr>
          <w:rFonts w:asciiTheme="minorHAnsi" w:hAnsiTheme="minorHAnsi"/>
          <w:szCs w:val="24"/>
        </w:rPr>
      </w:pPr>
      <w:r w:rsidRPr="000D3432">
        <w:rPr>
          <w:rFonts w:asciiTheme="minorHAnsi" w:hAnsiTheme="minorHAnsi"/>
          <w:szCs w:val="24"/>
        </w:rPr>
        <w:t>un aficionado a la Filosofía del Derecho)</w:t>
      </w:r>
    </w:p>
    <w:p w14:paraId="35E13370" w14:textId="77777777" w:rsidR="0082775B" w:rsidRPr="000D3432" w:rsidRDefault="0082775B" w:rsidP="00A95498">
      <w:pPr>
        <w:pStyle w:val="Ttulo1"/>
        <w:spacing w:line="240" w:lineRule="auto"/>
        <w:rPr>
          <w:rFonts w:asciiTheme="minorHAnsi" w:hAnsiTheme="minorHAnsi"/>
          <w:color w:val="333333"/>
          <w:sz w:val="24"/>
          <w:szCs w:val="24"/>
        </w:rPr>
      </w:pPr>
    </w:p>
    <w:p w14:paraId="1B7F2568" w14:textId="77777777" w:rsidR="0082775B" w:rsidRPr="000D3432" w:rsidRDefault="0082775B" w:rsidP="00A95498">
      <w:pPr>
        <w:jc w:val="both"/>
        <w:rPr>
          <w:rFonts w:asciiTheme="minorHAnsi" w:hAnsiTheme="minorHAnsi"/>
          <w:color w:val="333333"/>
          <w:szCs w:val="24"/>
        </w:rPr>
      </w:pPr>
    </w:p>
    <w:p w14:paraId="77CAD8D3" w14:textId="77777777" w:rsidR="0082775B" w:rsidRPr="000D3432" w:rsidRDefault="0082775B" w:rsidP="00A95498">
      <w:pPr>
        <w:pStyle w:val="Ttulo2"/>
        <w:spacing w:line="240" w:lineRule="auto"/>
        <w:rPr>
          <w:rFonts w:asciiTheme="minorHAnsi" w:hAnsiTheme="minorHAnsi"/>
          <w:b w:val="0"/>
          <w:bCs/>
          <w:sz w:val="24"/>
          <w:szCs w:val="24"/>
        </w:rPr>
      </w:pPr>
      <w:bookmarkStart w:id="151" w:name="_Toc318102960"/>
      <w:r w:rsidRPr="000D3432">
        <w:rPr>
          <w:rFonts w:asciiTheme="minorHAnsi" w:hAnsiTheme="minorHAnsi"/>
          <w:sz w:val="24"/>
          <w:szCs w:val="24"/>
        </w:rPr>
        <w:t>LAPSUS: DERECHO Y ARTE</w:t>
      </w:r>
      <w:r w:rsidRPr="000D3432">
        <w:rPr>
          <w:rFonts w:asciiTheme="minorHAnsi" w:hAnsiTheme="minorHAnsi"/>
          <w:b w:val="0"/>
          <w:bCs/>
          <w:sz w:val="24"/>
          <w:szCs w:val="24"/>
        </w:rPr>
        <w:t>. Acabo de ver una película sobre un artista, un pintor. El quiere descubrir qué es el arte. Primero habría que decir que el personaje en mención tiene una vida llena de vacíos. Deja que todo lo acompleje en su pasado, aunque intenta que no sea así; y un día por casualidad se inserta en la locura; locura que lo lleva a comprender lo que es el arte. El arte no es nada más que un estallido en nuestra mente, una alucinación, absurda y abstracta, que nos atrapa, y nos hace creer que hemos logrado la perfección.</w:t>
      </w:r>
      <w:bookmarkEnd w:id="151"/>
      <w:r w:rsidRPr="000D3432">
        <w:rPr>
          <w:rFonts w:asciiTheme="minorHAnsi" w:hAnsiTheme="minorHAnsi"/>
          <w:b w:val="0"/>
          <w:bCs/>
          <w:sz w:val="24"/>
          <w:szCs w:val="24"/>
        </w:rPr>
        <w:t xml:space="preserve"> </w:t>
      </w:r>
    </w:p>
    <w:p w14:paraId="3BED12E2" w14:textId="77777777" w:rsidR="0082775B" w:rsidRPr="000D3432" w:rsidRDefault="0082775B" w:rsidP="00A95498">
      <w:pPr>
        <w:jc w:val="both"/>
        <w:rPr>
          <w:rFonts w:asciiTheme="minorHAnsi" w:hAnsiTheme="minorHAnsi"/>
          <w:szCs w:val="24"/>
        </w:rPr>
      </w:pPr>
    </w:p>
    <w:p w14:paraId="10FA483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personaje de la película habla sobre su experiencia artística, y cuenta: “un día me quede en el museo viendo un cuadro; veía los colores, los veía tanto hasta que todos se fundieron en uno solo, y fue como ver a Dios”, dice más o menos. Y yo quede impresionado de esa descripción,  porque casi siempre he oído o leído que los artistas intentan comparar su obra con Dios, como si quisieran ser ellos mismos parte de una experiencia divina, una experiencia con Dios, una sutil fundición con el todo, ser el todo, lo total, ser lo imposible, algo indescifrable pero que se presiente extraordinario. </w:t>
      </w:r>
    </w:p>
    <w:p w14:paraId="6CB2015B" w14:textId="77777777" w:rsidR="0082775B" w:rsidRPr="000D3432" w:rsidRDefault="0082775B" w:rsidP="00A95498">
      <w:pPr>
        <w:jc w:val="both"/>
        <w:rPr>
          <w:rFonts w:asciiTheme="minorHAnsi" w:hAnsiTheme="minorHAnsi"/>
          <w:szCs w:val="24"/>
        </w:rPr>
      </w:pPr>
    </w:p>
    <w:p w14:paraId="03EAFEE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Son las tres y cuarenta y cinco de la mañana; y he agarrado la laptop para escribir estas líneas. Ha sido como un sobresalto, como una desesperación por escribir y decir algunas cosas. La película me ha impresionado mucho. Me ha revelado mucho. Mi relación con la escritura, y con la pintura, pero específicamente mi relación con el Derecho, con esa alucinación abstracta que nos atrapa cada día de vida, en cada acto vivencial. Y luego, paradójicamente, me puse a escribir sobre Derecho Civil, el texto que aquí presento.</w:t>
      </w:r>
    </w:p>
    <w:p w14:paraId="69421E6A" w14:textId="77777777" w:rsidR="0082775B" w:rsidRPr="000D3432" w:rsidRDefault="0082775B" w:rsidP="00A95498">
      <w:pPr>
        <w:jc w:val="both"/>
        <w:rPr>
          <w:rFonts w:asciiTheme="minorHAnsi" w:hAnsiTheme="minorHAnsi"/>
          <w:color w:val="333333"/>
          <w:szCs w:val="24"/>
        </w:rPr>
      </w:pPr>
    </w:p>
    <w:p w14:paraId="2895A652" w14:textId="77777777" w:rsidR="0082775B" w:rsidRPr="000D3432" w:rsidRDefault="0082775B" w:rsidP="00A95498">
      <w:pPr>
        <w:jc w:val="both"/>
        <w:rPr>
          <w:rFonts w:asciiTheme="minorHAnsi" w:hAnsiTheme="minorHAnsi"/>
          <w:b/>
          <w:color w:val="333333"/>
          <w:szCs w:val="24"/>
          <w:lang w:val="es-ES_tradnl"/>
        </w:rPr>
      </w:pPr>
      <w:r w:rsidRPr="000D3432">
        <w:rPr>
          <w:rFonts w:asciiTheme="minorHAnsi" w:hAnsiTheme="minorHAnsi"/>
          <w:b/>
          <w:color w:val="333333"/>
          <w:szCs w:val="24"/>
          <w:lang w:val="es-ES_tradnl"/>
        </w:rPr>
        <w:t>INTRODUCCIÓN</w:t>
      </w:r>
    </w:p>
    <w:p w14:paraId="101A5B27" w14:textId="77777777" w:rsidR="0082775B" w:rsidRPr="000D3432" w:rsidRDefault="0082775B" w:rsidP="00A95498">
      <w:pPr>
        <w:jc w:val="both"/>
        <w:rPr>
          <w:rFonts w:asciiTheme="minorHAnsi" w:hAnsiTheme="minorHAnsi"/>
          <w:color w:val="333333"/>
          <w:szCs w:val="24"/>
          <w:lang w:val="es-ES_tradnl"/>
        </w:rPr>
      </w:pPr>
    </w:p>
    <w:p w14:paraId="5E27A5F5" w14:textId="77777777" w:rsidR="0082775B" w:rsidRPr="000D3432" w:rsidRDefault="0082775B" w:rsidP="00A95498">
      <w:pPr>
        <w:jc w:val="both"/>
        <w:rPr>
          <w:rFonts w:asciiTheme="minorHAnsi" w:hAnsiTheme="minorHAnsi"/>
          <w:color w:val="333333"/>
          <w:szCs w:val="24"/>
          <w:lang w:val="es-ES_tradnl"/>
        </w:rPr>
      </w:pPr>
      <w:r w:rsidRPr="000D3432">
        <w:rPr>
          <w:rFonts w:asciiTheme="minorHAnsi" w:hAnsiTheme="minorHAnsi"/>
          <w:color w:val="333333"/>
          <w:szCs w:val="24"/>
          <w:lang w:val="es-ES_tradnl"/>
        </w:rPr>
        <w:t xml:space="preserve">La mayor parte de nuestra vida está tejida de actos jurídicos, esencialmente civiles, así realizamos contratos (Acto Jurídico, Contratos), compramos un bien mueble o inmueble (Derechos Reales, propiedad, etc.), nos casamos (Matrimonio), tenemos hijos (Patria potestad, etc.) y morimos (Sucesiones), etc. En todos estos actos, como vemos, está el Derecho Civil, puesto que es la institución encargada de regular estas áreas de la vida es esencialmente el Derecho Civil. Por eso es importante tener una idea clara y general del Derecho Civil que nos regula, que nos ayuda a organizar nuestros actos diarios de toda </w:t>
      </w:r>
      <w:r w:rsidRPr="000D3432">
        <w:rPr>
          <w:rFonts w:asciiTheme="minorHAnsi" w:hAnsiTheme="minorHAnsi"/>
          <w:color w:val="333333"/>
          <w:szCs w:val="24"/>
          <w:lang w:val="es-ES_tradnl"/>
        </w:rPr>
        <w:lastRenderedPageBreak/>
        <w:t>nuestra vida (comprar, casarnos, y morirnos), y dado que querámoslo o no, este Derecho Civil estará hasta el día de nuestra muerte, e incluso más allá de ella (sucesiones).</w:t>
      </w:r>
    </w:p>
    <w:p w14:paraId="32168A16" w14:textId="77777777" w:rsidR="0082775B" w:rsidRPr="000D3432" w:rsidRDefault="0082775B" w:rsidP="00A95498">
      <w:pPr>
        <w:jc w:val="both"/>
        <w:rPr>
          <w:rFonts w:asciiTheme="minorHAnsi" w:hAnsiTheme="minorHAnsi"/>
          <w:color w:val="333333"/>
          <w:szCs w:val="24"/>
          <w:lang w:val="es-ES_tradnl"/>
        </w:rPr>
      </w:pPr>
    </w:p>
    <w:p w14:paraId="25BC3EEB" w14:textId="77777777" w:rsidR="0082775B" w:rsidRPr="000D3432" w:rsidRDefault="0082775B" w:rsidP="00A95498">
      <w:pPr>
        <w:jc w:val="both"/>
        <w:rPr>
          <w:rFonts w:asciiTheme="minorHAnsi" w:hAnsiTheme="minorHAnsi"/>
          <w:b/>
          <w:smallCaps/>
          <w:szCs w:val="24"/>
        </w:rPr>
      </w:pPr>
      <w:r w:rsidRPr="000D3432">
        <w:rPr>
          <w:rFonts w:asciiTheme="minorHAnsi" w:hAnsiTheme="minorHAnsi"/>
          <w:b/>
          <w:smallCaps/>
          <w:szCs w:val="24"/>
        </w:rPr>
        <w:t xml:space="preserve">I.- DERECHO CIVIL. </w:t>
      </w:r>
      <w:r w:rsidRPr="000D3432">
        <w:rPr>
          <w:rFonts w:asciiTheme="minorHAnsi" w:hAnsiTheme="minorHAnsi"/>
          <w:b/>
          <w:bCs/>
          <w:szCs w:val="24"/>
        </w:rPr>
        <w:t>NOCIONES DEL DERECHO CIVIL</w:t>
      </w:r>
    </w:p>
    <w:p w14:paraId="41C67771" w14:textId="77777777" w:rsidR="0082775B" w:rsidRPr="000D3432" w:rsidRDefault="0082775B" w:rsidP="00A95498">
      <w:pPr>
        <w:jc w:val="both"/>
        <w:rPr>
          <w:rFonts w:asciiTheme="minorHAnsi" w:hAnsiTheme="minorHAnsi"/>
          <w:szCs w:val="24"/>
        </w:rPr>
      </w:pPr>
    </w:p>
    <w:p w14:paraId="75E0FB1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En principio el Derecho Civil es un sistema normativo, que se define por el tipo de relaciones jurídicas que constituye y regula; es un sistema normativo que, categorizado por su área de aplicación, se define como sector o parte del sistema jurídico general, como parte del ordenamiento jurídico. No cubre con su regulación todas las áreas de la actividad humana, sino sólo algunas determinadas: las del área civil, la conducta del ser humano desde su nacimiento hasta su muerte. Que al parecer se caracteriza por un eje patrimonial. En resumen, podría decirse que trata de la regulación de las conductas del ser humano cuando efectúa operaciones patrimoniales. </w:t>
      </w:r>
    </w:p>
    <w:p w14:paraId="530EC2A1" w14:textId="77777777" w:rsidR="0082775B" w:rsidRPr="000D3432" w:rsidRDefault="0082775B" w:rsidP="00A95498">
      <w:pPr>
        <w:jc w:val="both"/>
        <w:rPr>
          <w:rFonts w:asciiTheme="minorHAnsi" w:hAnsiTheme="minorHAnsi"/>
          <w:szCs w:val="24"/>
        </w:rPr>
      </w:pPr>
    </w:p>
    <w:p w14:paraId="784D89C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Civil, según Luis Diez Picazo y Antonio Gullón, es la “parte o sector del ordenamiento jurídico que, conteniendo los principios cardinales de la organización jurídica de la comunidad, tienen como objeto preferente la protección y defensa de la persona y de la realización de sus fines, la ordenación de la familia y la disciplina del patrimonio y del tráfico de los bienes”</w:t>
      </w:r>
      <w:r w:rsidRPr="000D3432">
        <w:rPr>
          <w:rStyle w:val="Refdenotaalpie"/>
          <w:rFonts w:asciiTheme="minorHAnsi" w:hAnsiTheme="minorHAnsi"/>
          <w:sz w:val="24"/>
          <w:szCs w:val="24"/>
        </w:rPr>
        <w:footnoteReference w:id="790"/>
      </w:r>
      <w:r w:rsidRPr="000D3432">
        <w:rPr>
          <w:rFonts w:asciiTheme="minorHAnsi" w:hAnsiTheme="minorHAnsi"/>
          <w:szCs w:val="24"/>
        </w:rPr>
        <w:t xml:space="preserve">. Organiza, pues, a las personas cuando entran en relación por asuntos patrimoniales. Establecen los criterios de organización de estas relaciones intersubjetivas, entre personas, en base y fundamento a la protección y defensa de esta persona. </w:t>
      </w:r>
    </w:p>
    <w:p w14:paraId="51AAA733" w14:textId="77777777" w:rsidR="0082775B" w:rsidRPr="000D3432" w:rsidRDefault="0082775B" w:rsidP="00A95498">
      <w:pPr>
        <w:jc w:val="both"/>
        <w:rPr>
          <w:rFonts w:asciiTheme="minorHAnsi" w:hAnsiTheme="minorHAnsi"/>
          <w:szCs w:val="24"/>
        </w:rPr>
      </w:pPr>
    </w:p>
    <w:p w14:paraId="1ADD338F" w14:textId="77777777" w:rsidR="0082775B" w:rsidRPr="000D3432" w:rsidRDefault="0082775B" w:rsidP="00A95498">
      <w:pPr>
        <w:jc w:val="both"/>
        <w:rPr>
          <w:rFonts w:asciiTheme="minorHAnsi" w:hAnsiTheme="minorHAnsi"/>
          <w:color w:val="333333"/>
          <w:szCs w:val="24"/>
          <w:lang w:val="es-ES_tradnl"/>
        </w:rPr>
      </w:pPr>
      <w:r w:rsidRPr="000D3432">
        <w:rPr>
          <w:rFonts w:asciiTheme="minorHAnsi" w:hAnsiTheme="minorHAnsi"/>
          <w:szCs w:val="24"/>
        </w:rPr>
        <w:t xml:space="preserve">El Derecho civil establece y regula un determinado tipo de relación jurídica; las nacidas de las relaciones jurídicas patrimoniales comunes. Por lo pronto se diferencian de las relaciones patrimoniales comerciales, de las relaciones jurídicas nacidas de los delitos, porque, cuando se comete un delito existe también una relación jurídica, un derecho-deber entre sujetos una responsabilidad penal. Así la diferenciación del resto de ramas del derecho es para aislar esa parte de la vida humana que necesita un tratamiento determinado. El proceso de aislamiento ha sido condicionado por la historia, y ha formulado “criterios o pautas” de solución de cierto tipo de relación jurídica. Por eso se dice que el </w:t>
      </w:r>
      <w:r w:rsidRPr="000D3432">
        <w:rPr>
          <w:rFonts w:asciiTheme="minorHAnsi" w:hAnsiTheme="minorHAnsi"/>
          <w:color w:val="333333"/>
          <w:szCs w:val="24"/>
          <w:lang w:val="es-ES_tradnl"/>
        </w:rPr>
        <w:t>Derecho Civil “...no es otra cosa que una manera o una forma, históricamente condicionada, de estudiar una parte o un sector del ordenamiento jurídico, de tal manera que tanto el criterio lógico para aislar dentro de la totalidad del ordenamiento jurídico esta parte o este sector y llamarlo Derecho civil, como el criterio o los criterios para analizarlo y exponerlo se encuentran en función de la línea de la evolución histórica del pensamiento jurídico de nuestra civilización.”</w:t>
      </w:r>
      <w:r w:rsidRPr="000D3432">
        <w:rPr>
          <w:rStyle w:val="Refdenotaalpie"/>
          <w:rFonts w:asciiTheme="minorHAnsi" w:hAnsiTheme="minorHAnsi"/>
          <w:color w:val="333333"/>
          <w:sz w:val="24"/>
          <w:szCs w:val="24"/>
          <w:lang w:val="es-ES_tradnl"/>
        </w:rPr>
        <w:footnoteReference w:id="791"/>
      </w:r>
      <w:r w:rsidRPr="000D3432">
        <w:rPr>
          <w:rFonts w:asciiTheme="minorHAnsi" w:hAnsiTheme="minorHAnsi"/>
          <w:color w:val="333333"/>
          <w:szCs w:val="24"/>
          <w:lang w:val="es-ES_tradnl"/>
        </w:rPr>
        <w:t xml:space="preserve"> </w:t>
      </w:r>
    </w:p>
    <w:p w14:paraId="330FBB3C" w14:textId="77777777" w:rsidR="0082775B" w:rsidRPr="000D3432" w:rsidRDefault="0082775B" w:rsidP="00A95498">
      <w:pPr>
        <w:jc w:val="both"/>
        <w:rPr>
          <w:rFonts w:asciiTheme="minorHAnsi" w:hAnsiTheme="minorHAnsi"/>
          <w:color w:val="333333"/>
          <w:szCs w:val="24"/>
          <w:lang w:val="es-ES_tradnl"/>
        </w:rPr>
      </w:pPr>
    </w:p>
    <w:p w14:paraId="7D8EAECE" w14:textId="77777777" w:rsidR="0082775B" w:rsidRPr="000D3432" w:rsidRDefault="0082775B" w:rsidP="00A95498">
      <w:pPr>
        <w:jc w:val="both"/>
        <w:rPr>
          <w:rFonts w:asciiTheme="minorHAnsi" w:hAnsiTheme="minorHAnsi"/>
          <w:color w:val="333333"/>
          <w:szCs w:val="24"/>
          <w:lang w:val="es-ES_tradnl"/>
        </w:rPr>
      </w:pPr>
      <w:r w:rsidRPr="000D3432">
        <w:rPr>
          <w:rFonts w:asciiTheme="minorHAnsi" w:hAnsiTheme="minorHAnsi"/>
          <w:color w:val="333333"/>
          <w:szCs w:val="24"/>
          <w:lang w:val="es-ES_tradnl"/>
        </w:rPr>
        <w:t xml:space="preserve">Esta concepción del Derecho Civil lo propone como una forma de estudio  de cierta parte, aislada lógicamente, del Derecho. Pero el Derecho civil no es una </w:t>
      </w:r>
      <w:r w:rsidRPr="000D3432">
        <w:rPr>
          <w:rFonts w:asciiTheme="minorHAnsi" w:hAnsiTheme="minorHAnsi"/>
          <w:color w:val="333333"/>
          <w:szCs w:val="24"/>
          <w:lang w:val="es-ES_tradnl"/>
        </w:rPr>
        <w:lastRenderedPageBreak/>
        <w:t xml:space="preserve">forma de estudiar un sector del derecho, es si un sector del derecho, pero no un estudio en absoluto. Es más, se define por ser un sistema de regulación de cierto tipo de las conductas intersubjetivas, determinadas por la esfera de finalidad, objeto de estas relaciones jurídicas reguladas. </w:t>
      </w:r>
    </w:p>
    <w:p w14:paraId="65D51603" w14:textId="77777777" w:rsidR="0082775B" w:rsidRPr="000D3432" w:rsidRDefault="0082775B" w:rsidP="00A95498">
      <w:pPr>
        <w:jc w:val="both"/>
        <w:rPr>
          <w:rFonts w:asciiTheme="minorHAnsi" w:hAnsiTheme="minorHAnsi"/>
          <w:color w:val="333333"/>
          <w:szCs w:val="24"/>
          <w:lang w:val="es-ES_tradnl"/>
        </w:rPr>
      </w:pPr>
    </w:p>
    <w:p w14:paraId="3ABA50A0" w14:textId="77777777" w:rsidR="0082775B" w:rsidRPr="000D3432" w:rsidRDefault="0082775B" w:rsidP="00A95498">
      <w:pPr>
        <w:jc w:val="both"/>
        <w:rPr>
          <w:rFonts w:asciiTheme="minorHAnsi" w:hAnsiTheme="minorHAnsi"/>
          <w:color w:val="333333"/>
          <w:szCs w:val="24"/>
          <w:lang w:val="es-ES_tradnl"/>
        </w:rPr>
      </w:pPr>
      <w:r w:rsidRPr="000D3432">
        <w:rPr>
          <w:rFonts w:asciiTheme="minorHAnsi" w:hAnsiTheme="minorHAnsi"/>
          <w:color w:val="333333"/>
          <w:szCs w:val="24"/>
          <w:lang w:val="es-ES_tradnl"/>
        </w:rPr>
        <w:t>En un principio, se puede decir que el Derecho Civil era el ordenamiento general y común, adoptado por los romanos, y que utilizaban para regir su vida política y económica. Así: “(...) el Derecho Civil en su sentido propio y originario sería el ordenamiento tradicional que habían adoptado los grupos primitivos romanos reunidos en comunidad política y estaría constituido por una serie de principios fundamentales enunciados y establecidos por la jurisprudencia, religiosa primero y laica después, de los prudentes.”</w:t>
      </w:r>
      <w:r w:rsidRPr="000D3432">
        <w:rPr>
          <w:rStyle w:val="Refdenotaalpie"/>
          <w:rFonts w:asciiTheme="minorHAnsi" w:hAnsiTheme="minorHAnsi"/>
          <w:color w:val="333333"/>
          <w:sz w:val="24"/>
          <w:szCs w:val="24"/>
          <w:lang w:val="es-ES_tradnl"/>
        </w:rPr>
        <w:footnoteReference w:id="792"/>
      </w:r>
      <w:r w:rsidRPr="000D3432">
        <w:rPr>
          <w:rFonts w:asciiTheme="minorHAnsi" w:hAnsiTheme="minorHAnsi"/>
          <w:color w:val="333333"/>
          <w:szCs w:val="24"/>
          <w:lang w:val="es-ES_tradnl"/>
        </w:rPr>
        <w:t>. Por lo pronto se puede decir que su origen histórico se fundamenta en el pueblo romano, y en su sistema de organización, que se basaba en ciertos principios, es decir, en lineamientos generales de organización social.</w:t>
      </w:r>
    </w:p>
    <w:p w14:paraId="18B3D44F" w14:textId="77777777" w:rsidR="0082775B" w:rsidRPr="000D3432" w:rsidRDefault="0082775B" w:rsidP="00A95498">
      <w:pPr>
        <w:jc w:val="both"/>
        <w:rPr>
          <w:rFonts w:asciiTheme="minorHAnsi" w:hAnsiTheme="minorHAnsi"/>
          <w:color w:val="333333"/>
          <w:szCs w:val="24"/>
          <w:lang w:val="es-ES_tradnl"/>
        </w:rPr>
      </w:pPr>
    </w:p>
    <w:p w14:paraId="45E4876E"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Derecho Civil Patrimonialista.</w:t>
      </w:r>
      <w:r w:rsidRPr="000D3432">
        <w:rPr>
          <w:rFonts w:asciiTheme="minorHAnsi" w:hAnsiTheme="minorHAnsi"/>
          <w:szCs w:val="24"/>
        </w:rPr>
        <w:t xml:space="preserve"> La protección y defensa de la persona también están como objeto preferente en la Constitución y del Derecho Penal. ¿Cuál es, entonces, la diferencia en el Derecho Civil? Se dice que es “el patrimonio”. De ser así en el Derecho Civil se trataría, pues, del hombre en relación con su patrimonio. El eje parece ser así el patrimonio, pero -aclarando- no cualquier patrimonio, sino el patrimonio que afecta a la salud física y mental del individuo. Relación del hombre con el patrimonio sería la primera premisa. La persona está aquí en referencia exclusiva al patrimonio. Hombre y patrimonio suponen una unidad; del defecto del patrimonio hay consecuencias a la salud y derecho de la persona. Ocurre sin embargo que esta preponderancia o matriz patrimonial ha producido “la conversión de la persona en </w:t>
      </w:r>
      <w:r w:rsidRPr="000D3432">
        <w:rPr>
          <w:rFonts w:asciiTheme="minorHAnsi" w:hAnsiTheme="minorHAnsi"/>
          <w:i/>
          <w:szCs w:val="24"/>
        </w:rPr>
        <w:t>homo economicus</w:t>
      </w:r>
      <w:r w:rsidRPr="000D3432">
        <w:rPr>
          <w:rFonts w:asciiTheme="minorHAnsi" w:hAnsiTheme="minorHAnsi"/>
          <w:szCs w:val="24"/>
        </w:rPr>
        <w:t>”</w:t>
      </w:r>
      <w:r w:rsidRPr="000D3432">
        <w:rPr>
          <w:rStyle w:val="Refdenotaalpie"/>
          <w:rFonts w:asciiTheme="minorHAnsi" w:hAnsiTheme="minorHAnsi"/>
          <w:sz w:val="24"/>
          <w:szCs w:val="24"/>
        </w:rPr>
        <w:footnoteReference w:id="793"/>
      </w:r>
      <w:r w:rsidRPr="000D3432">
        <w:rPr>
          <w:rFonts w:asciiTheme="minorHAnsi" w:hAnsiTheme="minorHAnsi"/>
          <w:szCs w:val="24"/>
        </w:rPr>
        <w:t>. Los criterios de valoración son, pues, lo económico, lo patrimonial. Ese sería el eje del cual nace todo conflicto. Pero el eje patrimonial es sólo importante, trascendental, legítimo, si afecta la salud del individuo, o persona. Esa puede ser la condición indispensable de este tipo de patrimonialismo: su derivación y subordinación a la salud física y mental del individuo.</w:t>
      </w:r>
    </w:p>
    <w:p w14:paraId="6B2C71A8" w14:textId="77777777" w:rsidR="0082775B" w:rsidRPr="000D3432" w:rsidRDefault="0082775B" w:rsidP="00A95498">
      <w:pPr>
        <w:jc w:val="both"/>
        <w:rPr>
          <w:rFonts w:asciiTheme="minorHAnsi" w:hAnsiTheme="minorHAnsi"/>
          <w:szCs w:val="24"/>
        </w:rPr>
      </w:pPr>
    </w:p>
    <w:p w14:paraId="23112D0C"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Derecho Civil extrapatrimonialista.</w:t>
      </w:r>
      <w:r w:rsidRPr="000D3432">
        <w:rPr>
          <w:rFonts w:asciiTheme="minorHAnsi" w:hAnsiTheme="minorHAnsi"/>
          <w:szCs w:val="24"/>
        </w:rPr>
        <w:t xml:space="preserve"> El deslinde con la designación patrimonialista del Derecho civil está en el hecho de que  lo verdaderamente importante no es el patrimonio (que es sólo un objeto, cosa, o bien) sino la persona en relación con otra persona. Carlos Fernández Sessarego aclara el asunto al escribir que “…en el derecho de propiedad, un sujeto es propietario de la cosa y los demás sujetos, con el directa o indirectamente relacionados, son los obligados a respetar dicho derecho en todo lo que él significa”</w:t>
      </w:r>
      <w:r w:rsidRPr="000D3432">
        <w:rPr>
          <w:rStyle w:val="Refdenotaalpie"/>
          <w:rFonts w:asciiTheme="minorHAnsi" w:hAnsiTheme="minorHAnsi"/>
          <w:sz w:val="24"/>
          <w:szCs w:val="24"/>
        </w:rPr>
        <w:footnoteReference w:id="794"/>
      </w:r>
      <w:r w:rsidRPr="000D3432">
        <w:rPr>
          <w:rFonts w:asciiTheme="minorHAnsi" w:hAnsiTheme="minorHAnsi"/>
          <w:szCs w:val="24"/>
        </w:rPr>
        <w:t xml:space="preserve">. Debe recordarse que se usa el concepto de persona por ser esta una generalización </w:t>
      </w:r>
      <w:r w:rsidRPr="000D3432">
        <w:rPr>
          <w:rFonts w:asciiTheme="minorHAnsi" w:hAnsiTheme="minorHAnsi"/>
          <w:szCs w:val="24"/>
        </w:rPr>
        <w:lastRenderedPageBreak/>
        <w:t>del individuo como ser único, singular, diferente e irrepetible, pero a la vez personifica a cada uno de los miembros de la sociedad. La persona puede estar definida en singular, pero esta definición es sólo un “elemento de razonamiento”, y este razonamiento es una representación de lo general, de lo social.</w:t>
      </w:r>
    </w:p>
    <w:p w14:paraId="64F9F84E" w14:textId="77777777" w:rsidR="0082775B" w:rsidRPr="000D3432" w:rsidRDefault="0082775B" w:rsidP="00A95498">
      <w:pPr>
        <w:jc w:val="both"/>
        <w:rPr>
          <w:rFonts w:asciiTheme="minorHAnsi" w:hAnsiTheme="minorHAnsi"/>
          <w:szCs w:val="24"/>
        </w:rPr>
      </w:pPr>
    </w:p>
    <w:p w14:paraId="64B7A518"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La controversia entre Derecho Civil patrimonialista y extrapatrimonialista.</w:t>
      </w:r>
      <w:r w:rsidRPr="000D3432">
        <w:rPr>
          <w:rFonts w:asciiTheme="minorHAnsi" w:hAnsiTheme="minorHAnsi"/>
          <w:szCs w:val="24"/>
        </w:rPr>
        <w:t xml:space="preserve"> Pero volvamos al asunto. Una relación no puede darse entre la persona y la cosa; es necesario una relación de fuerzas equivalentes, dos voluntades relacionadas. Pues bien, “la cosa” no posee voluntad. Valga decir con Bullard que “no cabe relaciones con objetos, pues la relación requiere paridad y sólo es dable entre seres que poseen la misma dignidad fundamental, y no entre un ser que posee dignidad de persona y otro que posee sólo utilidad y precio”</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795"/>
      </w:r>
      <w:r w:rsidRPr="000D3432">
        <w:rPr>
          <w:rFonts w:asciiTheme="minorHAnsi" w:hAnsiTheme="minorHAnsi"/>
          <w:szCs w:val="24"/>
        </w:rPr>
        <w:t>. Por eso la persona se ofrece, más bien, como principio, como el “punto de vista de apreciación”, de lo que deriva su valor intrínseco”</w:t>
      </w:r>
      <w:r w:rsidRPr="000D3432">
        <w:rPr>
          <w:rStyle w:val="Refdenotaalpie"/>
          <w:rFonts w:asciiTheme="minorHAnsi" w:hAnsiTheme="minorHAnsi"/>
          <w:sz w:val="24"/>
          <w:szCs w:val="24"/>
        </w:rPr>
        <w:footnoteReference w:id="796"/>
      </w:r>
      <w:r w:rsidRPr="000D3432">
        <w:rPr>
          <w:rFonts w:asciiTheme="minorHAnsi" w:hAnsiTheme="minorHAnsi"/>
          <w:szCs w:val="24"/>
        </w:rPr>
        <w:t>. La persona es el punto que decide el valor, que sirve de patrón de valoración. El objeto y sujeto preferente del Derecho Civil, no olvidemos eso, es la persona y no la cosa o patrimonio. No se puede decir, luego que los valores y contenidos son de único, exclusivo y excluyente carácter económico y patrimonial. Sentado está que el Derecho Civil no puede reducirse a la “regulación de la vida económica”; o acaso se podría decir que ¿“el Derecho Civil sólo tiene por objeto la distribución de los bienes entre particulares”?</w:t>
      </w:r>
      <w:r w:rsidRPr="000D3432">
        <w:rPr>
          <w:rStyle w:val="Refdenotaalpie"/>
          <w:rFonts w:asciiTheme="minorHAnsi" w:hAnsiTheme="minorHAnsi"/>
          <w:sz w:val="24"/>
          <w:szCs w:val="24"/>
        </w:rPr>
        <w:footnoteReference w:id="797"/>
      </w:r>
      <w:r w:rsidRPr="000D3432">
        <w:rPr>
          <w:rFonts w:asciiTheme="minorHAnsi" w:hAnsiTheme="minorHAnsi"/>
          <w:szCs w:val="24"/>
        </w:rPr>
        <w:t xml:space="preserve">  Eso significaría que se ha patrimonializado el Derecho Civil, y entonces nada respondería a Derecho Civil si no tuviera “contenido económico, patrimonial”. La persona quedaría reducida a mero “elemento instrumental”, a cosa, y no a su condición de sujeto preferente de tutela del Derecho.</w:t>
      </w:r>
    </w:p>
    <w:p w14:paraId="744584F9" w14:textId="77777777" w:rsidR="0082775B" w:rsidRPr="000D3432" w:rsidRDefault="0082775B" w:rsidP="00A95498">
      <w:pPr>
        <w:jc w:val="both"/>
        <w:rPr>
          <w:rFonts w:asciiTheme="minorHAnsi" w:hAnsiTheme="minorHAnsi"/>
          <w:szCs w:val="24"/>
        </w:rPr>
      </w:pPr>
    </w:p>
    <w:p w14:paraId="2A0B3CF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concepto patrimonial del Derecho Civil, hace perder de vista el hecho de que éste último tiene como fundamento relevante la defensa, protección y realización de los fines de la persona. Recordemos que el Derecho Civil no es ni siquiera un fin, sino un medio, un instrumento para lograr los fines de la persona. El objeto y sujeto preferente del Derecho Civil es siempre la persona y no el patrimonio.</w:t>
      </w:r>
    </w:p>
    <w:p w14:paraId="0C2DC664" w14:textId="77777777" w:rsidR="0082775B" w:rsidRPr="000D3432" w:rsidRDefault="0082775B" w:rsidP="00A95498">
      <w:pPr>
        <w:jc w:val="both"/>
        <w:rPr>
          <w:rFonts w:asciiTheme="minorHAnsi" w:hAnsiTheme="minorHAnsi"/>
          <w:color w:val="333333"/>
          <w:szCs w:val="24"/>
        </w:rPr>
      </w:pPr>
    </w:p>
    <w:p w14:paraId="53209FD3" w14:textId="77777777" w:rsidR="0082775B" w:rsidRPr="000D3432" w:rsidRDefault="0082775B" w:rsidP="00A95498">
      <w:pPr>
        <w:rPr>
          <w:rFonts w:asciiTheme="minorHAnsi" w:hAnsiTheme="minorHAnsi"/>
          <w:b/>
          <w:bCs/>
          <w:color w:val="333333"/>
          <w:szCs w:val="24"/>
        </w:rPr>
      </w:pPr>
      <w:r w:rsidRPr="000D3432">
        <w:rPr>
          <w:rFonts w:asciiTheme="minorHAnsi" w:hAnsiTheme="minorHAnsi"/>
          <w:b/>
          <w:bCs/>
          <w:color w:val="333333"/>
          <w:szCs w:val="24"/>
        </w:rPr>
        <w:t>LA PERSONA</w:t>
      </w:r>
    </w:p>
    <w:p w14:paraId="25A05605" w14:textId="77777777" w:rsidR="0082775B" w:rsidRPr="000D3432" w:rsidRDefault="0082775B" w:rsidP="00A95498">
      <w:pPr>
        <w:jc w:val="both"/>
        <w:rPr>
          <w:rFonts w:asciiTheme="minorHAnsi" w:hAnsiTheme="minorHAnsi"/>
          <w:color w:val="333333"/>
          <w:szCs w:val="24"/>
        </w:rPr>
      </w:pPr>
    </w:p>
    <w:p w14:paraId="1310B4AB"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b/>
          <w:bCs/>
          <w:color w:val="333333"/>
          <w:szCs w:val="24"/>
        </w:rPr>
        <w:t xml:space="preserve">CONCEPTO: </w:t>
      </w:r>
      <w:r w:rsidRPr="000D3432">
        <w:rPr>
          <w:rFonts w:asciiTheme="minorHAnsi" w:hAnsiTheme="minorHAnsi"/>
          <w:color w:val="333333"/>
          <w:szCs w:val="24"/>
        </w:rPr>
        <w:t xml:space="preserve">Persona es un concepto que identifica al ser humano con una calidad – en el sentido moderno-, su calidad jurídica, es decir, la atribución del ser humano de ser un ente jurídico, un ente con derechos y deberes. La persona es, entonces, aquel “eje o ente ideal de imputación de derechos y deberes”. </w:t>
      </w:r>
    </w:p>
    <w:p w14:paraId="02EFB61A" w14:textId="77777777" w:rsidR="0082775B" w:rsidRPr="000D3432" w:rsidRDefault="0082775B" w:rsidP="00A95498">
      <w:pPr>
        <w:jc w:val="both"/>
        <w:rPr>
          <w:rFonts w:asciiTheme="minorHAnsi" w:hAnsiTheme="minorHAnsi"/>
          <w:color w:val="333333"/>
          <w:szCs w:val="24"/>
        </w:rPr>
      </w:pPr>
    </w:p>
    <w:p w14:paraId="4129BCD7"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Marcial Rubio Correa escribe que: “La persona es el ser humano entre su nacimiento y su muerte, con  personalidad jurídica, es decir, con capacidad de tener deberes y derechos”</w:t>
      </w:r>
      <w:r w:rsidRPr="000D3432">
        <w:rPr>
          <w:rStyle w:val="Refdenotaalpie"/>
          <w:rFonts w:asciiTheme="minorHAnsi" w:hAnsiTheme="minorHAnsi"/>
          <w:bCs/>
          <w:iCs/>
          <w:color w:val="333333"/>
          <w:sz w:val="24"/>
          <w:szCs w:val="24"/>
          <w:lang w:val="es-ES_tradnl"/>
        </w:rPr>
        <w:footnoteReference w:id="798"/>
      </w:r>
      <w:r w:rsidRPr="000D3432">
        <w:rPr>
          <w:rFonts w:asciiTheme="minorHAnsi" w:hAnsiTheme="minorHAnsi"/>
          <w:bCs/>
          <w:iCs/>
          <w:color w:val="333333"/>
          <w:sz w:val="24"/>
          <w:szCs w:val="24"/>
          <w:lang w:val="es-ES_tradnl"/>
        </w:rPr>
        <w:t xml:space="preserve">. Describiendo y delimitando </w:t>
      </w:r>
      <w:r w:rsidRPr="000D3432">
        <w:rPr>
          <w:rFonts w:asciiTheme="minorHAnsi" w:hAnsiTheme="minorHAnsi"/>
          <w:bCs/>
          <w:iCs/>
          <w:color w:val="333333"/>
          <w:sz w:val="24"/>
          <w:szCs w:val="24"/>
          <w:lang w:val="es-ES_tradnl"/>
        </w:rPr>
        <w:lastRenderedPageBreak/>
        <w:t>un radio vital del ser humano, pero sujeto a ciertas condiciones que lo hacen persona, los derechos y deberes; los mismos que le imputa la sociedad.</w:t>
      </w:r>
    </w:p>
    <w:p w14:paraId="793E6330" w14:textId="77777777" w:rsidR="0082775B" w:rsidRPr="000D3432" w:rsidRDefault="0082775B" w:rsidP="00A95498">
      <w:pPr>
        <w:pStyle w:val="Textodecuerpo"/>
        <w:spacing w:line="240" w:lineRule="auto"/>
        <w:rPr>
          <w:rFonts w:asciiTheme="minorHAnsi" w:hAnsiTheme="minorHAnsi"/>
          <w:b/>
          <w:bCs/>
          <w:iCs/>
          <w:color w:val="333333"/>
          <w:sz w:val="24"/>
          <w:szCs w:val="24"/>
          <w:lang w:val="es-ES_tradnl"/>
        </w:rPr>
      </w:pPr>
    </w:p>
    <w:p w14:paraId="69702C89"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La persona, pues por su condición jurídica es “sujeto de derechos”. Ahora bien, la persona como sujeto es siempre un eje variable. Este sujeto que es diferente del objeto; sujeto “que no es macizo, compacto, sino lábil y proyectivo, historializado”</w:t>
      </w:r>
      <w:r w:rsidRPr="000D3432">
        <w:rPr>
          <w:rStyle w:val="Refdenotaalpie"/>
          <w:rFonts w:asciiTheme="minorHAnsi" w:hAnsiTheme="minorHAnsi"/>
          <w:bCs/>
          <w:iCs/>
          <w:color w:val="333333"/>
          <w:sz w:val="24"/>
          <w:szCs w:val="24"/>
          <w:lang w:val="es-ES_tradnl"/>
        </w:rPr>
        <w:footnoteReference w:id="799"/>
      </w:r>
      <w:r w:rsidRPr="000D3432">
        <w:rPr>
          <w:rFonts w:asciiTheme="minorHAnsi" w:hAnsiTheme="minorHAnsi"/>
          <w:bCs/>
          <w:iCs/>
          <w:color w:val="333333"/>
          <w:sz w:val="24"/>
          <w:szCs w:val="24"/>
          <w:lang w:val="es-ES_tradnl"/>
        </w:rPr>
        <w:t>. Sujeto al que el derecho vuelve su angustiosa mirada, constituido como problema, colocado como centro y eje del derecho. Sujeto que es el ser que conoce y que siente, que constituye un ser de conocimiento y un ser conocedor. Este sujeto que es susceptible de derechos y deberes. De allí viene su condición de sujeto de derecho.</w:t>
      </w:r>
    </w:p>
    <w:p w14:paraId="0F69669A"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p>
    <w:p w14:paraId="5991EBD3"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El concepto de persona revela un cierto grado de cultura jurídica; y ésta se constituye como una síntesis de los problemas y soluciones sociales que revelan el nivel jurídico de una sociedad</w:t>
      </w:r>
      <w:r w:rsidRPr="000D3432">
        <w:rPr>
          <w:rStyle w:val="Refdenotaalpie"/>
          <w:rFonts w:asciiTheme="minorHAnsi" w:hAnsiTheme="minorHAnsi"/>
          <w:bCs/>
          <w:iCs/>
          <w:color w:val="333333"/>
          <w:sz w:val="24"/>
          <w:szCs w:val="24"/>
          <w:lang w:val="es-ES_tradnl"/>
        </w:rPr>
        <w:footnoteReference w:id="800"/>
      </w:r>
      <w:r w:rsidRPr="000D3432">
        <w:rPr>
          <w:rFonts w:asciiTheme="minorHAnsi" w:hAnsiTheme="minorHAnsi"/>
          <w:bCs/>
          <w:iCs/>
          <w:color w:val="333333"/>
          <w:sz w:val="24"/>
          <w:szCs w:val="24"/>
          <w:lang w:val="es-ES_tradnl"/>
        </w:rPr>
        <w:t xml:space="preserve">. El sujeto de derecho, por ser tal, tiene necesidad de hallarse en permanente estado de solución. Pero en nuestra realidad se observa cómo este sujeto no halla una solución uniforme e universal. </w:t>
      </w:r>
    </w:p>
    <w:p w14:paraId="4E10DB3D" w14:textId="77777777" w:rsidR="0082775B" w:rsidRPr="000D3432" w:rsidRDefault="0082775B" w:rsidP="00A95498">
      <w:pPr>
        <w:pStyle w:val="Textodecuerpo"/>
        <w:spacing w:line="240" w:lineRule="auto"/>
        <w:rPr>
          <w:rFonts w:asciiTheme="minorHAnsi" w:hAnsiTheme="minorHAnsi"/>
          <w:b/>
          <w:bCs/>
          <w:iCs/>
          <w:color w:val="333333"/>
          <w:sz w:val="24"/>
          <w:szCs w:val="24"/>
          <w:lang w:val="es-ES_tradnl"/>
        </w:rPr>
      </w:pPr>
    </w:p>
    <w:p w14:paraId="77B787FA"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lang w:val="es-ES_tradnl"/>
        </w:rPr>
        <w:t>La persona es una “entidad jurídica capaz de ser sujeto de derechos y deberes”, un “eje de imputación jurídica de deberes y derechos”. Esta persona como sujeto de derechos es “aquel ser humano o institución susceptible de derechos y deberes”. Así definimos a la persona “</w:t>
      </w:r>
      <w:r w:rsidRPr="000D3432">
        <w:rPr>
          <w:rFonts w:asciiTheme="minorHAnsi" w:hAnsiTheme="minorHAnsi"/>
          <w:color w:val="333333"/>
          <w:szCs w:val="24"/>
        </w:rPr>
        <w:t>como entidad jurídica capaz de ser sujeto de deberes  derechos. Es decir, es un eje de imputación jurídica de deberes y derechos.”</w:t>
      </w:r>
      <w:r w:rsidRPr="000D3432">
        <w:rPr>
          <w:rStyle w:val="Refdenotaalpie"/>
          <w:rFonts w:asciiTheme="minorHAnsi" w:hAnsiTheme="minorHAnsi"/>
          <w:color w:val="333333"/>
          <w:sz w:val="24"/>
          <w:szCs w:val="24"/>
        </w:rPr>
        <w:footnoteReference w:id="801"/>
      </w:r>
    </w:p>
    <w:p w14:paraId="56E87356" w14:textId="77777777" w:rsidR="0082775B" w:rsidRPr="000D3432" w:rsidRDefault="0082775B" w:rsidP="00A95498">
      <w:pPr>
        <w:jc w:val="both"/>
        <w:rPr>
          <w:rFonts w:asciiTheme="minorHAnsi" w:hAnsiTheme="minorHAnsi"/>
          <w:color w:val="333333"/>
          <w:szCs w:val="24"/>
        </w:rPr>
      </w:pPr>
    </w:p>
    <w:p w14:paraId="2E9D8B47" w14:textId="77777777" w:rsidR="0082775B" w:rsidRPr="000D3432" w:rsidRDefault="0082775B" w:rsidP="00A95498">
      <w:pPr>
        <w:pStyle w:val="Ttulo3"/>
        <w:rPr>
          <w:rFonts w:asciiTheme="minorHAnsi" w:hAnsiTheme="minorHAnsi"/>
          <w:b/>
          <w:color w:val="auto"/>
          <w:sz w:val="24"/>
          <w:szCs w:val="24"/>
        </w:rPr>
      </w:pPr>
      <w:bookmarkStart w:id="152" w:name="_Toc318102961"/>
      <w:r w:rsidRPr="000D3432">
        <w:rPr>
          <w:rFonts w:asciiTheme="minorHAnsi" w:hAnsiTheme="minorHAnsi"/>
          <w:b/>
          <w:bCs/>
          <w:color w:val="auto"/>
          <w:sz w:val="24"/>
          <w:szCs w:val="24"/>
        </w:rPr>
        <w:t xml:space="preserve">II.- </w:t>
      </w:r>
      <w:r w:rsidRPr="000D3432">
        <w:rPr>
          <w:rFonts w:asciiTheme="minorHAnsi" w:hAnsiTheme="minorHAnsi"/>
          <w:b/>
          <w:color w:val="auto"/>
          <w:sz w:val="24"/>
          <w:szCs w:val="24"/>
        </w:rPr>
        <w:t>Clasificación o etapas de vida del ser humano:</w:t>
      </w:r>
      <w:bookmarkEnd w:id="152"/>
    </w:p>
    <w:p w14:paraId="6CF4DEE2" w14:textId="77777777" w:rsidR="0082775B" w:rsidRPr="000D3432" w:rsidRDefault="0082775B" w:rsidP="00A95498">
      <w:pPr>
        <w:pStyle w:val="Ttulo3"/>
        <w:rPr>
          <w:rFonts w:asciiTheme="minorHAnsi" w:hAnsiTheme="minorHAnsi"/>
          <w:b/>
          <w:bCs/>
          <w:sz w:val="24"/>
          <w:szCs w:val="24"/>
        </w:rPr>
      </w:pPr>
    </w:p>
    <w:p w14:paraId="091777DF"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La vida del ser humano podemos clasificarla en dos etapas; la primera es aquella donde éste ser humano ha sido concebido, pero aún no ha nacido, es decir, está en el vientre de la madre, o en probeta (de ser el caso), pero tiene vida, pero aún es parte indesligable de otro ser (la madre).</w:t>
      </w:r>
    </w:p>
    <w:p w14:paraId="645E4B8D" w14:textId="77777777" w:rsidR="0082775B" w:rsidRPr="000D3432" w:rsidRDefault="0082775B" w:rsidP="00A95498">
      <w:pPr>
        <w:jc w:val="both"/>
        <w:rPr>
          <w:rFonts w:asciiTheme="minorHAnsi" w:hAnsiTheme="minorHAnsi"/>
          <w:color w:val="333333"/>
          <w:szCs w:val="24"/>
        </w:rPr>
      </w:pPr>
    </w:p>
    <w:p w14:paraId="10853A24"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Las concepciones del momento en que se reputa un ser humano con vida – y por tanto sujeto de derechos- es siempre dispuesto como tema de debate, porque, según avanza la ciencia, las variables sobre la determinación del inicio de la vida han cambiado. Así, los conceptos intentan definir éste y por eso fecundación y concepción intentan delimitarse.</w:t>
      </w:r>
    </w:p>
    <w:p w14:paraId="6214295A" w14:textId="77777777" w:rsidR="0082775B" w:rsidRPr="000D3432" w:rsidRDefault="0082775B" w:rsidP="00A95498">
      <w:pPr>
        <w:jc w:val="both"/>
        <w:rPr>
          <w:rFonts w:asciiTheme="minorHAnsi" w:hAnsiTheme="minorHAnsi"/>
          <w:color w:val="333333"/>
          <w:szCs w:val="24"/>
        </w:rPr>
      </w:pPr>
    </w:p>
    <w:p w14:paraId="3A835D54"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 xml:space="preserve">Alternativamente los avances científicos han logrado, se rumorea, aislar el proceso de reproducción humana, y dan criterios también un poco confusos aún. Por estos avances científicos se dice que no toda unión de gametos, </w:t>
      </w:r>
      <w:r w:rsidRPr="000D3432">
        <w:rPr>
          <w:rFonts w:asciiTheme="minorHAnsi" w:hAnsiTheme="minorHAnsi"/>
          <w:color w:val="333333"/>
          <w:szCs w:val="24"/>
        </w:rPr>
        <w:lastRenderedPageBreak/>
        <w:t>(esperma más óvulo) produce fecundación. Que esta fecundación no es simplemente unión de los gametos, sino es necesario que la unión produzca vida humana. Que dos gametos se junten no significa necesariamente la existencia de vida humana, puede haber vida independiente de gametos, pero estos aún no constituyen o conforman al ser humano y por lo tanto no existirían derechos.</w:t>
      </w:r>
    </w:p>
    <w:p w14:paraId="5CA02E1D" w14:textId="77777777" w:rsidR="0082775B" w:rsidRPr="000D3432" w:rsidRDefault="0082775B" w:rsidP="00A95498">
      <w:pPr>
        <w:jc w:val="both"/>
        <w:rPr>
          <w:rFonts w:asciiTheme="minorHAnsi" w:hAnsiTheme="minorHAnsi"/>
          <w:color w:val="333333"/>
          <w:szCs w:val="24"/>
        </w:rPr>
      </w:pPr>
    </w:p>
    <w:p w14:paraId="0815FD22"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La clasificación clásica del ser humano es como sujeto de derecho (no nacido – pero que aunque existe no tiene vida propia, por sí mismo, depende de la existencia de otro ser (la madre)-, pero fecundado) y como persona natural (nacido).</w:t>
      </w:r>
    </w:p>
    <w:p w14:paraId="4E9CB8B9" w14:textId="77777777" w:rsidR="0082775B" w:rsidRPr="000D3432" w:rsidRDefault="0082775B" w:rsidP="00A95498">
      <w:pPr>
        <w:jc w:val="both"/>
        <w:rPr>
          <w:rFonts w:asciiTheme="minorHAnsi" w:hAnsiTheme="minorHAnsi"/>
          <w:color w:val="333333"/>
          <w:szCs w:val="24"/>
        </w:rPr>
      </w:pPr>
    </w:p>
    <w:p w14:paraId="6D6773F6" w14:textId="77777777" w:rsidR="0082775B" w:rsidRPr="000D3432" w:rsidRDefault="0082775B" w:rsidP="00A95498">
      <w:pPr>
        <w:pStyle w:val="Textodecuerpo3"/>
        <w:spacing w:after="0"/>
        <w:jc w:val="both"/>
        <w:rPr>
          <w:rFonts w:asciiTheme="minorHAnsi" w:hAnsiTheme="minorHAnsi"/>
          <w:color w:val="333333"/>
          <w:sz w:val="24"/>
          <w:szCs w:val="24"/>
        </w:rPr>
      </w:pPr>
      <w:r w:rsidRPr="000D3432">
        <w:rPr>
          <w:rFonts w:asciiTheme="minorHAnsi" w:hAnsiTheme="minorHAnsi"/>
          <w:b/>
          <w:sz w:val="24"/>
          <w:szCs w:val="24"/>
        </w:rPr>
        <w:t xml:space="preserve">1.- El ser humano concebido, aún no nacido.- </w:t>
      </w:r>
      <w:r w:rsidRPr="000D3432">
        <w:rPr>
          <w:rFonts w:asciiTheme="minorHAnsi" w:hAnsiTheme="minorHAnsi"/>
          <w:color w:val="333333"/>
          <w:sz w:val="24"/>
          <w:szCs w:val="24"/>
        </w:rPr>
        <w:t>Este ser que ha sido concebido y fecundado, pero aún no ha nacido (está en el vientre de la madre o en la probeta) se le considera como que tiene derechos, pero no tiene aún deberes. Es por ello que este ser humano es sujeto de derechos pero aún no es persona. Es lógico que, estando aún en el vientre de la madre, o en la probeta no pueda cumplir con deberes, ¿por qué entonces se le da derechos?. Es sobre la conciencia del futuro (razón) que se fundamento el conocimiento: si el ser humano no previera el futuro no podría otorgar derechos; hay un derecho por el solo hecho de existir. Esta idea se derechos sin necesidad de deberes contrapone la idea de la existencia del Derecho sólo si es que contiene o es una relación jurídica, es decir, la existencia de derechos y deberes. Existe derecho si existe relación jurídica, no así en el no nacido, pero concebido; así ¿puede haber relación jurídica, existencia de derechos y deberes recíprocos frente a otro? El no nacido tiene derechos: que se le proteja, que se garantice los medios para su  nacimiento, etc.; pero a cambio de eso, ¿no tiene que aportar nada?, ¿no tiene deberes?,¿cómo pues puede tener derechos si no tiene deberes?, ¿qué criterios se usa para otorgarle derechos, si no puede tener deberes? Si alguien no quiere tener al concebido, fecundado, pero aún no nacido, porqué puede no tenerlo, o porqué tiene que tenerlo –según sea la sociedad donde se encuentre? Los fundamentos son siempre valorativos y dependen del ideal político existente e imperante.</w:t>
      </w:r>
    </w:p>
    <w:p w14:paraId="34D88DA4" w14:textId="77777777" w:rsidR="0082775B" w:rsidRPr="000D3432" w:rsidRDefault="0082775B" w:rsidP="00A95498">
      <w:pPr>
        <w:jc w:val="both"/>
        <w:rPr>
          <w:rFonts w:asciiTheme="minorHAnsi" w:hAnsiTheme="minorHAnsi"/>
          <w:color w:val="333333"/>
          <w:szCs w:val="24"/>
        </w:rPr>
      </w:pPr>
    </w:p>
    <w:p w14:paraId="72BEAE5B"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 xml:space="preserve">Existirían dos teorías, pues, contrarias, 1) las que niegan la existencia de derechos del no nacido pero concebido y fecundado; y 2) las que le reconocen derechos. </w:t>
      </w:r>
    </w:p>
    <w:p w14:paraId="1833DAD6" w14:textId="77777777" w:rsidR="0082775B" w:rsidRPr="000D3432" w:rsidRDefault="0082775B" w:rsidP="00A95498">
      <w:pPr>
        <w:jc w:val="both"/>
        <w:rPr>
          <w:rFonts w:asciiTheme="minorHAnsi" w:hAnsiTheme="minorHAnsi"/>
          <w:color w:val="333333"/>
          <w:szCs w:val="24"/>
        </w:rPr>
      </w:pPr>
    </w:p>
    <w:p w14:paraId="185F0E4C"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No debemos olvidar que el texto normativo es siempre temporal, pero las razones de las normas no “regulan conductas” en este motivo, esas razones son las que buscamos comprender y no el texto, sino el motivo social de la norma.</w:t>
      </w:r>
    </w:p>
    <w:p w14:paraId="11B44930" w14:textId="77777777" w:rsidR="0082775B" w:rsidRPr="000D3432" w:rsidRDefault="0082775B" w:rsidP="00A95498">
      <w:pPr>
        <w:jc w:val="both"/>
        <w:rPr>
          <w:rFonts w:asciiTheme="minorHAnsi" w:hAnsiTheme="minorHAnsi"/>
          <w:color w:val="333333"/>
          <w:szCs w:val="24"/>
        </w:rPr>
      </w:pPr>
    </w:p>
    <w:p w14:paraId="4C68662B"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b/>
          <w:sz w:val="24"/>
          <w:szCs w:val="24"/>
        </w:rPr>
        <w:t>2.- El ser humano nacido</w:t>
      </w:r>
      <w:r w:rsidRPr="000D3432">
        <w:rPr>
          <w:rFonts w:asciiTheme="minorHAnsi" w:hAnsiTheme="minorHAnsi"/>
          <w:b/>
          <w:bCs/>
          <w:sz w:val="24"/>
          <w:szCs w:val="24"/>
        </w:rPr>
        <w:t>:</w:t>
      </w:r>
      <w:r w:rsidRPr="000D3432">
        <w:rPr>
          <w:rFonts w:asciiTheme="minorHAnsi" w:hAnsiTheme="minorHAnsi"/>
          <w:bCs/>
          <w:sz w:val="24"/>
          <w:szCs w:val="24"/>
        </w:rPr>
        <w:t xml:space="preserve"> Es el ser humano que tiene derechos y también deberes, porque puede ejercerlos. Etapas del ser humano como sujeto de derecho: 1) Concebido pero aún no nacido: Tiene derecho pero no deberes; 2) Nacido: El que ya es Persona. Tiene derechos y deberes. Hoy ser humano y persona son sinónimos</w:t>
      </w:r>
      <w:r w:rsidRPr="000D3432">
        <w:rPr>
          <w:rFonts w:asciiTheme="minorHAnsi" w:hAnsiTheme="minorHAnsi"/>
          <w:b/>
          <w:bCs/>
          <w:sz w:val="24"/>
          <w:szCs w:val="24"/>
        </w:rPr>
        <w:t>.</w:t>
      </w:r>
    </w:p>
    <w:p w14:paraId="5C244E25" w14:textId="77777777" w:rsidR="0082775B" w:rsidRPr="000D3432" w:rsidRDefault="0082775B" w:rsidP="00A95498">
      <w:pPr>
        <w:jc w:val="both"/>
        <w:rPr>
          <w:rFonts w:asciiTheme="minorHAnsi" w:hAnsiTheme="minorHAnsi"/>
          <w:color w:val="333333"/>
          <w:szCs w:val="24"/>
        </w:rPr>
      </w:pPr>
    </w:p>
    <w:p w14:paraId="77D6C910"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b/>
          <w:bCs/>
          <w:color w:val="333333"/>
          <w:szCs w:val="24"/>
        </w:rPr>
        <w:t>IV.- TIPOS DE PERSONAS:</w:t>
      </w:r>
    </w:p>
    <w:p w14:paraId="05EC7309" w14:textId="77777777" w:rsidR="0082775B" w:rsidRPr="000D3432" w:rsidRDefault="0082775B" w:rsidP="00A95498">
      <w:pPr>
        <w:jc w:val="both"/>
        <w:rPr>
          <w:rFonts w:asciiTheme="minorHAnsi" w:hAnsiTheme="minorHAnsi"/>
          <w:color w:val="333333"/>
          <w:szCs w:val="24"/>
        </w:rPr>
      </w:pPr>
    </w:p>
    <w:p w14:paraId="5B05DC70"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El término persona es un término jurídico, que, según datos históricos, proviene de ciertos hechos sociales (Uslar Pietri cuenta que eran, antaño, máscaras usadas en las representaciones teatrales). Así de ser un término social pasó a constituir un término jurídico, porque se constituyó como representación de derechos y deberes del individuo. Hoy se sabe que sólo puede ser persona quien tienen personalidad jurídica, es decir, quien tiene derechos y deberes. Modernamente existen dos tipos de personas:</w:t>
      </w:r>
    </w:p>
    <w:p w14:paraId="0AE6890F" w14:textId="77777777" w:rsidR="0082775B" w:rsidRPr="000D3432" w:rsidRDefault="0082775B" w:rsidP="00A95498">
      <w:pPr>
        <w:jc w:val="both"/>
        <w:rPr>
          <w:rFonts w:asciiTheme="minorHAnsi" w:hAnsiTheme="minorHAnsi"/>
          <w:color w:val="333333"/>
          <w:szCs w:val="24"/>
        </w:rPr>
      </w:pPr>
    </w:p>
    <w:p w14:paraId="4924CC28"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b/>
          <w:sz w:val="24"/>
          <w:szCs w:val="24"/>
        </w:rPr>
        <w:t>1.- Persona Natural</w:t>
      </w:r>
      <w:r w:rsidRPr="000D3432">
        <w:rPr>
          <w:rFonts w:asciiTheme="minorHAnsi" w:hAnsiTheme="minorHAnsi"/>
          <w:sz w:val="24"/>
          <w:szCs w:val="24"/>
        </w:rPr>
        <w:t xml:space="preserve">:  </w:t>
      </w:r>
      <w:r w:rsidRPr="000D3432">
        <w:rPr>
          <w:rFonts w:asciiTheme="minorHAnsi" w:hAnsiTheme="minorHAnsi"/>
          <w:bCs/>
          <w:sz w:val="24"/>
          <w:szCs w:val="24"/>
        </w:rPr>
        <w:t>Que identifica a todo ser humano; y el cual es sujeto de derechos.</w:t>
      </w:r>
    </w:p>
    <w:p w14:paraId="23B8EDDB" w14:textId="77777777" w:rsidR="0082775B" w:rsidRPr="000D3432" w:rsidRDefault="0082775B" w:rsidP="00A95498">
      <w:pPr>
        <w:ind w:left="708"/>
        <w:jc w:val="both"/>
        <w:rPr>
          <w:rFonts w:asciiTheme="minorHAnsi" w:hAnsiTheme="minorHAnsi"/>
          <w:color w:val="333333"/>
          <w:szCs w:val="24"/>
        </w:rPr>
      </w:pPr>
    </w:p>
    <w:p w14:paraId="08899D70" w14:textId="77777777" w:rsidR="0082775B" w:rsidRPr="000D3432" w:rsidRDefault="0082775B" w:rsidP="00A95498">
      <w:pPr>
        <w:pStyle w:val="Textodecuerpo3"/>
        <w:spacing w:after="0"/>
        <w:jc w:val="both"/>
        <w:rPr>
          <w:rFonts w:asciiTheme="minorHAnsi" w:hAnsiTheme="minorHAnsi"/>
          <w:bCs/>
          <w:sz w:val="24"/>
          <w:szCs w:val="24"/>
        </w:rPr>
      </w:pPr>
      <w:r w:rsidRPr="000D3432">
        <w:rPr>
          <w:rFonts w:asciiTheme="minorHAnsi" w:hAnsiTheme="minorHAnsi"/>
          <w:b/>
          <w:sz w:val="24"/>
          <w:szCs w:val="24"/>
        </w:rPr>
        <w:t>2.- Persona Jurídica</w:t>
      </w:r>
      <w:r w:rsidRPr="000D3432">
        <w:rPr>
          <w:rFonts w:asciiTheme="minorHAnsi" w:hAnsiTheme="minorHAnsi"/>
          <w:sz w:val="24"/>
          <w:szCs w:val="24"/>
        </w:rPr>
        <w:t>:</w:t>
      </w:r>
      <w:r w:rsidRPr="000D3432">
        <w:rPr>
          <w:rFonts w:asciiTheme="minorHAnsi" w:hAnsiTheme="minorHAnsi"/>
          <w:b/>
          <w:bCs/>
          <w:sz w:val="24"/>
          <w:szCs w:val="24"/>
        </w:rPr>
        <w:t xml:space="preserve"> </w:t>
      </w:r>
      <w:r w:rsidRPr="000D3432">
        <w:rPr>
          <w:rFonts w:asciiTheme="minorHAnsi" w:hAnsiTheme="minorHAnsi"/>
          <w:bCs/>
          <w:sz w:val="24"/>
          <w:szCs w:val="24"/>
        </w:rPr>
        <w:t>Marcial Rubio Correa escribe que “... instituciones conformadas por otras personas (bien naturales, bien jurídicas) y que adquieren existencia legal propia por su inscripción en un registro público (...) o porque se les da una ley especial de creación (casos de las empresas públicas o de las universidades, entre otros).”</w:t>
      </w:r>
      <w:r w:rsidRPr="000D3432">
        <w:rPr>
          <w:rStyle w:val="Refdenotaalpie"/>
          <w:rFonts w:asciiTheme="minorHAnsi" w:hAnsiTheme="minorHAnsi"/>
          <w:bCs/>
          <w:sz w:val="24"/>
          <w:szCs w:val="24"/>
        </w:rPr>
        <w:footnoteReference w:id="802"/>
      </w:r>
      <w:r w:rsidRPr="000D3432">
        <w:rPr>
          <w:rFonts w:asciiTheme="minorHAnsi" w:hAnsiTheme="minorHAnsi"/>
          <w:bCs/>
          <w:sz w:val="24"/>
          <w:szCs w:val="24"/>
        </w:rPr>
        <w:t>. Lo fabuloso de este tipo de instituciones es que es la reunión de fuerzas productivas. “Se llama persona jurídica a la institución que se inscribe en el registro público que le corresponde, inscripción a partir de la cual se la considera existente para el Derecho (ciertas personas jurídicas pueden ser creadas por ley). Esta persona jurídica puede recibir por extensión, los derechos de los seres humanos que le fueren aplicables.”</w:t>
      </w:r>
      <w:r w:rsidRPr="000D3432">
        <w:rPr>
          <w:rStyle w:val="Refdenotaalpie"/>
          <w:rFonts w:asciiTheme="minorHAnsi" w:hAnsiTheme="minorHAnsi"/>
          <w:bCs/>
          <w:sz w:val="24"/>
          <w:szCs w:val="24"/>
        </w:rPr>
        <w:footnoteReference w:id="803"/>
      </w:r>
    </w:p>
    <w:p w14:paraId="226991FA" w14:textId="77777777" w:rsidR="0082775B" w:rsidRPr="000D3432" w:rsidRDefault="0082775B" w:rsidP="00A95498">
      <w:pPr>
        <w:pStyle w:val="Textodecuerpo3"/>
        <w:spacing w:after="0"/>
        <w:rPr>
          <w:rFonts w:asciiTheme="minorHAnsi" w:hAnsiTheme="minorHAnsi"/>
          <w:b/>
          <w:sz w:val="24"/>
          <w:szCs w:val="24"/>
        </w:rPr>
      </w:pPr>
    </w:p>
    <w:p w14:paraId="4711F7D1" w14:textId="77777777" w:rsidR="0082775B" w:rsidRPr="000D3432" w:rsidRDefault="0082775B" w:rsidP="00A95498">
      <w:pPr>
        <w:pStyle w:val="Textodecuerpo3"/>
        <w:spacing w:after="0"/>
        <w:rPr>
          <w:rFonts w:asciiTheme="minorHAnsi" w:hAnsiTheme="minorHAnsi"/>
          <w:b/>
          <w:sz w:val="24"/>
          <w:szCs w:val="24"/>
        </w:rPr>
      </w:pPr>
      <w:r w:rsidRPr="000D3432">
        <w:rPr>
          <w:rFonts w:asciiTheme="minorHAnsi" w:hAnsiTheme="minorHAnsi"/>
          <w:b/>
          <w:sz w:val="24"/>
          <w:szCs w:val="24"/>
        </w:rPr>
        <w:t>V. CAPACIDAD DE LA PERSONA:</w:t>
      </w:r>
    </w:p>
    <w:p w14:paraId="175CD828" w14:textId="77777777" w:rsidR="0082775B" w:rsidRPr="000D3432" w:rsidRDefault="0082775B" w:rsidP="00A95498">
      <w:pPr>
        <w:jc w:val="both"/>
        <w:rPr>
          <w:rFonts w:asciiTheme="minorHAnsi" w:hAnsiTheme="minorHAnsi"/>
          <w:color w:val="333333"/>
          <w:szCs w:val="24"/>
        </w:rPr>
      </w:pPr>
    </w:p>
    <w:p w14:paraId="5FDD3818" w14:textId="77777777" w:rsidR="0082775B" w:rsidRPr="000D3432" w:rsidRDefault="0082775B" w:rsidP="00A95498">
      <w:pPr>
        <w:jc w:val="both"/>
        <w:rPr>
          <w:rFonts w:asciiTheme="minorHAnsi" w:hAnsiTheme="minorHAnsi"/>
          <w:b/>
          <w:bCs/>
          <w:color w:val="333333"/>
          <w:szCs w:val="24"/>
        </w:rPr>
      </w:pPr>
      <w:r w:rsidRPr="000D3432">
        <w:rPr>
          <w:rFonts w:asciiTheme="minorHAnsi" w:hAnsiTheme="minorHAnsi"/>
          <w:b/>
          <w:bCs/>
          <w:color w:val="333333"/>
          <w:szCs w:val="24"/>
        </w:rPr>
        <w:t>1.- TIPOS DE CAPACIDAD DE LA PERSONA</w:t>
      </w:r>
    </w:p>
    <w:p w14:paraId="44BDC816" w14:textId="77777777" w:rsidR="0082775B" w:rsidRPr="000D3432" w:rsidRDefault="0082775B" w:rsidP="00A95498">
      <w:pPr>
        <w:jc w:val="both"/>
        <w:rPr>
          <w:rFonts w:asciiTheme="minorHAnsi" w:hAnsiTheme="minorHAnsi"/>
          <w:color w:val="333333"/>
          <w:szCs w:val="24"/>
        </w:rPr>
      </w:pPr>
    </w:p>
    <w:p w14:paraId="3FB1C5E4"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 xml:space="preserve">La persona como eje de imputación jurídica de derechos y deberes no los tiene en forma indiscriminada y absoluta, desde su nacimiento; sino que le son imputados de acuerdo a ciertas condiciones físicas y mentales. Esas condiciones han sido llamadas capacidades, y se han subdividido en dos: capacidad de goce y capacidad de ejercicio. </w:t>
      </w:r>
    </w:p>
    <w:p w14:paraId="220183C3" w14:textId="77777777" w:rsidR="0082775B" w:rsidRPr="000D3432" w:rsidRDefault="0082775B" w:rsidP="00A95498">
      <w:pPr>
        <w:jc w:val="both"/>
        <w:rPr>
          <w:rFonts w:asciiTheme="minorHAnsi" w:hAnsiTheme="minorHAnsi"/>
          <w:color w:val="333333"/>
          <w:szCs w:val="24"/>
        </w:rPr>
      </w:pPr>
    </w:p>
    <w:p w14:paraId="2F2891B4"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b/>
          <w:bCs/>
          <w:color w:val="333333"/>
          <w:szCs w:val="24"/>
        </w:rPr>
        <w:t>a) CAPACIDAD DE GOCE:</w:t>
      </w:r>
      <w:r w:rsidRPr="000D3432">
        <w:rPr>
          <w:rFonts w:asciiTheme="minorHAnsi" w:hAnsiTheme="minorHAnsi"/>
          <w:color w:val="333333"/>
          <w:szCs w:val="24"/>
        </w:rPr>
        <w:t xml:space="preserve"> “Es la atribución que tiene toda persona de poder beneficiarse de sus derechos, lo haga directamente o lo debe hacer a través de un representante;”</w:t>
      </w:r>
      <w:r w:rsidRPr="000D3432">
        <w:rPr>
          <w:rStyle w:val="Refdenotaalpie"/>
          <w:rFonts w:asciiTheme="minorHAnsi" w:hAnsiTheme="minorHAnsi"/>
          <w:color w:val="333333"/>
          <w:sz w:val="24"/>
          <w:szCs w:val="24"/>
        </w:rPr>
        <w:footnoteReference w:id="804"/>
      </w:r>
      <w:r w:rsidRPr="000D3432">
        <w:rPr>
          <w:rFonts w:asciiTheme="minorHAnsi" w:hAnsiTheme="minorHAnsi"/>
          <w:color w:val="333333"/>
          <w:szCs w:val="24"/>
        </w:rPr>
        <w:t xml:space="preserve"> ¿y quién es ese representante?. La figura es de apoderado, tutor, curador, etc.</w:t>
      </w:r>
    </w:p>
    <w:p w14:paraId="426A7344" w14:textId="77777777" w:rsidR="0082775B" w:rsidRPr="000D3432" w:rsidRDefault="0082775B" w:rsidP="00A95498">
      <w:pPr>
        <w:jc w:val="both"/>
        <w:rPr>
          <w:rFonts w:asciiTheme="minorHAnsi" w:hAnsiTheme="minorHAnsi"/>
          <w:color w:val="333333"/>
          <w:szCs w:val="24"/>
        </w:rPr>
      </w:pPr>
    </w:p>
    <w:p w14:paraId="08D4DF7C" w14:textId="77777777" w:rsidR="0082775B" w:rsidRPr="000D3432" w:rsidRDefault="0082775B" w:rsidP="00A95498">
      <w:pPr>
        <w:jc w:val="both"/>
        <w:rPr>
          <w:rFonts w:asciiTheme="minorHAnsi" w:hAnsiTheme="minorHAnsi"/>
          <w:color w:val="333333"/>
          <w:szCs w:val="24"/>
        </w:rPr>
      </w:pPr>
      <w:r w:rsidRPr="000D3432">
        <w:rPr>
          <w:rFonts w:asciiTheme="minorHAnsi" w:hAnsiTheme="minorHAnsi"/>
          <w:color w:val="333333"/>
          <w:szCs w:val="24"/>
        </w:rPr>
        <w:t xml:space="preserve">Se trata de los menores de edad, que no pueden ejercer sus derechos por sí mismos, pero si los tienen como el derecho a la vida o a la alimentación. Es la madre quien lo exige. Y el derecho está basado en que sino cumplen los padres es la sociedad quien los debiera asumir. </w:t>
      </w:r>
    </w:p>
    <w:p w14:paraId="698E3B1C" w14:textId="77777777" w:rsidR="0082775B" w:rsidRPr="000D3432" w:rsidRDefault="0082775B" w:rsidP="00A95498">
      <w:pPr>
        <w:pStyle w:val="Textodecuerpo"/>
        <w:spacing w:line="240" w:lineRule="auto"/>
        <w:jc w:val="left"/>
        <w:rPr>
          <w:rFonts w:asciiTheme="minorHAnsi" w:hAnsiTheme="minorHAnsi"/>
          <w:bCs/>
          <w:i/>
          <w:iCs/>
          <w:color w:val="333333"/>
          <w:sz w:val="24"/>
          <w:szCs w:val="24"/>
        </w:rPr>
      </w:pPr>
    </w:p>
    <w:p w14:paraId="107EA1AD"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Por la capacidad de goce el individuo, la persona, es “el titular de derechos jurídicamente establecidos”, y ejercitados por el mismo individuo o por otro. Se es titular porque a ese individuo se le atribuye un don, una propiedad, la del goce de sus derechos.</w:t>
      </w:r>
    </w:p>
    <w:p w14:paraId="650D3107" w14:textId="77777777" w:rsidR="0082775B" w:rsidRPr="000D3432" w:rsidRDefault="0082775B" w:rsidP="00A95498">
      <w:pPr>
        <w:pStyle w:val="Textodecuerpo"/>
        <w:spacing w:line="240" w:lineRule="auto"/>
        <w:rPr>
          <w:rFonts w:asciiTheme="minorHAnsi" w:hAnsiTheme="minorHAnsi"/>
          <w:b/>
          <w:bCs/>
          <w:iCs/>
          <w:color w:val="333333"/>
          <w:sz w:val="24"/>
          <w:szCs w:val="24"/>
          <w:lang w:val="es-ES_tradnl"/>
        </w:rPr>
      </w:pPr>
    </w:p>
    <w:p w14:paraId="461EC8D0"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El derecho a la vida es el que tienen todos, no a vivir, sino a que nadie le quite la vida, porque la vida no se genera por decisión del individuo, es ajena a su voluntad, por eso lo tutelado es la continuidad, a la paz, en la vida, pero no la vida misma, que es un fenómeno natural.</w:t>
      </w:r>
    </w:p>
    <w:p w14:paraId="260AA34A" w14:textId="77777777" w:rsidR="0082775B" w:rsidRPr="000D3432" w:rsidRDefault="0082775B" w:rsidP="00A95498">
      <w:pPr>
        <w:jc w:val="both"/>
        <w:rPr>
          <w:rFonts w:asciiTheme="minorHAnsi" w:hAnsiTheme="minorHAnsi"/>
          <w:bCs/>
          <w:iCs/>
          <w:color w:val="333333"/>
          <w:szCs w:val="24"/>
          <w:lang w:val="es-ES_tradnl"/>
        </w:rPr>
      </w:pPr>
    </w:p>
    <w:p w14:paraId="01270B8E" w14:textId="77777777" w:rsidR="0082775B" w:rsidRPr="000D3432" w:rsidRDefault="0082775B" w:rsidP="00A95498">
      <w:pPr>
        <w:pStyle w:val="Textodecuerpo3"/>
        <w:spacing w:after="0"/>
        <w:rPr>
          <w:rFonts w:asciiTheme="minorHAnsi" w:hAnsiTheme="minorHAnsi"/>
          <w:b/>
          <w:sz w:val="24"/>
          <w:szCs w:val="24"/>
        </w:rPr>
      </w:pPr>
      <w:r w:rsidRPr="000D3432">
        <w:rPr>
          <w:rFonts w:asciiTheme="minorHAnsi" w:hAnsiTheme="minorHAnsi"/>
          <w:b/>
          <w:sz w:val="24"/>
          <w:szCs w:val="24"/>
        </w:rPr>
        <w:t xml:space="preserve">b) CAPACIDAD DE EJERCICIO: </w:t>
      </w:r>
    </w:p>
    <w:p w14:paraId="51F2E681" w14:textId="77777777" w:rsidR="0082775B" w:rsidRPr="000D3432" w:rsidRDefault="0082775B" w:rsidP="00A95498">
      <w:pPr>
        <w:jc w:val="both"/>
        <w:rPr>
          <w:rFonts w:asciiTheme="minorHAnsi" w:hAnsiTheme="minorHAnsi"/>
          <w:color w:val="333333"/>
          <w:szCs w:val="24"/>
        </w:rPr>
      </w:pPr>
    </w:p>
    <w:p w14:paraId="6E81CB3D"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Mientras que la capacidad de ejercicio es la “atribución de la persona de ejercitar por sí misma sus derechos”, es decir, no necesita recurrir a otra persona. Esta es la gran diferencia. Y esta la plenitud de la capacidad de ejercicio. Sin embargo también puede ser representada, pero desde otra figura, la de la necesidad económica o jurídica o la de la capacidad.</w:t>
      </w:r>
    </w:p>
    <w:p w14:paraId="045EC971" w14:textId="77777777" w:rsidR="0082775B" w:rsidRPr="000D3432" w:rsidRDefault="0082775B" w:rsidP="00A95498">
      <w:pPr>
        <w:pStyle w:val="Textodecuerpo"/>
        <w:spacing w:line="240" w:lineRule="auto"/>
        <w:rPr>
          <w:rFonts w:asciiTheme="minorHAnsi" w:hAnsiTheme="minorHAnsi"/>
          <w:color w:val="333333"/>
          <w:sz w:val="24"/>
          <w:szCs w:val="24"/>
          <w:lang w:val="es-ES_tradnl"/>
        </w:rPr>
      </w:pPr>
    </w:p>
    <w:p w14:paraId="4362A547"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Para hablar en términos legales, podemos partir del hecho de la ubicación positivizada de la capacidad de ejercicio. Pues bien, esta se encuentra escrita en el Art. 42 de nuestro Código Civil; y entre sus condiciones y caracteres se establece que: la capacidad de ejercicio es la “atribución de ejercer mis derechos por mi mismo”</w:t>
      </w:r>
      <w:r w:rsidRPr="000D3432">
        <w:rPr>
          <w:rStyle w:val="Refdenotaalpie"/>
          <w:rFonts w:asciiTheme="minorHAnsi" w:hAnsiTheme="minorHAnsi"/>
          <w:bCs/>
          <w:iCs/>
          <w:color w:val="333333"/>
          <w:sz w:val="24"/>
          <w:szCs w:val="24"/>
          <w:lang w:val="es-ES_tradnl"/>
        </w:rPr>
        <w:footnoteReference w:id="805"/>
      </w:r>
      <w:r w:rsidRPr="000D3432">
        <w:rPr>
          <w:rFonts w:asciiTheme="minorHAnsi" w:hAnsiTheme="minorHAnsi"/>
          <w:bCs/>
          <w:iCs/>
          <w:color w:val="333333"/>
          <w:sz w:val="24"/>
          <w:szCs w:val="24"/>
          <w:lang w:val="es-ES_tradnl"/>
        </w:rPr>
        <w:t xml:space="preserve">, a diferencia de la ciudadanía que no es más que “una condición de pertenencia a la comunidad política de la que formo parte y en la cual tengo derecho y deberes (votar, ser elegido, etc.) </w:t>
      </w:r>
      <w:r w:rsidRPr="000D3432">
        <w:rPr>
          <w:rStyle w:val="Refdenotaalpie"/>
          <w:rFonts w:asciiTheme="minorHAnsi" w:hAnsiTheme="minorHAnsi"/>
          <w:bCs/>
          <w:iCs/>
          <w:color w:val="333333"/>
          <w:sz w:val="24"/>
          <w:szCs w:val="24"/>
          <w:lang w:val="es-ES_tradnl"/>
        </w:rPr>
        <w:footnoteReference w:id="806"/>
      </w:r>
      <w:r w:rsidRPr="000D3432">
        <w:rPr>
          <w:rFonts w:asciiTheme="minorHAnsi" w:hAnsiTheme="minorHAnsi"/>
          <w:bCs/>
          <w:iCs/>
          <w:color w:val="333333"/>
          <w:sz w:val="24"/>
          <w:szCs w:val="24"/>
          <w:lang w:val="es-ES_tradnl"/>
        </w:rPr>
        <w:t>.</w:t>
      </w:r>
    </w:p>
    <w:p w14:paraId="3A6B7B98"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p>
    <w:p w14:paraId="48715826"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 xml:space="preserve">La persona, por esta capacidad de ejercicio,  ha delimitado su campo privado, ha cercado o establecido este aspecto privado, que le corresponde como derecho; así se puede discernir que: “La capacidad de ejercicio tiene que ver con las dimensiones privadas de la persona humana”. y ¿cuáles son esas dimensiones privadas?  Las dimensiones no son más que un nivel operativo, en el cual y dentro del cual se encuentra un determinado fenómeno. Y lo privado no es más que una señalización del contorno íntimo, personal, excluyente del individuo. Por privado entendemos aquello que no es público. Es decir es una oposición a lo público. Algo que pertenece sólo a la esfera singular, personal, íntima, exclusiva y excluyente del individuo o persona. A diferencia de la condición de ciudadano, que es más bien nada más que “participación en la vida pública”. Lo privado responde, pues, a ciertas condiciones y se define por los efectos causados. Si la conducta del ser humano no afecta de ninguna manera en la sociedad, pues se está en la esfera privada. Este </w:t>
      </w:r>
      <w:r w:rsidRPr="000D3432">
        <w:rPr>
          <w:rFonts w:asciiTheme="minorHAnsi" w:hAnsiTheme="minorHAnsi"/>
          <w:bCs/>
          <w:iCs/>
          <w:color w:val="333333"/>
          <w:sz w:val="24"/>
          <w:szCs w:val="24"/>
          <w:lang w:val="es-ES_tradnl"/>
        </w:rPr>
        <w:lastRenderedPageBreak/>
        <w:t xml:space="preserve">concepto civil es muy diferente al laboral que habla también de “privado”. </w:t>
      </w:r>
    </w:p>
    <w:p w14:paraId="3F4F9327"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p>
    <w:p w14:paraId="6ACD27D7" w14:textId="77777777" w:rsidR="0082775B" w:rsidRPr="000D3432" w:rsidRDefault="0082775B" w:rsidP="00A95498">
      <w:pPr>
        <w:pStyle w:val="Textodecuerpo"/>
        <w:spacing w:line="240" w:lineRule="auto"/>
        <w:rPr>
          <w:rFonts w:asciiTheme="minorHAnsi" w:hAnsiTheme="minorHAnsi"/>
          <w:bCs/>
          <w:iCs/>
          <w:color w:val="333333"/>
          <w:sz w:val="24"/>
          <w:szCs w:val="24"/>
          <w:lang w:val="es-ES_tradnl"/>
        </w:rPr>
      </w:pPr>
      <w:r w:rsidRPr="000D3432">
        <w:rPr>
          <w:rFonts w:asciiTheme="minorHAnsi" w:hAnsiTheme="minorHAnsi"/>
          <w:bCs/>
          <w:iCs/>
          <w:color w:val="333333"/>
          <w:sz w:val="24"/>
          <w:szCs w:val="24"/>
          <w:lang w:val="es-ES_tradnl"/>
        </w:rPr>
        <w:t>Para tener capacidad de ejercicio hay otro requisito, indispensable, el discernimiento, que no es más que esa facultad que te permite ser selectivo y ecléctico, tener libre arbitrio. Conoces las implicancias de tus conductas y ese conocimiento te hace responsable, en un grado o nivel estatuido. Discernimiento es pues capacidad para conocer. “El discernimiento parece ser la capacidad humana de distinguir el bien del mal y, al mismo tiempo, de desarrollar el pensamiento abstracto. Es el momento en el que el ser humano deja su ego y su mundo propio y concreto para proyectarse más allá, a un mundo complejo, de muchas y variadas interrelaciones, que no sólo tiene presente sino también sentido de previsión y de futuro.”</w:t>
      </w:r>
      <w:r w:rsidRPr="000D3432">
        <w:rPr>
          <w:rStyle w:val="Refdenotaalpie"/>
          <w:rFonts w:asciiTheme="minorHAnsi" w:hAnsiTheme="minorHAnsi"/>
          <w:bCs/>
          <w:iCs/>
          <w:color w:val="333333"/>
          <w:sz w:val="24"/>
          <w:szCs w:val="24"/>
          <w:lang w:val="es-ES_tradnl"/>
        </w:rPr>
        <w:footnoteReference w:id="807"/>
      </w:r>
      <w:r w:rsidRPr="000D3432">
        <w:rPr>
          <w:rFonts w:asciiTheme="minorHAnsi" w:hAnsiTheme="minorHAnsi"/>
          <w:bCs/>
          <w:iCs/>
          <w:color w:val="333333"/>
          <w:sz w:val="24"/>
          <w:szCs w:val="24"/>
          <w:lang w:val="es-ES_tradnl"/>
        </w:rPr>
        <w:t>. Discernimiento que le da a la persona la posibilidad de ser sujeto de derecho, es decir centro de imputación jurídica de deberes derechos. No obstante este discernimiento tiene una categorización biológica, temporal, por la cual se estima que aparece más o menos a los diez años. Eso significa que hay en el individuo ya una formación conceptual suficiente y necesaria que le permite lograr diferenciar, seleccionar y decidir, prever el futuro, etc., así “…consideramos que confluyen la psicología moderna y las normas legislativas peruanas en considerar que el discernimiento puede aparecer aproximadamente a los diez años, y que ya estaría en pleno proceso de formación y consolidación hacia los 14 años …” cada ser humano alcanza el discernimiento en distinto momento de su desarrollo…”</w:t>
      </w:r>
      <w:r w:rsidRPr="000D3432">
        <w:rPr>
          <w:rStyle w:val="Refdenotaalpie"/>
          <w:rFonts w:asciiTheme="minorHAnsi" w:hAnsiTheme="minorHAnsi"/>
          <w:bCs/>
          <w:iCs/>
          <w:color w:val="333333"/>
          <w:sz w:val="24"/>
          <w:szCs w:val="24"/>
          <w:lang w:val="es-ES_tradnl"/>
        </w:rPr>
        <w:footnoteReference w:id="808"/>
      </w:r>
      <w:r w:rsidRPr="000D3432">
        <w:rPr>
          <w:rFonts w:asciiTheme="minorHAnsi" w:hAnsiTheme="minorHAnsi"/>
          <w:bCs/>
          <w:iCs/>
          <w:color w:val="333333"/>
          <w:sz w:val="24"/>
          <w:szCs w:val="24"/>
          <w:lang w:val="es-ES_tradnl"/>
        </w:rPr>
        <w:t>. Sin embargo la categorización biológica es sólo referencial y general, porque formarse un intelecto -es decir un conjunto de conocimientos con los cuales conocemos y a través del cuál procesamos datos, información y por último, valoramos-, no es tan fácil como parece, y no todos logran hacerlo en el mismo periodo. El discernimiento es un fenómeno cultural, una aprensión de los saberes dominantes; por eso incluso “…el cociente intelectual; es no sólo una estipulación biológica, sino una ficción jurídica, científica que determina la autocomposición de  o la correspondencia del hombre con su entorno, medir en que grado el hombre se corresponde con la sociedad que la está evaluando, por eso la “mención del cociente intelectual está condicionada culturalmente”</w:t>
      </w:r>
      <w:r w:rsidRPr="000D3432">
        <w:rPr>
          <w:rStyle w:val="Refdenotaalpie"/>
          <w:rFonts w:asciiTheme="minorHAnsi" w:hAnsiTheme="minorHAnsi"/>
          <w:bCs/>
          <w:iCs/>
          <w:color w:val="333333"/>
          <w:sz w:val="24"/>
          <w:szCs w:val="24"/>
          <w:lang w:val="es-ES_tradnl"/>
        </w:rPr>
        <w:footnoteReference w:id="809"/>
      </w:r>
      <w:r w:rsidRPr="000D3432">
        <w:rPr>
          <w:rFonts w:asciiTheme="minorHAnsi" w:hAnsiTheme="minorHAnsi"/>
          <w:bCs/>
          <w:iCs/>
          <w:color w:val="333333"/>
          <w:sz w:val="24"/>
          <w:szCs w:val="24"/>
          <w:lang w:val="es-ES_tradnl"/>
        </w:rPr>
        <w:t xml:space="preserve">. Sólo así se puede comprender el proceso de sociabilización del hombre, el carácter relacionante del hombre con la sociedad. La cultura y lo jurídico van, luego, entrelazados y determinados por las mismas condiciones intelectuales. </w:t>
      </w:r>
    </w:p>
    <w:p w14:paraId="5B7E59CA" w14:textId="77777777" w:rsidR="0082775B" w:rsidRPr="000D3432" w:rsidRDefault="0082775B" w:rsidP="00A95498">
      <w:pPr>
        <w:jc w:val="both"/>
        <w:rPr>
          <w:rFonts w:asciiTheme="minorHAnsi" w:hAnsiTheme="minorHAnsi"/>
          <w:bCs/>
          <w:iCs/>
          <w:color w:val="333333"/>
          <w:szCs w:val="24"/>
          <w:lang w:val="es-ES_tradnl"/>
        </w:rPr>
      </w:pPr>
    </w:p>
    <w:p w14:paraId="19478FCC" w14:textId="77777777" w:rsidR="0082775B" w:rsidRPr="000D3432" w:rsidRDefault="0082775B" w:rsidP="00A95498">
      <w:pPr>
        <w:numPr>
          <w:ilvl w:val="12"/>
          <w:numId w:val="0"/>
        </w:numPr>
        <w:ind w:firstLine="426"/>
        <w:rPr>
          <w:rFonts w:asciiTheme="minorHAnsi" w:hAnsiTheme="minorHAnsi"/>
          <w:color w:val="000000"/>
          <w:szCs w:val="24"/>
          <w:lang w:val="es-ES_tradnl"/>
        </w:rPr>
      </w:pPr>
      <w:r w:rsidRPr="000D3432">
        <w:rPr>
          <w:rFonts w:asciiTheme="minorHAnsi" w:hAnsiTheme="minorHAnsi"/>
          <w:color w:val="000000"/>
          <w:szCs w:val="24"/>
          <w:lang w:val="es-ES_tradnl"/>
        </w:rPr>
        <w:lastRenderedPageBreak/>
        <w:br w:type="page"/>
      </w:r>
    </w:p>
    <w:p w14:paraId="696450C9"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487C1A64"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5C0D5354"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0642B807"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489A9758"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6DACEAA6"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1DB2E0C9" w14:textId="77777777" w:rsidR="0082775B" w:rsidRPr="000D3432" w:rsidRDefault="0082775B" w:rsidP="00A95498">
      <w:pPr>
        <w:numPr>
          <w:ilvl w:val="12"/>
          <w:numId w:val="0"/>
        </w:numPr>
        <w:ind w:firstLine="426"/>
        <w:rPr>
          <w:rFonts w:asciiTheme="minorHAnsi" w:hAnsiTheme="minorHAnsi"/>
          <w:color w:val="000000"/>
          <w:szCs w:val="24"/>
          <w:lang w:val="es-ES_tradnl"/>
        </w:rPr>
      </w:pPr>
    </w:p>
    <w:p w14:paraId="726649DF" w14:textId="77777777" w:rsidR="0082775B" w:rsidRPr="000D3432" w:rsidRDefault="0082775B" w:rsidP="00A95498">
      <w:pPr>
        <w:numPr>
          <w:ilvl w:val="12"/>
          <w:numId w:val="0"/>
        </w:numPr>
        <w:rPr>
          <w:rFonts w:asciiTheme="minorHAnsi" w:hAnsiTheme="minorHAnsi"/>
          <w:b/>
          <w:color w:val="000000"/>
          <w:szCs w:val="24"/>
        </w:rPr>
      </w:pPr>
    </w:p>
    <w:p w14:paraId="592CDB75" w14:textId="77777777" w:rsidR="0082775B" w:rsidRPr="000D3432" w:rsidRDefault="0082775B" w:rsidP="00A95498">
      <w:pPr>
        <w:numPr>
          <w:ilvl w:val="12"/>
          <w:numId w:val="0"/>
        </w:numPr>
        <w:rPr>
          <w:rFonts w:asciiTheme="minorHAnsi" w:hAnsiTheme="minorHAnsi"/>
          <w:b/>
          <w:color w:val="000000"/>
          <w:szCs w:val="24"/>
        </w:rPr>
      </w:pPr>
    </w:p>
    <w:p w14:paraId="28EC03A1" w14:textId="77777777" w:rsidR="0082775B" w:rsidRPr="000D3432" w:rsidRDefault="0082775B" w:rsidP="00282419">
      <w:pPr>
        <w:numPr>
          <w:ilvl w:val="12"/>
          <w:numId w:val="0"/>
        </w:numPr>
        <w:jc w:val="center"/>
        <w:rPr>
          <w:rFonts w:asciiTheme="minorHAnsi" w:hAnsiTheme="minorHAnsi"/>
          <w:b/>
          <w:color w:val="000000"/>
          <w:szCs w:val="24"/>
        </w:rPr>
      </w:pPr>
      <w:r w:rsidRPr="000D3432">
        <w:rPr>
          <w:rFonts w:asciiTheme="minorHAnsi" w:hAnsiTheme="minorHAnsi"/>
          <w:b/>
          <w:color w:val="000000"/>
          <w:szCs w:val="24"/>
        </w:rPr>
        <w:t>_____LA FUNCIÓN SEXUAL, REPRODUCTORA DE LA FAMILIA_____</w:t>
      </w:r>
    </w:p>
    <w:p w14:paraId="0153EF17" w14:textId="77777777" w:rsidR="0082775B" w:rsidRPr="000D3432" w:rsidRDefault="0082775B" w:rsidP="00A95498">
      <w:pPr>
        <w:numPr>
          <w:ilvl w:val="12"/>
          <w:numId w:val="0"/>
        </w:numPr>
        <w:jc w:val="both"/>
        <w:rPr>
          <w:rFonts w:asciiTheme="minorHAnsi" w:hAnsiTheme="minorHAnsi"/>
          <w:b/>
          <w:color w:val="000000"/>
          <w:szCs w:val="24"/>
        </w:rPr>
      </w:pPr>
    </w:p>
    <w:p w14:paraId="0C07F04B" w14:textId="77777777" w:rsidR="0082775B" w:rsidRPr="000D3432" w:rsidRDefault="0082775B" w:rsidP="00A95498">
      <w:pPr>
        <w:numPr>
          <w:ilvl w:val="12"/>
          <w:numId w:val="0"/>
        </w:numPr>
        <w:jc w:val="both"/>
        <w:rPr>
          <w:rFonts w:asciiTheme="minorHAnsi" w:hAnsiTheme="minorHAnsi"/>
          <w:b/>
          <w:color w:val="000000"/>
          <w:szCs w:val="24"/>
        </w:rPr>
      </w:pPr>
    </w:p>
    <w:p w14:paraId="279A23CC" w14:textId="77777777" w:rsidR="0082775B" w:rsidRPr="000D3432" w:rsidRDefault="0082775B" w:rsidP="00A95498">
      <w:pPr>
        <w:jc w:val="both"/>
        <w:rPr>
          <w:rFonts w:asciiTheme="minorHAnsi" w:hAnsiTheme="minorHAnsi"/>
          <w:color w:val="333333"/>
          <w:szCs w:val="24"/>
          <w:lang w:val="es-MX"/>
        </w:rPr>
      </w:pPr>
    </w:p>
    <w:p w14:paraId="5F5C1114" w14:textId="77777777" w:rsidR="0082775B" w:rsidRPr="000D3432" w:rsidRDefault="0082775B" w:rsidP="00A95498">
      <w:pPr>
        <w:pStyle w:val="Textodecuerpo3"/>
        <w:spacing w:after="0"/>
        <w:rPr>
          <w:rFonts w:asciiTheme="minorHAnsi" w:hAnsiTheme="minorHAnsi"/>
          <w:b/>
          <w:sz w:val="24"/>
          <w:szCs w:val="24"/>
          <w:lang w:val="es-MX"/>
        </w:rPr>
      </w:pPr>
      <w:r w:rsidRPr="000D3432">
        <w:rPr>
          <w:rFonts w:asciiTheme="minorHAnsi" w:hAnsiTheme="minorHAnsi"/>
          <w:b/>
          <w:sz w:val="24"/>
          <w:szCs w:val="24"/>
          <w:lang w:val="es-MX"/>
        </w:rPr>
        <w:t>I.- ANTECEDENTES HISTÓRICOS DE LA FAMILIA:</w:t>
      </w:r>
    </w:p>
    <w:p w14:paraId="6A0804C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lang w:val="es-MX"/>
        </w:rPr>
      </w:pPr>
    </w:p>
    <w:p w14:paraId="50ACBDB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color w:val="333333"/>
          <w:szCs w:val="24"/>
        </w:rPr>
        <w:t>La familia tiene, como toda institución jurídica, historia. Es decir que se ha formado de las relaciones dadas entre la existencia de los individuos y sus necesidades temporales espaciales. No es por lo tanto un fenómeno natural, o mejor, se desprende de un fenómeno natural, pero su consolidación es cultural, es decir, producto y creación del hombre, que la ha encerrado, para entenderla, en diferentes disciplinas que la explican, como la biología, la sociología, o la propiamente jurídica. Todas ellas válidas, pero que actuan dentro de un campo determinado y circunscrito a sus fines. La obra: “La Ciudad Antigua” de Fustel de Coulanges toca a la familia desde la perspectiva de la religión. La familia está adherida, intrínseca, siamésicamente a la religión. La religión es entonces el tronco al que se arriman todas las instituciones sociales greco romanas, incluso sociedades anteriores a ellas. Aclarando que no se trata de la religión medieval o moderna, sino de la religión ¿primitiva?, anterior a “la creencia de la entrada de las almas en una mansión celestial” de corte más cercano, una religión más antigua, primitiva, y por eso mismo más sana; una religión que significaba “técnica” (es decir, una forma de poder predestinar el futuro, de prepararlo mediante ciertas “técnicas” que orientaran al hombre hacia un mejor destino, que prepararan a la naturaleza para la conveniencia del hombre), una religión muy cercana a la magia (en el sentido antiguo: “sistema bien articulado”, o “modo de conocimiento”, perfectamente paralela a la ciencia”). Fustel de Coulanges imagina a la familia antigua alrededor de un altar religioso, allí profesaban sus oraciones en pro de la perpetuidad e indisolubilidad familiar. Las familias antiguas se pensaban indisolubles; ni siquiera la muerte podía separarlos o disolverlos, la muerte no afectaba la relación familiar, sino más bien la completaba, la muerte sólo era una “segunda existencia”; por eso los antiguos tenían muy presente y cerca a sus muertos. Coulanges describe esto así: “Fuera de la casa, muy cerca, en el campo vecino, hay una tumba. Es la segunda mansión de esta familia. Allí reposan juntas varias generaciones de antepasados: la muerte no los ha separado. Permanecen unidos en esta segunda existencia, y siguen formando una familia indisoluble.”. Religión, culto, indisolubilidad y eternidad, eran los elementos secuenciales en los que creían los hombres en la antigüedad. Se trataba, como ven, de una necesidad perfectamente racional más que de un fenómeno afectivo.</w:t>
      </w:r>
    </w:p>
    <w:p w14:paraId="0DF69A0E"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4880C1A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position w:val="6"/>
          <w:szCs w:val="24"/>
        </w:rPr>
      </w:pPr>
      <w:r w:rsidRPr="000D3432">
        <w:rPr>
          <w:rFonts w:asciiTheme="minorHAnsi" w:hAnsiTheme="minorHAnsi"/>
          <w:color w:val="333333"/>
          <w:szCs w:val="24"/>
        </w:rPr>
        <w:t>En la antigüedad -dice Coulanges- las familias se congregaban alrededor de un altar para pedir la felicidad eterna para su familia muerta. Lo curioso es que ese culto no tenía origen en un carácter afectivo, como ya lo vimos, sino más bien en un fenómeno perfectamente utilitario y racional. La religión era sólo un instrumento de mediación por la cual los hombres solicitaban a sus muertos (considerados divinidades) la protección y beneficios, a cambio ofrecían orar y alimentarlos  (les llevaban lo que se denominó la “comida fúnebre”). Imaginemos luego cómo vivían los hombres en la antigüedad, deberieran haber estado horrorizados de pensar siquiera en no tener familia. La familia era el requisito indispensable para la felicidad eterna individual; un hombre sin descendencia, sin familia, habría estado sentenciado de antemano a una segunda existencia en perpetua y eterna desgracia. En conclusión, ¿qué une a la familia antigua?. Ni razones generacionales, ni afectivas, ni coactivas, sino razones estrictamente religiosas. Es la religión. Dice Fustel de Coulanges: “Lo que une a los miembros de la familia antigua es algo más poderoso que el nacimiento, que el sentimiento, que la fuerza física: es la religión del hogar y de los antepasados. Ella hace que la familia forme un cuerpo en esta vida y en la otra. La familia es una asociación religiosa más que una asociación natural”. Hay entonces en la familia antigua una “razón de ultratumba” por la cual el hombre, aún después de muerto, se aseguraba la felicidad eterna, el paraíso eterno. Así parece haber funcionado la familia en la antigüedad, donde se conjugaban como consecuencia tres elementos: religión (culto), comida fúnebre, paraíso eterno. Así “…, la familia no estaba unida por lazos afectivos sino por la religión del hogar y los antepasados. La felicidad eterna de estos dependía de la ‘comida fúnebre’. Los muertos necesitaban que su descendencia no se extinguiese jamás para poder seguir gozando del paraíso eterno. Por eso en toda la legislación  griega se reiteran los decretos castigando el celibato, maldiciendo la esterilidad femenina y premiando la natalidad abundante.”</w:t>
      </w:r>
      <w:r w:rsidRPr="000D3432">
        <w:rPr>
          <w:rFonts w:asciiTheme="minorHAnsi" w:hAnsiTheme="minorHAnsi"/>
          <w:color w:val="333333"/>
          <w:position w:val="6"/>
          <w:szCs w:val="24"/>
        </w:rPr>
        <w:t>1 </w:t>
      </w:r>
    </w:p>
    <w:p w14:paraId="0E9146A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position w:val="6"/>
          <w:szCs w:val="24"/>
        </w:rPr>
      </w:pPr>
    </w:p>
    <w:p w14:paraId="7651717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color w:val="333333"/>
          <w:szCs w:val="24"/>
        </w:rPr>
        <w:t>En una concepción primaria los antiguos pensaban que en realidad no había muerte, sino un simple tránsito de una existencia a otra forma de existencia, y que el requisito para este tránsito sería la familia, es así que en Grecia la  fertilidad era importantísima para la perpetuación de la familia, por eso: “La mujer estaba casi obligada a parir cada año, pero si el niño tenía una pequeña tara se le mataba. Y si eso ocurría más de una vez, el marido solía prestar la esposa a un amigo más fuerte o más sano, para que su descendencia fuese perfecta.”</w:t>
      </w:r>
      <w:r w:rsidRPr="000D3432">
        <w:rPr>
          <w:rFonts w:asciiTheme="minorHAnsi" w:hAnsiTheme="minorHAnsi"/>
          <w:color w:val="333333"/>
          <w:position w:val="6"/>
          <w:szCs w:val="24"/>
        </w:rPr>
        <w:t>2 </w:t>
      </w:r>
      <w:r w:rsidRPr="000D3432">
        <w:rPr>
          <w:rFonts w:asciiTheme="minorHAnsi" w:hAnsiTheme="minorHAnsi"/>
          <w:color w:val="333333"/>
          <w:szCs w:val="24"/>
        </w:rPr>
        <w:t>.</w:t>
      </w:r>
    </w:p>
    <w:p w14:paraId="2D7A4CB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color w:val="333333"/>
          <w:szCs w:val="24"/>
        </w:rPr>
        <w:t>-----</w:t>
      </w:r>
    </w:p>
    <w:p w14:paraId="47DE507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Style w:val="Refdenotaalpie"/>
          <w:rFonts w:asciiTheme="minorHAnsi" w:hAnsiTheme="minorHAnsi"/>
          <w:color w:val="333333"/>
          <w:sz w:val="24"/>
          <w:szCs w:val="24"/>
        </w:rPr>
        <w:t> 1</w:t>
      </w:r>
      <w:r w:rsidRPr="000D3432">
        <w:rPr>
          <w:rFonts w:asciiTheme="minorHAnsi" w:hAnsiTheme="minorHAnsi"/>
          <w:color w:val="333333"/>
          <w:szCs w:val="24"/>
        </w:rPr>
        <w:t xml:space="preserve"> Fernández de Castro, Chimo.  La otra historia de la sexualidad. Ediciones Martínez Roca, ficha 22.</w:t>
      </w:r>
    </w:p>
    <w:p w14:paraId="36C1B75A" w14:textId="77777777" w:rsidR="0082775B" w:rsidRPr="000D3432" w:rsidRDefault="0082775B" w:rsidP="00A95498">
      <w:pPr>
        <w:jc w:val="both"/>
        <w:rPr>
          <w:rFonts w:asciiTheme="minorHAnsi" w:hAnsiTheme="minorHAnsi"/>
          <w:color w:val="333333"/>
          <w:szCs w:val="24"/>
          <w:lang w:val="es-MX"/>
        </w:rPr>
      </w:pPr>
      <w:r w:rsidRPr="000D3432">
        <w:rPr>
          <w:rStyle w:val="Refdenotaalpie"/>
          <w:rFonts w:asciiTheme="minorHAnsi" w:hAnsiTheme="minorHAnsi"/>
          <w:color w:val="333333"/>
          <w:sz w:val="24"/>
          <w:szCs w:val="24"/>
        </w:rPr>
        <w:t> 2</w:t>
      </w:r>
      <w:r w:rsidRPr="000D3432">
        <w:rPr>
          <w:rFonts w:asciiTheme="minorHAnsi" w:hAnsiTheme="minorHAnsi"/>
          <w:color w:val="333333"/>
          <w:szCs w:val="24"/>
        </w:rPr>
        <w:t xml:space="preserve"> Fernández de Castro, Chimo.  La otra historia de la sexualidad. Ediciones Martínez Roca, ficha 22.</w:t>
      </w:r>
    </w:p>
    <w:p w14:paraId="40A3D48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color w:val="333333"/>
          <w:szCs w:val="24"/>
        </w:rPr>
      </w:pPr>
    </w:p>
    <w:p w14:paraId="681D414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color w:val="333333"/>
          <w:szCs w:val="24"/>
        </w:rPr>
      </w:pPr>
      <w:r w:rsidRPr="000D3432">
        <w:rPr>
          <w:rFonts w:asciiTheme="minorHAnsi" w:hAnsiTheme="minorHAnsi"/>
          <w:b/>
          <w:color w:val="333333"/>
          <w:szCs w:val="24"/>
        </w:rPr>
        <w:t>La familia como continuidad de la especie humana</w:t>
      </w:r>
    </w:p>
    <w:p w14:paraId="455DC21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38EAE36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color w:val="333333"/>
          <w:szCs w:val="24"/>
        </w:rPr>
        <w:t xml:space="preserve">Mucho se ha dicho ya sobre la familia. Se la ha analizado desde todas las </w:t>
      </w:r>
      <w:r w:rsidRPr="000D3432">
        <w:rPr>
          <w:rFonts w:asciiTheme="minorHAnsi" w:hAnsiTheme="minorHAnsi"/>
          <w:color w:val="333333"/>
          <w:szCs w:val="24"/>
        </w:rPr>
        <w:lastRenderedPageBreak/>
        <w:t>perspectivas, pero jamás se la ha determinada única y exclusivamente como un ente universal y eterno. Porque la familia se hace en construcción con el tiempo y otros factores. Así hay incluso en el mismo tiempo muchas familias.  Y su tratamiento también es diverso, de acuerdo a los fines que persigue cada disciplina. ¿Qué es la familia hoy?, ¿cuál su importancia y sentido? ¿cuál es su fundamento o el principio por el que se rigen?. Uno de los fundamentos podría ser el siguiente: “Es la continuidad de las relaciones sexuales, así como la necesidad de supervivencia y protección de las crías lo que desemboca en lo social y lleva a constituir la familia en su sentido más elemental, esto es, la unión de padres con las crías”.</w:t>
      </w:r>
      <w:r w:rsidRPr="000D3432">
        <w:rPr>
          <w:rFonts w:asciiTheme="minorHAnsi" w:hAnsiTheme="minorHAnsi"/>
          <w:color w:val="333333"/>
          <w:position w:val="6"/>
          <w:szCs w:val="24"/>
          <w:vertAlign w:val="superscript"/>
        </w:rPr>
        <w:t>1</w:t>
      </w:r>
      <w:r w:rsidRPr="000D3432">
        <w:rPr>
          <w:rFonts w:asciiTheme="minorHAnsi" w:hAnsiTheme="minorHAnsi"/>
          <w:color w:val="333333"/>
          <w:szCs w:val="24"/>
        </w:rPr>
        <w:t xml:space="preserve"> Hay aquí algunos elementos interesantes: “la continuidad de las relaciones sexuales”, con lo cual tendríamos que recordar necesaria e ineludiblemente a Freud y su teoría sexual. La pregunta se transmutaría de la siguiente manera: ¿es la familia sólo una necesidad sexual, una consecuencia de la sexualidad?. Sin embargo, cabe aclarar que, para nosotros, no son las “relaciones sexuales” el elemento aislado lo que constituye la familia. Puede apreciarse además cómo considera a la familia nuestra normatividad. Allí encontraremos otro elemento de la composición familiar: la existencia de los hijos. Esto indicaría que no puede haber familia sin hijos. </w:t>
      </w:r>
    </w:p>
    <w:p w14:paraId="2622254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06FE011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color w:val="333333"/>
          <w:szCs w:val="24"/>
        </w:rPr>
        <w:t>Cabe anotar que el diccionario Omeba explica que en una familia existe “una actividad sexual seleccionada y estable”, al menos oficialmente reconocida y aceptada. Pero, como dijimos, no se trata sólo de “sexo selectivo y estable”, sino de otros elementos más: los hijos. Es decir que “irse a la cama” con alguien elegido y estable no es el único y principal fundamento de la familia. “Pero” podría decirse que si no es el fundamento eje al menos sí es la razón por la cual empieza o se origina una familia en la mayoría de los casos actuales. Los casos o ejemplos son múltiples. En nuestra sociedad las familias se constituyen evidentemente por un “descuido”, y no por un acto planificado. O si no, ¿alguien con hijos se atreve a negar que se casó por que “metió la pata”, antes de tiempo? En mi corta experiencia he sabido más de hijos accidentales que de hijos planificados. Sin embargo, no me queda muy claro si el embarazo de la mujer es muy “accidental”. Me parece más bien que la mayoría de las mujeres tienen un instinto maternal demasiado interiorizado por la moral y el romanticismo. Tener hijos es, para la mujer, uno de sus objetivos terminales, un lugar a donde quieren llegar siempre, en diferentes tiempos, pero al que aspiran como única recompensa de su existencia, o mejor, como el único “sentido” verdadero de su existencia. Eso está dicho, claro está, desde una perspectiva subjetivísima y desde la condición de hombre.</w:t>
      </w:r>
    </w:p>
    <w:p w14:paraId="597CD4C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24FCA99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color w:val="333333"/>
          <w:szCs w:val="24"/>
        </w:rPr>
        <w:t>Lo antes dicho puede mostrar cuál es el fundamento en la actualidad, de la familia: la madre. Alrededor de ella se teje lo demás. No es en vano el hecho de que la madre se relacione más con los hijos que el padre; Santisteban explicaría el porqué: “En todo los animales es el hombre el que más tiempo necesita de la protección y cuidados de la madre para sobrevivir, o de cualquier otro miembro de su especie capacitado para hacerlo hasta que esté en condiciones de valerse por sí mismo.”</w:t>
      </w:r>
      <w:r w:rsidRPr="000D3432">
        <w:rPr>
          <w:rFonts w:asciiTheme="minorHAnsi" w:hAnsiTheme="minorHAnsi"/>
          <w:color w:val="333333"/>
          <w:position w:val="6"/>
          <w:szCs w:val="24"/>
          <w:vertAlign w:val="superscript"/>
        </w:rPr>
        <w:t>2 </w:t>
      </w:r>
      <w:r w:rsidRPr="000D3432">
        <w:rPr>
          <w:rFonts w:asciiTheme="minorHAnsi" w:hAnsiTheme="minorHAnsi"/>
          <w:color w:val="333333"/>
          <w:szCs w:val="24"/>
        </w:rPr>
        <w:t xml:space="preserve">    </w:t>
      </w:r>
    </w:p>
    <w:p w14:paraId="0C020B8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457FEF9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bCs/>
          <w:color w:val="333333"/>
          <w:szCs w:val="24"/>
        </w:rPr>
      </w:pPr>
      <w:r w:rsidRPr="000D3432">
        <w:rPr>
          <w:rFonts w:asciiTheme="minorHAnsi" w:hAnsiTheme="minorHAnsi"/>
          <w:b/>
          <w:bCs/>
          <w:color w:val="333333"/>
          <w:szCs w:val="24"/>
        </w:rPr>
        <w:lastRenderedPageBreak/>
        <w:t>LOS PELIGROS DE LA FAMILIA</w:t>
      </w:r>
    </w:p>
    <w:p w14:paraId="58172F4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bCs/>
          <w:color w:val="333333"/>
          <w:szCs w:val="24"/>
        </w:rPr>
      </w:pPr>
    </w:p>
    <w:p w14:paraId="0C7D6BD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b/>
          <w:bCs/>
          <w:color w:val="333333"/>
          <w:szCs w:val="24"/>
        </w:rPr>
        <w:t xml:space="preserve">Incompatibilidad por razones de parentesco.- </w:t>
      </w:r>
      <w:r w:rsidRPr="000D3432">
        <w:rPr>
          <w:rFonts w:asciiTheme="minorHAnsi" w:hAnsiTheme="minorHAnsi"/>
          <w:color w:val="333333"/>
          <w:szCs w:val="24"/>
        </w:rPr>
        <w:t>Por otro lado, la ley  nos ha preservado de los peligros de la familia, por ejemplo un Juez no puede serlo en un proceso donde alguna de las partes tenga parentesco por consanguinidad o afinidad con el juez, etc. Esto significa una clara conciencia del rol fundamental que juega la familia en la actualidad. Y sus funciones podemos identificarlas -usando el esquema de Santisteban- y agruparlas en cuatro categorías: sexuales,  reproductoras, socializadoras y económicas</w:t>
      </w:r>
    </w:p>
    <w:p w14:paraId="429F080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6A039DC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bCs/>
          <w:color w:val="333333"/>
          <w:szCs w:val="24"/>
        </w:rPr>
      </w:pPr>
      <w:r w:rsidRPr="000D3432">
        <w:rPr>
          <w:rFonts w:asciiTheme="minorHAnsi" w:hAnsiTheme="minorHAnsi"/>
          <w:b/>
          <w:bCs/>
          <w:color w:val="333333"/>
          <w:szCs w:val="24"/>
        </w:rPr>
        <w:t>LO QUE DETERMINA O DEFINE A LA FAMILIA</w:t>
      </w:r>
    </w:p>
    <w:p w14:paraId="27C7CB3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b/>
          <w:bCs/>
          <w:color w:val="333333"/>
          <w:szCs w:val="24"/>
        </w:rPr>
      </w:pPr>
    </w:p>
    <w:p w14:paraId="36CB7EC8"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b/>
          <w:bCs/>
          <w:color w:val="333333"/>
          <w:szCs w:val="24"/>
        </w:rPr>
        <w:t xml:space="preserve">La función sexual.- </w:t>
      </w:r>
      <w:r w:rsidRPr="000D3432">
        <w:rPr>
          <w:rFonts w:asciiTheme="minorHAnsi" w:hAnsiTheme="minorHAnsi"/>
          <w:color w:val="333333"/>
          <w:szCs w:val="24"/>
        </w:rPr>
        <w:t>Como dijimos, la familia no puede ser considerada sólo como una relación de dos seres humanos que tienen sexo estable y seguro. La función sexual no determina la familia. Hoy incluso puede, a través de la tecnología, tenerse hijos sin que la pareja de adultos que conforman la familia haya tenido relaciones sexuales. Por otro lado, en otros países los adultos no necesitan tener diferente sexo, es decir que la familia para ser tal no necesitaría de dos adultos heterogéneos (de diferente sexo) en convivencia y bajo ciertas normas morales, religiosas y legales, con la existencia de hijos. En esos lugares una familia puede ser establecida por una pareja de adultos del mismo sexo, con un menor adoptado. Ello, por supuesto, no se da en nuestra sociedad. Por otro lado podemos observar además, por ejemplo, “… el sistema de los mayares de la India, que aceptan una familia sin esposo, donde no hay reconocimiento del padre biológico ni lugar para padres o maridos. Esto significa también que no siempre la familia es un grupo doméstico en el que viven juntos padres e hijos y que existen diferentes pueblos en los que se dan singularidades con respecto a ella”.3</w:t>
      </w:r>
    </w:p>
    <w:p w14:paraId="37CB7FE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14F73C3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b/>
          <w:bCs/>
          <w:color w:val="333333"/>
          <w:szCs w:val="24"/>
        </w:rPr>
        <w:t xml:space="preserve">La función reproductora.- </w:t>
      </w:r>
      <w:r w:rsidRPr="000D3432">
        <w:rPr>
          <w:rFonts w:asciiTheme="minorHAnsi" w:hAnsiTheme="minorHAnsi"/>
          <w:color w:val="333333"/>
          <w:szCs w:val="24"/>
        </w:rPr>
        <w:t>En lo referente a la función reproductora, puede decirse que ese tampoco es el único factor de la familia. Tener hijos, por ejemplo, en la antigüedad era una necesidad religiosa “una buena excusa para que la gente se cargase de hijos en beneficio del sistema”</w:t>
      </w:r>
      <w:r w:rsidRPr="000D3432">
        <w:rPr>
          <w:rFonts w:asciiTheme="minorHAnsi" w:hAnsiTheme="minorHAnsi"/>
          <w:color w:val="333333"/>
          <w:position w:val="6"/>
          <w:szCs w:val="24"/>
          <w:vertAlign w:val="superscript"/>
        </w:rPr>
        <w:t>4</w:t>
      </w:r>
      <w:r w:rsidRPr="000D3432">
        <w:rPr>
          <w:rFonts w:asciiTheme="minorHAnsi" w:hAnsiTheme="minorHAnsi"/>
          <w:color w:val="333333"/>
          <w:position w:val="6"/>
          <w:szCs w:val="24"/>
        </w:rPr>
        <w:t>;</w:t>
      </w:r>
      <w:r w:rsidRPr="000D3432">
        <w:rPr>
          <w:rFonts w:asciiTheme="minorHAnsi" w:hAnsiTheme="minorHAnsi"/>
          <w:color w:val="333333"/>
          <w:szCs w:val="24"/>
        </w:rPr>
        <w:t xml:space="preserve"> en la época de los incas era más bien un acto de organización social, trabajadores para el Imperio Incaico. En la modernidad, los hijos han resultado siendo aquel número de trabajadores para las industrias, etc. En la actualidad habría que restringir este rol reproductor de la familia.</w:t>
      </w:r>
    </w:p>
    <w:p w14:paraId="6BCE5F7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p>
    <w:p w14:paraId="6730AB9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color w:val="333333"/>
          <w:szCs w:val="24"/>
        </w:rPr>
      </w:pPr>
      <w:r w:rsidRPr="000D3432">
        <w:rPr>
          <w:rFonts w:asciiTheme="minorHAnsi" w:hAnsiTheme="minorHAnsi"/>
          <w:b/>
          <w:bCs/>
          <w:color w:val="333333"/>
          <w:szCs w:val="24"/>
        </w:rPr>
        <w:t xml:space="preserve">Función socializadora, y económica- </w:t>
      </w:r>
      <w:r w:rsidRPr="000D3432">
        <w:rPr>
          <w:rFonts w:asciiTheme="minorHAnsi" w:hAnsiTheme="minorHAnsi"/>
          <w:color w:val="333333"/>
          <w:szCs w:val="24"/>
        </w:rPr>
        <w:t xml:space="preserve">En cuanto a sus funciones socializadoras de la familia, son ampliamente conocidas como “unidad básica”.  Y en cuanto a la función económica de la familia, podríamos empezar diciendo que tal vez, la familia constituye la única manera de conseguir trabajo. Por ejemplo, está probado, por los hechos, más que por estadísticas, que quienes entran a trabajar a una institución lo logran, no sólo por su capacidad (éste parece constituir un mínimo porcentaje de los requisitos exigidos), sino por su relación familiar. Aparte, que muchas veces sirve -la relación familiar- como una especie de complicidad (en el sentido legal) de su pariente. Baste recordar los antecedentes de un honesto ex alcalde, y candidato a la presidencia, en relación al hecho </w:t>
      </w:r>
      <w:r w:rsidRPr="000D3432">
        <w:rPr>
          <w:rFonts w:asciiTheme="minorHAnsi" w:hAnsiTheme="minorHAnsi"/>
          <w:color w:val="333333"/>
          <w:szCs w:val="24"/>
        </w:rPr>
        <w:lastRenderedPageBreak/>
        <w:t>ilícito de su hijo, que -según un video- cometió un acto ilícito. A lo que -como ya todos hemos visto y escuchado-, el padre dijo -amparado en la moral y el amor familiar- que su hijo no había cometido un acto ilícito, “solo había  pecado”.  O en otro estrato y hecho social, podemos recordar otro ejemplo. En una entrevista sobre la delincuencia callejera (robo al paso), un delincuente fue preguntado sobre “cómo salía de la cárcel después de robar y ser detenido”, el delincuente dijo: “mi ama conversa con los señores (policías) y salgo”. Eso era todo, la madre del delincuente “conversaba”</w:t>
      </w:r>
      <w:r w:rsidRPr="000D3432">
        <w:rPr>
          <w:rFonts w:asciiTheme="minorHAnsi" w:hAnsiTheme="minorHAnsi"/>
          <w:color w:val="333333"/>
          <w:position w:val="6"/>
          <w:szCs w:val="24"/>
          <w:vertAlign w:val="superscript"/>
        </w:rPr>
        <w:t>5</w:t>
      </w:r>
      <w:r w:rsidRPr="000D3432">
        <w:rPr>
          <w:rFonts w:asciiTheme="minorHAnsi" w:hAnsiTheme="minorHAnsi"/>
          <w:color w:val="333333"/>
          <w:position w:val="6"/>
          <w:szCs w:val="24"/>
        </w:rPr>
        <w:t> </w:t>
      </w:r>
      <w:r w:rsidRPr="000D3432">
        <w:rPr>
          <w:rFonts w:asciiTheme="minorHAnsi" w:hAnsiTheme="minorHAnsi"/>
          <w:color w:val="333333"/>
          <w:szCs w:val="24"/>
        </w:rPr>
        <w:t xml:space="preserve"> con los policías y listo. No es difícil saber cuál es la base moral con que se mueve la madre en este caso -su amor maternal-. Esto demostraría cómo influyen, o qué tipo de relaciones de fuerza, de poder, existe o se crea a través de la relación familiar. No olvidemos a las famosas familias de la mafia italiana, o, en otro tiempo, a la familia de los Médicis, etc. La familia puede mostrarse como un dogma.</w:t>
      </w:r>
    </w:p>
    <w:p w14:paraId="5132F65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heme="minorHAnsi" w:hAnsiTheme="minorHAnsi"/>
          <w:color w:val="333333"/>
          <w:szCs w:val="24"/>
        </w:rPr>
      </w:pPr>
      <w:r w:rsidRPr="000D3432">
        <w:rPr>
          <w:rFonts w:asciiTheme="minorHAnsi" w:hAnsiTheme="minorHAnsi"/>
          <w:color w:val="333333"/>
          <w:szCs w:val="24"/>
        </w:rPr>
        <w:t>-----------</w:t>
      </w:r>
    </w:p>
    <w:p w14:paraId="2B21AD4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heme="minorHAnsi" w:hAnsiTheme="minorHAnsi"/>
          <w:color w:val="333333"/>
          <w:szCs w:val="24"/>
        </w:rPr>
      </w:pPr>
      <w:r w:rsidRPr="000D3432">
        <w:rPr>
          <w:rStyle w:val="Refdenotaalpie"/>
          <w:rFonts w:asciiTheme="minorHAnsi" w:hAnsiTheme="minorHAnsi"/>
          <w:color w:val="333333"/>
          <w:sz w:val="24"/>
          <w:szCs w:val="24"/>
        </w:rPr>
        <w:t> </w:t>
      </w:r>
      <w:r w:rsidRPr="000D3432">
        <w:rPr>
          <w:rFonts w:asciiTheme="minorHAnsi" w:hAnsiTheme="minorHAnsi"/>
          <w:color w:val="333333"/>
          <w:szCs w:val="24"/>
        </w:rPr>
        <w:t>1 Silva Santisteban, Fernando. Introducción a la Antropología Jurídica. Fondo de cultura económica del Perú. pág. 152.</w:t>
      </w:r>
    </w:p>
    <w:p w14:paraId="4600E9F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heme="minorHAnsi" w:hAnsiTheme="minorHAnsi"/>
          <w:color w:val="333333"/>
          <w:szCs w:val="24"/>
        </w:rPr>
      </w:pPr>
      <w:r w:rsidRPr="000D3432">
        <w:rPr>
          <w:rStyle w:val="Refdenotaalpie"/>
          <w:rFonts w:asciiTheme="minorHAnsi" w:hAnsiTheme="minorHAnsi"/>
          <w:color w:val="333333"/>
          <w:sz w:val="24"/>
          <w:szCs w:val="24"/>
        </w:rPr>
        <w:t> 2</w:t>
      </w:r>
      <w:r w:rsidRPr="000D3432">
        <w:rPr>
          <w:rFonts w:asciiTheme="minorHAnsi" w:hAnsiTheme="minorHAnsi"/>
          <w:color w:val="333333"/>
          <w:szCs w:val="24"/>
        </w:rPr>
        <w:t xml:space="preserve"> Silva Santisteban, Fernando. Introducción a la Antropología Jurídica. Fondo de cultura económica del Perú. pág. 152.</w:t>
      </w:r>
    </w:p>
    <w:p w14:paraId="2C1D520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heme="minorHAnsi" w:hAnsiTheme="minorHAnsi"/>
          <w:color w:val="333333"/>
          <w:szCs w:val="24"/>
        </w:rPr>
      </w:pPr>
      <w:r w:rsidRPr="000D3432">
        <w:rPr>
          <w:rStyle w:val="Refdenotaalpie"/>
          <w:rFonts w:asciiTheme="minorHAnsi" w:hAnsiTheme="minorHAnsi"/>
          <w:color w:val="333333"/>
          <w:sz w:val="24"/>
          <w:szCs w:val="24"/>
        </w:rPr>
        <w:t> 3</w:t>
      </w:r>
      <w:r w:rsidRPr="000D3432">
        <w:rPr>
          <w:rFonts w:asciiTheme="minorHAnsi" w:hAnsiTheme="minorHAnsi"/>
          <w:color w:val="333333"/>
          <w:szCs w:val="24"/>
        </w:rPr>
        <w:t xml:space="preserve"> Silva Santisteban, Fernando. Introducción a la Antropología Jurídica. Fondo de cultura económica del Perú. pág. 153.</w:t>
      </w:r>
    </w:p>
    <w:p w14:paraId="7BE1669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heme="minorHAnsi" w:hAnsiTheme="minorHAnsi"/>
          <w:color w:val="333333"/>
          <w:szCs w:val="24"/>
        </w:rPr>
      </w:pPr>
      <w:r w:rsidRPr="000D3432">
        <w:rPr>
          <w:rStyle w:val="Refdenotaalpie"/>
          <w:rFonts w:asciiTheme="minorHAnsi" w:hAnsiTheme="minorHAnsi"/>
          <w:color w:val="333333"/>
          <w:sz w:val="24"/>
          <w:szCs w:val="24"/>
        </w:rPr>
        <w:t> 4</w:t>
      </w:r>
      <w:r w:rsidRPr="000D3432">
        <w:rPr>
          <w:rFonts w:asciiTheme="minorHAnsi" w:hAnsiTheme="minorHAnsi"/>
          <w:color w:val="333333"/>
          <w:szCs w:val="24"/>
        </w:rPr>
        <w:t xml:space="preserve"> Fernández de Castro, Chimo de. La otra historia de la sexualidad, Ediciones Martínez Roca, Ficha 22.</w:t>
      </w:r>
    </w:p>
    <w:p w14:paraId="112A36C2" w14:textId="77777777" w:rsidR="0082775B" w:rsidRPr="000D3432" w:rsidRDefault="0082775B" w:rsidP="00A95498">
      <w:pPr>
        <w:pStyle w:val="Textodecuerpo"/>
        <w:spacing w:line="240" w:lineRule="auto"/>
        <w:ind w:firstLine="425"/>
        <w:rPr>
          <w:rFonts w:asciiTheme="minorHAnsi" w:hAnsiTheme="minorHAnsi"/>
          <w:b/>
          <w:bCs/>
          <w:iCs/>
          <w:color w:val="333333"/>
          <w:sz w:val="24"/>
          <w:szCs w:val="24"/>
          <w:lang w:val="es-ES_tradnl"/>
        </w:rPr>
      </w:pPr>
      <w:r w:rsidRPr="000D3432">
        <w:rPr>
          <w:rStyle w:val="Refdenotaalpie"/>
          <w:rFonts w:asciiTheme="minorHAnsi" w:hAnsiTheme="minorHAnsi"/>
          <w:b/>
          <w:bCs/>
          <w:iCs/>
          <w:color w:val="333333"/>
          <w:sz w:val="24"/>
          <w:szCs w:val="24"/>
          <w:lang w:val="es-ES_tradnl"/>
        </w:rPr>
        <w:t> 5</w:t>
      </w:r>
      <w:r w:rsidRPr="000D3432">
        <w:rPr>
          <w:rFonts w:asciiTheme="minorHAnsi" w:hAnsiTheme="minorHAnsi"/>
          <w:b/>
          <w:bCs/>
          <w:iCs/>
          <w:color w:val="333333"/>
          <w:sz w:val="24"/>
          <w:szCs w:val="24"/>
          <w:lang w:val="es-ES_tradnl"/>
        </w:rPr>
        <w:t xml:space="preserve"> Este “conversar” con la policía supone, en el argot popular pagar un precio a la policía, para que olvide el delito.</w:t>
      </w:r>
    </w:p>
    <w:p w14:paraId="1B835A10" w14:textId="77777777" w:rsidR="0082775B" w:rsidRPr="000D3432" w:rsidRDefault="0082775B" w:rsidP="00A95498">
      <w:pPr>
        <w:jc w:val="both"/>
        <w:rPr>
          <w:rFonts w:asciiTheme="minorHAnsi" w:hAnsiTheme="minorHAnsi"/>
          <w:color w:val="333333"/>
          <w:szCs w:val="24"/>
          <w:lang w:val="es-MX"/>
        </w:rPr>
      </w:pPr>
    </w:p>
    <w:p w14:paraId="1922EA63" w14:textId="77777777" w:rsidR="0082775B" w:rsidRPr="000D3432" w:rsidRDefault="0082775B" w:rsidP="00A95498">
      <w:pPr>
        <w:pStyle w:val="Ttulo3"/>
        <w:rPr>
          <w:rFonts w:asciiTheme="minorHAnsi" w:hAnsiTheme="minorHAnsi"/>
          <w:b/>
          <w:bCs/>
          <w:color w:val="auto"/>
          <w:sz w:val="24"/>
          <w:szCs w:val="24"/>
          <w:lang w:val="es-MX"/>
        </w:rPr>
      </w:pPr>
      <w:bookmarkStart w:id="153" w:name="_Toc318102962"/>
      <w:r w:rsidRPr="000D3432">
        <w:rPr>
          <w:rFonts w:asciiTheme="minorHAnsi" w:hAnsiTheme="minorHAnsi"/>
          <w:b/>
          <w:bCs/>
          <w:color w:val="auto"/>
          <w:sz w:val="24"/>
          <w:szCs w:val="24"/>
          <w:lang w:val="es-MX"/>
        </w:rPr>
        <w:t>II. LA FAMILIA EN EL DERECHO</w:t>
      </w:r>
      <w:bookmarkEnd w:id="153"/>
      <w:r w:rsidRPr="000D3432">
        <w:rPr>
          <w:rFonts w:asciiTheme="minorHAnsi" w:hAnsiTheme="minorHAnsi"/>
          <w:b/>
          <w:bCs/>
          <w:color w:val="auto"/>
          <w:sz w:val="24"/>
          <w:szCs w:val="24"/>
          <w:lang w:val="es-MX"/>
        </w:rPr>
        <w:t xml:space="preserve"> </w:t>
      </w:r>
    </w:p>
    <w:p w14:paraId="6B8691E2" w14:textId="77777777" w:rsidR="0082775B" w:rsidRPr="000D3432" w:rsidRDefault="0082775B" w:rsidP="00A95498">
      <w:pPr>
        <w:jc w:val="both"/>
        <w:rPr>
          <w:rFonts w:asciiTheme="minorHAnsi" w:hAnsiTheme="minorHAnsi"/>
          <w:bCs/>
          <w:iCs/>
          <w:color w:val="333333"/>
          <w:szCs w:val="24"/>
          <w:lang w:val="es-MX"/>
        </w:rPr>
      </w:pPr>
    </w:p>
    <w:p w14:paraId="2497749A"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Fernando De Trazegnies afirma que la familia es tomada, en principio, como una institución anterior al Derecho. Eso significaría que primero es la familia, y después vendría el derecho a regular una situación determinada llamada familia. Trazegnies aclara que la familia no es una institución ya dada, o mejor, que el concepto de familia social que todos tenemos y comprendemos por sentido común, no es el que necesariamente cristaliza el Derecho. No siempre la familia es anterior al Derecho. Sino muchas veces es el Derecho de Familia o la Familia jurídica la que se antepone a una realidad existente. La familia es también creada por el Derecho.  Por eso, el Derecho no se “limita a comprobar la existencia de la familia”. Y tampoco puede ser que “las normas jurídicas no serían otra cosa que la transposición imperativa de una realidad natural, espontánea y universal.”.</w:t>
      </w:r>
    </w:p>
    <w:p w14:paraId="61610831" w14:textId="77777777" w:rsidR="0082775B" w:rsidRPr="000D3432" w:rsidRDefault="0082775B" w:rsidP="00A95498">
      <w:pPr>
        <w:pStyle w:val="Textodecuerpo"/>
        <w:spacing w:line="240" w:lineRule="auto"/>
        <w:rPr>
          <w:rFonts w:asciiTheme="minorHAnsi" w:hAnsiTheme="minorHAnsi"/>
          <w:b/>
          <w:bCs/>
          <w:iCs/>
          <w:color w:val="333333"/>
          <w:sz w:val="24"/>
          <w:szCs w:val="24"/>
          <w:lang w:val="es-MX"/>
        </w:rPr>
      </w:pPr>
    </w:p>
    <w:p w14:paraId="62842E3E"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Desde la perspectiva de la Sociología lo único que se haría es comprobar la realidad social llamada familia, y listo, el Derecho se apegaría a ese dato y ya. Y así  “...el papel del Derecho no sería nada más que facilitar mediante reglas imperativas que esa convicción social se afirme.”</w:t>
      </w:r>
    </w:p>
    <w:p w14:paraId="03EEF6B0"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017A8293"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 xml:space="preserve">Es más, a menudo nos confundimos cuando hablamos de familia. Y esta confusión surge de un mal enfoque. Queremos encajar nuestro concepto </w:t>
      </w:r>
      <w:r w:rsidRPr="000D3432">
        <w:rPr>
          <w:rFonts w:asciiTheme="minorHAnsi" w:hAnsiTheme="minorHAnsi"/>
          <w:bCs/>
          <w:iCs/>
          <w:color w:val="333333"/>
          <w:sz w:val="24"/>
          <w:szCs w:val="24"/>
          <w:lang w:val="es-MX"/>
        </w:rPr>
        <w:lastRenderedPageBreak/>
        <w:t xml:space="preserve">de familia social, con el concepto de familia jurídico. Queremos encajar el concepto biológico, el sociológico, el psicológico, con el concepto jurídico de familia. Y aquí está un primer y gran error –advierte Fernando de Trazegnies Granda, en un artículo sobre la Familia. </w:t>
      </w:r>
    </w:p>
    <w:p w14:paraId="53F00390" w14:textId="77777777" w:rsidR="0082775B" w:rsidRPr="000D3432" w:rsidRDefault="0082775B" w:rsidP="00A95498">
      <w:pPr>
        <w:pStyle w:val="Textodecuerpo"/>
        <w:spacing w:line="240" w:lineRule="auto"/>
        <w:rPr>
          <w:rFonts w:asciiTheme="minorHAnsi" w:hAnsiTheme="minorHAnsi"/>
          <w:b/>
          <w:bCs/>
          <w:iCs/>
          <w:color w:val="333333"/>
          <w:sz w:val="24"/>
          <w:szCs w:val="24"/>
          <w:lang w:val="es-MX"/>
        </w:rPr>
      </w:pPr>
    </w:p>
    <w:p w14:paraId="39C59410" w14:textId="77777777" w:rsidR="0082775B" w:rsidRPr="000D3432" w:rsidRDefault="0082775B" w:rsidP="00A95498">
      <w:pPr>
        <w:pStyle w:val="Textodecuerpo"/>
        <w:spacing w:line="240" w:lineRule="auto"/>
        <w:rPr>
          <w:rFonts w:asciiTheme="minorHAnsi" w:hAnsiTheme="minorHAnsi"/>
          <w:b/>
          <w:iCs/>
          <w:color w:val="333333"/>
          <w:sz w:val="24"/>
          <w:szCs w:val="24"/>
          <w:lang w:val="es-MX"/>
        </w:rPr>
      </w:pPr>
      <w:r w:rsidRPr="000D3432">
        <w:rPr>
          <w:rFonts w:asciiTheme="minorHAnsi" w:hAnsiTheme="minorHAnsi"/>
          <w:b/>
          <w:iCs/>
          <w:color w:val="333333"/>
          <w:sz w:val="24"/>
          <w:szCs w:val="24"/>
          <w:lang w:val="es-MX"/>
        </w:rPr>
        <w:t>Familia biológica vs. realidad múltiple</w:t>
      </w:r>
    </w:p>
    <w:p w14:paraId="6BCE0C91" w14:textId="77777777" w:rsidR="0082775B" w:rsidRPr="000D3432" w:rsidRDefault="0082775B" w:rsidP="00A95498">
      <w:pPr>
        <w:pStyle w:val="Textodecuerpo"/>
        <w:spacing w:line="240" w:lineRule="auto"/>
        <w:rPr>
          <w:rFonts w:asciiTheme="minorHAnsi" w:hAnsiTheme="minorHAnsi"/>
          <w:iCs/>
          <w:color w:val="333333"/>
          <w:sz w:val="24"/>
          <w:szCs w:val="24"/>
          <w:lang w:val="es-MX"/>
        </w:rPr>
      </w:pPr>
    </w:p>
    <w:p w14:paraId="5AC4FFF3"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Se piensa, por ejemplo, que la familia debe ser determinada por la “verdad biológica”. Eso significa que son miembros de la familia aquellos seres humanos en los cuales corre la misma sangre en sus venas. Pero este dato natural, biológico, no es suficiente para el derecho. O al menos no ha sido siempre así. Lo que hace el Derecho es determinar quienes son considerados familia y quienes no.  Hoy, claro, sabemos que el ADN es una prueba para comprobar la filiación, la relación sanguínea de un ser humano con otro. Pero este paso, del dato de la biología a la determinación jurídica no ha sido siempre así. El Derecho de familia usa los instrumentos para determinar cierta verdad, pero esta verdad se apega a los fines sociales que persigue el Derecho.</w:t>
      </w:r>
    </w:p>
    <w:p w14:paraId="529BEF0F"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432EEDDD"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Si el Derecho de familia fuera determinado por la biología, no habría reflexión jurídica, sólo disposición externa, apego al dato social; no valoración social, jurídica, que como sabemos cumple una función organizativa y de bienestar social.</w:t>
      </w:r>
    </w:p>
    <w:p w14:paraId="7A6801D6"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031B64AF"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No, la familia no puede ser determinada por la biología, porque no es un acto natural, sino un invento (recordemos que el sexo puede ser un acto natural, pero no así la familia). Y tampoco es un acto psicológico (quien cría es el padre, etc.) ni sociológico (es el grupo social y sus convicciones lo que determina qué es o no es la familia).</w:t>
      </w:r>
    </w:p>
    <w:p w14:paraId="4CF23D74"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042C679C"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 xml:space="preserve">Ni siquiera lo que entendemos por realidad puede aclarar tan sencillamente el asunto de la familia. Por que la realidad puede presentarse variopinta, múltiple, distinta en cada caso.  Trazegnies aclara este dato. La realidad pueden hacerla nuestros sentidos, o nuestra razón, o nuestra especialización, etc. La realidad no es una, sino varias, depende desde la perspectiva u óptica, desde el cual se toma a la realidad. Por ejemplo, dice Trazegnies- si tomamos un trozo de tela. Este es un objeto que va a ser comprendido y determinado como realidad. Este objeto (es un objeto de conocimiento) se define sólo dentro del proceso cognoscitivo, y este proceso cognoscitivo es siempre diferente, y no único, universal e inequívoco: “no hay una única realidad, sino múltiples realidades que se superponen y se entrelazan de acuerdo a lo concreto y a los proyectos a partir de los cuales es comprendido el mundo externo.”. Trazegnies aclara que la realidad no es una, no es el resultado de un solo proceso de comprensión, sino que difiere en su conocimiento y en su entendimiento, que se encuadra más bien dentro de “un nivel de comprensión, que resulta de la aplicación de nuestro bagaje de sensaciones, de sentimientos y conceptos y de la perspectiva en la que estamos situados, que constituye </w:t>
      </w:r>
      <w:r w:rsidRPr="000D3432">
        <w:rPr>
          <w:rFonts w:asciiTheme="minorHAnsi" w:hAnsiTheme="minorHAnsi"/>
          <w:bCs/>
          <w:iCs/>
          <w:color w:val="333333"/>
          <w:sz w:val="24"/>
          <w:szCs w:val="24"/>
          <w:lang w:val="es-MX"/>
        </w:rPr>
        <w:lastRenderedPageBreak/>
        <w:t>nuestro punto de observación.</w:t>
      </w:r>
    </w:p>
    <w:p w14:paraId="368F7555"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3895176B"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Trazegnies nos revela que si la realidad puede ser determinada por nuestros sentidos, eso significaría que hay una,  y solo una realidad. Pero el problema aparece cuando constatamos que nuestros sentidos no son los únicos capaces de producir conocimiento, sino que son además otros elementos los que nos producen nuevos conocimientos tan ciertos como lo que nuestros sentidos nos presentan. La realidad ya no sería conocida sólo por nuestros sentidos sino por la razón, por ejemplo. Este dato, de que nuestros sentidos no nos dicen todo acerca de la realidad, fue planteado por Copérnico, y reseñado por Friedrich Nietzsche. Copérnico nos dice que nuestros sentidos no determinan la realidad, o al menos toda la realidad, porque son limitados, por tener sólo alcance de órbita, de proyección sensorial. Copérnico advirtió que el centro del universo no era la tierra, y que nosotros estábamos en movimiento, ¿pero cómo puede estar la tierra en movimiento si nosotros percibimos su estabilidad, su inercia, su quietud? Es simple, porque el conocimiento a través de la razón demuestra que sí, que la tierra se mueve. Es nuestra capacidad  racional lo que nos abre las puertas a nuevas realidades. Y en esto Kant aparece, esclarecedor, explicándonos que la razón no tiene límites, y por ella podemos conocer lo que no podemos conocer por las dotes con los que hemos venido prendados por la naturaleza (sentidos, vista, olfato, etc.).</w:t>
      </w:r>
    </w:p>
    <w:p w14:paraId="4AB04008"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66955CC7"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 xml:space="preserve">Volviendo al ejemplo de Trazegnies sobre la realidad de un trozo de tela. Trazegnies dice que un mismo objeto (un trazo de tela) puede configurar muchas realidades distintas y hasta contrapuestas. En ese ejemplo, sucede no un uso diferente del elemento con el cual conocemos y aprehendemos el objeto, para describir su realidad. Aquí lo curioso es que incluso usando los mismos elementos, nuestro conocimiento es distinto, diferente. Trazegnies explica que un pedazo de tela puede significar múltiples cosas, por ejemplo, para un ingeniero textil será:  “un fragmento de tejido”, con ciertas dimensiones, tipo de fibra, trama, colores; para un químico, será “moléculas y estructuras”; para un físico nuclear será: “un inverosímil universo de sistemas planetarios minúsculos en donde fuerzas inconmensurables realizan acciones infinitesimales.”. Lo importante de todas estas descripciones, sobre un mismo objeto de la realidad  (el pedazo de tela) es que “todas ellas son correctas, pero todas son absurdamente diferentes y hasta diríamos contradictorias”. Por eso Trazegnies afirma que: “Cada ‘realidad’ es, entonces, una de las posibles intersecciones entre el objeto y la conciencia, intersecciones cuyo número es infinito”. Pero no se trata de simples intersecciones. Lo que Trazegnies intenta decir, para nosotros, es que el objeto es determinado por nuestra conciencia, y por el tipo de persona o especialista que somos. Es nuestra cultura quien define nuestra manera de comprender o conocer. El objeto es lo que nuestra conciencia (aquella llena de conceptos con los cuales vemos el mundo y lo describimos) nos permite observar, así, si yo soy un físico, o un matemático, o un jurista, o un religioso; la realidad del objeto llamado retazo de tela será descrito desde ese foco, ese centro mental que </w:t>
      </w:r>
      <w:r w:rsidRPr="000D3432">
        <w:rPr>
          <w:rFonts w:asciiTheme="minorHAnsi" w:hAnsiTheme="minorHAnsi"/>
          <w:bCs/>
          <w:iCs/>
          <w:color w:val="333333"/>
          <w:sz w:val="24"/>
          <w:szCs w:val="24"/>
          <w:lang w:val="es-MX"/>
        </w:rPr>
        <w:lastRenderedPageBreak/>
        <w:t>cada uno tiene; ese “ser conocedor”. Conocemos, pues, desde nuestro conocimiento, desde nuestro yo conocedor.</w:t>
      </w:r>
    </w:p>
    <w:p w14:paraId="0B153163"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47145671"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En el Derecho el asunto se vuelve más complejo, porque, aunque se mira el objeto de conocimiento desde una perspectiva especial (la jurídica), esta no es única, sino también variada. Eso significa que desde un mismo foco (el jurídico), el objeto de conocimiento puede ser visto en forma diversa, múltiple. El razonamiento da para eso. Lo que se tiene que hacer, en el derecho, es entonces, determinar la necesidad de cierta vista, de cierta óptica, de cierta dimensión explicativa. Su consistencia social, y no sólo su consistencia racional, objetiva, porque el Derecho no responde a una estructura sólo racional, sino valorativa, axiológica. Entran en juego la necesidad del individuo en armonización con la armonización de la sociedad. Estructura de convivencia, de coexistencia, que tienen que ‘justificarse’ necesariamente para quedar “legitimadas”.</w:t>
      </w:r>
    </w:p>
    <w:p w14:paraId="7244FEB8"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5BECD898"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 xml:space="preserve">Este es el primer paso que tenemos que dar los que hacemos una descripción de la realidad. Saber que no hay realidades únicas, y universales; saber que “La especificidad de cada nivel de comprensión  sólo puede ser salvada si admitimos que no hay una ‘verdad profunda’ sino que cada nivel tiene su propia verdad. El realismo es una trampa porque nos hace creer que es posible encontrar un nivel de realidad que es ‘la verdad’ de todos los demás niveles; pero cada vez que pasamos de un nivel a otro perdemos precisamente aquello que constituía la especificidad del anterior, aquello que –podríamos decir- era ‘la verdad’ del nivel anterior”. </w:t>
      </w:r>
    </w:p>
    <w:p w14:paraId="283E33E2"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755937D2"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La realidad del derecho se manifiesta como una imposición, como una imputación, donde el Derecho pretende crear su propio mundo, fuera del mundo de la naturaleza, “establece sus condiciones en forma imperativa, introduce un nuevo lenguaje y nuevas categorías de conceptualización y hasta pretende sustituir esa denominada ‘realidad’ por un mundo especializado, formal, en cuyo interior no rigen las leyes naturales.” –diría Trazegnies.</w:t>
      </w:r>
    </w:p>
    <w:p w14:paraId="7ABF6181"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1B0C9990"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 xml:space="preserve">Por ejemplo crea conceptos que determinan la naturaleza de las cosas, un objeto movible, puede convertirse en categoría de inmueble –no mueble- como los barcos, etc.  El mundo del derecho es, entonces, una construcción. </w:t>
      </w:r>
    </w:p>
    <w:p w14:paraId="4D6BDAFD"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3DBD0629"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Puede haber contradicción entre la familia biológica y la familia sociológica, lo que sucede no es que una es falsa  y la otra verdadera, sino más bien estamos ante un “conflicto de legitimaciones”. Trazegnies.</w:t>
      </w:r>
    </w:p>
    <w:p w14:paraId="17A21C1A"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411CD6AE"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 xml:space="preserve">Las respuestas no pueden darse desde una disciplina (biológica, económica), para un problema jurídico. No satisfacen, porque no responden al mismo marco o esquema de razonamiento. Por ejemplo, el Derecho se preocupa por la regulación misma de las conductas humanas, mientras que la economía describe más bien aquellos factores que </w:t>
      </w:r>
      <w:r w:rsidRPr="000D3432">
        <w:rPr>
          <w:rFonts w:asciiTheme="minorHAnsi" w:hAnsiTheme="minorHAnsi"/>
          <w:bCs/>
          <w:iCs/>
          <w:color w:val="333333"/>
          <w:sz w:val="24"/>
          <w:szCs w:val="24"/>
          <w:lang w:val="es-MX"/>
        </w:rPr>
        <w:lastRenderedPageBreak/>
        <w:t>mueven al hombre, mientras el derecho pretende crear una realidad y regularla, la economía busca más bien cómo se comporta el hombre, sus principios básicos de hacer o no hacer, por ejemplo, Giorgio del Vechio dice que la economía política busca saber “conseguir satisfacer sus necesidades al máximo pero con el menor esfuerzo”, “La ciencia económica se funda, …, sobre el concepto de utilidad, esto es, sobre la hipótesis de que ‘los hombres son movidos a obrar exclusivamente por el deseo de conseguir la mayor satisfacción de sus necesidades con el mínimo esfuerzo individual posible”. Esta conceptualización de lo que hace la economía no es una tentativa de determinar las conductas, no es un querer diseñar el mundo -como quiere el derecho- , sino una característica del ser humano.</w:t>
      </w:r>
    </w:p>
    <w:p w14:paraId="0A64A4C2"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p>
    <w:p w14:paraId="52116E42" w14:textId="77777777" w:rsidR="0082775B" w:rsidRPr="000D3432" w:rsidRDefault="0082775B" w:rsidP="00A95498">
      <w:pPr>
        <w:pStyle w:val="Textodecuerpo"/>
        <w:spacing w:line="240" w:lineRule="auto"/>
        <w:rPr>
          <w:rFonts w:asciiTheme="minorHAnsi" w:hAnsiTheme="minorHAnsi"/>
          <w:bCs/>
          <w:iCs/>
          <w:color w:val="333333"/>
          <w:sz w:val="24"/>
          <w:szCs w:val="24"/>
          <w:lang w:val="es-MX"/>
        </w:rPr>
      </w:pPr>
      <w:r w:rsidRPr="000D3432">
        <w:rPr>
          <w:rFonts w:asciiTheme="minorHAnsi" w:hAnsiTheme="minorHAnsi"/>
          <w:bCs/>
          <w:iCs/>
          <w:color w:val="333333"/>
          <w:sz w:val="24"/>
          <w:szCs w:val="24"/>
          <w:lang w:val="es-MX"/>
        </w:rPr>
        <w:t>El Derecho toma de las otras experiencias y disciplinas sus datos, pero no se subordina a ellas, eso sí “las integra dentro de un proyecto social: las utiliza como material inevitable pero no exclusivo ni inalterable” (Trazegnies). Hace una reinterpretación de los datos naturales, para hacerlos “culturales”. El Derecho no es natural sino “comprobativo-constitutivo.”</w:t>
      </w:r>
    </w:p>
    <w:p w14:paraId="01BFB445" w14:textId="77777777" w:rsidR="0082775B" w:rsidRPr="000D3432" w:rsidRDefault="0082775B" w:rsidP="00A95498">
      <w:pPr>
        <w:numPr>
          <w:ilvl w:val="12"/>
          <w:numId w:val="0"/>
        </w:numPr>
        <w:jc w:val="both"/>
        <w:rPr>
          <w:rFonts w:asciiTheme="minorHAnsi" w:hAnsiTheme="minorHAnsi"/>
          <w:color w:val="000000"/>
          <w:szCs w:val="24"/>
        </w:rPr>
      </w:pPr>
    </w:p>
    <w:p w14:paraId="327369D3" w14:textId="77777777" w:rsidR="0082775B" w:rsidRPr="000D3432" w:rsidRDefault="0082775B" w:rsidP="00A95498">
      <w:pPr>
        <w:numPr>
          <w:ilvl w:val="12"/>
          <w:numId w:val="0"/>
        </w:numPr>
        <w:jc w:val="both"/>
        <w:rPr>
          <w:rFonts w:asciiTheme="minorHAnsi" w:hAnsiTheme="minorHAnsi"/>
          <w:color w:val="000000"/>
          <w:szCs w:val="24"/>
        </w:rPr>
      </w:pPr>
    </w:p>
    <w:p w14:paraId="10AF8452" w14:textId="77777777" w:rsidR="0082775B" w:rsidRPr="000D3432" w:rsidRDefault="0082775B" w:rsidP="00A95498">
      <w:pPr>
        <w:numPr>
          <w:ilvl w:val="12"/>
          <w:numId w:val="0"/>
        </w:numPr>
        <w:ind w:firstLine="426"/>
        <w:jc w:val="center"/>
        <w:rPr>
          <w:rFonts w:asciiTheme="minorHAnsi" w:hAnsiTheme="minorHAnsi"/>
          <w:color w:val="000000"/>
          <w:szCs w:val="24"/>
        </w:rPr>
      </w:pPr>
    </w:p>
    <w:p w14:paraId="3873FEE7" w14:textId="77777777" w:rsidR="0082775B" w:rsidRPr="000D3432" w:rsidRDefault="0082775B" w:rsidP="00A95498">
      <w:pPr>
        <w:numPr>
          <w:ilvl w:val="12"/>
          <w:numId w:val="0"/>
        </w:numPr>
        <w:ind w:firstLine="426"/>
        <w:rPr>
          <w:rFonts w:asciiTheme="minorHAnsi" w:hAnsiTheme="minorHAnsi"/>
          <w:color w:val="000000"/>
          <w:szCs w:val="24"/>
        </w:rPr>
      </w:pPr>
    </w:p>
    <w:p w14:paraId="5506B7D6" w14:textId="77777777" w:rsidR="0082775B" w:rsidRPr="000D3432" w:rsidRDefault="0082775B" w:rsidP="00A95498">
      <w:pPr>
        <w:numPr>
          <w:ilvl w:val="12"/>
          <w:numId w:val="0"/>
        </w:numPr>
        <w:ind w:firstLine="426"/>
        <w:rPr>
          <w:rFonts w:asciiTheme="minorHAnsi" w:hAnsiTheme="minorHAnsi"/>
          <w:color w:val="000000"/>
          <w:szCs w:val="24"/>
        </w:rPr>
      </w:pPr>
    </w:p>
    <w:p w14:paraId="7DC7775D"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683B16D4" w14:textId="77777777" w:rsidR="0082775B" w:rsidRPr="000D3432" w:rsidRDefault="0082775B" w:rsidP="00A95498">
      <w:pPr>
        <w:numPr>
          <w:ilvl w:val="12"/>
          <w:numId w:val="0"/>
        </w:numPr>
        <w:ind w:firstLine="426"/>
        <w:rPr>
          <w:rFonts w:asciiTheme="minorHAnsi" w:hAnsiTheme="minorHAnsi"/>
          <w:color w:val="000000"/>
          <w:szCs w:val="24"/>
        </w:rPr>
      </w:pPr>
    </w:p>
    <w:p w14:paraId="3DE7C085" w14:textId="77777777" w:rsidR="0082775B" w:rsidRPr="000D3432" w:rsidRDefault="0082775B" w:rsidP="00A95498">
      <w:pPr>
        <w:numPr>
          <w:ilvl w:val="12"/>
          <w:numId w:val="0"/>
        </w:numPr>
        <w:ind w:firstLine="426"/>
        <w:rPr>
          <w:rFonts w:asciiTheme="minorHAnsi" w:hAnsiTheme="minorHAnsi"/>
          <w:color w:val="000000"/>
          <w:szCs w:val="24"/>
        </w:rPr>
      </w:pPr>
    </w:p>
    <w:p w14:paraId="7ED191AB" w14:textId="77777777" w:rsidR="0082775B" w:rsidRPr="000D3432" w:rsidRDefault="0082775B" w:rsidP="00A95498">
      <w:pPr>
        <w:numPr>
          <w:ilvl w:val="12"/>
          <w:numId w:val="0"/>
        </w:numPr>
        <w:ind w:firstLine="426"/>
        <w:rPr>
          <w:rFonts w:asciiTheme="minorHAnsi" w:hAnsiTheme="minorHAnsi"/>
          <w:color w:val="000000"/>
          <w:szCs w:val="24"/>
        </w:rPr>
      </w:pPr>
    </w:p>
    <w:p w14:paraId="48CE47C7" w14:textId="77777777" w:rsidR="0082775B" w:rsidRPr="000D3432" w:rsidRDefault="0082775B" w:rsidP="00A95498">
      <w:pPr>
        <w:numPr>
          <w:ilvl w:val="12"/>
          <w:numId w:val="0"/>
        </w:numPr>
        <w:ind w:firstLine="426"/>
        <w:rPr>
          <w:rFonts w:asciiTheme="minorHAnsi" w:hAnsiTheme="minorHAnsi"/>
          <w:color w:val="000000"/>
          <w:szCs w:val="24"/>
        </w:rPr>
      </w:pPr>
    </w:p>
    <w:p w14:paraId="2CA48479" w14:textId="77777777" w:rsidR="0082775B" w:rsidRPr="000D3432" w:rsidRDefault="0082775B" w:rsidP="00A95498">
      <w:pPr>
        <w:numPr>
          <w:ilvl w:val="12"/>
          <w:numId w:val="0"/>
        </w:numPr>
        <w:ind w:firstLine="426"/>
        <w:rPr>
          <w:rFonts w:asciiTheme="minorHAnsi" w:hAnsiTheme="minorHAnsi"/>
          <w:color w:val="000000"/>
          <w:szCs w:val="24"/>
        </w:rPr>
      </w:pPr>
    </w:p>
    <w:p w14:paraId="3E7ACE01" w14:textId="77777777" w:rsidR="0082775B" w:rsidRPr="000D3432" w:rsidRDefault="0082775B" w:rsidP="00A95498">
      <w:pPr>
        <w:numPr>
          <w:ilvl w:val="12"/>
          <w:numId w:val="0"/>
        </w:numPr>
        <w:ind w:firstLine="426"/>
        <w:rPr>
          <w:rFonts w:asciiTheme="minorHAnsi" w:hAnsiTheme="minorHAnsi"/>
          <w:color w:val="000000"/>
          <w:szCs w:val="24"/>
        </w:rPr>
      </w:pPr>
    </w:p>
    <w:p w14:paraId="083DD11C" w14:textId="77777777" w:rsidR="0082775B" w:rsidRPr="000D3432" w:rsidRDefault="0082775B" w:rsidP="00A95498">
      <w:pPr>
        <w:numPr>
          <w:ilvl w:val="12"/>
          <w:numId w:val="0"/>
        </w:numPr>
        <w:ind w:firstLine="426"/>
        <w:rPr>
          <w:rFonts w:asciiTheme="minorHAnsi" w:hAnsiTheme="minorHAnsi"/>
          <w:color w:val="000000"/>
          <w:szCs w:val="24"/>
        </w:rPr>
      </w:pPr>
    </w:p>
    <w:p w14:paraId="468BE35B" w14:textId="77777777" w:rsidR="0082775B" w:rsidRPr="000D3432" w:rsidRDefault="0082775B" w:rsidP="00A95498">
      <w:pPr>
        <w:numPr>
          <w:ilvl w:val="12"/>
          <w:numId w:val="0"/>
        </w:numPr>
        <w:ind w:firstLine="426"/>
        <w:rPr>
          <w:rFonts w:asciiTheme="minorHAnsi" w:hAnsiTheme="minorHAnsi"/>
          <w:color w:val="000000"/>
          <w:szCs w:val="24"/>
        </w:rPr>
      </w:pPr>
    </w:p>
    <w:p w14:paraId="7F9DFF22" w14:textId="77777777" w:rsidR="0082775B" w:rsidRPr="000D3432" w:rsidRDefault="0082775B" w:rsidP="00A95498">
      <w:pPr>
        <w:pStyle w:val="Ttulo4"/>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olor w:val="auto"/>
        </w:rPr>
      </w:pPr>
    </w:p>
    <w:p w14:paraId="6B51BCD3" w14:textId="77777777" w:rsidR="0082775B" w:rsidRPr="000D3432" w:rsidRDefault="0082775B" w:rsidP="00A95498">
      <w:pPr>
        <w:pStyle w:val="Ttulo4"/>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olor w:val="auto"/>
        </w:rPr>
      </w:pPr>
    </w:p>
    <w:p w14:paraId="39C5E60F" w14:textId="77777777" w:rsidR="0082775B" w:rsidRPr="000D3432" w:rsidRDefault="0082775B" w:rsidP="00A95498">
      <w:pPr>
        <w:pStyle w:val="Ttulo4"/>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olor w:val="auto"/>
        </w:rPr>
      </w:pPr>
    </w:p>
    <w:p w14:paraId="7817AD94" w14:textId="77777777" w:rsidR="0082775B" w:rsidRPr="000D3432" w:rsidRDefault="0082775B" w:rsidP="00A95498">
      <w:pPr>
        <w:pStyle w:val="Ttulo4"/>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olor w:val="auto"/>
        </w:rPr>
      </w:pPr>
    </w:p>
    <w:p w14:paraId="3F6B08B1" w14:textId="77777777" w:rsidR="0082775B" w:rsidRPr="000D3432" w:rsidRDefault="0082775B" w:rsidP="00A95498">
      <w:pPr>
        <w:pStyle w:val="Ttulo4"/>
        <w:tabs>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b/>
          <w:color w:val="auto"/>
        </w:rPr>
      </w:pPr>
      <w:r w:rsidRPr="000D3432">
        <w:rPr>
          <w:rFonts w:asciiTheme="minorHAnsi" w:hAnsiTheme="minorHAnsi"/>
          <w:b/>
          <w:color w:val="auto"/>
        </w:rPr>
        <w:t>_________________EL JUEZ EN SU LABERINTO _________________</w:t>
      </w:r>
    </w:p>
    <w:p w14:paraId="083946F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86360D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78626E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08EC10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F913A2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Cada vez más el Juez tiene mejor delimitado su campo de acción, su función social; eso implica que se ha formulado también un nuevo concepto del Juez, una nueva conformación de la función. Por eso empezaremos este discurso citando a Francesco Carnelutti, quien escribía: «Y el Juez, cuando escruta en el rostro del acusado la verdad de su vida para saber lo que la sociedad debe hacer de él, no hace más que adivinar. (...) Adivinar indica la necesidad y la imposibilidad del hombre de ver lo que ve solamente Dios.». Parto de esta impecable apreciación para luego preguntarme ¿Qué es un Juez?</w:t>
      </w:r>
    </w:p>
    <w:p w14:paraId="3171FFD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7D70517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Si leemos un diccionario cualquiera éste nos dirá que </w:t>
      </w:r>
      <w:r w:rsidRPr="000D3432">
        <w:rPr>
          <w:rFonts w:asciiTheme="minorHAnsi" w:hAnsiTheme="minorHAnsi"/>
          <w:i/>
          <w:szCs w:val="24"/>
        </w:rPr>
        <w:t xml:space="preserve">Juez </w:t>
      </w:r>
      <w:r w:rsidRPr="000D3432">
        <w:rPr>
          <w:rFonts w:asciiTheme="minorHAnsi" w:hAnsiTheme="minorHAnsi"/>
          <w:szCs w:val="24"/>
        </w:rPr>
        <w:t>es el “Magistrado encargado de hacer justicia aplicando con autoridad las leyes del Estado”. Hay en esa conceptualización muchos elementos que analizar, y por analizar entendemos la separación y distinción de las partes de un todo para examinarlas cuidadosamente; la descomposición de un cuerpo (el todo) para luego recomponerlo en una síntesis de textura diáfana y consistente. (Carnelutti)</w:t>
      </w:r>
    </w:p>
    <w:p w14:paraId="58F1255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631FA3B"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Entonces, ¿qué se entiende por «magistrado»?; después ¿qué se entiende por «justicia»?; más tarde, ¿qué quiere decir eso de «aplicar las leyes del Estado»? El asunto, al parecer trivial se muestra realmente complejo; primero porque el término </w:t>
      </w:r>
      <w:r w:rsidRPr="000D3432">
        <w:rPr>
          <w:rFonts w:asciiTheme="minorHAnsi" w:hAnsiTheme="minorHAnsi"/>
          <w:i/>
          <w:szCs w:val="24"/>
        </w:rPr>
        <w:t xml:space="preserve"> Magistrado</w:t>
      </w:r>
      <w:r w:rsidRPr="000D3432">
        <w:rPr>
          <w:rFonts w:asciiTheme="minorHAnsi" w:hAnsiTheme="minorHAnsi"/>
          <w:szCs w:val="24"/>
        </w:rPr>
        <w:t xml:space="preserve">, </w:t>
      </w:r>
      <w:r w:rsidRPr="000D3432">
        <w:rPr>
          <w:rFonts w:asciiTheme="minorHAnsi" w:hAnsiTheme="minorHAnsi"/>
          <w:i/>
          <w:szCs w:val="24"/>
        </w:rPr>
        <w:t xml:space="preserve"> Juez </w:t>
      </w:r>
      <w:r w:rsidRPr="000D3432">
        <w:rPr>
          <w:rFonts w:asciiTheme="minorHAnsi" w:hAnsiTheme="minorHAnsi"/>
          <w:szCs w:val="24"/>
        </w:rPr>
        <w:t xml:space="preserve">es un concepto demasiado abstracto, que tiene,  eso sí, elementos definidos, pero radio de acción, o facultades, siempre en construcción. Y luego la </w:t>
      </w:r>
      <w:r w:rsidRPr="000D3432">
        <w:rPr>
          <w:rFonts w:asciiTheme="minorHAnsi" w:hAnsiTheme="minorHAnsi"/>
          <w:i/>
          <w:szCs w:val="24"/>
        </w:rPr>
        <w:t>Justicia</w:t>
      </w:r>
      <w:r w:rsidRPr="000D3432">
        <w:rPr>
          <w:rFonts w:asciiTheme="minorHAnsi" w:hAnsiTheme="minorHAnsi"/>
          <w:szCs w:val="24"/>
        </w:rPr>
        <w:t xml:space="preserve"> es un fenómeno demasiado gaseoso, poco o nada aprehensible y siempre discutible. Y por último,  entender lo que es el Estado es también muy complejo, además, ¿cómo resolver la condición contradictoria existente entre él y el individuo (al Estado se lo observa siempre como opuesto al individuo)?; y luego este Estado distante, este «ogro filantrópico», este «devorador» y monopolizador de las fuerzas, este «monstruo que miente en todos los idiomas» ¡da leyes para el individuo!</w:t>
      </w:r>
    </w:p>
    <w:p w14:paraId="365986C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rPr>
          <w:rFonts w:asciiTheme="minorHAnsi" w:hAnsiTheme="minorHAnsi"/>
          <w:szCs w:val="24"/>
        </w:rPr>
      </w:pPr>
    </w:p>
    <w:p w14:paraId="2395000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Veamos las cosas por orden. Lo primero es, entonces, saber qué se entiende por </w:t>
      </w:r>
      <w:r w:rsidRPr="000D3432">
        <w:rPr>
          <w:rFonts w:asciiTheme="minorHAnsi" w:hAnsiTheme="minorHAnsi"/>
          <w:i/>
          <w:szCs w:val="24"/>
        </w:rPr>
        <w:lastRenderedPageBreak/>
        <w:t>Magistrado</w:t>
      </w:r>
      <w:r w:rsidRPr="000D3432">
        <w:rPr>
          <w:rFonts w:asciiTheme="minorHAnsi" w:hAnsiTheme="minorHAnsi"/>
          <w:szCs w:val="24"/>
        </w:rPr>
        <w:t>,</w:t>
      </w:r>
      <w:r w:rsidRPr="000D3432">
        <w:rPr>
          <w:rFonts w:asciiTheme="minorHAnsi" w:hAnsiTheme="minorHAnsi"/>
          <w:i/>
          <w:szCs w:val="24"/>
        </w:rPr>
        <w:t xml:space="preserve"> Juez</w:t>
      </w:r>
      <w:r w:rsidRPr="000D3432">
        <w:rPr>
          <w:rFonts w:asciiTheme="minorHAnsi" w:hAnsiTheme="minorHAnsi"/>
          <w:szCs w:val="24"/>
        </w:rPr>
        <w:t>. Juez y Estado en esta época están muy entrelazados. Así el Derecho de cada Estado le ha otorgado al Juez ciertos límites de acción; pero el término Juez no es un vocablo local, sino universal, aunque el radio de acción de sus facultades sean delimitadas en cada sociedad.</w:t>
      </w:r>
    </w:p>
    <w:p w14:paraId="262EBDB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6A30357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En las culturas primitivas -y hablo de primitivas en el sentido primario de su acepción, es decir primitivas histórica y mentalmente - el hombre frente a un hecho determinado, (que alguien le quitara su comida, mujer, u otra cosa, por ejemplo) reaccionaba directamente,  hacia justicia por su propia cuenta, esto es lo que Juan Monroy Gálvez denominó </w:t>
      </w:r>
      <w:r w:rsidRPr="000D3432">
        <w:rPr>
          <w:rFonts w:asciiTheme="minorHAnsi" w:hAnsiTheme="minorHAnsi"/>
          <w:i/>
          <w:szCs w:val="24"/>
        </w:rPr>
        <w:t>La acción directa.</w:t>
      </w:r>
      <w:r w:rsidRPr="000D3432">
        <w:rPr>
          <w:rFonts w:asciiTheme="minorHAnsi" w:hAnsiTheme="minorHAnsi"/>
          <w:szCs w:val="24"/>
        </w:rPr>
        <w:t xml:space="preserve"> Lo interesante de ese estado histórico y mental, es que el hombre </w:t>
      </w:r>
      <w:r w:rsidRPr="000D3432">
        <w:rPr>
          <w:rFonts w:asciiTheme="minorHAnsi" w:hAnsiTheme="minorHAnsi"/>
          <w:i/>
          <w:szCs w:val="24"/>
        </w:rPr>
        <w:t>calificaba su pretensión</w:t>
      </w:r>
      <w:r w:rsidRPr="000D3432">
        <w:rPr>
          <w:rFonts w:asciiTheme="minorHAnsi" w:hAnsiTheme="minorHAnsi"/>
          <w:szCs w:val="24"/>
        </w:rPr>
        <w:t xml:space="preserve"> (según Mario Alzamora Valdez, citado por Juan Monroy Gálvez). Esta acción directa llevaría, si no se restringía, al caos, y a la destrucción de unos y otros. Juan Monroy Gálvez, nos dice que en el momento en que el hombre se dio cuenta de esto y decidió ceder la potestad de hacer justicia a otro fue el inicio de la acción civil, y por lo tanto de la civilización. Yo más bien sospecho que este dejarle a un tercero que decida sobre una determinada pretensión supuso más un acto de subordinación y sometimiento al más fuerte. No fue, a mi parecer, un acto voluntario, sino un proceso de dominio, dominio de ese tercero al cual se le dio la potestad de decidir qué era justo, y quién de las partes confrontadas tenía razón; sospecho, además, que esa cesión (que el tercero decida qué es justo) la plantearon los más débiles (¿porqué un individuo fuerte, que podía hacer valer su pretensión por la fuerza, hacerse justicia por cuenta propia le daría a un tercero la potestad de </w:t>
      </w:r>
      <w:r w:rsidRPr="000D3432">
        <w:rPr>
          <w:rFonts w:asciiTheme="minorHAnsi" w:hAnsiTheme="minorHAnsi"/>
          <w:i/>
          <w:szCs w:val="24"/>
        </w:rPr>
        <w:t>decidir</w:t>
      </w:r>
      <w:r w:rsidRPr="000D3432">
        <w:rPr>
          <w:rFonts w:asciiTheme="minorHAnsi" w:hAnsiTheme="minorHAnsi"/>
          <w:szCs w:val="24"/>
        </w:rPr>
        <w:t xml:space="preserve"> y calificar su pretensión?). Además existe otro fenómeno curioso, en el mismo momento en que el hombre cede a otro la potestad de decidir qué es justo o no, le cede también la calificación de la validez de su pretensión. Es decir, deja de ser sujeto instintivo, movido por sus motivaciones interiores e instintivas para pasar a ser qué. Al dejar que este tercero </w:t>
      </w:r>
      <w:r w:rsidRPr="000D3432">
        <w:rPr>
          <w:rFonts w:asciiTheme="minorHAnsi" w:hAnsiTheme="minorHAnsi"/>
          <w:i/>
          <w:szCs w:val="24"/>
        </w:rPr>
        <w:t>califique la validez de la pretensión,</w:t>
      </w:r>
      <w:r w:rsidRPr="000D3432">
        <w:rPr>
          <w:rFonts w:asciiTheme="minorHAnsi" w:hAnsiTheme="minorHAnsi"/>
          <w:szCs w:val="24"/>
        </w:rPr>
        <w:t xml:space="preserve"> está pervirtiendo su instinto y se convierte en civil  -pero también en reprimido-, en un sujeto racional, es decir, en un sujeto que se controla y/o es controlado, y todo control supone amoldamiento a los mandamientos establecidos, pero no significa que esos sentimientos primarios, primitivos hayan desaparecido.</w:t>
      </w:r>
    </w:p>
    <w:p w14:paraId="56812F3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34FC2D6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El Juez es entonces un hombre que «decide». Esta es su máxima atribución, «poder». Su función trascendental es la de ser  «protagonista principal del acto de resolver conflictos» (Juan Monroy Galvez). </w:t>
      </w:r>
    </w:p>
    <w:p w14:paraId="4967015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0FAB4B8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Pero el juez es, además, una especie de adivino porque no utiliza solamente elementos racionales para tomar una decisión, una decisión con consecuencias jurídicas, el juez se ve expuesto a «factores endógenos -emociones, afectos, odios, etc.», (Juan Monroy Gálvez).</w:t>
      </w:r>
    </w:p>
    <w:p w14:paraId="397D93F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1A1883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Para el positivismo, el juez, desde la perspectiva de la razón, era un mero aplicador de la  norma positiva. «Una deficiente visión histórica nos ha entregado el mito del juez condicionado desde siempre al cumplimiento de su función como un exclusivo aplicador de la norma escrita. Este mito se completa con el infundio de que es la única manera como el juez puede desempeñar su </w:t>
      </w:r>
      <w:r w:rsidRPr="000D3432">
        <w:rPr>
          <w:rFonts w:asciiTheme="minorHAnsi" w:hAnsiTheme="minorHAnsi"/>
          <w:szCs w:val="24"/>
        </w:rPr>
        <w:lastRenderedPageBreak/>
        <w:t>función sin claudicar ni excederse.» Este es el razonamiento que -expuesto por Juan Monroy Gálvez- intenta racionalizar, positivizar la actividad del Juez, dotarlo de certeza frente a los demás. Dotar de certidumbre y objetividad sus decisiones. Darle parámetros, «la historia nos enseña que el juez sin parámetros legales ha significado siempre un peligro, casi tanto como el juez sometido a la literalidad de la norma. Las  distintas culturas se han deslizado siempre entre estas dos opciones extremas, entre Escila y Caribdis. Sin embargo, advertimos que la tendencia actual es privilegiar al juez creador del derecho».</w:t>
      </w:r>
    </w:p>
    <w:p w14:paraId="4CF2EBD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E4E4C6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Por otro lado, el Juez ha estado siempre adherido a un concepto, el de Estado. De allí parte su poder, se dice. Por ejemplo,  «el Código de Hammurabi concibe el servicio de justicia como una función del Estado.», pero ¿debe ser esto así, considerando que el Poder debe estar dividido y contar con autonomía para ser eficaz?</w:t>
      </w:r>
    </w:p>
    <w:p w14:paraId="3CD504B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3220A3D"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El segundo elemento a explorar es el de la Justicia; y el concepto más extendido es la de Ulpiano que proponía a la Justicia como la voluntad permanente de «dar a cada cual lo suyo». Concepción contradicha por Kant, quien argumenta que «a nadie se le puede dar lo que ya tiene», lo que es suyo. Kant propone más bien «entrar en un estado en que cada uno pueda conservar lo suyo contra los demás (lex justitice)».</w:t>
      </w:r>
    </w:p>
    <w:p w14:paraId="5BEF9D6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275563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El tercer elemento es el Estado. Ese artificio creado por el hombre para contradecir a la naturaleza salvaje. Remozado y pulido con el pensamiento de la modernidad, el Estado moderno es ya un monopolizador de la fuerza, un decisor. Y ¿quién es el Estado? «El pueblo», se nos responde. Nietzsche grita que ésa es una de las mas grandes mentiras que sale de boca del Estado. Y Bobbio dice que el Estado moderno «aparece como una forma de organización del poder históricamente determinado». Y mucho tiempo atrás Luis XIV dictaminaba: «El Estado soy yo». Lo que queda claro de todo esto, es que, en efecto el Estado son «ellos», casi nunca «nosotros». El Estado no soy yo, y ese Estado que no es uno, diseña, viabiliza y conviene la existencia del Juez.</w:t>
      </w:r>
    </w:p>
    <w:p w14:paraId="3A78B2B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436C648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Bien, pero finalizando abruptamente, hemos de decir que el Juez, hombre investido del poder de decisión sobre los demás -los que entran en su esfera- en cierta forma «adivina», como lo diría Francesco Carnelutti; y por más que se le intente dar un viso de objetividad, es de alguna forma arbitrario (en el sentido de subjetivo) al decidir, como lo sugeriría Simone de Beauvoir. Y bastaría analizar bien las palabras que nos deja esta autora sobre la peculiaridad del Juez, que aún no muchos creen, pero que en realidad tiene un sustrato muy sólido, dada la incapacidad del hombre para ser objetivo. La objetividad es una creación del hombre para afirmar sus conocimientos y para intentar darle coherencia, no es una cosa consustancial al hombre, sino una construcción. </w:t>
      </w:r>
    </w:p>
    <w:p w14:paraId="30587CC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center"/>
        <w:rPr>
          <w:rFonts w:asciiTheme="minorHAnsi" w:hAnsiTheme="minorHAnsi"/>
          <w:szCs w:val="24"/>
        </w:rPr>
      </w:pPr>
      <w:r w:rsidRPr="000D3432">
        <w:rPr>
          <w:rFonts w:asciiTheme="minorHAnsi" w:hAnsiTheme="minorHAnsi"/>
          <w:szCs w:val="24"/>
        </w:rPr>
        <w:t>* * *</w:t>
      </w:r>
    </w:p>
    <w:p w14:paraId="4DB7EF4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i/>
          <w:szCs w:val="24"/>
        </w:rPr>
      </w:pPr>
      <w:r w:rsidRPr="000D3432">
        <w:rPr>
          <w:rFonts w:asciiTheme="minorHAnsi" w:hAnsiTheme="minorHAnsi"/>
          <w:szCs w:val="24"/>
        </w:rPr>
        <w:t xml:space="preserve">«Las pretensiones del juez son más arrogantes aún que las del tirano, pues éste limítase a coincidir consigo mismo mientras que el otro pretende erigir sus opiniones en ley universal. Su tentativa reposa sobre una mentira, pues cada uno está encerrado dentro de su propia piel y no sabría transformarse en </w:t>
      </w:r>
      <w:r w:rsidRPr="000D3432">
        <w:rPr>
          <w:rFonts w:asciiTheme="minorHAnsi" w:hAnsiTheme="minorHAnsi"/>
          <w:szCs w:val="24"/>
        </w:rPr>
        <w:lastRenderedPageBreak/>
        <w:t>mediador entre individuos apartados, tanto como él mismo de ellos.»</w:t>
      </w:r>
      <w:r w:rsidRPr="000D3432">
        <w:rPr>
          <w:rFonts w:asciiTheme="minorHAnsi" w:hAnsiTheme="minorHAnsi"/>
          <w:i/>
          <w:szCs w:val="24"/>
        </w:rPr>
        <w:t xml:space="preserve"> (Simone de Beauvoir)</w:t>
      </w:r>
    </w:p>
    <w:p w14:paraId="246362D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3D3A91A"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Simone de Beauvoir habría escrito las palabras arriba enunciadas en un hermoso, curioso e interesante libro: </w:t>
      </w:r>
      <w:r w:rsidRPr="000D3432">
        <w:rPr>
          <w:rFonts w:asciiTheme="minorHAnsi" w:hAnsiTheme="minorHAnsi"/>
          <w:i/>
          <w:szCs w:val="24"/>
        </w:rPr>
        <w:t>El marqués de Sade</w:t>
      </w:r>
      <w:r w:rsidRPr="000D3432">
        <w:rPr>
          <w:rFonts w:asciiTheme="minorHAnsi" w:hAnsiTheme="minorHAnsi"/>
          <w:szCs w:val="24"/>
        </w:rPr>
        <w:t xml:space="preserve">. Libro suculento y radical, del que se pueden extraer muchas apreciaciones jurídicas. Beauvoir hecha en cara la insolencia culpable de los jueces en sus sentencias. Los asemeja a los tiranos, de los cuales se diferencian -apuntala- sólo por su arrogancia. El tirano es coherente consigo mismo -dice-, lo que lo haría menos peligroso. El Juez no es ni siquiera consecuente consigo mismo porque cree que bajo el sombrero de la «objetividad», está siendo justo, imparcial, correcto. ¿Cómo puede el Juez creer en la objetividad de sus razonamientos si el hombre nunca será objetivo, sino exclusivamente subjetivo?, se pregunta Beauvoir. Para ser objetivo habría que ser el otro, ponerse en el lugar del otro, o de los demás, y eso es imposible, porque «uno está atrapado en su propia piel». No puede juzgar desde otra piel «desde la posición del otro», por más que quiera o crea estar haciéndolo. Por el simple hecho de que somos personas únicas, exclusivas, distintas e </w:t>
      </w:r>
      <w:r w:rsidRPr="000D3432">
        <w:rPr>
          <w:rFonts w:asciiTheme="minorHAnsi" w:hAnsiTheme="minorHAnsi"/>
          <w:i/>
          <w:szCs w:val="24"/>
        </w:rPr>
        <w:t>«irrepetibles»</w:t>
      </w:r>
      <w:r w:rsidRPr="000D3432">
        <w:rPr>
          <w:rFonts w:asciiTheme="minorHAnsi" w:hAnsiTheme="minorHAnsi"/>
          <w:szCs w:val="24"/>
        </w:rPr>
        <w:t>. Por eso, cuando el Juez suelta orgulloso sus sentencias, y, para calmar su conciencia ha utilizado todos los instrumentos de la objetividad (ley, principios generales del derecho, doctrina, etc. para motivar su sentencia), creyendo con eso haber escapado a su subjetivismo, comete un desliz cognoscitivo. Porque lo que ha hecho es usar los instrumentos para hacer la sentencia, pero es «él» quien los acomoda de tal o cual manera, es «él» quien «razona», y es «él», y no otro, quien «sentencia». La sentencia no es más que una resolución arbitraria revestida con visos de objetividad y justicia. Se trata simplemente de una arbitrariedad legitimada, es decir, aceptada por todos.</w:t>
      </w:r>
    </w:p>
    <w:p w14:paraId="3A0AF98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5212800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Es arbitraria porque al hacer la sentencia entra en juego los valores del hombre que hace la sentencia, no los valores de los demás. El juez es un hombre que valora (da la medida del valor) de tal o cual acto, desde su profundo yo interno, desde su cosmovisión, no desde la cosmovisión del otro.</w:t>
      </w:r>
      <w:r w:rsidRPr="000D3432">
        <w:rPr>
          <w:rFonts w:asciiTheme="minorHAnsi" w:hAnsiTheme="minorHAnsi"/>
          <w:szCs w:val="24"/>
        </w:rPr>
        <w:tab/>
        <w:t xml:space="preserve"> </w:t>
      </w:r>
    </w:p>
    <w:p w14:paraId="2AC6BFA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5B2154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No se quiere decir que el Juez sea una sabandija encubierta, sino que hay en su función una inherente e incluso inconsciente actitud arbitraria. Díganme sino cómo ir contra la opinión de un Juez. Su opinión es sentencia, es ley. Hay entonces en el juez más de subjetivo que de objetivo. Hay menos de racional que de sentimiento en una sentencia. Parece que esta última idea habría sido olida ya por el gran jurista Piero Calamandrei. Según cuenta  Mauro Cappelletti: «Un tema de estudio que Piero Calamandrei gustaba de sugerir a sus alumnos, entre ellos a mí, era el del «sentimiento en la sentencia». Es éste un tema que ninguno de nosotros ha querido tratar: conscientes quizá de que sólo él, con aquella humanísima sensibilidad e irrepetible finura de estilo que le eran propias y que le permitían penetrar en los más recónditos matices de la psicología humana, habría sabido tratarlo adecuadamente. El solía recordar que la misma  palabra </w:t>
      </w:r>
      <w:r w:rsidRPr="000D3432">
        <w:rPr>
          <w:rFonts w:asciiTheme="minorHAnsi" w:hAnsiTheme="minorHAnsi"/>
          <w:i/>
          <w:szCs w:val="24"/>
        </w:rPr>
        <w:t>sentencia</w:t>
      </w:r>
      <w:r w:rsidRPr="000D3432">
        <w:rPr>
          <w:rFonts w:asciiTheme="minorHAnsi" w:hAnsiTheme="minorHAnsi"/>
          <w:szCs w:val="24"/>
        </w:rPr>
        <w:t xml:space="preserve"> viene de </w:t>
      </w:r>
      <w:r w:rsidRPr="000D3432">
        <w:rPr>
          <w:rFonts w:asciiTheme="minorHAnsi" w:hAnsiTheme="minorHAnsi"/>
          <w:i/>
          <w:szCs w:val="24"/>
        </w:rPr>
        <w:t>sentir</w:t>
      </w:r>
      <w:r w:rsidRPr="000D3432">
        <w:rPr>
          <w:rFonts w:asciiTheme="minorHAnsi" w:hAnsiTheme="minorHAnsi"/>
          <w:szCs w:val="24"/>
        </w:rPr>
        <w:t xml:space="preserve">, igual que la palabra </w:t>
      </w:r>
      <w:r w:rsidRPr="000D3432">
        <w:rPr>
          <w:rFonts w:asciiTheme="minorHAnsi" w:hAnsiTheme="minorHAnsi"/>
          <w:i/>
          <w:szCs w:val="24"/>
        </w:rPr>
        <w:t>sentimiento</w:t>
      </w:r>
      <w:r w:rsidRPr="000D3432">
        <w:rPr>
          <w:rFonts w:asciiTheme="minorHAnsi" w:hAnsiTheme="minorHAnsi"/>
          <w:szCs w:val="24"/>
        </w:rPr>
        <w:t xml:space="preserve">. Pero aún prescindiendo de etimologías más o menos significativas, queda el hecho innegable de que en muchas ocasiones la que es la motivación verdaderamente real y efectiva de una sentencia no está expresada en absoluto en la llamada </w:t>
      </w:r>
      <w:r w:rsidRPr="000D3432">
        <w:rPr>
          <w:rFonts w:asciiTheme="minorHAnsi" w:hAnsiTheme="minorHAnsi"/>
          <w:szCs w:val="24"/>
        </w:rPr>
        <w:lastRenderedPageBreak/>
        <w:t xml:space="preserve">«parte motiva» del pronunciamiento del juez, sino que se encuentra más bien en los pliegues ocultos -más o menos ocultos- del ánimo del que juzga. El </w:t>
      </w:r>
      <w:r w:rsidRPr="000D3432">
        <w:rPr>
          <w:rFonts w:asciiTheme="minorHAnsi" w:hAnsiTheme="minorHAnsi"/>
          <w:i/>
          <w:szCs w:val="24"/>
        </w:rPr>
        <w:t>sentimiento</w:t>
      </w:r>
      <w:r w:rsidRPr="000D3432">
        <w:rPr>
          <w:rFonts w:asciiTheme="minorHAnsi" w:hAnsiTheme="minorHAnsi"/>
          <w:szCs w:val="24"/>
        </w:rPr>
        <w:t xml:space="preserve"> del Juez: la simpatía, la antipatía por una parte o por un testigo; el interés, el desinterés por una cuestión o argumentación jurídica; la apertura hacia un tipo evolutivo, histórico, sociológico de interpretación de las leyes, antes que hacia una interpretación rígidamente formal; el interés o el fastidio frente a una compleja vicisitud del hecho; y así sucesivamente discurriendo. Sentimientos; afectos, tendencias, odios, rencores, convicciones, fanatismo; todas las variaciones de esa realidad misteriosa, maravillosa y terrible que es el espíritu humano, reflejadas con o sin verlo en las líneas frías, ordenadas, compuestas, de los repertorios de la jurisprudencia: pasiones desencadenadas, pasiones recogidas, ternuras, temblores; en los estantes enmohecidos de las secretarías de los tribunales.» </w:t>
      </w:r>
    </w:p>
    <w:p w14:paraId="3BE5ED99" w14:textId="77777777" w:rsidR="0082775B" w:rsidRPr="000D3432" w:rsidRDefault="0082775B" w:rsidP="00A95498">
      <w:pPr>
        <w:rPr>
          <w:rFonts w:asciiTheme="minorHAnsi" w:hAnsiTheme="minorHAnsi"/>
          <w:szCs w:val="24"/>
        </w:rPr>
      </w:pPr>
    </w:p>
    <w:p w14:paraId="7ED8ED0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Esta nueva forma de ver al Juez en sus sentencias, como expresión de su sentimiento, la hemos leído también en otro estilo -el estilo narrativo- de Azorín; quien en un cuento llamado </w:t>
      </w:r>
      <w:r w:rsidRPr="000D3432">
        <w:rPr>
          <w:rFonts w:asciiTheme="minorHAnsi" w:hAnsiTheme="minorHAnsi"/>
          <w:i/>
          <w:szCs w:val="24"/>
        </w:rPr>
        <w:t>El buen Juez</w:t>
      </w:r>
      <w:r w:rsidRPr="000D3432">
        <w:rPr>
          <w:rFonts w:asciiTheme="minorHAnsi" w:hAnsiTheme="minorHAnsi"/>
          <w:szCs w:val="24"/>
        </w:rPr>
        <w:t xml:space="preserve"> explica exactamente esta nueva concepción de lo que debería ser el Juez. Y narra: «...no sucede otra cosa sino que yo he dictado hoy una sentencia apartándome de la ley, pero con arreglo a mi conciencia, a lo que yo creía justo en este caso. Yo no sé si vosotras entenderéis esto; pero el espíritu de la Justicia es tan sutil, tan ondulante, que al cabo de cierto tiempo los moldes que los hombres han fabricado para encerrarlo, es decir, las leyes, resultan estrechos, anticuados, y entonces, mientras otros moldes no son fabricados por los legisladores, un buen juez debe fabricar para su uso particular, provisionalmente, unos moldes chiquititos y modestos en la fábrica de su conciencia…»</w:t>
      </w:r>
    </w:p>
    <w:p w14:paraId="63094B2D" w14:textId="77777777" w:rsidR="0082775B" w:rsidRPr="000D3432" w:rsidRDefault="0082775B" w:rsidP="00A95498">
      <w:pPr>
        <w:rPr>
          <w:rFonts w:asciiTheme="minorHAnsi" w:hAnsiTheme="minorHAnsi"/>
          <w:szCs w:val="24"/>
        </w:rPr>
      </w:pPr>
    </w:p>
    <w:p w14:paraId="7695FB73" w14:textId="77777777" w:rsidR="0082775B" w:rsidRPr="000D3432" w:rsidRDefault="0082775B" w:rsidP="00A95498">
      <w:pPr>
        <w:pStyle w:val="Ttulo4"/>
        <w:jc w:val="left"/>
        <w:rPr>
          <w:rFonts w:asciiTheme="minorHAnsi" w:hAnsiTheme="minorHAnsi"/>
          <w:b/>
          <w:color w:val="auto"/>
        </w:rPr>
      </w:pPr>
      <w:r w:rsidRPr="000D3432">
        <w:rPr>
          <w:rFonts w:asciiTheme="minorHAnsi" w:hAnsiTheme="minorHAnsi"/>
          <w:b/>
          <w:color w:val="auto"/>
        </w:rPr>
        <w:t>EL CRITERIO DE CONCIENCIA DEL JUEZ Y EL DERECHO PENAL</w:t>
      </w:r>
    </w:p>
    <w:p w14:paraId="72DC5F83" w14:textId="77777777" w:rsidR="0082775B" w:rsidRPr="000D3432" w:rsidRDefault="0082775B" w:rsidP="00A95498">
      <w:pPr>
        <w:jc w:val="both"/>
        <w:rPr>
          <w:rFonts w:asciiTheme="minorHAnsi" w:hAnsiTheme="minorHAnsi"/>
          <w:b/>
          <w:szCs w:val="24"/>
        </w:rPr>
      </w:pPr>
    </w:p>
    <w:p w14:paraId="0B4924C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“¿Qué es la conciencia? Al igual que Freud, Nietzsche piensa que la conciencia es la región del yo afectada por el mundo exterior. (…) La conciencia no es nunca conciencia de sí mismo, sino la conciencia de un yo en relación a ello (yo de otro), este último no consciente. No es conciencia del señor sino conciencia de un esclavo en relación a un señor que no se preocupa de ser consciente….La conciencia: testimonia únicamente ‘la formación de un cuerpo superior’”</w:t>
      </w:r>
      <w:r w:rsidRPr="000D3432">
        <w:rPr>
          <w:rStyle w:val="Refdenotaalpie"/>
          <w:rFonts w:asciiTheme="minorHAnsi" w:hAnsiTheme="minorHAnsi"/>
          <w:sz w:val="24"/>
          <w:szCs w:val="24"/>
        </w:rPr>
        <w:t xml:space="preserve"> </w:t>
      </w:r>
    </w:p>
    <w:p w14:paraId="1015517F" w14:textId="77777777" w:rsidR="0082775B" w:rsidRPr="000D3432" w:rsidRDefault="0082775B" w:rsidP="00A95498">
      <w:pPr>
        <w:ind w:left="2124"/>
        <w:jc w:val="right"/>
        <w:rPr>
          <w:rFonts w:asciiTheme="minorHAnsi" w:hAnsiTheme="minorHAnsi"/>
          <w:szCs w:val="24"/>
        </w:rPr>
      </w:pPr>
      <w:r w:rsidRPr="000D3432">
        <w:rPr>
          <w:rFonts w:asciiTheme="minorHAnsi" w:hAnsiTheme="minorHAnsi"/>
          <w:i/>
          <w:szCs w:val="24"/>
        </w:rPr>
        <w:t>Guilles Deleuze</w:t>
      </w:r>
    </w:p>
    <w:p w14:paraId="1CE42F22" w14:textId="77777777" w:rsidR="0082775B" w:rsidRPr="000D3432" w:rsidRDefault="0082775B" w:rsidP="00A95498">
      <w:pPr>
        <w:jc w:val="both"/>
        <w:rPr>
          <w:rFonts w:asciiTheme="minorHAnsi" w:hAnsiTheme="minorHAnsi"/>
          <w:szCs w:val="24"/>
        </w:rPr>
      </w:pPr>
    </w:p>
    <w:p w14:paraId="78F0F57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 necesario determinar aquí lo que se entiende por el criterio de conciencia como facultad del juez, en el ejercicio del Derecho Penal, puesto que este como criterio de decisión  en la práctica judicial, determina ciertos tipos de dominios de saber (usando la terminología de Foucault) que validan el derecho. Todos sabemos que en el Derecho penal el Juez, el que administra justicia, tiene como uno de los instrumentos de decisión el famoso “criterio de conciencia”. Sin embargo éste se ha observado con un lente desviado del principio rector del Derecho mismo. Veamos cuál es el problema, y en qué márgenes el uso de este criterio ha sido mal entendido.</w:t>
      </w:r>
    </w:p>
    <w:p w14:paraId="4F0555A1" w14:textId="77777777" w:rsidR="0082775B" w:rsidRPr="000D3432" w:rsidRDefault="0082775B" w:rsidP="00A95498">
      <w:pPr>
        <w:jc w:val="both"/>
        <w:rPr>
          <w:rFonts w:asciiTheme="minorHAnsi" w:hAnsiTheme="minorHAnsi"/>
          <w:szCs w:val="24"/>
        </w:rPr>
      </w:pPr>
    </w:p>
    <w:p w14:paraId="1AB2F04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criterio de conciencia, como institución jurídica, usado en los procesos </w:t>
      </w:r>
      <w:r w:rsidRPr="000D3432">
        <w:rPr>
          <w:rFonts w:asciiTheme="minorHAnsi" w:hAnsiTheme="minorHAnsi"/>
          <w:szCs w:val="24"/>
        </w:rPr>
        <w:lastRenderedPageBreak/>
        <w:t xml:space="preserve">judiciales, se expone literalmente en la siguiente proposición: </w:t>
      </w:r>
      <w:r w:rsidRPr="000D3432">
        <w:rPr>
          <w:rFonts w:asciiTheme="minorHAnsi" w:hAnsiTheme="minorHAnsi"/>
          <w:i/>
          <w:szCs w:val="24"/>
        </w:rPr>
        <w:t>“Por lo expuesto: administrando justicia a nombre de la nación, con criterio de conciencia que la ley autoriza,</w:t>
      </w:r>
      <w:r w:rsidRPr="000D3432">
        <w:rPr>
          <w:rFonts w:asciiTheme="minorHAnsi" w:hAnsiTheme="minorHAnsi"/>
          <w:szCs w:val="24"/>
        </w:rPr>
        <w:t xml:space="preserve"> </w:t>
      </w:r>
      <w:r w:rsidRPr="000D3432">
        <w:rPr>
          <w:rFonts w:asciiTheme="minorHAnsi" w:hAnsiTheme="minorHAnsi"/>
          <w:i/>
          <w:szCs w:val="24"/>
        </w:rPr>
        <w:t>Fallo:”.</w:t>
      </w:r>
    </w:p>
    <w:p w14:paraId="5DB9D2FA" w14:textId="77777777" w:rsidR="0082775B" w:rsidRPr="000D3432" w:rsidRDefault="0082775B" w:rsidP="00A95498">
      <w:pPr>
        <w:jc w:val="both"/>
        <w:rPr>
          <w:rFonts w:asciiTheme="minorHAnsi" w:hAnsiTheme="minorHAnsi"/>
          <w:szCs w:val="24"/>
        </w:rPr>
      </w:pPr>
    </w:p>
    <w:p w14:paraId="3CDF973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¿Qué se quiere decir con ello?, ¿cuál es la extensión que tiene?, ¿cómo se determina en el Derecho? Hay que aclarar primero que la conciencia no es la relación de uno consigo mismo, sino de uno con los demás. Es relación externa más que interna. Objetiva antes que subjetiva; aunque la tradición y la molicie hayan hecho creer todo lo contrario, aunque hasta ahora se le haya dado una significación contraria, diversa, opuesta, y peligrosamente personal, individual, subjetiva. El criterio del Juez puede ser subjetivo pero éste subjetivismo no se puede convertir en arbitrario, tiene que darse razones del por qué de una determinada decisión o sentencia; y estas razones son objetivas y sociales. El criterio de conciencia es por ello relación con el ello, con el otro (o los otros), más que relación con uno mismo. No se puede argumentar: “fallé en mérito a mis convicciones y principios sobre lo que es justo”, aunque lo haya hecho de muy buena fe. </w:t>
      </w:r>
    </w:p>
    <w:p w14:paraId="68B8DD03" w14:textId="77777777" w:rsidR="0082775B" w:rsidRPr="000D3432" w:rsidRDefault="0082775B" w:rsidP="00A95498">
      <w:pPr>
        <w:jc w:val="both"/>
        <w:rPr>
          <w:rFonts w:asciiTheme="minorHAnsi" w:hAnsiTheme="minorHAnsi"/>
          <w:szCs w:val="24"/>
        </w:rPr>
      </w:pPr>
    </w:p>
    <w:p w14:paraId="1703B99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criterio de conciencia no es desentendimiento de la función social que embarga un cargo en la magistratura, sino “percepción de la existencia como magistrado; es decir, percepción de que el cargo (de juez) relaciona a éste con la existencia de los otros, y de los deberes para con estos otros como sociedad. Se trata, pues, de “conciencia de nuestra condición social”, de nuestra relación social “y lo social significa vinculación entre hombres”.</w:t>
      </w:r>
      <w:r w:rsidRPr="000D3432">
        <w:rPr>
          <w:rStyle w:val="Refdenotaalpie"/>
          <w:rFonts w:asciiTheme="minorHAnsi" w:hAnsiTheme="minorHAnsi"/>
          <w:sz w:val="24"/>
          <w:szCs w:val="24"/>
        </w:rPr>
        <w:t xml:space="preserve"> </w:t>
      </w:r>
      <w:r w:rsidRPr="000D3432">
        <w:rPr>
          <w:rStyle w:val="Refdenotaalpie"/>
          <w:rFonts w:asciiTheme="minorHAnsi" w:hAnsiTheme="minorHAnsi"/>
          <w:sz w:val="24"/>
          <w:szCs w:val="24"/>
        </w:rPr>
        <w:footnoteReference w:id="810"/>
      </w:r>
      <w:r w:rsidRPr="000D3432">
        <w:rPr>
          <w:rFonts w:asciiTheme="minorHAnsi" w:hAnsiTheme="minorHAnsi"/>
          <w:szCs w:val="24"/>
        </w:rPr>
        <w:t xml:space="preserve"> Así, en el Derecho penal el criterio de conciencia es una relación obligacional. El asunto se traslada siempre al cosmos del todo. Es el todo y no el individuo; la relación, los efectos de la relación, lo importante.</w:t>
      </w:r>
    </w:p>
    <w:p w14:paraId="04F3DF94" w14:textId="77777777" w:rsidR="0082775B" w:rsidRPr="000D3432" w:rsidRDefault="0082775B" w:rsidP="00A95498">
      <w:pPr>
        <w:jc w:val="both"/>
        <w:rPr>
          <w:rFonts w:asciiTheme="minorHAnsi" w:hAnsiTheme="minorHAnsi"/>
          <w:szCs w:val="24"/>
        </w:rPr>
      </w:pPr>
    </w:p>
    <w:p w14:paraId="1AD4DEB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Así, el criterio de conciencia en Derecho no es la relación de uno consigo mismo, sino la relación de uno con el otro, puesto que: “La conciencia es la región del yo afectada por el mundo exterior”</w:t>
      </w:r>
      <w:r w:rsidRPr="000D3432">
        <w:rPr>
          <w:rStyle w:val="Refdenotaalpie"/>
          <w:rFonts w:asciiTheme="minorHAnsi" w:hAnsiTheme="minorHAnsi"/>
          <w:sz w:val="24"/>
          <w:szCs w:val="24"/>
        </w:rPr>
        <w:footnoteReference w:id="811"/>
      </w:r>
      <w:r w:rsidRPr="000D3432">
        <w:rPr>
          <w:rFonts w:asciiTheme="minorHAnsi" w:hAnsiTheme="minorHAnsi"/>
          <w:szCs w:val="24"/>
        </w:rPr>
        <w:t>, es siempre conciencia de esa “relación”. Puede ser interna porque parte de uno, pero su sentido está en la relación con los demás, lo que la hace externa y social.</w:t>
      </w:r>
    </w:p>
    <w:p w14:paraId="737039C3" w14:textId="77777777" w:rsidR="0082775B" w:rsidRPr="000D3432" w:rsidRDefault="0082775B" w:rsidP="00A95498">
      <w:pPr>
        <w:jc w:val="both"/>
        <w:rPr>
          <w:rFonts w:asciiTheme="minorHAnsi" w:hAnsiTheme="minorHAnsi"/>
          <w:szCs w:val="24"/>
        </w:rPr>
      </w:pPr>
    </w:p>
    <w:p w14:paraId="3364EBA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conciencia, en Derecho, se define más en términos de “relación de subordinación”, existencia de superioridad de valores; más que en términos de exterioridad, como fenómeno social, en términos de “superioridad”, como categorización y subordinación de la voluntad y capacidad de decisión. Eso indica “siempre conciencia de un inferior en relación al superior, al cual se subordina o se ‘incorpora’”</w:t>
      </w:r>
      <w:r w:rsidRPr="000D3432">
        <w:rPr>
          <w:rStyle w:val="Refdenotaalpie"/>
          <w:rFonts w:asciiTheme="minorHAnsi" w:hAnsiTheme="minorHAnsi"/>
          <w:sz w:val="24"/>
          <w:szCs w:val="24"/>
        </w:rPr>
        <w:footnoteReference w:id="812"/>
      </w:r>
      <w:r w:rsidRPr="000D3432">
        <w:rPr>
          <w:rFonts w:asciiTheme="minorHAnsi" w:hAnsiTheme="minorHAnsi"/>
          <w:szCs w:val="24"/>
        </w:rPr>
        <w:t xml:space="preserve"> un acto jurídico. El deber, por tanto, no responde a una conciencia moral, sino jurídica, es decir, subordinada o incorporada a un superior llamado Derecho, y este a sus fines (resolver conflictos de intereses que constituyan exigencias sociales de solución). </w:t>
      </w:r>
    </w:p>
    <w:p w14:paraId="41B0F1E2" w14:textId="77777777" w:rsidR="0082775B" w:rsidRPr="000D3432" w:rsidRDefault="0082775B" w:rsidP="00A95498">
      <w:pPr>
        <w:jc w:val="both"/>
        <w:rPr>
          <w:rFonts w:asciiTheme="minorHAnsi" w:hAnsiTheme="minorHAnsi"/>
          <w:szCs w:val="24"/>
        </w:rPr>
      </w:pPr>
    </w:p>
    <w:p w14:paraId="3C3C35E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En efecto, el juez debe responder, o subordinarse a una fuerza superior que le </w:t>
      </w:r>
      <w:r w:rsidRPr="000D3432">
        <w:rPr>
          <w:rFonts w:asciiTheme="minorHAnsi" w:hAnsiTheme="minorHAnsi"/>
          <w:szCs w:val="24"/>
        </w:rPr>
        <w:lastRenderedPageBreak/>
        <w:t>indica y hace recordar su deber. Y el deber, en Derecho, es siempre un deber para con los demás (la sociedad), no para consigo mismo. En conclusión, criterio de conciencia y deber para con los demás son lo mismo. Por lo tanto no acuerdo con uno mismo sino con los demás, y con la función que se cumple, es lo que determina el uso del criterio de conciencia. Contradicción, pues, en el enfoque y operatividad y no sólo en la forma.</w:t>
      </w:r>
    </w:p>
    <w:p w14:paraId="6CEBDD37" w14:textId="77777777" w:rsidR="0082775B" w:rsidRPr="000D3432" w:rsidRDefault="0082775B" w:rsidP="00A95498">
      <w:pPr>
        <w:jc w:val="center"/>
        <w:rPr>
          <w:rFonts w:asciiTheme="minorHAnsi" w:hAnsiTheme="minorHAnsi"/>
          <w:b/>
          <w:szCs w:val="24"/>
          <w:u w:val="single"/>
        </w:rPr>
      </w:pPr>
    </w:p>
    <w:p w14:paraId="2F927713"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20EEE38E" w14:textId="77777777" w:rsidR="0082775B" w:rsidRPr="000D3432" w:rsidRDefault="0082775B" w:rsidP="00A95498">
      <w:pPr>
        <w:jc w:val="center"/>
        <w:rPr>
          <w:rFonts w:asciiTheme="minorHAnsi" w:hAnsiTheme="minorHAnsi"/>
          <w:b/>
          <w:szCs w:val="24"/>
        </w:rPr>
      </w:pPr>
      <w:r w:rsidRPr="000D3432">
        <w:rPr>
          <w:rFonts w:asciiTheme="minorHAnsi" w:hAnsiTheme="minorHAnsi"/>
          <w:b/>
          <w:szCs w:val="24"/>
        </w:rPr>
        <w:lastRenderedPageBreak/>
        <w:t xml:space="preserve">EL DELITO Y SUS ELEMENTOS: </w:t>
      </w:r>
    </w:p>
    <w:p w14:paraId="079C754A" w14:textId="77777777" w:rsidR="0082775B" w:rsidRPr="000D3432" w:rsidRDefault="0082775B" w:rsidP="00A95498">
      <w:pPr>
        <w:jc w:val="center"/>
        <w:rPr>
          <w:rFonts w:asciiTheme="minorHAnsi" w:hAnsiTheme="minorHAnsi"/>
          <w:b/>
          <w:szCs w:val="24"/>
        </w:rPr>
      </w:pPr>
      <w:r w:rsidRPr="000D3432">
        <w:rPr>
          <w:rFonts w:asciiTheme="minorHAnsi" w:hAnsiTheme="minorHAnsi"/>
          <w:b/>
          <w:szCs w:val="24"/>
        </w:rPr>
        <w:t>______TIPICIDAD Y ANTIJURICIDAD EN EL DERECHO PENAL_____</w:t>
      </w:r>
    </w:p>
    <w:p w14:paraId="184C3BED" w14:textId="77777777" w:rsidR="0082775B" w:rsidRPr="000D3432" w:rsidRDefault="0082775B" w:rsidP="00A95498">
      <w:pPr>
        <w:jc w:val="center"/>
        <w:rPr>
          <w:rFonts w:asciiTheme="minorHAnsi" w:hAnsiTheme="minorHAnsi"/>
          <w:b/>
          <w:szCs w:val="24"/>
        </w:rPr>
      </w:pPr>
    </w:p>
    <w:p w14:paraId="3FA3B4BC" w14:textId="77777777" w:rsidR="0082775B" w:rsidRPr="000D3432" w:rsidRDefault="0082775B" w:rsidP="00A95498">
      <w:pPr>
        <w:jc w:val="center"/>
        <w:rPr>
          <w:rFonts w:asciiTheme="minorHAnsi" w:hAnsiTheme="minorHAnsi"/>
          <w:b/>
          <w:szCs w:val="24"/>
        </w:rPr>
      </w:pPr>
    </w:p>
    <w:p w14:paraId="06596EA3" w14:textId="77777777" w:rsidR="0082775B" w:rsidRPr="000D3432" w:rsidRDefault="0082775B" w:rsidP="00A95498">
      <w:pPr>
        <w:jc w:val="center"/>
        <w:rPr>
          <w:rFonts w:asciiTheme="minorHAnsi" w:hAnsiTheme="minorHAnsi"/>
          <w:b/>
          <w:szCs w:val="24"/>
        </w:rPr>
      </w:pPr>
    </w:p>
    <w:p w14:paraId="2FF60AA1" w14:textId="77777777" w:rsidR="0082775B" w:rsidRPr="000D3432" w:rsidRDefault="0082775B" w:rsidP="00A95498">
      <w:pPr>
        <w:jc w:val="center"/>
        <w:rPr>
          <w:rFonts w:asciiTheme="minorHAnsi" w:hAnsiTheme="minorHAnsi"/>
          <w:b/>
          <w:szCs w:val="24"/>
        </w:rPr>
      </w:pPr>
    </w:p>
    <w:p w14:paraId="0D028ACC" w14:textId="77777777" w:rsidR="0082775B" w:rsidRPr="000D3432" w:rsidRDefault="0082775B" w:rsidP="00A95498">
      <w:pPr>
        <w:jc w:val="center"/>
        <w:rPr>
          <w:rFonts w:asciiTheme="minorHAnsi" w:hAnsiTheme="minorHAnsi"/>
          <w:b/>
          <w:szCs w:val="24"/>
        </w:rPr>
      </w:pPr>
      <w:r w:rsidRPr="000D3432">
        <w:rPr>
          <w:rFonts w:asciiTheme="minorHAnsi" w:hAnsiTheme="minorHAnsi"/>
          <w:b/>
          <w:szCs w:val="24"/>
        </w:rPr>
        <w:t>INTRODUCCIÓN</w:t>
      </w:r>
    </w:p>
    <w:p w14:paraId="35937273" w14:textId="77777777" w:rsidR="0082775B" w:rsidRPr="000D3432" w:rsidRDefault="0082775B" w:rsidP="00A95498">
      <w:pPr>
        <w:jc w:val="both"/>
        <w:rPr>
          <w:rFonts w:asciiTheme="minorHAnsi" w:hAnsiTheme="minorHAnsi"/>
          <w:b/>
          <w:szCs w:val="24"/>
        </w:rPr>
      </w:pPr>
    </w:p>
    <w:p w14:paraId="749A846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Este trabajo no pretende ser una monografía, entendida no como el simple “estudio de un objeto particular”, que en ello lo más importante estaría en determinar cual es el  objeto de estudio y luego darle vueltas sobre sí mismo, sino como “un ensayo para hacer emerger los puntos donde un tipo de discurso se ha producido y se ha formado”</w:t>
      </w:r>
      <w:r w:rsidRPr="000D3432">
        <w:rPr>
          <w:rStyle w:val="Refdenotaalpie"/>
          <w:rFonts w:asciiTheme="minorHAnsi" w:hAnsiTheme="minorHAnsi"/>
          <w:sz w:val="24"/>
          <w:szCs w:val="24"/>
        </w:rPr>
        <w:footnoteReference w:id="813"/>
      </w:r>
      <w:r w:rsidRPr="000D3432">
        <w:rPr>
          <w:rFonts w:asciiTheme="minorHAnsi" w:hAnsiTheme="minorHAnsi"/>
          <w:szCs w:val="24"/>
        </w:rPr>
        <w:t xml:space="preserve">. Es decir descubrir los fundamentos, los puntos eje, de donde se origina el nacimiento y posterior continuidad del objeto estudiado. ¿Qué hace de este tema un habeas, qué lo hace un cuerpo, cuáles son los elementos que lo sostienen?. </w:t>
      </w:r>
    </w:p>
    <w:p w14:paraId="66D699CB" w14:textId="77777777" w:rsidR="0082775B" w:rsidRPr="000D3432" w:rsidRDefault="0082775B" w:rsidP="00A95498">
      <w:pPr>
        <w:jc w:val="both"/>
        <w:rPr>
          <w:rFonts w:asciiTheme="minorHAnsi" w:hAnsiTheme="minorHAnsi"/>
          <w:b/>
          <w:szCs w:val="24"/>
        </w:rPr>
      </w:pPr>
    </w:p>
    <w:p w14:paraId="51D6DF14"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U</w:t>
      </w:r>
      <w:r w:rsidRPr="000D3432">
        <w:rPr>
          <w:rFonts w:asciiTheme="minorHAnsi" w:hAnsiTheme="minorHAnsi"/>
          <w:szCs w:val="24"/>
        </w:rPr>
        <w:t>na teoría deficiente o inadecuada puede crear o modificar las respuestas de la sociedad a su conformación u organización. Es decir, que si las ideas que expresan ciertas teorías no son correctas, o no están bien planteadas pueden crear no sólo confusión sino perjuicios sociales, y más si se trata de teorías que prescriben el comportamiento de los seres humanos para el bien común.</w:t>
      </w:r>
    </w:p>
    <w:p w14:paraId="3B38F668" w14:textId="77777777" w:rsidR="0082775B" w:rsidRPr="000D3432" w:rsidRDefault="0082775B" w:rsidP="00A95498">
      <w:pPr>
        <w:jc w:val="both"/>
        <w:rPr>
          <w:rFonts w:asciiTheme="minorHAnsi" w:hAnsiTheme="minorHAnsi"/>
          <w:szCs w:val="24"/>
        </w:rPr>
      </w:pPr>
    </w:p>
    <w:p w14:paraId="1351BC1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Por eso hemos elegido plantear cierto problema sobre la teoría general del Delito, sobre cómo esta determinada su conformación, porque nos parece que existe una especie de vacío, una especie de mal entendido entre la teoría y su función, o la función a la que debe estar subordinada esta teoría.</w:t>
      </w:r>
    </w:p>
    <w:p w14:paraId="41A97CB2" w14:textId="77777777" w:rsidR="0082775B" w:rsidRPr="000D3432" w:rsidRDefault="0082775B" w:rsidP="00A95498">
      <w:pPr>
        <w:jc w:val="both"/>
        <w:rPr>
          <w:rFonts w:asciiTheme="minorHAnsi" w:hAnsiTheme="minorHAnsi"/>
          <w:szCs w:val="24"/>
        </w:rPr>
      </w:pPr>
    </w:p>
    <w:p w14:paraId="1E21974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problema surge cuando queremos definir al delito, o mejor dicho, no cuando lo definimos, sino cuando nos definimos ante la definición; cuando una vez dada la definición del delito nos dedicamos sólo a seguir sus pautas dogmáticamente, sin mirar para atrás, o para adelante, sin mirar los fines que la construyeron  y la hicieron ser lo que son: un instrumento para organizar a la sociedad, para dar a esta sociedad la posibilidad de supervivencia.</w:t>
      </w:r>
    </w:p>
    <w:p w14:paraId="09B62843" w14:textId="77777777" w:rsidR="0082775B" w:rsidRPr="000D3432" w:rsidRDefault="0082775B" w:rsidP="00A95498">
      <w:pPr>
        <w:jc w:val="both"/>
        <w:rPr>
          <w:rFonts w:asciiTheme="minorHAnsi" w:hAnsiTheme="minorHAnsi"/>
          <w:szCs w:val="24"/>
        </w:rPr>
      </w:pPr>
    </w:p>
    <w:p w14:paraId="2C334A2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problema, luego, empieza desde el principio, desde el mismo concepto de Delito. ¿Y qué dice este concepto?. Pues dice: el delito es la “acción típicamente antijurídica y culpable”. Es la relación entre la tipicidad y la antijuridicidad los límites a explorar.</w:t>
      </w:r>
    </w:p>
    <w:p w14:paraId="46B0ED19" w14:textId="77777777" w:rsidR="0082775B" w:rsidRPr="000D3432" w:rsidRDefault="0082775B" w:rsidP="00A95498">
      <w:pPr>
        <w:jc w:val="both"/>
        <w:rPr>
          <w:rFonts w:asciiTheme="minorHAnsi" w:hAnsiTheme="minorHAnsi"/>
          <w:szCs w:val="24"/>
        </w:rPr>
      </w:pPr>
    </w:p>
    <w:p w14:paraId="0C84A8A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Creemos que un delito no se puede definir solamente por la tipicidad, es decir, por la existencia de una ley que relate o describa un hecho,  para la constitución de un delito. Este principio, el de que no existe pena si no hay ley, el de no haber delito si no hay ley que la prescriba -aunque tiene sus ventajas y constituyen garantías enormes- no puede ser limitativa y permitir que miles de hechos no tipificados dejen de ser considerados como delitos en relación directa con el </w:t>
      </w:r>
      <w:r w:rsidRPr="000D3432">
        <w:rPr>
          <w:rFonts w:asciiTheme="minorHAnsi" w:hAnsiTheme="minorHAnsi"/>
          <w:szCs w:val="24"/>
        </w:rPr>
        <w:lastRenderedPageBreak/>
        <w:t>daño que representan.</w:t>
      </w:r>
    </w:p>
    <w:p w14:paraId="58460C71" w14:textId="77777777" w:rsidR="0082775B" w:rsidRPr="000D3432" w:rsidRDefault="0082775B" w:rsidP="00A95498">
      <w:pPr>
        <w:jc w:val="both"/>
        <w:rPr>
          <w:rFonts w:asciiTheme="minorHAnsi" w:hAnsiTheme="minorHAnsi"/>
          <w:szCs w:val="24"/>
        </w:rPr>
      </w:pPr>
    </w:p>
    <w:p w14:paraId="125830B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Pero para entrar en la exploración precedente tenemos que empezar formulando, primero, el asunto desde una perspectiva general, global, es decir, desde el Derecho Penal.</w:t>
      </w:r>
    </w:p>
    <w:p w14:paraId="5C523C11" w14:textId="77777777" w:rsidR="0082775B" w:rsidRPr="000D3432" w:rsidRDefault="0082775B" w:rsidP="00A95498">
      <w:pPr>
        <w:jc w:val="both"/>
        <w:rPr>
          <w:rFonts w:asciiTheme="minorHAnsi" w:hAnsiTheme="minorHAnsi"/>
          <w:b/>
          <w:szCs w:val="24"/>
        </w:rPr>
      </w:pPr>
    </w:p>
    <w:p w14:paraId="59D7329D" w14:textId="77777777" w:rsidR="0082775B" w:rsidRPr="000D3432" w:rsidRDefault="0082775B" w:rsidP="00A95498">
      <w:pPr>
        <w:rPr>
          <w:rFonts w:asciiTheme="minorHAnsi" w:hAnsiTheme="minorHAnsi"/>
          <w:b/>
          <w:szCs w:val="24"/>
        </w:rPr>
      </w:pPr>
      <w:r w:rsidRPr="000D3432">
        <w:rPr>
          <w:rFonts w:asciiTheme="minorHAnsi" w:hAnsiTheme="minorHAnsi"/>
          <w:b/>
          <w:szCs w:val="24"/>
        </w:rPr>
        <w:t>EL DERECHO PENAL</w:t>
      </w:r>
    </w:p>
    <w:p w14:paraId="2FBD9417" w14:textId="77777777" w:rsidR="0082775B" w:rsidRPr="000D3432" w:rsidRDefault="0082775B" w:rsidP="00A95498">
      <w:pPr>
        <w:rPr>
          <w:rFonts w:asciiTheme="minorHAnsi" w:hAnsiTheme="minorHAnsi"/>
          <w:b/>
          <w:szCs w:val="24"/>
        </w:rPr>
      </w:pPr>
    </w:p>
    <w:p w14:paraId="16E7152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 cogemos un libro cualquiera sobre Teoría sobre el Derecho Penal, encontraremos claramente definido su contenido. Por ejemplo, para usar un autor cualquiera, en el Perú. “El Derecho penal es la parte del Derecho Público que trata del conjunto de normas establecidas por el Estado, que determinan los delitos, las penas y las medidas de seguridad que se aplican, a los titulares de los hechos punibles, con la finalidad de prevenir y reprimir dichos hechos.” (Raúl Peña Cabrera). El Derecho penal estaría como subordinado al Derecho Público. </w:t>
      </w:r>
    </w:p>
    <w:p w14:paraId="3A22D74D" w14:textId="77777777" w:rsidR="0082775B" w:rsidRPr="000D3432" w:rsidRDefault="0082775B" w:rsidP="00A95498">
      <w:pPr>
        <w:jc w:val="both"/>
        <w:rPr>
          <w:rFonts w:asciiTheme="minorHAnsi" w:hAnsiTheme="minorHAnsi"/>
          <w:szCs w:val="24"/>
        </w:rPr>
      </w:pPr>
    </w:p>
    <w:p w14:paraId="65AA7AE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Hay, sin embargo, otro concepto más sintético, que explica qué es el Derecho Penal, que dice así: “También -el Derecho Penal- suele ser denominado </w:t>
      </w:r>
      <w:r w:rsidRPr="000D3432">
        <w:rPr>
          <w:rFonts w:asciiTheme="minorHAnsi" w:hAnsiTheme="minorHAnsi"/>
          <w:i/>
          <w:szCs w:val="24"/>
        </w:rPr>
        <w:t>Derecho Criminal</w:t>
      </w:r>
      <w:r w:rsidRPr="000D3432">
        <w:rPr>
          <w:rFonts w:asciiTheme="minorHAnsi" w:hAnsiTheme="minorHAnsi"/>
          <w:szCs w:val="24"/>
        </w:rPr>
        <w:t>. Sutilizando, la designación primera es preferible, pues se refiere más exactamente a la potestad de penar, mientras que derecho al crimen no es reconocible, aunque el adjetivo expresa en verdad ‘Derecho sobre el crimen’, como infracción o conducta punible.” (Guillermo Cabanellas).</w:t>
      </w:r>
    </w:p>
    <w:p w14:paraId="583A49F5" w14:textId="77777777" w:rsidR="0082775B" w:rsidRPr="000D3432" w:rsidRDefault="0082775B" w:rsidP="00A95498">
      <w:pPr>
        <w:rPr>
          <w:rFonts w:asciiTheme="minorHAnsi" w:hAnsiTheme="minorHAnsi"/>
          <w:szCs w:val="24"/>
        </w:rPr>
      </w:pPr>
    </w:p>
    <w:p w14:paraId="4F342BD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Ahora bien, si sabemos que el Derecho proviene del latín </w:t>
      </w:r>
      <w:r w:rsidRPr="000D3432">
        <w:rPr>
          <w:rFonts w:asciiTheme="minorHAnsi" w:hAnsiTheme="minorHAnsi"/>
          <w:i/>
          <w:szCs w:val="24"/>
        </w:rPr>
        <w:t>directus</w:t>
      </w:r>
      <w:r w:rsidRPr="000D3432">
        <w:rPr>
          <w:rFonts w:asciiTheme="minorHAnsi" w:hAnsiTheme="minorHAnsi"/>
          <w:szCs w:val="24"/>
        </w:rPr>
        <w:t xml:space="preserve">, directo; y de </w:t>
      </w:r>
      <w:r w:rsidRPr="000D3432">
        <w:rPr>
          <w:rFonts w:asciiTheme="minorHAnsi" w:hAnsiTheme="minorHAnsi"/>
          <w:i/>
          <w:szCs w:val="24"/>
        </w:rPr>
        <w:t>dirigere</w:t>
      </w:r>
      <w:r w:rsidRPr="000D3432">
        <w:rPr>
          <w:rFonts w:asciiTheme="minorHAnsi" w:hAnsiTheme="minorHAnsi"/>
          <w:szCs w:val="24"/>
        </w:rPr>
        <w:t>, enderezar o alinear; el derecho sería más bien “proceder con orden y detalle”, según cierto orden y detalle. Este orden lo impone el Estado, en base a todo un mecanismo de control y organización social legitimado, por la propia voluntad de los miembros de esa sociedad, o por su simple inobservancia o indiferencia de las disposiciones del Estado.</w:t>
      </w:r>
    </w:p>
    <w:p w14:paraId="1F83EB1F" w14:textId="77777777" w:rsidR="0082775B" w:rsidRPr="000D3432" w:rsidRDefault="0082775B" w:rsidP="00A95498">
      <w:pPr>
        <w:jc w:val="both"/>
        <w:rPr>
          <w:rFonts w:asciiTheme="minorHAnsi" w:hAnsiTheme="minorHAnsi"/>
          <w:szCs w:val="24"/>
        </w:rPr>
      </w:pPr>
    </w:p>
    <w:p w14:paraId="22DFC75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Sin embargo podemos anotar otra definición más, para aclararnos el asunto, o mejor dicho, el fenómeno penal. Así, se dice, pues, que el Derecho penal no es más que “un medio de control social”, un instrumento, un mecanismo de control social. “Se entiende por control social las formas organizadas en que la sociedad responde a los comportamientos de las personas en sus procesos de relación social … En palabras de Hurtado: El derecho penal es un medio de control social, y este último puede ser comprendido como un conjunto de modelos culturales y símbolos sociales y también de actos, a través de los cuales dichos símbolos y modelos son determinados y aplicados. (Balotario desarrollado para aspirantes a magistrados (jueces y fiscales). Como ven, son muchos los conceptos, pero lo importante de todos ellos es encontrar aquello que se repite, aquellas coincidencias, aquello que da base y fundamento (como fuerza irresistible y última) al Derecho Penal. </w:t>
      </w:r>
    </w:p>
    <w:p w14:paraId="7DEE846E" w14:textId="77777777" w:rsidR="0082775B" w:rsidRPr="000D3432" w:rsidRDefault="0082775B" w:rsidP="00A95498">
      <w:pPr>
        <w:jc w:val="both"/>
        <w:rPr>
          <w:rFonts w:asciiTheme="minorHAnsi" w:hAnsiTheme="minorHAnsi"/>
          <w:szCs w:val="24"/>
        </w:rPr>
      </w:pPr>
    </w:p>
    <w:p w14:paraId="425B628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Si hablamos del Derecho Penal desde cierta jerarquización doctrinaria, social, podemos ubicarlo dentro del Derecho Público, es decir, como fenómeno que responde y se subordina a una finalidad pública, social, y estas provienen o son determinadas por el Estado, porque éste último funciona en representación de </w:t>
      </w:r>
      <w:r w:rsidRPr="000D3432">
        <w:rPr>
          <w:rFonts w:asciiTheme="minorHAnsi" w:hAnsiTheme="minorHAnsi"/>
          <w:szCs w:val="24"/>
        </w:rPr>
        <w:lastRenderedPageBreak/>
        <w:t xml:space="preserve">la sociedad. Lo que terminaría explicando por qué el Estado es quien decide qué es delito o no es delito. </w:t>
      </w:r>
    </w:p>
    <w:p w14:paraId="46DFA48B" w14:textId="77777777" w:rsidR="0082775B" w:rsidRPr="000D3432" w:rsidRDefault="0082775B" w:rsidP="00A95498">
      <w:pPr>
        <w:jc w:val="both"/>
        <w:rPr>
          <w:rFonts w:asciiTheme="minorHAnsi" w:hAnsiTheme="minorHAnsi"/>
          <w:szCs w:val="24"/>
        </w:rPr>
      </w:pPr>
    </w:p>
    <w:p w14:paraId="0CB837A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Por otro lado, el asunto se puede revisar desde la óptica del Derecho, que trabaja sobre el crimen, y sobre su punición. El Derecho no se preocupa de determinar qué es el crimen, sino de penarlo. El Derecho Penal es justamente aquel que pena, no que da pena, sino que impone una pena, por orden del Estado, que se supone actúa por orden de la voluntad de la sociedad. Luego el Derecho penal se propone como un medio de control social. Para nuestra investigación nos bastará saber que el Derecho penal trabaja con el concepto de delito y que lo define y determina.</w:t>
      </w:r>
    </w:p>
    <w:p w14:paraId="123AA169" w14:textId="77777777" w:rsidR="0082775B" w:rsidRPr="000D3432" w:rsidRDefault="0082775B" w:rsidP="00A95498">
      <w:pPr>
        <w:jc w:val="both"/>
        <w:rPr>
          <w:rFonts w:asciiTheme="minorHAnsi" w:hAnsiTheme="minorHAnsi"/>
          <w:szCs w:val="24"/>
        </w:rPr>
      </w:pPr>
    </w:p>
    <w:p w14:paraId="6E4EFA08"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EL DELITO Y SUS ELEMENTOS</w:t>
      </w:r>
    </w:p>
    <w:p w14:paraId="66DAEA48" w14:textId="77777777" w:rsidR="0082775B" w:rsidRPr="000D3432" w:rsidRDefault="0082775B" w:rsidP="00A95498">
      <w:pPr>
        <w:jc w:val="both"/>
        <w:rPr>
          <w:rFonts w:asciiTheme="minorHAnsi" w:hAnsiTheme="minorHAnsi"/>
          <w:b/>
          <w:szCs w:val="24"/>
        </w:rPr>
      </w:pPr>
    </w:p>
    <w:p w14:paraId="775AC337"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El De</w:t>
      </w:r>
      <w:r w:rsidRPr="000D3432">
        <w:rPr>
          <w:rFonts w:asciiTheme="minorHAnsi" w:hAnsiTheme="minorHAnsi"/>
          <w:szCs w:val="24"/>
        </w:rPr>
        <w:t>lito, como lo expresáramos anteriormente es “la acción humana típicamente antijurídica y culpable”, según la concepción de Raúl Peña Cabrera. Si descomponemos este concepto tenemos los elementos, las partes que forman y constituyen, el delito: a) la acción, b) la tipicidad, c) la antijuricidad, d) la culpabilidad.</w:t>
      </w:r>
    </w:p>
    <w:p w14:paraId="700006DE" w14:textId="77777777" w:rsidR="0082775B" w:rsidRPr="000D3432" w:rsidRDefault="0082775B" w:rsidP="00A95498">
      <w:pPr>
        <w:jc w:val="both"/>
        <w:rPr>
          <w:rFonts w:asciiTheme="minorHAnsi" w:hAnsiTheme="minorHAnsi"/>
          <w:szCs w:val="24"/>
        </w:rPr>
      </w:pPr>
    </w:p>
    <w:p w14:paraId="4C14767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Por la acción se determina que para ser delito tiene que ser un acto humano. Por la Tipicidad se eleva a primer plano el principio “</w:t>
      </w:r>
      <w:r w:rsidRPr="000D3432">
        <w:rPr>
          <w:rFonts w:asciiTheme="minorHAnsi" w:hAnsiTheme="minorHAnsi"/>
          <w:i/>
          <w:szCs w:val="24"/>
        </w:rPr>
        <w:t>nullum crimen sine lege</w:t>
      </w:r>
      <w:r w:rsidRPr="000D3432">
        <w:rPr>
          <w:rFonts w:asciiTheme="minorHAnsi" w:hAnsiTheme="minorHAnsi"/>
          <w:szCs w:val="24"/>
        </w:rPr>
        <w:t xml:space="preserve">”,  Eso significa que la ley determina el delito, él lo crea, o en todo caso lo describe. O podemos citar: “La tipicidad expresa, por consiguiente, la idea que el campo de aplicación del derecho penal no es indefinido ni continuo, sino que está formado por pequeña zonas circunscritas e independientes entre sí, constituidas únicamente, por los tipos creados expresa y precisamente por el legislador” -escribe parafraseando a Eduarno Novoa Monrea, Raúl Peña Cabrera-, quien a su vez describe a la “tipicidad como adecuación de una conducta a una figura legal”. Pero si bien el contenido de la tipicidad es claramente entendido, y más por la postura positivista del hombre de Derecho de hoy, no está tan bien comprendida el otro elemento del delito, la antijuricidad. </w:t>
      </w:r>
    </w:p>
    <w:p w14:paraId="4810E0BC" w14:textId="77777777" w:rsidR="0082775B" w:rsidRPr="000D3432" w:rsidRDefault="0082775B" w:rsidP="00A95498">
      <w:pPr>
        <w:jc w:val="both"/>
        <w:rPr>
          <w:rFonts w:asciiTheme="minorHAnsi" w:hAnsiTheme="minorHAnsi"/>
          <w:szCs w:val="24"/>
        </w:rPr>
      </w:pPr>
    </w:p>
    <w:p w14:paraId="4A8A66A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Derecho Penal, y más específicamente, el delito considerado como una adecuación de un hecho a un tipo, no es suficiente para determinar el delito. Es necesaria la antijuricidad, y eso implica entender la misma esencia del Derecho, su  razón de ser, porque se ha venido confundiendo la tipicidad con la antijuricidad. Intentaremos una explicación del fenómeno de lo jurídico como fuente de donde emana su oposición o antinomia, la antijuricidad.</w:t>
      </w:r>
    </w:p>
    <w:p w14:paraId="3A913D7B" w14:textId="77777777" w:rsidR="0082775B" w:rsidRPr="000D3432" w:rsidRDefault="0082775B" w:rsidP="00A95498">
      <w:pPr>
        <w:jc w:val="both"/>
        <w:rPr>
          <w:rFonts w:asciiTheme="minorHAnsi" w:hAnsiTheme="minorHAnsi"/>
          <w:szCs w:val="24"/>
        </w:rPr>
      </w:pPr>
    </w:p>
    <w:p w14:paraId="70F07A96" w14:textId="77777777" w:rsidR="0082775B" w:rsidRPr="000D3432" w:rsidRDefault="0082775B" w:rsidP="00A95498">
      <w:pPr>
        <w:jc w:val="both"/>
        <w:rPr>
          <w:rFonts w:asciiTheme="minorHAnsi" w:hAnsiTheme="minorHAnsi"/>
          <w:b/>
          <w:szCs w:val="24"/>
        </w:rPr>
      </w:pPr>
    </w:p>
    <w:p w14:paraId="549BC3B4"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LO JURÍDICO Y LO ANTIJURÍDICO</w:t>
      </w:r>
    </w:p>
    <w:p w14:paraId="76AFA9ED" w14:textId="77777777" w:rsidR="0082775B" w:rsidRPr="000D3432" w:rsidRDefault="0082775B" w:rsidP="00A95498">
      <w:pPr>
        <w:jc w:val="both"/>
        <w:rPr>
          <w:rFonts w:asciiTheme="minorHAnsi" w:hAnsiTheme="minorHAnsi"/>
          <w:b/>
          <w:szCs w:val="24"/>
        </w:rPr>
      </w:pPr>
    </w:p>
    <w:p w14:paraId="4C16EB9F"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Po</w:t>
      </w:r>
      <w:r w:rsidRPr="000D3432">
        <w:rPr>
          <w:rFonts w:asciiTheme="minorHAnsi" w:hAnsiTheme="minorHAnsi"/>
          <w:szCs w:val="24"/>
        </w:rPr>
        <w:t xml:space="preserve">demos decir  que a pesar de lo avanzado del Derecho penal y sus exposiciones teóricas, aún no se ha comprendido cual es su fundamento, porque se la considera como un mecanismo, como una maquinaria, más que como un complejo campo de operación y valoración, donde no se intenta determinar o encuadrar un hecho dentro de un tipo, sino encontrar el equilibrio y la </w:t>
      </w:r>
      <w:r w:rsidRPr="000D3432">
        <w:rPr>
          <w:rFonts w:asciiTheme="minorHAnsi" w:hAnsiTheme="minorHAnsi"/>
          <w:szCs w:val="24"/>
        </w:rPr>
        <w:lastRenderedPageBreak/>
        <w:t xml:space="preserve">coincidencia entre el hecho que puede o no estar en un determinado tipo, y el fin del derecho. Pero a pesar que la antijuricidad está bien planteada en la doctrina, no se la usa, y es más se la confunde con la tipicidad. Por nuestra misma visión de ejercer el derecho, de asir el derecho. Por eso tenemos que exponer más o menos, qué es lo jurídico, así podemos decir que es “todo lo que se vincula de un modo más o menos inmediato con el derecho, en especial en cuanto lo consideramos como conducta humana. En esta primera acepción quedan incluidos, v. gr., los </w:t>
      </w:r>
      <w:r w:rsidRPr="000D3432">
        <w:rPr>
          <w:rFonts w:asciiTheme="minorHAnsi" w:hAnsiTheme="minorHAnsi"/>
          <w:i/>
          <w:szCs w:val="24"/>
        </w:rPr>
        <w:t>signos jurídicos</w:t>
      </w:r>
      <w:r w:rsidRPr="000D3432">
        <w:rPr>
          <w:rFonts w:asciiTheme="minorHAnsi" w:hAnsiTheme="minorHAnsi"/>
          <w:szCs w:val="24"/>
        </w:rPr>
        <w:t xml:space="preserve">, como los títulos de crédito; las </w:t>
      </w:r>
      <w:r w:rsidRPr="000D3432">
        <w:rPr>
          <w:rFonts w:asciiTheme="minorHAnsi" w:hAnsiTheme="minorHAnsi"/>
          <w:i/>
          <w:szCs w:val="24"/>
        </w:rPr>
        <w:t>cosas y bienes jurídicos</w:t>
      </w:r>
      <w:r w:rsidRPr="000D3432">
        <w:rPr>
          <w:rFonts w:asciiTheme="minorHAnsi" w:hAnsiTheme="minorHAnsi"/>
          <w:szCs w:val="24"/>
        </w:rPr>
        <w:t xml:space="preserve">, como las parcelas de terreno o los créditos; </w:t>
      </w:r>
      <w:r w:rsidRPr="000D3432">
        <w:rPr>
          <w:rFonts w:asciiTheme="minorHAnsi" w:hAnsiTheme="minorHAnsi"/>
          <w:i/>
          <w:szCs w:val="24"/>
        </w:rPr>
        <w:t>los hechos jurídicos</w:t>
      </w:r>
      <w:r w:rsidRPr="000D3432">
        <w:rPr>
          <w:rFonts w:asciiTheme="minorHAnsi" w:hAnsiTheme="minorHAnsi"/>
          <w:szCs w:val="24"/>
        </w:rPr>
        <w:t xml:space="preserve"> que pueden ser naturales, como el nacimiento o la muerte; </w:t>
      </w:r>
      <w:r w:rsidRPr="000D3432">
        <w:rPr>
          <w:rFonts w:asciiTheme="minorHAnsi" w:hAnsiTheme="minorHAnsi"/>
          <w:i/>
          <w:szCs w:val="24"/>
        </w:rPr>
        <w:t>los saberes jurídicos</w:t>
      </w:r>
      <w:r w:rsidRPr="000D3432">
        <w:rPr>
          <w:rFonts w:asciiTheme="minorHAnsi" w:hAnsiTheme="minorHAnsi"/>
          <w:szCs w:val="24"/>
        </w:rPr>
        <w:t xml:space="preserve">, como la Filosofía jurídica o la Dogmática jurídica; </w:t>
      </w:r>
      <w:r w:rsidRPr="000D3432">
        <w:rPr>
          <w:rFonts w:asciiTheme="minorHAnsi" w:hAnsiTheme="minorHAnsi"/>
          <w:i/>
          <w:szCs w:val="24"/>
        </w:rPr>
        <w:t>las profesiones jurídicas</w:t>
      </w:r>
      <w:r w:rsidRPr="000D3432">
        <w:rPr>
          <w:rFonts w:asciiTheme="minorHAnsi" w:hAnsiTheme="minorHAnsi"/>
          <w:szCs w:val="24"/>
        </w:rPr>
        <w:t>, como las de abogado, juez o notario; y así sucesivamente.” (Massini, 32). Y podemos agregar que: “Para resumir estas consideraciones sobre la semántica de ‘jurídico’, digamos que ese nombre se aplica propiamente, aunque en un sentido amplio, a todas aquellas realidades humanas que se vinculan de modo más o menos directo -sea como causas, como efectos, como condiciones, como saberes, etcétera- con aquellas conductas cuyo cumplimiento resulta estrictamente necesario -o que son condición necesaria- para el bien común político. Contrariamente, todas aquellas realidades humanas que no guarden esa relación quedarán en el ámbito de lo ‘no jurídico’ o ‘antijurídico’, aun cuando puedan ser objeto de regulación por otros órdenes normativos.” Massini (34).</w:t>
      </w:r>
    </w:p>
    <w:p w14:paraId="265A1CCA" w14:textId="77777777" w:rsidR="0082775B" w:rsidRPr="000D3432" w:rsidRDefault="0082775B" w:rsidP="00A95498">
      <w:pPr>
        <w:jc w:val="both"/>
        <w:rPr>
          <w:rFonts w:asciiTheme="minorHAnsi" w:hAnsiTheme="minorHAnsi"/>
          <w:szCs w:val="24"/>
        </w:rPr>
      </w:pPr>
    </w:p>
    <w:p w14:paraId="6A0F25A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asunto plantea una necesidad. El planteamiento del problema. Por eso primero hay que “percibir los patrones de razonamiento”. Hacer inteligible el problema es siempre “revelar el patrón básico”, para solucionar el asunto. Y luego ubicar y “Conocer el lugar ‘cósmico’ de lo hechos, para lograr saber las condiciones de la persona, qué es y qué hace, y, al mismo tiempo, por qué debe ser y hacer lo que es y hace.”</w:t>
      </w:r>
      <w:r w:rsidRPr="000D3432">
        <w:rPr>
          <w:rStyle w:val="Refdenotaalpie"/>
          <w:rFonts w:asciiTheme="minorHAnsi" w:hAnsiTheme="minorHAnsi"/>
          <w:sz w:val="24"/>
          <w:szCs w:val="24"/>
        </w:rPr>
        <w:footnoteReference w:id="814"/>
      </w:r>
      <w:r w:rsidRPr="000D3432">
        <w:rPr>
          <w:rFonts w:asciiTheme="minorHAnsi" w:hAnsiTheme="minorHAnsi"/>
          <w:szCs w:val="24"/>
        </w:rPr>
        <w:t>; esto condiciona la responsabilidad. Hay que, pues, percibir de donde parte el Derecho, de que cosmovisión. Para saber a qué nos estamos refiriendo cuando de juridicidad y antijuricidad hablamos.</w:t>
      </w:r>
    </w:p>
    <w:p w14:paraId="62257C2B" w14:textId="77777777" w:rsidR="0082775B" w:rsidRPr="000D3432" w:rsidRDefault="0082775B" w:rsidP="00A95498">
      <w:pPr>
        <w:jc w:val="both"/>
        <w:rPr>
          <w:rFonts w:asciiTheme="minorHAnsi" w:hAnsiTheme="minorHAnsi"/>
          <w:szCs w:val="24"/>
        </w:rPr>
      </w:pPr>
    </w:p>
    <w:p w14:paraId="5319766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Así, podemos decir que en la concepción normativista del Derecho, si no existe ley (norma escrita en un determinado cuerpo material) no hay derecho. El caso quedaría reducido a encajonar el hecho en la ley. Con esa concepción el razonamiento sería el siguiente: No hay ley específica donde encuadrar el hecho, entonces, no hay nada que hacer. Sólo olvidar el asunto. Pero en Derecho no se puede partir de ese criterio. Las lagunas (aunque Fernadez Sessarego dice que “toda conducta es pasible de una valoración jurídica”, y por lo tanto, “No hay, por ello, lagunas en el derecho.”</w:t>
      </w:r>
      <w:r w:rsidRPr="000D3432">
        <w:rPr>
          <w:rStyle w:val="Refdenotaalpie"/>
          <w:rFonts w:asciiTheme="minorHAnsi" w:hAnsiTheme="minorHAnsi"/>
          <w:sz w:val="24"/>
          <w:szCs w:val="24"/>
        </w:rPr>
        <w:footnoteReference w:id="815"/>
      </w:r>
      <w:r w:rsidRPr="000D3432">
        <w:rPr>
          <w:rFonts w:asciiTheme="minorHAnsi" w:hAnsiTheme="minorHAnsi"/>
          <w:szCs w:val="24"/>
        </w:rPr>
        <w:t xml:space="preserve">), los vacíos, olvidos, o no precisiones, no determinan, nunca, la inexistencia del derecho. El Derecho no es ley, sino “necesidad”, y necesidad, en el sentido primario es “no ser” (necesidad deriva de </w:t>
      </w:r>
      <w:r w:rsidRPr="000D3432">
        <w:rPr>
          <w:rFonts w:asciiTheme="minorHAnsi" w:hAnsiTheme="minorHAnsi"/>
          <w:i/>
          <w:szCs w:val="24"/>
        </w:rPr>
        <w:t>nec esse</w:t>
      </w:r>
      <w:r w:rsidRPr="000D3432">
        <w:rPr>
          <w:rFonts w:asciiTheme="minorHAnsi" w:hAnsiTheme="minorHAnsi"/>
          <w:szCs w:val="24"/>
        </w:rPr>
        <w:t>. No ser</w:t>
      </w:r>
      <w:r w:rsidRPr="000D3432">
        <w:rPr>
          <w:rStyle w:val="Refdenotaalpie"/>
          <w:rFonts w:asciiTheme="minorHAnsi" w:hAnsiTheme="minorHAnsi"/>
          <w:sz w:val="24"/>
          <w:szCs w:val="24"/>
        </w:rPr>
        <w:footnoteReference w:id="816"/>
      </w:r>
      <w:r w:rsidRPr="000D3432">
        <w:rPr>
          <w:rFonts w:asciiTheme="minorHAnsi" w:hAnsiTheme="minorHAnsi"/>
          <w:szCs w:val="24"/>
        </w:rPr>
        <w:t xml:space="preserve">). Ese no ser es necesario que sea. Necesidad -en el derecho- expresa una relación de “imputación”: si ha ocurrido un hecho, debe necesariamente suceder otro hecho, para lograr el equilibrio, o el objetivo de las partes que entran en relación. Este otro hecho es siempre una imputación, es </w:t>
      </w:r>
      <w:r w:rsidRPr="000D3432">
        <w:rPr>
          <w:rFonts w:asciiTheme="minorHAnsi" w:hAnsiTheme="minorHAnsi"/>
          <w:szCs w:val="24"/>
        </w:rPr>
        <w:lastRenderedPageBreak/>
        <w:t xml:space="preserve">decir un hecho creado e impuesto por el propio hombre. Este es el principio de imputación del que Kelsen nos habla, haciendo la diferenciación entre ley causal, natural, y ley humana, imputada. </w:t>
      </w:r>
    </w:p>
    <w:p w14:paraId="12E04621" w14:textId="77777777" w:rsidR="0082775B" w:rsidRPr="000D3432" w:rsidRDefault="0082775B" w:rsidP="00A95498">
      <w:pPr>
        <w:jc w:val="both"/>
        <w:rPr>
          <w:rFonts w:asciiTheme="minorHAnsi" w:hAnsiTheme="minorHAnsi"/>
          <w:szCs w:val="24"/>
        </w:rPr>
      </w:pPr>
    </w:p>
    <w:p w14:paraId="40EF2B5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necesidad es la condición de que algo sea así y solo así, y no de otra manera, para ser tal. Una necesidad es una “fuerza activa y eficaz”. Y cuando un hecho determinado acontece, y se desprende de su existencia “efectos” sociales, (que afectan a la sociedad), y no existe una ley que solucione o encauce estos efectos, pero hay necesidad de solucionar estos efectos desorganizadores, perturbadores, entra en juego el derecho como componedor de esta situación, aunque no exista ley. Esta es la peculiaridad del Derecho, y su real fuerza: su capacidad componedora.</w:t>
      </w:r>
    </w:p>
    <w:p w14:paraId="325F84A6" w14:textId="77777777" w:rsidR="0082775B" w:rsidRPr="000D3432" w:rsidRDefault="0082775B" w:rsidP="00A95498">
      <w:pPr>
        <w:jc w:val="both"/>
        <w:rPr>
          <w:rFonts w:asciiTheme="minorHAnsi" w:hAnsiTheme="minorHAnsi"/>
          <w:szCs w:val="24"/>
        </w:rPr>
      </w:pPr>
    </w:p>
    <w:p w14:paraId="1570A36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suceso de que no existan leyes escritas que integren todos los hechos no escapa a la visión del Derecho</w:t>
      </w:r>
      <w:r w:rsidRPr="000D3432">
        <w:rPr>
          <w:rStyle w:val="Refdenotaalpie"/>
          <w:rFonts w:asciiTheme="minorHAnsi" w:hAnsiTheme="minorHAnsi"/>
          <w:sz w:val="24"/>
          <w:szCs w:val="24"/>
        </w:rPr>
        <w:footnoteReference w:id="817"/>
      </w:r>
      <w:r w:rsidRPr="000D3432">
        <w:rPr>
          <w:rFonts w:asciiTheme="minorHAnsi" w:hAnsiTheme="minorHAnsi"/>
          <w:szCs w:val="24"/>
        </w:rPr>
        <w:t>. Es por esto que para salvar esos vacíos, lagunas, o imprecisiones legales, el derecho ha sido creado bajo algunos fundamentos o criterios; “categorías de razonamiento”. Estos son los patrones o “puntos de vista de apreciación”. De acuerdo a cómo están configuradas estas categorías es cómo se puede construir y aplicar Derecho. Más allá, en la base, están los principios generales del Derecho, que por ser tal son fundamentales, es decir son el fundamento que sostiene todo el ordenamiento jurídico. Además el derecho tiene en su caja de herramientas a la “generalización” y la “abstracción”, que pueden resolver el problema de la multiplicidad de fenómenos jurídicos y servir como instrumentos de composición.</w:t>
      </w:r>
    </w:p>
    <w:p w14:paraId="1D3A859C" w14:textId="77777777" w:rsidR="0082775B" w:rsidRPr="000D3432" w:rsidRDefault="0082775B" w:rsidP="00A95498">
      <w:pPr>
        <w:jc w:val="both"/>
        <w:rPr>
          <w:rFonts w:asciiTheme="minorHAnsi" w:hAnsiTheme="minorHAnsi"/>
          <w:szCs w:val="24"/>
        </w:rPr>
      </w:pPr>
    </w:p>
    <w:p w14:paraId="6924728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Las normas por eso son siempre generales y abstractas, justamente para poder usarse como instrumentos, como herramientas que se usan cuando hay un desajuste social, independientemente de cómo se han producido. Por ejemplo, cuando se habla de la defensa de los derechos de la persona no se está hablando en singular, de una sola persona, sino de la persona en plural. Luego esa actitud de querer una ley “específica” para configurar cualquier hecho con la norma, considerando literalmente el término “específica”, es siempre reducir el derecho a mera materialización, textualización. No debe olvidarse nunca que el derecho siempre responde más a un “sentido” que a una “forma”; pero no se trata de cualquier sentido, sino del “sentido histórico”, es decir “conciencia del tiempo y del espacio”.  Conocer el “lugar cósmico” de los hechos. La “</w:t>
      </w:r>
      <w:r w:rsidRPr="000D3432">
        <w:rPr>
          <w:rFonts w:asciiTheme="minorHAnsi" w:hAnsiTheme="minorHAnsi"/>
          <w:b/>
          <w:szCs w:val="24"/>
        </w:rPr>
        <w:t>abstracción</w:t>
      </w:r>
      <w:r w:rsidRPr="000D3432">
        <w:rPr>
          <w:rFonts w:asciiTheme="minorHAnsi" w:hAnsiTheme="minorHAnsi"/>
          <w:szCs w:val="24"/>
        </w:rPr>
        <w:t>”  es un “proceso de nuestra mente por la cual eliminamos de los objetos todas sus particularidades o especialidades experimentales para formular su concepto general, abstracto”</w:t>
      </w:r>
      <w:r w:rsidRPr="000D3432">
        <w:rPr>
          <w:rStyle w:val="Refdenotaalpie"/>
          <w:rFonts w:asciiTheme="minorHAnsi" w:hAnsiTheme="minorHAnsi"/>
          <w:sz w:val="24"/>
          <w:szCs w:val="24"/>
        </w:rPr>
        <w:footnoteReference w:id="818"/>
      </w:r>
      <w:r w:rsidRPr="000D3432">
        <w:rPr>
          <w:rFonts w:asciiTheme="minorHAnsi" w:hAnsiTheme="minorHAnsi"/>
          <w:szCs w:val="24"/>
        </w:rPr>
        <w:t xml:space="preserve">; la </w:t>
      </w:r>
      <w:r w:rsidRPr="000D3432">
        <w:rPr>
          <w:rFonts w:asciiTheme="minorHAnsi" w:hAnsiTheme="minorHAnsi"/>
          <w:b/>
          <w:szCs w:val="24"/>
        </w:rPr>
        <w:t>generalizació</w:t>
      </w:r>
      <w:r w:rsidRPr="000D3432">
        <w:rPr>
          <w:rFonts w:asciiTheme="minorHAnsi" w:hAnsiTheme="minorHAnsi"/>
          <w:szCs w:val="24"/>
        </w:rPr>
        <w:t>n se configura cuando dejamos de lado todas las diferencias y surge como “resultado de las características comunes”.</w:t>
      </w:r>
    </w:p>
    <w:p w14:paraId="364BBD54" w14:textId="77777777" w:rsidR="0082775B" w:rsidRPr="000D3432" w:rsidRDefault="0082775B" w:rsidP="00A95498">
      <w:pPr>
        <w:jc w:val="both"/>
        <w:rPr>
          <w:rFonts w:asciiTheme="minorHAnsi" w:hAnsiTheme="minorHAnsi"/>
          <w:szCs w:val="24"/>
        </w:rPr>
      </w:pPr>
    </w:p>
    <w:p w14:paraId="12AB102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Además, nuestro sistema jurídico cuenta con otra herramienta ineludible, principal y determinante: la interpretación, en donde entra en juego, necesaria e ineludiblemente,  “razón” e “intuición”. La interpretación sirve para armonizar </w:t>
      </w:r>
      <w:r w:rsidRPr="000D3432">
        <w:rPr>
          <w:rFonts w:asciiTheme="minorHAnsi" w:hAnsiTheme="minorHAnsi"/>
          <w:szCs w:val="24"/>
        </w:rPr>
        <w:lastRenderedPageBreak/>
        <w:t>los hechos con los valores y las normas, pero además, con todos los otros fenómenos pasibles de presentarse, como el azar, la historia, las circunstancias, lo social, económico, cultural, etc. La interpretación se convierte, pues, en una técnica, pero técnica que supera su propio concepto, puesto que no es una técnica como si fuera un objeto, una cosa, elemento inmóvil y determinado para siempre, sino es una técnica móvil, plástica, amoldable según sea la necesidad de solucionar los conflictos de intereses. Es el instrumento que sirve para armonizar e integrar todas las dimensiones posibles del derecho, es decir, es la parte filosófica del Derecho.</w:t>
      </w:r>
    </w:p>
    <w:p w14:paraId="4796F9A3" w14:textId="77777777" w:rsidR="0082775B" w:rsidRPr="000D3432" w:rsidRDefault="0082775B" w:rsidP="00A95498">
      <w:pPr>
        <w:jc w:val="both"/>
        <w:rPr>
          <w:rFonts w:asciiTheme="minorHAnsi" w:hAnsiTheme="minorHAnsi"/>
          <w:szCs w:val="24"/>
        </w:rPr>
      </w:pPr>
    </w:p>
    <w:p w14:paraId="05F3C3C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Volviendo al fenómeno de la inexistencia de ley para un hecho. Hay que reincidir en estas explicaciones. Por ejemplo, un caso cualquiera, visto desde el positivismo, un hecho no determinado -existencia de conceptos fijos, ciertos y reconocibles- por una norma no existiría para el derecho. No habría forma de regularlo, de componerlo. Pero la determinación normativista, esa necesidad de conceptos fijos, ciertos y reconocibles, no elimina el hecho; y lo gravitante: no elimina el daño. Es más, no elimina la posibilidad de perpetuarse o llevarse a cabo en otros sujetos de derecho. Puede suceder, entonces, con la concepción normativista, que exista una grave violación a la persona, pero la no existencia de norma deja esa violación sin solución. </w:t>
      </w:r>
    </w:p>
    <w:p w14:paraId="73AA496F" w14:textId="77777777" w:rsidR="0082775B" w:rsidRPr="000D3432" w:rsidRDefault="0082775B" w:rsidP="00A95498">
      <w:pPr>
        <w:jc w:val="both"/>
        <w:rPr>
          <w:rFonts w:asciiTheme="minorHAnsi" w:hAnsiTheme="minorHAnsi"/>
          <w:szCs w:val="24"/>
        </w:rPr>
      </w:pPr>
    </w:p>
    <w:p w14:paraId="66D0249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asunto está en determinar que el hecho se convierta en jurídico y no solamente en legal. Un hecho es jurídico si su naturaleza y consecuencia responden a factores del “deber ser”, pero este deber ser puede confundirse con las otras normas, como las normas morales, éticas, de trato social, etc. Para diferenciarse el Derecho se ha constituido con ciertos elementos que no tienen las “otras normas”. Estos elementos son la coacción, la exigencia social de solución, la monopolización del poder, poder de vigilar y castigar. </w:t>
      </w:r>
    </w:p>
    <w:p w14:paraId="5A191CC2" w14:textId="77777777" w:rsidR="0082775B" w:rsidRPr="000D3432" w:rsidRDefault="0082775B" w:rsidP="00A95498">
      <w:pPr>
        <w:jc w:val="both"/>
        <w:rPr>
          <w:rFonts w:asciiTheme="minorHAnsi" w:hAnsiTheme="minorHAnsi"/>
          <w:szCs w:val="24"/>
        </w:rPr>
      </w:pPr>
    </w:p>
    <w:p w14:paraId="10711F2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criterio para  que una conducta humana sea calificada como jurídica, no está en la existencia de una ley escrita, sino en la relación entre el hecho, la conducta humana y el bien común, entonces, “jurídico es cierta relación de causalidad con el bien común político. Lo que hace que una conducta sea ‘jurídica’… es su carácter de condición necesaria -aunque no suficiente- para la realización o la afectividad del mencionado bien común de la sociedad política”.</w:t>
      </w:r>
      <w:r w:rsidRPr="000D3432">
        <w:rPr>
          <w:rStyle w:val="Refdenotaalpie"/>
          <w:rFonts w:asciiTheme="minorHAnsi" w:hAnsiTheme="minorHAnsi"/>
          <w:sz w:val="24"/>
          <w:szCs w:val="24"/>
        </w:rPr>
        <w:footnoteReference w:id="819"/>
      </w:r>
      <w:r w:rsidRPr="000D3432">
        <w:rPr>
          <w:rFonts w:asciiTheme="minorHAnsi" w:hAnsiTheme="minorHAnsi"/>
          <w:szCs w:val="24"/>
        </w:rPr>
        <w:t xml:space="preserve"> </w:t>
      </w:r>
    </w:p>
    <w:p w14:paraId="5EC44154" w14:textId="77777777" w:rsidR="0082775B" w:rsidRPr="000D3432" w:rsidRDefault="0082775B" w:rsidP="00A95498">
      <w:pPr>
        <w:jc w:val="both"/>
        <w:rPr>
          <w:rFonts w:asciiTheme="minorHAnsi" w:hAnsiTheme="minorHAnsi"/>
          <w:szCs w:val="24"/>
        </w:rPr>
      </w:pPr>
    </w:p>
    <w:p w14:paraId="2A0B158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naturaleza del hecho y sus consecuencias acarrea no sólo un daño individual, sino social, la sanción o reparación, la infracción, es a los principios, a las normas (normas como preceptos que regulan la conducta humana individual siempre en relación a la conducta humana en sociedad).</w:t>
      </w:r>
    </w:p>
    <w:p w14:paraId="06457FA3" w14:textId="77777777" w:rsidR="0082775B" w:rsidRPr="000D3432" w:rsidRDefault="0082775B" w:rsidP="00A95498">
      <w:pPr>
        <w:jc w:val="both"/>
        <w:rPr>
          <w:rFonts w:asciiTheme="minorHAnsi" w:hAnsiTheme="minorHAnsi"/>
          <w:szCs w:val="24"/>
        </w:rPr>
      </w:pPr>
    </w:p>
    <w:p w14:paraId="333E4E6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No podemos olvidar que un hecho jurídico es tal cuando implica “responsabilidad”, que puede ser exigida por la sociedad.</w:t>
      </w:r>
    </w:p>
    <w:p w14:paraId="7852BC7A" w14:textId="77777777" w:rsidR="0082775B" w:rsidRPr="000D3432" w:rsidRDefault="0082775B" w:rsidP="00A95498">
      <w:pPr>
        <w:jc w:val="both"/>
        <w:rPr>
          <w:rFonts w:asciiTheme="minorHAnsi" w:hAnsiTheme="minorHAnsi"/>
          <w:szCs w:val="24"/>
        </w:rPr>
      </w:pPr>
    </w:p>
    <w:p w14:paraId="1915863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Como sabemos para una concepción normativista el derecho, los hechos, están </w:t>
      </w:r>
      <w:r w:rsidRPr="000D3432">
        <w:rPr>
          <w:rFonts w:asciiTheme="minorHAnsi" w:hAnsiTheme="minorHAnsi"/>
          <w:szCs w:val="24"/>
        </w:rPr>
        <w:lastRenderedPageBreak/>
        <w:t>“previamente establecidos”, pero para el derecho actual es la necesidad social de solucionar los problemas lo que determina lo jurídico y no su condición de existencia a priori.</w:t>
      </w:r>
    </w:p>
    <w:p w14:paraId="69CAA30D" w14:textId="77777777" w:rsidR="0082775B" w:rsidRPr="000D3432" w:rsidRDefault="0082775B" w:rsidP="00A95498">
      <w:pPr>
        <w:jc w:val="both"/>
        <w:rPr>
          <w:rFonts w:asciiTheme="minorHAnsi" w:hAnsiTheme="minorHAnsi"/>
          <w:szCs w:val="24"/>
        </w:rPr>
      </w:pPr>
    </w:p>
    <w:p w14:paraId="1DDE16F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Un hecho no tiene que ser sólo típico, sino antijurídico, es decir que contradiga la relación de la conducta humana con el fin común, y que por lo tanto haya necesidad de una exigencia social de solución.</w:t>
      </w:r>
    </w:p>
    <w:p w14:paraId="6C23FB7D" w14:textId="77777777" w:rsidR="0082775B" w:rsidRPr="000D3432" w:rsidRDefault="0082775B" w:rsidP="00A95498">
      <w:pPr>
        <w:jc w:val="both"/>
        <w:rPr>
          <w:rFonts w:asciiTheme="minorHAnsi" w:hAnsiTheme="minorHAnsi"/>
          <w:b/>
          <w:szCs w:val="24"/>
        </w:rPr>
      </w:pPr>
    </w:p>
    <w:p w14:paraId="3B73CA9E"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LA ANTIJURICIDAD VISTA DESDE LOS SISTEMA PENITENCIARIOS</w:t>
      </w:r>
    </w:p>
    <w:p w14:paraId="6430F1ED" w14:textId="77777777" w:rsidR="0082775B" w:rsidRPr="000D3432" w:rsidRDefault="0082775B" w:rsidP="00A95498">
      <w:pPr>
        <w:jc w:val="center"/>
        <w:rPr>
          <w:rFonts w:asciiTheme="minorHAnsi" w:hAnsiTheme="minorHAnsi"/>
          <w:b/>
          <w:szCs w:val="24"/>
        </w:rPr>
      </w:pPr>
    </w:p>
    <w:p w14:paraId="44BE0BD5" w14:textId="77777777" w:rsidR="0082775B" w:rsidRPr="000D3432" w:rsidRDefault="0082775B" w:rsidP="00A95498">
      <w:pPr>
        <w:jc w:val="both"/>
        <w:rPr>
          <w:rFonts w:asciiTheme="minorHAnsi" w:hAnsiTheme="minorHAnsi"/>
          <w:b/>
          <w:szCs w:val="24"/>
        </w:rPr>
      </w:pPr>
      <w:r w:rsidRPr="000D3432">
        <w:rPr>
          <w:rFonts w:asciiTheme="minorHAnsi" w:hAnsiTheme="minorHAnsi"/>
          <w:szCs w:val="24"/>
        </w:rPr>
        <w:t>Podemos plantear el asunto desde la respuesta que el Derecho da a los desordenes sociales, es decir a su consecuencia, como construcción de todo un sistema penitenciario, como pena y penalidad.</w:t>
      </w:r>
    </w:p>
    <w:p w14:paraId="49D8B216" w14:textId="77777777" w:rsidR="0082775B" w:rsidRPr="000D3432" w:rsidRDefault="0082775B" w:rsidP="00A95498">
      <w:pPr>
        <w:jc w:val="both"/>
        <w:rPr>
          <w:rFonts w:asciiTheme="minorHAnsi" w:hAnsiTheme="minorHAnsi"/>
          <w:szCs w:val="24"/>
        </w:rPr>
      </w:pPr>
    </w:p>
    <w:p w14:paraId="1934C95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No podemos empezar de cero, para hablar sobre el sistema penitenciario, sobre las formas como el ser humano se ha organizado para establecer diferencias y determinar quienes tienen derecho a vivir libres por las calles, y quienes deben más bien ser castigados por su anormalidad, o por la osadía de no cumplir con las normas sociales. Y no se trata de quién tiene la verdad, o si el hecho es o no en realidad malo, sino de la determinación de malo, prohibido, ilegal, y la posterior consecuencia jurídica que han impuesto unos hombres a otros. </w:t>
      </w:r>
    </w:p>
    <w:p w14:paraId="191BDB4E" w14:textId="77777777" w:rsidR="0082775B" w:rsidRPr="000D3432" w:rsidRDefault="0082775B" w:rsidP="00A95498">
      <w:pPr>
        <w:jc w:val="both"/>
        <w:rPr>
          <w:rFonts w:asciiTheme="minorHAnsi" w:hAnsiTheme="minorHAnsi"/>
          <w:szCs w:val="24"/>
        </w:rPr>
      </w:pPr>
    </w:p>
    <w:p w14:paraId="5CB8FF9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¿Por qué pensar que lo que llamamos delito es realmente digno de castigarse? Le han quitado al hombre lo que tenía, su estado natural. Y este estado natural es el de hacer lo que le venga en gana, a pesar de la opinión, voluntad, o interés de los demás. Pues bien, en realidad la constitución del delito es nada más que el sometimiento a través del lenguaje, de cierto discurso de poder o dominación a una transformación del hombre natural en hombre civilizado. El delito es pues un producto de la civilización, una ficción creada por el hombre. Pero ¿cómo se ha producido esta transformación del hombre en ser humano, del animal en persona? Si bien sabemos Lo malo, lo prohibido son sólo determinaciones lingüísticas. El hombre se construye.</w:t>
      </w:r>
    </w:p>
    <w:p w14:paraId="4033711F" w14:textId="77777777" w:rsidR="0082775B" w:rsidRPr="000D3432" w:rsidRDefault="0082775B" w:rsidP="00A95498">
      <w:pPr>
        <w:pStyle w:val="Ttulo"/>
        <w:rPr>
          <w:rFonts w:asciiTheme="minorHAnsi" w:hAnsiTheme="minorHAnsi"/>
        </w:rPr>
      </w:pPr>
    </w:p>
    <w:p w14:paraId="10877D7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Para mejor explorar el asunto usaremos los razonamientos  de Michel Foucault. Y de una de sus conclusiones sobre las prisiones y el poder: “es menos oneroso vigilar que castigar”. Pero este fenómeno ha sido evolutivo. Foucault parece haber llegado a esa conclusión partiendo del discurso de Benthan, y el panopthismo. El panopthismo que es una especie de torre, rodeado de un anillo dividido en celdas, en las cuales se encuentra enclaustrado, como objeto de observación, un ser humano clasificado por su actividad laboral o profesional. En la cima de la torre existe un ojo encerrado en un triángulo, representando al Estado. El Estado es pues un ojo que todo lo ve, que ve todos los movimientos de los seres humanos que están encerrados en las celdas del anillo, y que por lo tanto puede prever o normar las conductas de la sociedad en base a esa información observada, en base a ese “vigilar”.</w:t>
      </w:r>
    </w:p>
    <w:p w14:paraId="38E60C56" w14:textId="77777777" w:rsidR="0082775B" w:rsidRPr="000D3432" w:rsidRDefault="0082775B" w:rsidP="00A95498">
      <w:pPr>
        <w:jc w:val="both"/>
        <w:rPr>
          <w:rFonts w:asciiTheme="minorHAnsi" w:hAnsiTheme="minorHAnsi"/>
          <w:szCs w:val="24"/>
        </w:rPr>
      </w:pPr>
    </w:p>
    <w:p w14:paraId="6C74169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Vigilar es menor oneroso que castigar, prevenir antes que castigar, “Economía del poder”, “eficacia”, “rentable”. El poder no se ejerce a posteriori de los hechos, </w:t>
      </w:r>
      <w:r w:rsidRPr="000D3432">
        <w:rPr>
          <w:rFonts w:asciiTheme="minorHAnsi" w:hAnsiTheme="minorHAnsi"/>
          <w:szCs w:val="24"/>
        </w:rPr>
        <w:lastRenderedPageBreak/>
        <w:t xml:space="preserve">sino a priori, antes que suceda; eso posibilita la extensión de nuestra vida, la proyección de nuestro presente. La sociedad se organiza como con un oráculo, intenta saber o decidir cuales son las conductas que van a adaptarse. </w:t>
      </w:r>
    </w:p>
    <w:p w14:paraId="3C943092" w14:textId="77777777" w:rsidR="0082775B" w:rsidRPr="000D3432" w:rsidRDefault="0082775B" w:rsidP="00A95498">
      <w:pPr>
        <w:jc w:val="both"/>
        <w:rPr>
          <w:rFonts w:asciiTheme="minorHAnsi" w:hAnsiTheme="minorHAnsi"/>
          <w:szCs w:val="24"/>
        </w:rPr>
      </w:pPr>
    </w:p>
    <w:p w14:paraId="1C18190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Foucault hace un análisis, una descripción de cómo ha sido el proceso o el sistema penitenciario, de cómo se ha pasado del castigo a la vigilancia. Y se pregunta sobre: “El momento en el que se ha apercibido que era, según la economía del poder, más eficaz y más rentable  vigilar que castigar. Ese momento corresponde a la formación, a la vez rápida y lenta, de un nuevo tipo de ejercicio del poder en el siglo XVIII y a comienzos del XIX.”</w:t>
      </w:r>
      <w:r w:rsidRPr="000D3432">
        <w:rPr>
          <w:rStyle w:val="Refdenotaalpie"/>
          <w:rFonts w:asciiTheme="minorHAnsi" w:hAnsiTheme="minorHAnsi"/>
          <w:sz w:val="24"/>
          <w:szCs w:val="24"/>
        </w:rPr>
        <w:footnoteReference w:id="820"/>
      </w:r>
    </w:p>
    <w:p w14:paraId="6385AA30" w14:textId="77777777" w:rsidR="0082775B" w:rsidRPr="000D3432" w:rsidRDefault="0082775B" w:rsidP="00A95498">
      <w:pPr>
        <w:jc w:val="both"/>
        <w:rPr>
          <w:rFonts w:asciiTheme="minorHAnsi" w:hAnsiTheme="minorHAnsi"/>
          <w:szCs w:val="24"/>
        </w:rPr>
      </w:pPr>
    </w:p>
    <w:p w14:paraId="19DEE28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punto relevante de todo ese análisis está en un hecho económico, este es la rentabilidad de los actos que se realizan para conseguir organizar a la sociedad en rededor de un poder; el poder es, por supuesto, lo trascendental. El poder organizado, ejercido y mantenido de otra manera. Se trata, entonces de un nuevo tipo de “ejercicio del poder”. Este poder en la edad moderna pasa a manos del Estado. El Estado, pues, intenta subordinar y monopolizar el poder.</w:t>
      </w:r>
    </w:p>
    <w:p w14:paraId="16A649BD" w14:textId="77777777" w:rsidR="0082775B" w:rsidRPr="000D3432" w:rsidRDefault="0082775B" w:rsidP="00A95498">
      <w:pPr>
        <w:jc w:val="both"/>
        <w:rPr>
          <w:rFonts w:asciiTheme="minorHAnsi" w:hAnsiTheme="minorHAnsi"/>
          <w:szCs w:val="24"/>
        </w:rPr>
      </w:pPr>
    </w:p>
    <w:p w14:paraId="04679D9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Hay una historia de la represión, y en esta Foucault intenta encontrar y describir “el paso del castigo a la vigilancia”.</w:t>
      </w:r>
    </w:p>
    <w:p w14:paraId="1614AF93" w14:textId="77777777" w:rsidR="0082775B" w:rsidRPr="000D3432" w:rsidRDefault="0082775B" w:rsidP="00A95498">
      <w:pPr>
        <w:jc w:val="both"/>
        <w:rPr>
          <w:rFonts w:asciiTheme="minorHAnsi" w:hAnsiTheme="minorHAnsi"/>
          <w:szCs w:val="24"/>
        </w:rPr>
      </w:pPr>
    </w:p>
    <w:p w14:paraId="32A0637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Históricamente parece que el Estado nunca ha tenido la verdadera intención de crear centros de rehabilitación en las prisiones, porque esa nunca ha sido su función. La función es más bien social, instaurar el miedo, prevenir sobre la superioridad del poder, y sobre la oscuridad con la que el individuo que se desvía puede enfrentarse, el hombre así, no puede hacer lo que quiera sino estar sometido a las reglas del Estado. El principio de la prisión es mantener un edificio que signifique el poderío del Estado, un emblema de lo que debe ser la sociedad, representación y subordinación del individuo al Estado, a un orden superior a el. Ya no es la  divinidad la encargada de ejercer este dominio sobre el hombre, pero si existe, este dominio no desaparece sino que se transmuta con otros fundamentos. Esto es lo espeluznante del fenómeno de las prisiones, porque todos saben que las prisiones nunca regenerarán al delincuente, sino todo lo contrario, pero no se lo elimina por dos razones, uno la imposibilidad de encontrar otro método de mantener alejado a los delincuentes de los que no lo son, y por lo tanto los no delincuentes deberían sentirse amados y protegidos, y luego la función de poder. Si no existen delincuentes no puede haber forma de establecer la obligatoriedad de las normas, no puede haber subordinación, las prisiones se constituyen en un factor meramente de poder, de perpetuación del poder, de justificación de la existencia del Estado y de sus aparatos de coacción.</w:t>
      </w:r>
    </w:p>
    <w:p w14:paraId="4E145D2A" w14:textId="77777777" w:rsidR="0082775B" w:rsidRPr="000D3432" w:rsidRDefault="0082775B" w:rsidP="00A95498">
      <w:pPr>
        <w:rPr>
          <w:rFonts w:asciiTheme="minorHAnsi" w:hAnsiTheme="minorHAnsi"/>
          <w:szCs w:val="24"/>
        </w:rPr>
      </w:pPr>
    </w:p>
    <w:p w14:paraId="7E46F00B" w14:textId="77777777" w:rsidR="0082775B" w:rsidRPr="000D3432" w:rsidRDefault="0082775B" w:rsidP="00A95498">
      <w:pPr>
        <w:rPr>
          <w:rFonts w:asciiTheme="minorHAnsi" w:hAnsiTheme="minorHAnsi"/>
          <w:b/>
          <w:szCs w:val="24"/>
        </w:rPr>
      </w:pPr>
      <w:r w:rsidRPr="000D3432">
        <w:rPr>
          <w:rFonts w:asciiTheme="minorHAnsi" w:hAnsiTheme="minorHAnsi"/>
          <w:b/>
          <w:szCs w:val="24"/>
        </w:rPr>
        <w:t>LA RAZÓN COMO FUNDAMENTO DE LA ANTIJURICIDAD</w:t>
      </w:r>
    </w:p>
    <w:p w14:paraId="0273C36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2E1BB4A9"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r w:rsidRPr="000D3432">
        <w:rPr>
          <w:rFonts w:asciiTheme="minorHAnsi" w:hAnsiTheme="minorHAnsi"/>
          <w:szCs w:val="24"/>
        </w:rPr>
        <w:t xml:space="preserve">En Derecho, o al menos en el derecho moderno, todo tiene necesidad de ser racional, o mejor sometido al orden de las razones, por eso es menester deslizarnos un momento sobre esta institución. Así diremos que la Razón, </w:t>
      </w:r>
      <w:r w:rsidRPr="000D3432">
        <w:rPr>
          <w:rFonts w:asciiTheme="minorHAnsi" w:hAnsiTheme="minorHAnsi"/>
          <w:szCs w:val="24"/>
        </w:rPr>
        <w:lastRenderedPageBreak/>
        <w:t xml:space="preserve">Rattio, es evidentemente un signo de la modernidad. Su culmen, cima, etc.: la Ilustración.  </w:t>
      </w:r>
    </w:p>
    <w:p w14:paraId="77EE8F5C"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Theme="minorHAnsi" w:hAnsiTheme="minorHAnsi"/>
          <w:szCs w:val="24"/>
        </w:rPr>
      </w:pPr>
    </w:p>
    <w:p w14:paraId="15FEB6B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r w:rsidRPr="000D3432">
        <w:rPr>
          <w:rFonts w:asciiTheme="minorHAnsi" w:hAnsiTheme="minorHAnsi"/>
          <w:szCs w:val="24"/>
        </w:rPr>
        <w:t>La razón significaría liberarse de lo que Kant definió como “culpable incapacidad”. Se era culpable por no desterrar al padre (el que nos soluciona todo), y por lo tanto la imposibilidad de crear nuestro propio universo, nuestra propia luz. La razón sería la vela que haría arder al padre, a Dios; la linterna esgrimida para ser dueño de sí mismo. La razón, pues, sedienta y culpable se alza triturando todo a su paso. Ella quiere ser prueba, experiencia y no ficción, fe. Quiere verlo todo y comprobarlo todo. Escéptica en cualquier oculto dominio, supersticiosa y huidiza de cualquier ciencia invisible, se alza ufana y dogmática. “Todo es razón”, dice, como quien dice “hágase la luz”.</w:t>
      </w:r>
    </w:p>
    <w:p w14:paraId="67B40203"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p>
    <w:p w14:paraId="7FBE1922"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r w:rsidRPr="000D3432">
        <w:rPr>
          <w:rFonts w:asciiTheme="minorHAnsi" w:hAnsiTheme="minorHAnsi"/>
          <w:szCs w:val="24"/>
        </w:rPr>
        <w:t xml:space="preserve">Pero la razón no viene necesariamente de la Ilustración o la Modernidad. Esas pudieron ser sus épocas de relevancia, sin embargo no es el origen de la razón. Kant en un artículo denominado </w:t>
      </w:r>
      <w:r w:rsidRPr="000D3432">
        <w:rPr>
          <w:rFonts w:asciiTheme="minorHAnsi" w:hAnsiTheme="minorHAnsi"/>
          <w:i/>
          <w:szCs w:val="24"/>
        </w:rPr>
        <w:t>Idea de una historia universal en sentido cosmopolita</w:t>
      </w:r>
      <w:r w:rsidRPr="000D3432">
        <w:rPr>
          <w:rFonts w:asciiTheme="minorHAnsi" w:hAnsiTheme="minorHAnsi"/>
          <w:szCs w:val="24"/>
        </w:rPr>
        <w:t>, nos habla del origen de la razón. La  Naturaleza había dotado al hombre de razón por una muy peculiar condición, el hombre “tendría que obtenerlo todo de sí mismo.” Eso significaba una clara contradicción al instinto. El hombre, entonces, “no debía ser dirigido por el instinto”. Esto último que parece intrascendente no es tal si en la época actual se ha venido diciendo que lo importante es precisamente el instinto, o su expresión más refinada, la intuición. Sin embargo, Kant explica el porque de la trascendencia de la razón más allá del primario ‘instinto’: “La razón (es aquella) facultad de ampliar las reglas e intenciones del uso de todas sus fuerzas mucho más allá del instinto natural, y no conoce límites a sus proyectos. Pero ella misma no actúa instintivamente sino que necesita tanteos, ejercicio y aprendizaje, para poder progresar lenta de un peldaño a otro del conocimiento.”</w:t>
      </w:r>
    </w:p>
    <w:p w14:paraId="3AD72AB5"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p>
    <w:p w14:paraId="6B8E373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r w:rsidRPr="000D3432">
        <w:rPr>
          <w:rFonts w:asciiTheme="minorHAnsi" w:hAnsiTheme="minorHAnsi"/>
          <w:szCs w:val="24"/>
        </w:rPr>
        <w:t xml:space="preserve">En la época antecedente (y aún existen rezagos muy fuertes en la época contemporánea) se ha sometido todo a la razón, a eso se le ha llamado Modernidad, sin embargo «...El racionalismo </w:t>
      </w:r>
      <w:r w:rsidRPr="000D3432">
        <w:rPr>
          <w:rFonts w:asciiTheme="minorHAnsi" w:hAnsiTheme="minorHAnsi"/>
          <w:szCs w:val="24"/>
        </w:rPr>
        <w:noBreakHyphen/>
        <w:t>nos dice Mariátegui</w:t>
      </w:r>
      <w:r w:rsidRPr="000D3432">
        <w:rPr>
          <w:rFonts w:asciiTheme="minorHAnsi" w:hAnsiTheme="minorHAnsi"/>
          <w:szCs w:val="24"/>
        </w:rPr>
        <w:noBreakHyphen/>
        <w:t xml:space="preserve"> no ha servido sino para desacreditar a la razón...Más exacto es, sin duda, que a la idea Razón la han asesinado los racionalistas...La propia Razón se ha encargado de demostrar a los hombres que ella no les basta. Que únicamente el Mito posee la preciosa virtud de llenar su yo profundo.» y la ley es el producto de la razón </w:t>
      </w:r>
      <w:r w:rsidRPr="000D3432">
        <w:rPr>
          <w:rFonts w:asciiTheme="minorHAnsi" w:hAnsiTheme="minorHAnsi"/>
          <w:szCs w:val="24"/>
        </w:rPr>
        <w:noBreakHyphen/>
        <w:t>afirma Trazegnies</w:t>
      </w:r>
      <w:r w:rsidRPr="000D3432">
        <w:rPr>
          <w:rFonts w:asciiTheme="minorHAnsi" w:hAnsiTheme="minorHAnsi"/>
          <w:szCs w:val="24"/>
        </w:rPr>
        <w:noBreakHyphen/>
        <w:t>.</w:t>
      </w:r>
    </w:p>
    <w:p w14:paraId="49EA4F6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p>
    <w:p w14:paraId="3CF4918F"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r w:rsidRPr="000D3432">
        <w:rPr>
          <w:rFonts w:asciiTheme="minorHAnsi" w:hAnsiTheme="minorHAnsi"/>
          <w:szCs w:val="24"/>
        </w:rPr>
        <w:t xml:space="preserve">Ahora bien, lo que toda sociedad moderna  busca, al menos supuestamente, es el progreso, que sugiere la idea del orden, y se cree que el racionalismo nos conducirá directamente a él, caemos en esa ingenuidad racional, pero el racionalismo se nos ha mostrado actualmente muy inerte, estancador de voluntades, conductas e incluso de emociones y sentimientos, se convierte en encuadramiento, en límites, barreras, en una especie de Muro de Berlín, de Muralla China. La razón moderna tiene características matemáticas, sistematizadoras y sintetizadoras, o como lo explicara Fernando de Trazegnies:  «Hay en la razón moderna una evidente influencia matemática: la razón simplifica, elimina lo caótico (a mi parecer sólo intenta esta eliminación sin </w:t>
      </w:r>
      <w:r w:rsidRPr="000D3432">
        <w:rPr>
          <w:rFonts w:asciiTheme="minorHAnsi" w:hAnsiTheme="minorHAnsi"/>
          <w:szCs w:val="24"/>
        </w:rPr>
        <w:lastRenderedPageBreak/>
        <w:t>conseguirlo), generaliza a la manera como la geometría resuelve las complejas figuras de la naturaleza en limpios círculos, cuadrados, triángulos. Esa razón moderna tiene horror a lo confuso, a lo irregular, a lo particular».</w:t>
      </w:r>
    </w:p>
    <w:p w14:paraId="0D80F9D0"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p>
    <w:p w14:paraId="27FC5264"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r w:rsidRPr="000D3432">
        <w:rPr>
          <w:rFonts w:asciiTheme="minorHAnsi" w:hAnsiTheme="minorHAnsi"/>
          <w:szCs w:val="24"/>
        </w:rPr>
        <w:t>La razón elimina -incluso- la imaginación, no hay ya más que imaginar, sino que todo está ya imaginado, todo está ya ordenado, y no debe cambiar. Este miedo al cambio, a lo confuso, a lo caótico, al desorden (que no es sino «sólo una falta de comprensión de nuestra mente», como aclara Trazegnies), impide cualquier proceso de modernización. La imaginación creativa se anula, olvidando que: «La historia la han creado los hombres con fantasías» y que esta voluntad imaginativa es -según Mariátegui- la disposición necesaria para el desarrollo. El progreso no existe sin imaginación. El estado racional o la imposición de la razón totalitaria en la concepción humana como un único y exclusivo requisito del progreso actúa a manera de bloque que fractura la mentalidad humana.</w:t>
      </w:r>
    </w:p>
    <w:p w14:paraId="15F19827"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p>
    <w:p w14:paraId="7066D121"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r w:rsidRPr="000D3432">
        <w:rPr>
          <w:rFonts w:asciiTheme="minorHAnsi" w:hAnsiTheme="minorHAnsi"/>
          <w:szCs w:val="24"/>
        </w:rPr>
        <w:t xml:space="preserve">No obstante esto, el racionalismo, como fundamento de conocimiento, llegó a suponerse como el ideal para el progreso de la sociedad. Hoy podemos observar sus matices incrustados en los principios económicos, sociales, jurídicos, etc. </w:t>
      </w:r>
    </w:p>
    <w:p w14:paraId="3371CB56" w14:textId="77777777" w:rsidR="0082775B" w:rsidRPr="000D3432" w:rsidRDefault="0082775B" w:rsidP="00A954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567"/>
        <w:jc w:val="both"/>
        <w:rPr>
          <w:rFonts w:asciiTheme="minorHAnsi" w:hAnsiTheme="minorHAnsi"/>
          <w:szCs w:val="24"/>
        </w:rPr>
      </w:pPr>
    </w:p>
    <w:p w14:paraId="2F926EE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 razón había adoptado, en ciertos casos, una actitud conservadora, un conservadurismo, por el cual el hombre que usaba de la razón se habría convertido en un ser que para subsistir necesitaba revestirse con caparazones racionales, que proponían al mundo como orden absoluto, con la convicción mal integrada del hecho de que el mundo puede y debe ordenarse una sola vez; hecho esto no habría ya necesidad de un nuevo orden. Este espíritu conservador del racionalismo, es lo que Mariátegui glosando a Araquistain señala como una falta de imaginación: «el espíritu conservador, en su forma más desinteresada, cuando no nace de un bajo egoísmo, sino del temor a lo desconocido e incierto, es en el fondo falta de imaginación» Lo que para Araquistain significa conservador, es para nosotros lo racional. Mariátegui no se detiene en esa concepción del racionalismo, sino que engulle la misma y le da sabor, la reacomoda a su entender y la digiere, abortándola luego en forma clarificante, y nos dice: «El conservador (el que quiere quedarse con un orden preestablecido) rechaza toda idea de cambio por una especie de incapacidad mental para concebirla y para aceptarla.» Este es también ese racionalista del cual hablamos. Así tomado el racionalismo, en su carácter conservador, el progreso, paradójicamente se convertiría en una especie de contradicción del racionalismo, porque el progreso necesita, además de la razón, de utopías e imaginación. «El progreso ha sido realizado siempre </w:t>
      </w:r>
      <w:r w:rsidRPr="000D3432">
        <w:rPr>
          <w:rFonts w:asciiTheme="minorHAnsi" w:hAnsiTheme="minorHAnsi"/>
          <w:szCs w:val="24"/>
        </w:rPr>
        <w:noBreakHyphen/>
        <w:t>otra vez Mariátegui</w:t>
      </w:r>
      <w:r w:rsidRPr="000D3432">
        <w:rPr>
          <w:rFonts w:asciiTheme="minorHAnsi" w:hAnsiTheme="minorHAnsi"/>
          <w:szCs w:val="24"/>
        </w:rPr>
        <w:noBreakHyphen/>
        <w:t xml:space="preserve"> por los imaginativos» Y por aquellos que entienden que el orden evoluciona y que hay que crear nuevos órdenes continuamente.</w:t>
      </w:r>
    </w:p>
    <w:p w14:paraId="1FB51A10" w14:textId="77777777" w:rsidR="0082775B" w:rsidRPr="000D3432" w:rsidRDefault="0082775B" w:rsidP="00A95498">
      <w:pPr>
        <w:rPr>
          <w:rFonts w:asciiTheme="minorHAnsi" w:hAnsiTheme="minorHAnsi"/>
          <w:szCs w:val="24"/>
        </w:rPr>
      </w:pPr>
    </w:p>
    <w:p w14:paraId="01B5AD9C" w14:textId="77777777" w:rsidR="0082775B" w:rsidRPr="000D3432" w:rsidRDefault="0082775B" w:rsidP="00A95498">
      <w:pPr>
        <w:rPr>
          <w:rFonts w:asciiTheme="minorHAnsi" w:hAnsiTheme="minorHAnsi"/>
          <w:szCs w:val="24"/>
        </w:rPr>
      </w:pPr>
      <w:r w:rsidRPr="000D3432">
        <w:rPr>
          <w:rFonts w:asciiTheme="minorHAnsi" w:hAnsiTheme="minorHAnsi"/>
          <w:b/>
          <w:szCs w:val="24"/>
        </w:rPr>
        <w:t>LA RESPUESTA SOCIAL A LOS DELITOS</w:t>
      </w:r>
    </w:p>
    <w:p w14:paraId="31D1EC53" w14:textId="77777777" w:rsidR="0082775B" w:rsidRPr="000D3432" w:rsidRDefault="0082775B" w:rsidP="00A95498">
      <w:pPr>
        <w:rPr>
          <w:rFonts w:asciiTheme="minorHAnsi" w:hAnsiTheme="minorHAnsi"/>
          <w:szCs w:val="24"/>
        </w:rPr>
      </w:pPr>
    </w:p>
    <w:p w14:paraId="5D63FDE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Los delitos, o la determinación de los hechos como delitos es una determinación del Estado o de la sociedad, para castigarlos o solucionarlos a través del castigo. </w:t>
      </w:r>
      <w:r w:rsidRPr="000D3432">
        <w:rPr>
          <w:rFonts w:asciiTheme="minorHAnsi" w:hAnsiTheme="minorHAnsi"/>
          <w:szCs w:val="24"/>
        </w:rPr>
        <w:lastRenderedPageBreak/>
        <w:t>Por ejemplo, en el lavado de activos, Ley N° 27765:  Ley penal contra el lavado de activos, ¿qué sucede? Esta ley emanada del Poder Legislativo pone en evidencia un primer fenómeno. Que el Legislativo precede al Judicial. Al menos en la regulación normativa. El Legislativo da las normas para que el Poder Judicial las utilice como instrumentos de solución de conflictos. Eso indica que sólo habrá -en este caso- Delito de lavado de activos si es que está debidamente tipificada, y esta tipificación es dada por el Legislativo. Aquí la tipificación es precedente, es a priori, pero no todos los fenómenos que causan daño a la sociedad pueden determinarse a priori. Las leyes contienen hipótesis, afirmaciones a priori, pero los hechos se presentan siempre a posteriori. Para seguir con el ejemplo podemos definir el delito de lavado de activos y decir, según ley, que se refiere a los actos de conversión y transferencia, de dinero, bienes, efectos o ganancias, que tengan un origen ilícito conocido o presumido, presupuesto. La finalidad es evitar la identificación de su origen, incautación o decomiso. La pena privativa de libertad  no menor de 8 años, ni mayor de 15 años.</w:t>
      </w:r>
    </w:p>
    <w:p w14:paraId="601057EA" w14:textId="77777777" w:rsidR="0082775B" w:rsidRPr="000D3432" w:rsidRDefault="0082775B" w:rsidP="00A95498">
      <w:pPr>
        <w:jc w:val="both"/>
        <w:rPr>
          <w:rFonts w:asciiTheme="minorHAnsi" w:hAnsiTheme="minorHAnsi"/>
          <w:szCs w:val="24"/>
        </w:rPr>
      </w:pPr>
    </w:p>
    <w:p w14:paraId="6E09936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Lo primero que tenemos que decir es que se trata de una ley penal no codificada. Eso significa que no está dentro de un texto o cuerpo legal denominado código. Pero en realidad hay un error. La codificación no es meterlo en un libro llamado código, sino transformar una determinada información a lenguaje convencional.</w:t>
      </w:r>
    </w:p>
    <w:p w14:paraId="0068F01A" w14:textId="77777777" w:rsidR="0082775B" w:rsidRPr="000D3432" w:rsidRDefault="0082775B" w:rsidP="00A95498">
      <w:pPr>
        <w:jc w:val="both"/>
        <w:rPr>
          <w:rFonts w:asciiTheme="minorHAnsi" w:hAnsiTheme="minorHAnsi"/>
          <w:szCs w:val="24"/>
        </w:rPr>
      </w:pPr>
    </w:p>
    <w:p w14:paraId="54CFB789"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Expliquemos. Un código no es sólo un cuerpo material que contiene la normatividad jurídica, sino es un sistema convencional de signos y símbolos que permiten la transmisión de un mensaje o información.</w:t>
      </w:r>
    </w:p>
    <w:p w14:paraId="3FC0F569" w14:textId="77777777" w:rsidR="0082775B" w:rsidRPr="000D3432" w:rsidRDefault="0082775B" w:rsidP="00A95498">
      <w:pPr>
        <w:jc w:val="both"/>
        <w:rPr>
          <w:rFonts w:asciiTheme="minorHAnsi" w:hAnsiTheme="minorHAnsi"/>
          <w:szCs w:val="24"/>
        </w:rPr>
      </w:pPr>
    </w:p>
    <w:p w14:paraId="6893A1E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Pues bien, en la determinación de este delito, no hay sólo tipicidad, sino antijuricidad, que se traduce en el mensaje: no se debe lavar activos. El derecho, como se sabe es netamente prohibitivo. Las  normas jurídicas tienen carácter de tal sólo si prohíben. </w:t>
      </w:r>
    </w:p>
    <w:p w14:paraId="02B7C057" w14:textId="77777777" w:rsidR="0082775B" w:rsidRPr="000D3432" w:rsidRDefault="0082775B" w:rsidP="00A95498">
      <w:pPr>
        <w:jc w:val="both"/>
        <w:rPr>
          <w:rFonts w:asciiTheme="minorHAnsi" w:hAnsiTheme="minorHAnsi"/>
          <w:szCs w:val="24"/>
        </w:rPr>
      </w:pPr>
    </w:p>
    <w:p w14:paraId="5E5A88C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Se trata como ven, de normas jurídicas, que se definen como mandatos con eficacia social de organización; preceptos, proposiciones o afirmaciones que indican como se debe uno conducir. Esta indicación debe ir respaldada por una amenaza o sanción, entonces pasa a ser un mandato</w:t>
      </w:r>
    </w:p>
    <w:p w14:paraId="523DCC21" w14:textId="77777777" w:rsidR="0082775B" w:rsidRPr="000D3432" w:rsidRDefault="0082775B" w:rsidP="00A95498">
      <w:pPr>
        <w:jc w:val="both"/>
        <w:rPr>
          <w:rFonts w:asciiTheme="minorHAnsi" w:hAnsiTheme="minorHAnsi"/>
          <w:szCs w:val="24"/>
        </w:rPr>
      </w:pPr>
    </w:p>
    <w:p w14:paraId="27CCE14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Para que algo sea precepto es necesario que sea un indicativo de la conducta a seguir;  para constituir un mandato se necesita de una amenaza o sanción posterior, a posteriori. La norma jurídica necesita de estos dos elementos, pero además, si la descomponemos podemos decir que una norma jurídica siempre existe un supuesto de hecho y una consecuencia jurídica. Esta consecuencia siempre responde al principio de Imputación de Kelsen, es decir es una respuesta arbitraria, o que se impone. Y una consecuencia jurídica es siempre una valoración jurídica, una respuesta a la realidad social, esta respuesta jurídica será llamada sanción.</w:t>
      </w:r>
    </w:p>
    <w:p w14:paraId="79EC6CF0" w14:textId="77777777" w:rsidR="0082775B" w:rsidRPr="000D3432" w:rsidRDefault="0082775B" w:rsidP="00A95498">
      <w:pPr>
        <w:rPr>
          <w:rFonts w:asciiTheme="minorHAnsi" w:hAnsiTheme="minorHAnsi"/>
          <w:szCs w:val="24"/>
        </w:rPr>
      </w:pPr>
    </w:p>
    <w:p w14:paraId="7E1C19D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Ahora bien, la consecuencia jurídica pasa por dos fases:1) Comprobación del </w:t>
      </w:r>
      <w:r w:rsidRPr="000D3432">
        <w:rPr>
          <w:rFonts w:asciiTheme="minorHAnsi" w:hAnsiTheme="minorHAnsi"/>
          <w:szCs w:val="24"/>
        </w:rPr>
        <w:lastRenderedPageBreak/>
        <w:t>supuesto de hecho, 2) La valoración del supuesto de hecho. Esto significa calificación. Dar la medida del valor.</w:t>
      </w:r>
    </w:p>
    <w:p w14:paraId="17182141" w14:textId="77777777" w:rsidR="0082775B" w:rsidRPr="000D3432" w:rsidRDefault="0082775B" w:rsidP="00A95498">
      <w:pPr>
        <w:rPr>
          <w:rFonts w:asciiTheme="minorHAnsi" w:hAnsiTheme="minorHAnsi"/>
          <w:szCs w:val="24"/>
        </w:rPr>
      </w:pPr>
    </w:p>
    <w:p w14:paraId="13C06D7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Como sabemos, en nuestra realidad penal nuestra respuesta jurídica sigue siendo condenatoria, carcelaria. Pero esta respuesta se subordina mucho a la tipificación y no necesariamente a la antijuricidad. </w:t>
      </w:r>
    </w:p>
    <w:p w14:paraId="58353B10" w14:textId="77777777" w:rsidR="0082775B" w:rsidRPr="000D3432" w:rsidRDefault="0082775B" w:rsidP="00A95498">
      <w:pPr>
        <w:rPr>
          <w:rFonts w:asciiTheme="minorHAnsi" w:hAnsiTheme="minorHAnsi"/>
          <w:szCs w:val="24"/>
        </w:rPr>
      </w:pPr>
    </w:p>
    <w:p w14:paraId="0D27A8C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Se sigue luego un criterio de seguir los mandatos de la norma jurídica, es decir como imposición de conductas. En el Derecho penal no existen deberes, sino simplemente sanciones, por eso estas normas no imponen deberes sino imponen sanciones. Así, siguiendo las perspectivas doctrinarias de Luis Diez Picazo, podemos parafrasearlo y decir con él, que los particulares no están obligados por las normas, sino simplemente expuestos a sufrir una sanción, si se presenta la hipótesis expuesta por la norma.</w:t>
      </w:r>
    </w:p>
    <w:p w14:paraId="4583D86D" w14:textId="77777777" w:rsidR="0082775B" w:rsidRPr="000D3432" w:rsidRDefault="0082775B" w:rsidP="00A95498">
      <w:pPr>
        <w:numPr>
          <w:ilvl w:val="12"/>
          <w:numId w:val="0"/>
        </w:numPr>
        <w:ind w:firstLine="426"/>
        <w:rPr>
          <w:rFonts w:asciiTheme="minorHAnsi" w:hAnsiTheme="minorHAnsi"/>
          <w:color w:val="000000"/>
          <w:szCs w:val="24"/>
        </w:rPr>
      </w:pPr>
    </w:p>
    <w:p w14:paraId="6E12B585" w14:textId="77777777" w:rsidR="0082775B" w:rsidRPr="000D3432" w:rsidRDefault="0082775B" w:rsidP="00A95498">
      <w:pPr>
        <w:numPr>
          <w:ilvl w:val="12"/>
          <w:numId w:val="0"/>
        </w:numPr>
        <w:ind w:firstLine="426"/>
        <w:rPr>
          <w:rFonts w:asciiTheme="minorHAnsi" w:hAnsiTheme="minorHAnsi"/>
          <w:color w:val="000000"/>
          <w:szCs w:val="24"/>
        </w:rPr>
      </w:pPr>
      <w:r w:rsidRPr="000D3432">
        <w:rPr>
          <w:rFonts w:asciiTheme="minorHAnsi" w:hAnsiTheme="minorHAnsi"/>
          <w:color w:val="000000"/>
          <w:szCs w:val="24"/>
        </w:rPr>
        <w:br w:type="page"/>
      </w:r>
    </w:p>
    <w:p w14:paraId="5ECAAD0B" w14:textId="77777777" w:rsidR="0082775B" w:rsidRPr="000D3432" w:rsidRDefault="0082775B" w:rsidP="00A95498">
      <w:pPr>
        <w:numPr>
          <w:ilvl w:val="12"/>
          <w:numId w:val="0"/>
        </w:numPr>
        <w:ind w:firstLine="426"/>
        <w:rPr>
          <w:rFonts w:asciiTheme="minorHAnsi" w:hAnsiTheme="minorHAnsi"/>
          <w:color w:val="000000"/>
          <w:szCs w:val="24"/>
        </w:rPr>
      </w:pPr>
    </w:p>
    <w:p w14:paraId="205D7768" w14:textId="77777777" w:rsidR="0082775B" w:rsidRPr="000D3432" w:rsidRDefault="0082775B" w:rsidP="00A95498">
      <w:pPr>
        <w:numPr>
          <w:ilvl w:val="12"/>
          <w:numId w:val="0"/>
        </w:numPr>
        <w:ind w:firstLine="426"/>
        <w:rPr>
          <w:rFonts w:asciiTheme="minorHAnsi" w:hAnsiTheme="minorHAnsi"/>
          <w:color w:val="000000"/>
          <w:szCs w:val="24"/>
        </w:rPr>
      </w:pPr>
    </w:p>
    <w:p w14:paraId="3CBAA6A6" w14:textId="77777777" w:rsidR="0082775B" w:rsidRPr="000D3432" w:rsidRDefault="0082775B" w:rsidP="00A95498">
      <w:pPr>
        <w:numPr>
          <w:ilvl w:val="12"/>
          <w:numId w:val="0"/>
        </w:numPr>
        <w:ind w:firstLine="426"/>
        <w:rPr>
          <w:rFonts w:asciiTheme="minorHAnsi" w:hAnsiTheme="minorHAnsi"/>
          <w:color w:val="000000"/>
          <w:szCs w:val="24"/>
        </w:rPr>
      </w:pPr>
    </w:p>
    <w:p w14:paraId="5F980E49" w14:textId="77777777" w:rsidR="0082775B" w:rsidRPr="000D3432" w:rsidRDefault="0082775B" w:rsidP="00A95498">
      <w:pPr>
        <w:numPr>
          <w:ilvl w:val="12"/>
          <w:numId w:val="0"/>
        </w:numPr>
        <w:ind w:firstLine="426"/>
        <w:rPr>
          <w:rFonts w:asciiTheme="minorHAnsi" w:hAnsiTheme="minorHAnsi"/>
          <w:color w:val="000000"/>
          <w:szCs w:val="24"/>
        </w:rPr>
      </w:pPr>
    </w:p>
    <w:p w14:paraId="6768FA82" w14:textId="77777777" w:rsidR="0082775B" w:rsidRPr="000D3432" w:rsidRDefault="0082775B" w:rsidP="00A95498">
      <w:pPr>
        <w:numPr>
          <w:ilvl w:val="12"/>
          <w:numId w:val="0"/>
        </w:numPr>
        <w:ind w:firstLine="426"/>
        <w:jc w:val="both"/>
        <w:rPr>
          <w:rFonts w:asciiTheme="minorHAnsi" w:hAnsiTheme="minorHAnsi"/>
          <w:color w:val="000000"/>
          <w:szCs w:val="24"/>
        </w:rPr>
      </w:pPr>
    </w:p>
    <w:p w14:paraId="415F2DF6" w14:textId="77777777" w:rsidR="0082775B" w:rsidRPr="000D3432" w:rsidRDefault="0082775B" w:rsidP="00A95498">
      <w:pPr>
        <w:pStyle w:val="Ttulo"/>
        <w:rPr>
          <w:rFonts w:asciiTheme="minorHAnsi" w:hAnsiTheme="minorHAnsi"/>
        </w:rPr>
      </w:pPr>
      <w:r w:rsidRPr="000D3432">
        <w:rPr>
          <w:rFonts w:asciiTheme="minorHAnsi" w:hAnsiTheme="minorHAnsi"/>
        </w:rPr>
        <w:t>LOS PRINCIPIOS DE LA FUNCIÓN JURISDICCIONAL</w:t>
      </w:r>
    </w:p>
    <w:p w14:paraId="7B72FCF2" w14:textId="77777777" w:rsidR="0082775B" w:rsidRPr="000D3432" w:rsidRDefault="0082775B" w:rsidP="00A95498">
      <w:pPr>
        <w:jc w:val="both"/>
        <w:rPr>
          <w:rFonts w:asciiTheme="minorHAnsi" w:hAnsiTheme="minorHAnsi"/>
          <w:szCs w:val="24"/>
          <w:lang w:val="es-MX"/>
        </w:rPr>
      </w:pPr>
    </w:p>
    <w:p w14:paraId="055ED42B" w14:textId="77777777" w:rsidR="0082775B" w:rsidRPr="000D3432" w:rsidRDefault="0082775B" w:rsidP="00A95498">
      <w:pPr>
        <w:jc w:val="center"/>
        <w:rPr>
          <w:rFonts w:asciiTheme="minorHAnsi" w:hAnsiTheme="minorHAnsi"/>
          <w:szCs w:val="24"/>
          <w:lang w:val="es-MX"/>
        </w:rPr>
      </w:pPr>
      <w:r w:rsidRPr="000D3432">
        <w:rPr>
          <w:rFonts w:asciiTheme="minorHAnsi" w:hAnsiTheme="minorHAnsi"/>
          <w:szCs w:val="24"/>
          <w:lang w:val="es-MX"/>
        </w:rPr>
        <w:t>_______________________________________________</w:t>
      </w:r>
    </w:p>
    <w:p w14:paraId="21FE19AA" w14:textId="77777777" w:rsidR="0082775B" w:rsidRPr="000D3432" w:rsidRDefault="0082775B" w:rsidP="00A95498">
      <w:pPr>
        <w:jc w:val="both"/>
        <w:rPr>
          <w:rFonts w:asciiTheme="minorHAnsi" w:hAnsiTheme="minorHAnsi"/>
          <w:szCs w:val="24"/>
        </w:rPr>
      </w:pPr>
    </w:p>
    <w:p w14:paraId="2C2B5066" w14:textId="77777777" w:rsidR="0082775B" w:rsidRPr="000D3432" w:rsidRDefault="0082775B" w:rsidP="00A95498">
      <w:pPr>
        <w:pStyle w:val="Textodecuerpo2"/>
        <w:spacing w:after="0" w:line="240" w:lineRule="auto"/>
        <w:jc w:val="both"/>
        <w:rPr>
          <w:rFonts w:asciiTheme="minorHAnsi" w:hAnsiTheme="minorHAnsi"/>
          <w:szCs w:val="24"/>
        </w:rPr>
      </w:pPr>
    </w:p>
    <w:p w14:paraId="14B81107"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Tocar el tema de los principios es siempre un acto metafísico del derecho, es decir, es escudriñar más allá del derecho positivo, en el metalenguaje jurídico. Allí donde se inspira la sociedad para normar o regular normas de carácter imperativo.</w:t>
      </w:r>
    </w:p>
    <w:p w14:paraId="74720751" w14:textId="77777777" w:rsidR="0082775B" w:rsidRPr="000D3432" w:rsidRDefault="0082775B" w:rsidP="00A95498">
      <w:pPr>
        <w:pStyle w:val="Textodecuerpo2"/>
        <w:spacing w:after="0" w:line="240" w:lineRule="auto"/>
        <w:jc w:val="both"/>
        <w:rPr>
          <w:rFonts w:asciiTheme="minorHAnsi" w:hAnsiTheme="minorHAnsi"/>
          <w:szCs w:val="24"/>
        </w:rPr>
      </w:pPr>
    </w:p>
    <w:p w14:paraId="558F9D18" w14:textId="77777777" w:rsidR="0082775B" w:rsidRPr="000D3432" w:rsidRDefault="0082775B" w:rsidP="00A95498">
      <w:pPr>
        <w:pStyle w:val="Textodecuerpo2"/>
        <w:spacing w:after="0" w:line="240" w:lineRule="auto"/>
        <w:jc w:val="both"/>
        <w:rPr>
          <w:rFonts w:asciiTheme="minorHAnsi" w:hAnsiTheme="minorHAnsi"/>
          <w:szCs w:val="24"/>
        </w:rPr>
      </w:pPr>
      <w:r w:rsidRPr="000D3432">
        <w:rPr>
          <w:rFonts w:asciiTheme="minorHAnsi" w:hAnsiTheme="minorHAnsi"/>
          <w:szCs w:val="24"/>
        </w:rPr>
        <w:t xml:space="preserve">En Derecho los Principios son la parte extrapositiva, que sin dejar de estar –necesariamente- en los textos legales, son sin embargo, aquello que está más allá del texto normativo, porque incluso configuran y disponen los lineamientos y conductas de la sociedad. Principios que navegan en la apertura de la construcción del mismo derecho y que han servido y servirán como elementos esenciales de la construcción de soluciones jurídicas –y no solamente legales- de los problemas socio-jurídicos; porque la vida no está compuesta sólo de elementos legales, de normas positivas, sino de otros factores de naturaleza extralógica (como dijera Luis Diez Picazo).  </w:t>
      </w:r>
    </w:p>
    <w:p w14:paraId="018A8680" w14:textId="77777777" w:rsidR="0082775B" w:rsidRPr="000D3432" w:rsidRDefault="0082775B" w:rsidP="00A95498">
      <w:pPr>
        <w:jc w:val="both"/>
        <w:rPr>
          <w:rFonts w:asciiTheme="minorHAnsi" w:hAnsiTheme="minorHAnsi"/>
          <w:szCs w:val="24"/>
        </w:rPr>
      </w:pPr>
    </w:p>
    <w:p w14:paraId="3A569BB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En primer término los principios del Derecho son directrices que cumplen dos actividades fundamentales: “inspiran e informan” a los que operan con el Derecho, para lograr integrar éste, y crear o encontrar soluciones. </w:t>
      </w:r>
    </w:p>
    <w:p w14:paraId="27A18731" w14:textId="77777777" w:rsidR="0082775B" w:rsidRPr="000D3432" w:rsidRDefault="0082775B" w:rsidP="00A95498">
      <w:pPr>
        <w:jc w:val="both"/>
        <w:rPr>
          <w:rFonts w:asciiTheme="minorHAnsi" w:hAnsiTheme="minorHAnsi"/>
          <w:szCs w:val="24"/>
        </w:rPr>
      </w:pPr>
    </w:p>
    <w:p w14:paraId="7ACC267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Haciendo una reconstrucción de lo dicho por Luis Diez Picazo y Marcial Rubio Correa, son: “conceptos o proposiciones que informan e inspiran la creación, regulación, modificación y extinción de las normas jurídicas”.  y dan a través de la interpretación, integración, etc., la debida consistencia, armonía y coherencia al sistema jurídico.</w:t>
      </w:r>
    </w:p>
    <w:p w14:paraId="04EC5789" w14:textId="77777777" w:rsidR="0082775B" w:rsidRPr="000D3432" w:rsidRDefault="0082775B" w:rsidP="00A95498">
      <w:pPr>
        <w:jc w:val="both"/>
        <w:rPr>
          <w:rFonts w:asciiTheme="minorHAnsi" w:hAnsiTheme="minorHAnsi"/>
          <w:szCs w:val="24"/>
        </w:rPr>
      </w:pPr>
    </w:p>
    <w:p w14:paraId="79E6CE2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Es decir, se trata de dos fenómenos fundamentales: información e inspiración, con las cuales se ha de crear, aplicar y/o extinguir las normas jurídicas. La labor de información e inspiración de los principios del derecho -siendo alternativas, de elección, y no necesariamente imperativas-, son si obligatorias cuando estas están textualizadas. Aunque la naturaleza propia de los principios es estar fuera del texto</w:t>
      </w:r>
      <w:r w:rsidRPr="000D3432">
        <w:rPr>
          <w:rStyle w:val="Refdenotaalpie"/>
          <w:rFonts w:asciiTheme="minorHAnsi" w:hAnsiTheme="minorHAnsi"/>
          <w:sz w:val="24"/>
          <w:szCs w:val="24"/>
        </w:rPr>
        <w:footnoteReference w:id="821"/>
      </w:r>
      <w:r w:rsidRPr="000D3432">
        <w:rPr>
          <w:rFonts w:asciiTheme="minorHAnsi" w:hAnsiTheme="minorHAnsi"/>
          <w:szCs w:val="24"/>
        </w:rPr>
        <w:t>, por o sobre el texto, conculcando la necesidad real de solución de los problemas jurídicos, y disponiendo esta necesidad real sobre la existencia del texto</w:t>
      </w:r>
      <w:r w:rsidRPr="000D3432">
        <w:rPr>
          <w:rStyle w:val="Refdenotaalpie"/>
          <w:rFonts w:asciiTheme="minorHAnsi" w:hAnsiTheme="minorHAnsi"/>
          <w:sz w:val="24"/>
          <w:szCs w:val="24"/>
        </w:rPr>
        <w:footnoteReference w:id="822"/>
      </w:r>
      <w:r w:rsidRPr="000D3432">
        <w:rPr>
          <w:rFonts w:asciiTheme="minorHAnsi" w:hAnsiTheme="minorHAnsi"/>
          <w:szCs w:val="24"/>
        </w:rPr>
        <w:t xml:space="preserve">. </w:t>
      </w:r>
    </w:p>
    <w:p w14:paraId="267F8E87" w14:textId="77777777" w:rsidR="0082775B" w:rsidRPr="000D3432" w:rsidRDefault="0082775B" w:rsidP="00A95498">
      <w:pPr>
        <w:jc w:val="both"/>
        <w:rPr>
          <w:rFonts w:asciiTheme="minorHAnsi" w:hAnsiTheme="minorHAnsi"/>
          <w:szCs w:val="24"/>
        </w:rPr>
      </w:pPr>
    </w:p>
    <w:p w14:paraId="068B9B4D"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Para salvar esta divergencia –los principios del derecho fuera del texto-, y darle más fuerza, fuerza vinculante, imperativa, a la mal entendida eficacia del Derecho –que con el Derecho positivo significa la necesidad de textualización para fundamentar el derecho-, se ha insertado muchos principios dentro del texto. </w:t>
      </w:r>
    </w:p>
    <w:p w14:paraId="34D18CAD" w14:textId="77777777" w:rsidR="0082775B" w:rsidRPr="000D3432" w:rsidRDefault="0082775B" w:rsidP="00A95498">
      <w:pPr>
        <w:jc w:val="both"/>
        <w:rPr>
          <w:rFonts w:asciiTheme="minorHAnsi" w:hAnsiTheme="minorHAnsi"/>
          <w:szCs w:val="24"/>
        </w:rPr>
      </w:pPr>
    </w:p>
    <w:p w14:paraId="660E890F"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Pero hay que aclarar que decir que existen los principios del derecho, no es negar la existencia del derecho positivo. Y hacemos esta aclaración, que parece muy obvia, porque casi siempre se ha concebido, dentro de los discursos actuales, que el derecho positivo es sólo la utilización de la ley, y que esta ley representa un fenómeno de objetividad. Por allí nos perdemos cuando creemos que ley y objetividad son dos cosas sinónimas, o que, en todo caso, son elementos contrapuestos a la forma como se está vislumbrando al derecho en la actualidad, es decir al mundo ya no como un matiz positivista. Hoy como sabemos el positivismo jurídico ha perdido el reino ganado a inicios de la modernidad, puesto que se la considera como una afrenta a la realidad completa del ser humano, como una contradicción al carácter subjetivo de la persona. Así objetivismo y subjetivismo parecen ser como “uso de la ley” y uso de la sensibilidad, respectivamente. Sin embargo habría que aclarar que tal separación es sólo operacional. </w:t>
      </w:r>
    </w:p>
    <w:p w14:paraId="56ACF7D6" w14:textId="77777777" w:rsidR="0082775B" w:rsidRPr="000D3432" w:rsidRDefault="0082775B" w:rsidP="00A95498">
      <w:pPr>
        <w:jc w:val="both"/>
        <w:rPr>
          <w:rFonts w:asciiTheme="minorHAnsi" w:hAnsiTheme="minorHAnsi"/>
          <w:szCs w:val="24"/>
          <w:lang w:val="es-MX"/>
        </w:rPr>
      </w:pPr>
    </w:p>
    <w:p w14:paraId="44ACC274"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El objetivismo en el Derecho:</w:t>
      </w:r>
    </w:p>
    <w:p w14:paraId="32ACC3B1" w14:textId="77777777" w:rsidR="0082775B" w:rsidRPr="000D3432" w:rsidRDefault="0082775B" w:rsidP="00A95498">
      <w:pPr>
        <w:jc w:val="both"/>
        <w:rPr>
          <w:rFonts w:asciiTheme="minorHAnsi" w:hAnsiTheme="minorHAnsi"/>
          <w:szCs w:val="24"/>
          <w:lang w:val="es-MX"/>
        </w:rPr>
      </w:pPr>
    </w:p>
    <w:p w14:paraId="28DC3831"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La objetividad es un método del conocimiento científico que permite trabajar con todo aquello cognoscible (aquello capaz de poder ser conocido). Es decir, es un método más que puede o no utilizar el ser humano, así como el subjetivismo es otro método que describe un fenómeno determinado: que una decisión o un pensamiento, o sentimiento proviene del interior de la persona)  En el Derecho el uso del objetivismo es obligatorio, y es demostrado por la obligación, por ejemplo, de “motivar”. Cuando el Juez motiva, tiene  que ser objetivo; esto significa que tiene que plasmar las razones por las cuales ha decidido de tal o cual manera. Esa es la parte objetiva de la función de administrar justicia del Juez. Eso no significa que el Juez olvida su parte subjetiva, o no la usa. Pues si observamos bien, todo proceso cognoscitivo, de conocimiento, no es sólo a través de los datos positivos, objetivos, sino de referencias subjetivas: sentimientos, valores interiorizados, etc. </w:t>
      </w:r>
    </w:p>
    <w:p w14:paraId="23646FF1" w14:textId="77777777" w:rsidR="0082775B" w:rsidRPr="000D3432" w:rsidRDefault="0082775B" w:rsidP="00A95498">
      <w:pPr>
        <w:jc w:val="both"/>
        <w:rPr>
          <w:rFonts w:asciiTheme="minorHAnsi" w:hAnsiTheme="minorHAnsi"/>
          <w:szCs w:val="24"/>
          <w:lang w:val="es-MX"/>
        </w:rPr>
      </w:pPr>
    </w:p>
    <w:p w14:paraId="5F27369B"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El Juez al motivar es objetivo y subjetivo. Es objetivo porque no puede ser el otro, el delincuente –por ejemplo-, no puede entrar en su subjetividad, en el yo interno del sujeto delictivo. Pero al mismo tiempo el Juez puede ser subjetivo al tomar una decisión, porque esta decisión parte de su yo interno, de su sensibilidad, de lo que el es como ser humano, un ser con subjetividad, con su yo </w:t>
      </w:r>
      <w:r w:rsidRPr="000D3432">
        <w:rPr>
          <w:rFonts w:asciiTheme="minorHAnsi" w:hAnsiTheme="minorHAnsi"/>
          <w:szCs w:val="24"/>
          <w:lang w:val="es-MX"/>
        </w:rPr>
        <w:lastRenderedPageBreak/>
        <w:t>interno. No olvidemos que sentencia proviene del latín “</w:t>
      </w:r>
      <w:r w:rsidRPr="000D3432">
        <w:rPr>
          <w:rFonts w:asciiTheme="minorHAnsi" w:hAnsiTheme="minorHAnsi"/>
          <w:i/>
          <w:szCs w:val="24"/>
          <w:lang w:val="es-MX"/>
        </w:rPr>
        <w:t>sentiendo</w:t>
      </w:r>
      <w:r w:rsidRPr="000D3432">
        <w:rPr>
          <w:rFonts w:asciiTheme="minorHAnsi" w:hAnsiTheme="minorHAnsi"/>
          <w:szCs w:val="24"/>
          <w:lang w:val="es-MX"/>
        </w:rPr>
        <w:t>” equivalente a “sintiendo”. Es decir una sentencia es la expresión de lo que ha sentido o siente el Juez respecto de un determinado hecho o asunto.</w:t>
      </w:r>
    </w:p>
    <w:p w14:paraId="7E66D223" w14:textId="77777777" w:rsidR="0082775B" w:rsidRPr="000D3432" w:rsidRDefault="0082775B" w:rsidP="00A95498">
      <w:pPr>
        <w:numPr>
          <w:ilvl w:val="12"/>
          <w:numId w:val="0"/>
        </w:numPr>
        <w:rPr>
          <w:rFonts w:asciiTheme="minorHAnsi" w:hAnsiTheme="minorHAnsi"/>
          <w:color w:val="000000"/>
          <w:szCs w:val="24"/>
          <w:lang w:val="es-MX"/>
        </w:rPr>
      </w:pPr>
    </w:p>
    <w:p w14:paraId="49989641" w14:textId="77777777" w:rsidR="0082775B" w:rsidRPr="000D3432" w:rsidRDefault="0082775B" w:rsidP="00A95498">
      <w:pPr>
        <w:numPr>
          <w:ilvl w:val="12"/>
          <w:numId w:val="0"/>
        </w:numPr>
        <w:rPr>
          <w:rFonts w:asciiTheme="minorHAnsi" w:hAnsiTheme="minorHAnsi"/>
          <w:color w:val="000000"/>
          <w:szCs w:val="24"/>
          <w:lang w:val="es-MX"/>
        </w:rPr>
      </w:pPr>
    </w:p>
    <w:p w14:paraId="7DC91A18" w14:textId="77777777" w:rsidR="0082775B" w:rsidRPr="000D3432" w:rsidRDefault="0082775B" w:rsidP="00A95498">
      <w:pPr>
        <w:numPr>
          <w:ilvl w:val="12"/>
          <w:numId w:val="0"/>
        </w:numPr>
        <w:rPr>
          <w:rFonts w:asciiTheme="minorHAnsi" w:hAnsiTheme="minorHAnsi"/>
          <w:color w:val="000000"/>
          <w:szCs w:val="24"/>
          <w:lang w:val="es-MX"/>
        </w:rPr>
      </w:pPr>
    </w:p>
    <w:p w14:paraId="26FB0CCC" w14:textId="77777777" w:rsidR="0082775B" w:rsidRPr="000D3432" w:rsidRDefault="0082775B" w:rsidP="00A95498">
      <w:pPr>
        <w:numPr>
          <w:ilvl w:val="12"/>
          <w:numId w:val="0"/>
        </w:numPr>
        <w:rPr>
          <w:rFonts w:asciiTheme="minorHAnsi" w:hAnsiTheme="minorHAnsi"/>
          <w:color w:val="000000"/>
          <w:szCs w:val="24"/>
          <w:lang w:val="es-MX"/>
        </w:rPr>
      </w:pPr>
      <w:r w:rsidRPr="000D3432">
        <w:rPr>
          <w:rFonts w:asciiTheme="minorHAnsi" w:hAnsiTheme="minorHAnsi"/>
          <w:color w:val="000000"/>
          <w:szCs w:val="24"/>
          <w:lang w:val="es-MX"/>
        </w:rPr>
        <w:br w:type="page"/>
      </w:r>
    </w:p>
    <w:p w14:paraId="0826AE2D" w14:textId="77777777" w:rsidR="0082775B" w:rsidRPr="000D3432" w:rsidRDefault="0082775B" w:rsidP="00A95498">
      <w:pPr>
        <w:numPr>
          <w:ilvl w:val="12"/>
          <w:numId w:val="0"/>
        </w:numPr>
        <w:rPr>
          <w:rFonts w:asciiTheme="minorHAnsi" w:hAnsiTheme="minorHAnsi"/>
          <w:color w:val="000000"/>
          <w:szCs w:val="24"/>
          <w:lang w:val="es-MX"/>
        </w:rPr>
      </w:pPr>
    </w:p>
    <w:p w14:paraId="4EF4B370" w14:textId="77777777" w:rsidR="0082775B" w:rsidRPr="000D3432" w:rsidRDefault="0082775B" w:rsidP="00A95498">
      <w:pPr>
        <w:numPr>
          <w:ilvl w:val="12"/>
          <w:numId w:val="0"/>
        </w:numPr>
        <w:rPr>
          <w:rFonts w:asciiTheme="minorHAnsi" w:hAnsiTheme="minorHAnsi"/>
          <w:color w:val="000000"/>
          <w:szCs w:val="24"/>
          <w:lang w:val="es-MX"/>
        </w:rPr>
      </w:pPr>
    </w:p>
    <w:p w14:paraId="1C94A748" w14:textId="77777777" w:rsidR="0082775B" w:rsidRPr="000D3432" w:rsidRDefault="0082775B" w:rsidP="00A95498">
      <w:pPr>
        <w:pStyle w:val="Ttulo3"/>
        <w:rPr>
          <w:rFonts w:asciiTheme="minorHAnsi" w:hAnsiTheme="minorHAnsi"/>
          <w:sz w:val="24"/>
          <w:szCs w:val="24"/>
        </w:rPr>
      </w:pPr>
    </w:p>
    <w:p w14:paraId="0DE23599" w14:textId="77777777" w:rsidR="0082775B" w:rsidRPr="000D3432" w:rsidRDefault="0082775B" w:rsidP="00A95498">
      <w:pPr>
        <w:pStyle w:val="Ttulo3"/>
        <w:rPr>
          <w:rFonts w:asciiTheme="minorHAnsi" w:hAnsiTheme="minorHAnsi"/>
          <w:sz w:val="24"/>
          <w:szCs w:val="24"/>
        </w:rPr>
      </w:pPr>
    </w:p>
    <w:p w14:paraId="3A2EEA27" w14:textId="77777777" w:rsidR="0082775B" w:rsidRPr="000D3432" w:rsidRDefault="0082775B" w:rsidP="00A95498">
      <w:pPr>
        <w:pStyle w:val="Ttulo3"/>
        <w:jc w:val="center"/>
        <w:rPr>
          <w:rFonts w:asciiTheme="minorHAnsi" w:hAnsiTheme="minorHAnsi"/>
          <w:b/>
          <w:color w:val="auto"/>
          <w:sz w:val="24"/>
          <w:szCs w:val="24"/>
        </w:rPr>
      </w:pPr>
    </w:p>
    <w:p w14:paraId="34D99D28" w14:textId="77777777" w:rsidR="0082775B" w:rsidRPr="000D3432" w:rsidRDefault="0082775B" w:rsidP="00A95498">
      <w:pPr>
        <w:rPr>
          <w:rFonts w:asciiTheme="minorHAnsi" w:hAnsiTheme="minorHAnsi"/>
          <w:szCs w:val="24"/>
          <w:lang w:val="es-ES_tradnl"/>
        </w:rPr>
      </w:pPr>
    </w:p>
    <w:p w14:paraId="1B6EC9D8" w14:textId="77777777" w:rsidR="0082775B" w:rsidRPr="000D3432" w:rsidRDefault="0082775B" w:rsidP="00A95498">
      <w:pPr>
        <w:rPr>
          <w:rFonts w:asciiTheme="minorHAnsi" w:hAnsiTheme="minorHAnsi"/>
          <w:szCs w:val="24"/>
          <w:lang w:val="es-ES_tradnl"/>
        </w:rPr>
      </w:pPr>
    </w:p>
    <w:p w14:paraId="044233CC" w14:textId="77777777" w:rsidR="0082775B" w:rsidRPr="000D3432" w:rsidRDefault="0082775B" w:rsidP="00A95498">
      <w:pPr>
        <w:rPr>
          <w:rFonts w:asciiTheme="minorHAnsi" w:hAnsiTheme="minorHAnsi"/>
          <w:szCs w:val="24"/>
          <w:lang w:val="es-ES_tradnl"/>
        </w:rPr>
      </w:pPr>
    </w:p>
    <w:p w14:paraId="7AC9C1CB" w14:textId="77777777" w:rsidR="0082775B" w:rsidRPr="000D3432" w:rsidRDefault="0082775B" w:rsidP="00A95498">
      <w:pPr>
        <w:rPr>
          <w:rFonts w:asciiTheme="minorHAnsi" w:hAnsiTheme="minorHAnsi"/>
          <w:szCs w:val="24"/>
          <w:lang w:val="es-ES_tradnl"/>
        </w:rPr>
      </w:pPr>
    </w:p>
    <w:p w14:paraId="291C7ACA" w14:textId="77777777" w:rsidR="0082775B" w:rsidRPr="000D3432" w:rsidRDefault="0082775B" w:rsidP="00A95498">
      <w:pPr>
        <w:rPr>
          <w:rFonts w:asciiTheme="minorHAnsi" w:hAnsiTheme="minorHAnsi"/>
          <w:szCs w:val="24"/>
          <w:lang w:val="es-ES_tradnl"/>
        </w:rPr>
      </w:pPr>
    </w:p>
    <w:p w14:paraId="449F5C8B" w14:textId="77777777" w:rsidR="0082775B" w:rsidRPr="000D3432" w:rsidRDefault="0082775B" w:rsidP="00A95498">
      <w:pPr>
        <w:rPr>
          <w:rFonts w:asciiTheme="minorHAnsi" w:hAnsiTheme="minorHAnsi"/>
          <w:szCs w:val="24"/>
          <w:lang w:val="es-ES_tradnl"/>
        </w:rPr>
      </w:pPr>
    </w:p>
    <w:p w14:paraId="30AE0D13" w14:textId="77777777" w:rsidR="0082775B" w:rsidRPr="000D3432" w:rsidRDefault="0082775B" w:rsidP="00A95498">
      <w:pPr>
        <w:pStyle w:val="Ttulo3"/>
        <w:jc w:val="center"/>
        <w:rPr>
          <w:rFonts w:asciiTheme="minorHAnsi" w:hAnsiTheme="minorHAnsi"/>
          <w:b/>
          <w:color w:val="auto"/>
          <w:sz w:val="24"/>
          <w:szCs w:val="24"/>
        </w:rPr>
      </w:pPr>
      <w:bookmarkStart w:id="154" w:name="_Toc318102963"/>
      <w:r w:rsidRPr="000D3432">
        <w:rPr>
          <w:rFonts w:asciiTheme="minorHAnsi" w:hAnsiTheme="minorHAnsi"/>
          <w:b/>
          <w:color w:val="auto"/>
          <w:sz w:val="24"/>
          <w:szCs w:val="24"/>
        </w:rPr>
        <w:t>__________  PROPUESTAS DE REFORMAS NORMATIVAS _________</w:t>
      </w:r>
      <w:bookmarkEnd w:id="154"/>
    </w:p>
    <w:p w14:paraId="20385DCF" w14:textId="77777777" w:rsidR="0082775B" w:rsidRPr="000D3432" w:rsidRDefault="0082775B" w:rsidP="00A95498">
      <w:pPr>
        <w:pStyle w:val="Ttulo3"/>
        <w:jc w:val="center"/>
        <w:rPr>
          <w:rFonts w:asciiTheme="minorHAnsi" w:hAnsiTheme="minorHAnsi"/>
          <w:b/>
          <w:color w:val="auto"/>
          <w:sz w:val="24"/>
          <w:szCs w:val="24"/>
        </w:rPr>
      </w:pPr>
    </w:p>
    <w:p w14:paraId="2D7381C0" w14:textId="77777777" w:rsidR="0082775B" w:rsidRPr="000D3432" w:rsidRDefault="0082775B" w:rsidP="00A95498">
      <w:pPr>
        <w:rPr>
          <w:rFonts w:asciiTheme="minorHAnsi" w:hAnsiTheme="minorHAnsi"/>
          <w:szCs w:val="24"/>
          <w:lang w:val="es-ES_tradnl"/>
        </w:rPr>
      </w:pPr>
    </w:p>
    <w:p w14:paraId="43457B64" w14:textId="77777777" w:rsidR="0082775B" w:rsidRPr="000D3432" w:rsidRDefault="0082775B" w:rsidP="00A95498">
      <w:pPr>
        <w:rPr>
          <w:rFonts w:asciiTheme="minorHAnsi" w:hAnsiTheme="minorHAnsi"/>
          <w:szCs w:val="24"/>
          <w:lang w:val="es-ES_tradnl"/>
        </w:rPr>
      </w:pPr>
    </w:p>
    <w:p w14:paraId="5B9B8098"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E</w:t>
      </w:r>
      <w:r w:rsidRPr="000D3432">
        <w:rPr>
          <w:rFonts w:asciiTheme="minorHAnsi" w:hAnsiTheme="minorHAnsi"/>
          <w:szCs w:val="24"/>
        </w:rPr>
        <w:t xml:space="preserve">xisten en nuestra legislación algunas normas que, a la luz de los hechos, no encuentran su sentido social completo, por lo que a nuestro parecer creemos en ciertas modificaciones, que a continuación planteamos. </w:t>
      </w:r>
    </w:p>
    <w:p w14:paraId="77A13C2E" w14:textId="77777777" w:rsidR="0082775B" w:rsidRPr="000D3432" w:rsidRDefault="0082775B" w:rsidP="00A95498">
      <w:pPr>
        <w:jc w:val="both"/>
        <w:rPr>
          <w:rFonts w:asciiTheme="minorHAnsi" w:hAnsiTheme="minorHAnsi"/>
          <w:b/>
          <w:szCs w:val="24"/>
        </w:rPr>
      </w:pPr>
    </w:p>
    <w:p w14:paraId="7F8E9F4D"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MODIFICACIÓN DEL INCISO 1 DEL ARTÍCULO 241 DEL CODIGO CIVIL</w:t>
      </w:r>
    </w:p>
    <w:p w14:paraId="1D825113" w14:textId="77777777" w:rsidR="0082775B" w:rsidRPr="000D3432" w:rsidRDefault="0082775B" w:rsidP="00A95498">
      <w:pPr>
        <w:jc w:val="both"/>
        <w:rPr>
          <w:rFonts w:asciiTheme="minorHAnsi" w:hAnsiTheme="minorHAnsi"/>
          <w:szCs w:val="24"/>
        </w:rPr>
      </w:pPr>
    </w:p>
    <w:p w14:paraId="2B6D025F" w14:textId="77777777" w:rsidR="0082775B" w:rsidRPr="000D3432" w:rsidRDefault="0082775B" w:rsidP="00A95498">
      <w:pPr>
        <w:pStyle w:val="Ttulo1"/>
        <w:spacing w:line="240" w:lineRule="auto"/>
        <w:rPr>
          <w:rFonts w:asciiTheme="minorHAnsi" w:hAnsiTheme="minorHAnsi"/>
          <w:b w:val="0"/>
          <w:sz w:val="24"/>
          <w:szCs w:val="24"/>
        </w:rPr>
      </w:pPr>
      <w:bookmarkStart w:id="155" w:name="_Toc318102964"/>
      <w:r w:rsidRPr="000D3432">
        <w:rPr>
          <w:rFonts w:asciiTheme="minorHAnsi" w:hAnsiTheme="minorHAnsi"/>
          <w:b w:val="0"/>
          <w:sz w:val="24"/>
          <w:szCs w:val="24"/>
        </w:rPr>
        <w:t>La norma se encuentra en el Código, en su Artículo 241, que expresa: “No pueden contraer matrimonio:</w:t>
      </w:r>
      <w:bookmarkEnd w:id="155"/>
    </w:p>
    <w:p w14:paraId="1000C065" w14:textId="77777777" w:rsidR="0082775B" w:rsidRPr="000D3432" w:rsidRDefault="0082775B" w:rsidP="00A95498">
      <w:pPr>
        <w:jc w:val="both"/>
        <w:rPr>
          <w:rFonts w:asciiTheme="minorHAnsi" w:hAnsiTheme="minorHAnsi"/>
          <w:szCs w:val="24"/>
        </w:rPr>
      </w:pPr>
    </w:p>
    <w:p w14:paraId="07E199EB" w14:textId="77777777" w:rsidR="0082775B" w:rsidRPr="000D3432" w:rsidRDefault="0082775B" w:rsidP="00A95498">
      <w:pPr>
        <w:pStyle w:val="Sangra2detdecuerpo"/>
        <w:spacing w:after="0" w:line="240" w:lineRule="auto"/>
        <w:jc w:val="both"/>
        <w:rPr>
          <w:rFonts w:asciiTheme="minorHAnsi" w:hAnsiTheme="minorHAnsi"/>
          <w:b/>
          <w:szCs w:val="24"/>
        </w:rPr>
      </w:pPr>
      <w:r w:rsidRPr="000D3432">
        <w:rPr>
          <w:rFonts w:asciiTheme="minorHAnsi" w:hAnsiTheme="minorHAnsi"/>
          <w:b/>
          <w:szCs w:val="24"/>
        </w:rPr>
        <w:t>1.  Los adolescentes. El juez puede dispensar este impedimento por motivos justificados, siempre que los contrayentes tengan, como mínimo, dieciséis años cumplidos y manifiesten expresamente su voluntad de casarse. (*)</w:t>
      </w:r>
    </w:p>
    <w:p w14:paraId="74DA7AD3" w14:textId="77777777" w:rsidR="0082775B" w:rsidRPr="000D3432" w:rsidRDefault="0082775B" w:rsidP="00A95498">
      <w:pPr>
        <w:pStyle w:val="Sangradetdecuerpo"/>
        <w:tabs>
          <w:tab w:val="left" w:pos="284"/>
        </w:tabs>
        <w:ind w:left="284" w:hanging="284"/>
        <w:rPr>
          <w:rFonts w:asciiTheme="minorHAnsi" w:hAnsiTheme="minorHAnsi"/>
          <w:sz w:val="24"/>
          <w:szCs w:val="24"/>
        </w:rPr>
      </w:pPr>
      <w:r w:rsidRPr="000D3432">
        <w:rPr>
          <w:rFonts w:asciiTheme="minorHAnsi" w:hAnsiTheme="minorHAnsi"/>
          <w:sz w:val="24"/>
          <w:szCs w:val="24"/>
        </w:rPr>
        <w:t>2.- Los que adolecieren de enfermedad crónica, contagiosa y trasmisible por herencia, o de vicio que constituya peligro para la prole.</w:t>
      </w:r>
    </w:p>
    <w:p w14:paraId="7CA6E22A"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3.- Los que padecieren crónicamente de enfermedad mental, aunque tengan intervalos lúcidos.</w:t>
      </w:r>
    </w:p>
    <w:p w14:paraId="293F6CA8"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4.- Los sordomudos, los ciegosordos y los ciegomudos que no supieren expresar su voluntad de manera indubitable.</w:t>
      </w:r>
    </w:p>
    <w:p w14:paraId="01382534"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5.- Los casados.</w:t>
      </w:r>
    </w:p>
    <w:p w14:paraId="61F7E9E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Inciso vigente conforme a la modificación establecida por el Artículo 1 de la Ley Nº 27201, publicada el 14-11-99.</w:t>
      </w:r>
    </w:p>
    <w:p w14:paraId="7ED4E442" w14:textId="77777777" w:rsidR="0082775B" w:rsidRPr="000D3432" w:rsidRDefault="0082775B" w:rsidP="00A95498">
      <w:pPr>
        <w:jc w:val="both"/>
        <w:rPr>
          <w:rFonts w:asciiTheme="minorHAnsi" w:hAnsiTheme="minorHAnsi"/>
          <w:szCs w:val="24"/>
        </w:rPr>
      </w:pPr>
    </w:p>
    <w:p w14:paraId="4845BD20"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ANÁLISIS </w:t>
      </w:r>
    </w:p>
    <w:p w14:paraId="367545EC" w14:textId="77777777" w:rsidR="0082775B" w:rsidRPr="000D3432" w:rsidRDefault="0082775B" w:rsidP="00A95498">
      <w:pPr>
        <w:jc w:val="both"/>
        <w:rPr>
          <w:rFonts w:asciiTheme="minorHAnsi" w:hAnsiTheme="minorHAnsi"/>
          <w:szCs w:val="24"/>
        </w:rPr>
      </w:pPr>
    </w:p>
    <w:p w14:paraId="4C084BA5"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Según la doctrina el impedimento del matrimonio es una garantía al orden jurídico y social, y pretende darle cierta estabilidad a la conformación de la sociedad, porque de estas relaciones conyugales se generan ciertos efectos jurídicos que afectan, de alguna manera, a la sociedad entera, puesto que por el matrimonio se constituye la familia como unidad o eje central de la sociedad.</w:t>
      </w:r>
    </w:p>
    <w:p w14:paraId="754ADBC5" w14:textId="77777777" w:rsidR="0082775B" w:rsidRPr="000D3432" w:rsidRDefault="0082775B" w:rsidP="00A95498">
      <w:pPr>
        <w:jc w:val="both"/>
        <w:rPr>
          <w:rFonts w:asciiTheme="minorHAnsi" w:hAnsiTheme="minorHAnsi"/>
          <w:szCs w:val="24"/>
        </w:rPr>
      </w:pPr>
    </w:p>
    <w:p w14:paraId="53DE04CF"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Cuando la norma del Código Civil expresa el impedimento de contraer </w:t>
      </w:r>
      <w:r w:rsidRPr="000D3432">
        <w:rPr>
          <w:rFonts w:asciiTheme="minorHAnsi" w:hAnsiTheme="minorHAnsi"/>
          <w:sz w:val="24"/>
          <w:szCs w:val="24"/>
        </w:rPr>
        <w:lastRenderedPageBreak/>
        <w:t xml:space="preserve">matrimonio de los “adolescentes” (que es una modificatoria, según el Artículo 1 de la Ley N° 27201, que cambia el término “púberes” por el de adolescentes”), su fin es impedir el “matrimonio inmaduro”, es decir, aquellos en los cuales las personas que pretenden contraer matrimonio no han adquirido aún “madurez mental”, así como “capacidad económica”, es decir, capacidad para sostenerse, y ser por tal, como unidad de la sociedad, un ente de producción y desarrollo social; y no exactamente lo contrario. Así, pensamos que no puede determinarse este impedimento para el matrimonio desde la óptica de la edad, sino de la capacidad y madurez mental, puesto que si la sociedad entera permitiera la existencia de matrimonios inmaduros, incapaces para su sostenimiento y manutención, estarán creando cargas sociales, cargas que retrasarían y obstaculizarían el desarrollo y progreso social. </w:t>
      </w:r>
    </w:p>
    <w:p w14:paraId="076B56F0" w14:textId="77777777" w:rsidR="0082775B" w:rsidRPr="000D3432" w:rsidRDefault="0082775B" w:rsidP="00A95498">
      <w:pPr>
        <w:jc w:val="both"/>
        <w:rPr>
          <w:rFonts w:asciiTheme="minorHAnsi" w:hAnsiTheme="minorHAnsi"/>
          <w:szCs w:val="24"/>
        </w:rPr>
      </w:pPr>
    </w:p>
    <w:p w14:paraId="3BF2F195"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Por eso creemos, incluso, que sólo debieran casarse aquellos que puedan justificar su solvencia económica y mental. Así, sólo podrían casarse aquellos “menores de edad” que puedan justificar su solvencia económica y mental. </w:t>
      </w:r>
    </w:p>
    <w:p w14:paraId="722AA40A" w14:textId="77777777" w:rsidR="0082775B" w:rsidRPr="000D3432" w:rsidRDefault="0082775B" w:rsidP="00A95498">
      <w:pPr>
        <w:jc w:val="both"/>
        <w:rPr>
          <w:rFonts w:asciiTheme="minorHAnsi" w:hAnsiTheme="minorHAnsi"/>
          <w:szCs w:val="24"/>
        </w:rPr>
      </w:pPr>
    </w:p>
    <w:p w14:paraId="68E3F55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Por otro lado, para que un acto como el matrimonio pueda realizarse es necesario que sea legítimo, es decir, que antes que la existencia de ordenamiento jurídico –legitimidad legal-, es necesario la existencia de las condiciones mínimas que hagan posible el acto, por alguna justificación ética jurídica. La justificación ética se refiere a la autonomía de la voluntad que tiene que tener la persona, a la capacidad para gobernar sus propios intereses; y la justificación jurídica se refiere a la relación con el interés social. </w:t>
      </w:r>
    </w:p>
    <w:p w14:paraId="0C47DF0E" w14:textId="77777777" w:rsidR="0082775B" w:rsidRPr="000D3432" w:rsidRDefault="0082775B" w:rsidP="00A95498">
      <w:pPr>
        <w:jc w:val="both"/>
        <w:rPr>
          <w:rFonts w:asciiTheme="minorHAnsi" w:hAnsiTheme="minorHAnsi"/>
          <w:szCs w:val="24"/>
        </w:rPr>
      </w:pPr>
    </w:p>
    <w:p w14:paraId="3C44C46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Asimismo, el matrimonio crea un vínculo jurídico que tiene su base en la realización del ser humano como familia, y en su felicidad; pero, por lo mismo, y como parte integrante de la sociedad. Este acto –el matrimonio- tiene que, para ser legítimo, no interrumpir o quebrar el libre desarrollo de la satisfacción de las necesidades de la colectividad. Así el matrimonio, que es de dos personas, tiene necesariamente que justificarse en que no contradiga las necesidades o intereses públicos, como es el de desarrollo social. Es entonces, el fundamento colectivo, social, lo que le da legitimidad al matrimonio. </w:t>
      </w:r>
    </w:p>
    <w:p w14:paraId="352F4C41" w14:textId="77777777" w:rsidR="0082775B" w:rsidRPr="000D3432" w:rsidRDefault="0082775B" w:rsidP="00A95498">
      <w:pPr>
        <w:jc w:val="both"/>
        <w:rPr>
          <w:rFonts w:asciiTheme="minorHAnsi" w:hAnsiTheme="minorHAnsi"/>
          <w:szCs w:val="24"/>
        </w:rPr>
      </w:pPr>
    </w:p>
    <w:p w14:paraId="728D333A"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Por todo lo expuesto, nuestra propuesta es respecto a la categoría de “adolescentes”, que nosotros proponemos reemplazar por la de “Menores de Edad”. Por lo mismo debería anularse la referencia a la edad (16 años para el varón, y 14 para la mujer). Porque pensamos que no pueden realizarse matrimonios sin previos requisitos o condiciones mínimas como es el de tener solvencia mental, madurez mental, económica y social. Sin ello corremos el peligro de poner en riesgo el avance y desarrollo de toda la sociedad. </w:t>
      </w:r>
    </w:p>
    <w:p w14:paraId="2DF31B34" w14:textId="77777777" w:rsidR="0082775B" w:rsidRPr="000D3432" w:rsidRDefault="0082775B" w:rsidP="00A95498">
      <w:pPr>
        <w:jc w:val="both"/>
        <w:rPr>
          <w:rFonts w:asciiTheme="minorHAnsi" w:hAnsiTheme="minorHAnsi"/>
          <w:szCs w:val="24"/>
        </w:rPr>
      </w:pPr>
    </w:p>
    <w:p w14:paraId="6267595A"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Propuesta:</w:t>
      </w:r>
      <w:r w:rsidRPr="000D3432">
        <w:rPr>
          <w:rFonts w:asciiTheme="minorHAnsi" w:hAnsiTheme="minorHAnsi"/>
          <w:szCs w:val="24"/>
        </w:rPr>
        <w:t xml:space="preserve"> </w:t>
      </w:r>
    </w:p>
    <w:p w14:paraId="31DBCC21" w14:textId="77777777" w:rsidR="0082775B" w:rsidRPr="000D3432" w:rsidRDefault="0082775B" w:rsidP="00A95498">
      <w:pPr>
        <w:jc w:val="both"/>
        <w:rPr>
          <w:rFonts w:asciiTheme="minorHAnsi" w:hAnsiTheme="minorHAnsi"/>
          <w:szCs w:val="24"/>
        </w:rPr>
      </w:pPr>
    </w:p>
    <w:p w14:paraId="5832E02F"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Artículo 241.- No pueden contraer matrimonio:</w:t>
      </w:r>
    </w:p>
    <w:p w14:paraId="32CF4EE1" w14:textId="77777777" w:rsidR="0082775B" w:rsidRPr="000D3432" w:rsidRDefault="0082775B" w:rsidP="00A95498">
      <w:pPr>
        <w:jc w:val="both"/>
        <w:rPr>
          <w:rFonts w:asciiTheme="minorHAnsi" w:hAnsiTheme="minorHAnsi"/>
          <w:szCs w:val="24"/>
        </w:rPr>
      </w:pPr>
    </w:p>
    <w:p w14:paraId="5611E57A" w14:textId="77777777" w:rsidR="0082775B" w:rsidRPr="000D3432" w:rsidRDefault="0082775B" w:rsidP="00A95498">
      <w:pPr>
        <w:pStyle w:val="Sangra2detdecuerpo"/>
        <w:spacing w:after="0" w:line="240" w:lineRule="auto"/>
        <w:jc w:val="both"/>
        <w:rPr>
          <w:rFonts w:asciiTheme="minorHAnsi" w:hAnsiTheme="minorHAnsi"/>
          <w:szCs w:val="24"/>
        </w:rPr>
      </w:pPr>
      <w:r w:rsidRPr="000D3432">
        <w:rPr>
          <w:rFonts w:asciiTheme="minorHAnsi" w:hAnsiTheme="minorHAnsi"/>
          <w:szCs w:val="24"/>
        </w:rPr>
        <w:lastRenderedPageBreak/>
        <w:t>1.  Los menores de edad. El juez puede dispensar este impedimento por motivos justificados, siempre que los contrayentes tengan madurez mental y solvencia económica, como mínimo, y manifiesten expresamente su voluntad de casarse. (*)</w:t>
      </w:r>
    </w:p>
    <w:p w14:paraId="079D6E10" w14:textId="77777777" w:rsidR="0082775B" w:rsidRPr="000D3432" w:rsidRDefault="0082775B" w:rsidP="00A95498">
      <w:pPr>
        <w:pStyle w:val="Sangradetdecuerpo"/>
        <w:tabs>
          <w:tab w:val="left" w:pos="284"/>
        </w:tabs>
        <w:ind w:left="284" w:hanging="284"/>
        <w:rPr>
          <w:rFonts w:asciiTheme="minorHAnsi" w:hAnsiTheme="minorHAnsi"/>
          <w:sz w:val="24"/>
          <w:szCs w:val="24"/>
        </w:rPr>
      </w:pPr>
      <w:r w:rsidRPr="000D3432">
        <w:rPr>
          <w:rFonts w:asciiTheme="minorHAnsi" w:hAnsiTheme="minorHAnsi"/>
          <w:sz w:val="24"/>
          <w:szCs w:val="24"/>
        </w:rPr>
        <w:t>(...)</w:t>
      </w:r>
    </w:p>
    <w:p w14:paraId="3D940F24" w14:textId="77777777" w:rsidR="0082775B" w:rsidRPr="000D3432" w:rsidRDefault="0082775B" w:rsidP="00A95498">
      <w:pPr>
        <w:jc w:val="both"/>
        <w:rPr>
          <w:rFonts w:asciiTheme="minorHAnsi" w:hAnsiTheme="minorHAnsi"/>
          <w:szCs w:val="24"/>
        </w:rPr>
      </w:pPr>
    </w:p>
    <w:p w14:paraId="74159BCF" w14:textId="77777777" w:rsidR="0082775B" w:rsidRPr="000D3432" w:rsidRDefault="0082775B" w:rsidP="00A95498">
      <w:pPr>
        <w:jc w:val="both"/>
        <w:rPr>
          <w:rFonts w:asciiTheme="minorHAnsi" w:hAnsiTheme="minorHAnsi"/>
          <w:szCs w:val="24"/>
        </w:rPr>
      </w:pPr>
    </w:p>
    <w:p w14:paraId="7C075C31"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MODIFICACIÓN DEL INCISO 4 DEL ARTÍCULO 242 DEL CODIGO CIVIL</w:t>
      </w:r>
    </w:p>
    <w:p w14:paraId="4168B7B7" w14:textId="77777777" w:rsidR="0082775B" w:rsidRPr="000D3432" w:rsidRDefault="0082775B" w:rsidP="00A95498">
      <w:pPr>
        <w:jc w:val="both"/>
        <w:rPr>
          <w:rFonts w:asciiTheme="minorHAnsi" w:hAnsiTheme="minorHAnsi"/>
          <w:b/>
          <w:szCs w:val="24"/>
        </w:rPr>
      </w:pPr>
    </w:p>
    <w:p w14:paraId="695CC151"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Base Legal.- </w:t>
      </w:r>
    </w:p>
    <w:p w14:paraId="26713876" w14:textId="77777777" w:rsidR="0082775B" w:rsidRPr="000D3432" w:rsidRDefault="0082775B" w:rsidP="00A95498">
      <w:pPr>
        <w:jc w:val="both"/>
        <w:rPr>
          <w:rFonts w:asciiTheme="minorHAnsi" w:hAnsiTheme="minorHAnsi"/>
          <w:b/>
          <w:szCs w:val="24"/>
        </w:rPr>
      </w:pPr>
    </w:p>
    <w:p w14:paraId="608FE041"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Artículo 242</w:t>
      </w:r>
      <w:r w:rsidRPr="000D3432">
        <w:rPr>
          <w:rFonts w:asciiTheme="minorHAnsi" w:hAnsiTheme="minorHAnsi"/>
          <w:szCs w:val="24"/>
        </w:rPr>
        <w:t>.- Impedimentos relativos</w:t>
      </w:r>
    </w:p>
    <w:p w14:paraId="0A9B1235" w14:textId="77777777" w:rsidR="0082775B" w:rsidRPr="000D3432" w:rsidRDefault="0082775B" w:rsidP="00A95498">
      <w:pPr>
        <w:jc w:val="both"/>
        <w:rPr>
          <w:rFonts w:asciiTheme="minorHAnsi" w:hAnsiTheme="minorHAnsi"/>
          <w:szCs w:val="24"/>
        </w:rPr>
      </w:pPr>
    </w:p>
    <w:p w14:paraId="7A1620A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No pueden contraer matrimonio entre sí:</w:t>
      </w:r>
    </w:p>
    <w:p w14:paraId="3DEF25EB"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1.- Los consanguíneos en línea recta. El fallo que condena al pago de alimentos en favor del hijo extramatrimonial no reconocido ni declarado judicialmente produce también el impedimento a que se refiere este inciso.</w:t>
      </w:r>
    </w:p>
    <w:p w14:paraId="1A8E8968"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2.- Los consanguíneos en línea colateral dentro del segundo y el tercer grados. Tratándose del tercer grado el juez puede dispensar este impedimento cuando existan motivos graves.</w:t>
      </w:r>
    </w:p>
    <w:p w14:paraId="693A16DF" w14:textId="77777777" w:rsidR="0082775B" w:rsidRPr="000D3432" w:rsidRDefault="0082775B" w:rsidP="00A95498">
      <w:pPr>
        <w:tabs>
          <w:tab w:val="left" w:pos="284"/>
        </w:tabs>
        <w:ind w:left="288" w:hanging="288"/>
        <w:jc w:val="both"/>
        <w:rPr>
          <w:rFonts w:asciiTheme="minorHAnsi" w:hAnsiTheme="minorHAnsi"/>
          <w:szCs w:val="24"/>
        </w:rPr>
      </w:pPr>
      <w:r w:rsidRPr="000D3432">
        <w:rPr>
          <w:rFonts w:asciiTheme="minorHAnsi" w:hAnsiTheme="minorHAnsi"/>
          <w:szCs w:val="24"/>
        </w:rPr>
        <w:t>3.- Los afines en línea recta.</w:t>
      </w:r>
    </w:p>
    <w:p w14:paraId="748C5CC6" w14:textId="77777777" w:rsidR="0082775B" w:rsidRPr="000D3432" w:rsidRDefault="0082775B" w:rsidP="00A95498">
      <w:pPr>
        <w:pStyle w:val="Textodecuerpo2"/>
        <w:tabs>
          <w:tab w:val="left" w:pos="284"/>
        </w:tabs>
        <w:spacing w:after="0" w:line="240" w:lineRule="auto"/>
        <w:ind w:left="288" w:hanging="288"/>
        <w:rPr>
          <w:rFonts w:asciiTheme="minorHAnsi" w:hAnsiTheme="minorHAnsi"/>
          <w:szCs w:val="24"/>
        </w:rPr>
      </w:pPr>
      <w:r w:rsidRPr="000D3432">
        <w:rPr>
          <w:rFonts w:asciiTheme="minorHAnsi" w:hAnsiTheme="minorHAnsi"/>
          <w:szCs w:val="24"/>
        </w:rPr>
        <w:t>4.- Los afines en el segundo grado de la línea colateral cuando el matrimonio que produjo la afinidad se disolvió por divorcio y el ex-cónyuge vive.</w:t>
      </w:r>
    </w:p>
    <w:p w14:paraId="47D00A1F" w14:textId="77777777" w:rsidR="0082775B" w:rsidRPr="000D3432" w:rsidRDefault="0082775B" w:rsidP="00A95498">
      <w:pPr>
        <w:tabs>
          <w:tab w:val="left" w:pos="284"/>
        </w:tabs>
        <w:ind w:left="288" w:hanging="288"/>
        <w:jc w:val="both"/>
        <w:rPr>
          <w:rFonts w:asciiTheme="minorHAnsi" w:hAnsiTheme="minorHAnsi"/>
          <w:szCs w:val="24"/>
        </w:rPr>
      </w:pPr>
      <w:r w:rsidRPr="000D3432">
        <w:rPr>
          <w:rFonts w:asciiTheme="minorHAnsi" w:hAnsiTheme="minorHAnsi"/>
          <w:szCs w:val="24"/>
        </w:rPr>
        <w:t>5.- El adoptante, el adoptado y sus familiares en las líneas y dentro de los grados señalados en los incisos 1 a 4 para la consanguinidad y la afinidad.</w:t>
      </w:r>
    </w:p>
    <w:p w14:paraId="13211A36"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6.- El condenado como partícipe en el homicidio doloso de uno de los cónyuges, ni el procesado por esta causa con el sobreviviente.</w:t>
      </w:r>
    </w:p>
    <w:p w14:paraId="77F74003"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7.- El raptor con la raptada o a la inversa, mientras subsista el rapto o haya retención violenta.</w:t>
      </w:r>
    </w:p>
    <w:p w14:paraId="635FAE58" w14:textId="77777777" w:rsidR="0082775B" w:rsidRPr="000D3432" w:rsidRDefault="0082775B" w:rsidP="00A95498">
      <w:pPr>
        <w:jc w:val="both"/>
        <w:rPr>
          <w:rFonts w:asciiTheme="minorHAnsi" w:hAnsiTheme="minorHAnsi"/>
          <w:szCs w:val="24"/>
        </w:rPr>
      </w:pPr>
    </w:p>
    <w:p w14:paraId="68B05E87" w14:textId="77777777" w:rsidR="0082775B" w:rsidRPr="000D3432" w:rsidRDefault="0082775B" w:rsidP="00A95498">
      <w:pPr>
        <w:pStyle w:val="Textodecuerpo2"/>
        <w:spacing w:after="0" w:line="240" w:lineRule="auto"/>
        <w:rPr>
          <w:rFonts w:asciiTheme="minorHAnsi" w:hAnsiTheme="minorHAnsi"/>
          <w:b/>
          <w:szCs w:val="24"/>
        </w:rPr>
      </w:pPr>
      <w:r w:rsidRPr="000D3432">
        <w:rPr>
          <w:rFonts w:asciiTheme="minorHAnsi" w:hAnsiTheme="minorHAnsi"/>
          <w:b/>
          <w:szCs w:val="24"/>
        </w:rPr>
        <w:t>ANÁLISIS:</w:t>
      </w:r>
    </w:p>
    <w:p w14:paraId="512744D9" w14:textId="77777777" w:rsidR="0082775B" w:rsidRPr="000D3432" w:rsidRDefault="0082775B" w:rsidP="00A95498">
      <w:pPr>
        <w:jc w:val="both"/>
        <w:rPr>
          <w:rFonts w:asciiTheme="minorHAnsi" w:hAnsiTheme="minorHAnsi"/>
          <w:szCs w:val="24"/>
        </w:rPr>
      </w:pPr>
    </w:p>
    <w:p w14:paraId="6A89109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Debe suprimirse el inciso 4, del artículo 242 del Código Civil, en lo que respecta al impedimento de  matrimonio entre los afines en el segundo grado de la línea colateral, cuando ya no existe el matrimonio que produjo la afinidad. Además, cuando uno de los cónyuges muere, y el otro subrevive, no habría razón por la cual no pueda casarse con el cuñado (a).</w:t>
      </w:r>
    </w:p>
    <w:p w14:paraId="274DA5C7" w14:textId="77777777" w:rsidR="0082775B" w:rsidRPr="000D3432" w:rsidRDefault="0082775B" w:rsidP="00A95498">
      <w:pPr>
        <w:jc w:val="both"/>
        <w:rPr>
          <w:rFonts w:asciiTheme="minorHAnsi" w:hAnsiTheme="minorHAnsi"/>
          <w:szCs w:val="24"/>
        </w:rPr>
      </w:pPr>
    </w:p>
    <w:p w14:paraId="68DD9CFB"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Por lo mismo debe suprimirse la mención del inciso 4, en el artículo 242, inciso 5, porque no debe haber impedimento para que los cuñados, muerto uno de los cónyuges, no puedan casarse.</w:t>
      </w:r>
    </w:p>
    <w:p w14:paraId="18DC3349" w14:textId="77777777" w:rsidR="0082775B" w:rsidRPr="000D3432" w:rsidRDefault="0082775B" w:rsidP="00A95498">
      <w:pPr>
        <w:jc w:val="both"/>
        <w:rPr>
          <w:rFonts w:asciiTheme="minorHAnsi" w:hAnsiTheme="minorHAnsi"/>
          <w:szCs w:val="24"/>
        </w:rPr>
      </w:pPr>
    </w:p>
    <w:p w14:paraId="52A832C9"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Según nuestra legislación y la doctrina, el parentesco por afinidad “se produce por el matrimonio, y se da entre el cónyuge con los parientes consanguíneos del otro” cónyuge. </w:t>
      </w:r>
    </w:p>
    <w:p w14:paraId="19B13CDD" w14:textId="77777777" w:rsidR="0082775B" w:rsidRPr="000D3432" w:rsidRDefault="0082775B" w:rsidP="00A95498">
      <w:pPr>
        <w:pStyle w:val="Textodecuerpo"/>
        <w:spacing w:line="240" w:lineRule="auto"/>
        <w:rPr>
          <w:rFonts w:asciiTheme="minorHAnsi" w:hAnsiTheme="minorHAnsi"/>
          <w:color w:val="000000"/>
          <w:sz w:val="24"/>
          <w:szCs w:val="24"/>
        </w:rPr>
      </w:pPr>
    </w:p>
    <w:p w14:paraId="3F7896B8" w14:textId="77777777" w:rsidR="0082775B" w:rsidRPr="000D3432" w:rsidRDefault="0082775B" w:rsidP="00A95498">
      <w:pPr>
        <w:pStyle w:val="Textodecuerpo"/>
        <w:spacing w:line="240" w:lineRule="auto"/>
        <w:rPr>
          <w:rFonts w:asciiTheme="minorHAnsi" w:hAnsiTheme="minorHAnsi"/>
          <w:color w:val="000000"/>
          <w:sz w:val="24"/>
          <w:szCs w:val="24"/>
          <w:lang w:val="es-ES_tradnl"/>
        </w:rPr>
      </w:pPr>
      <w:r w:rsidRPr="000D3432">
        <w:rPr>
          <w:rFonts w:asciiTheme="minorHAnsi" w:hAnsiTheme="minorHAnsi"/>
          <w:color w:val="000000"/>
          <w:sz w:val="24"/>
          <w:szCs w:val="24"/>
          <w:lang w:val="es-ES_tradnl"/>
        </w:rPr>
        <w:t xml:space="preserve">“De acuerdo a dicha norma el matrimonio produce parentesco de afinidad entre cada uno de los cónyuges con los parientes consanguíneos del otro; y </w:t>
      </w:r>
      <w:r w:rsidRPr="000D3432">
        <w:rPr>
          <w:rFonts w:asciiTheme="minorHAnsi" w:hAnsiTheme="minorHAnsi"/>
          <w:color w:val="000000"/>
          <w:sz w:val="24"/>
          <w:szCs w:val="24"/>
          <w:lang w:val="es-ES_tradnl"/>
        </w:rPr>
        <w:lastRenderedPageBreak/>
        <w:t>cada cónyuge se halla en igual línea y grado de parentesco por afinidad que el otro por consanguinidad”, escribe Fernando de Trazegnies.</w:t>
      </w:r>
    </w:p>
    <w:p w14:paraId="103ADFAC" w14:textId="77777777" w:rsidR="0082775B" w:rsidRPr="000D3432" w:rsidRDefault="0082775B" w:rsidP="00A95498">
      <w:pPr>
        <w:pStyle w:val="Textodecuerpo"/>
        <w:spacing w:line="240" w:lineRule="auto"/>
        <w:rPr>
          <w:rFonts w:asciiTheme="minorHAnsi" w:hAnsiTheme="minorHAnsi"/>
          <w:color w:val="000000"/>
          <w:sz w:val="24"/>
          <w:szCs w:val="24"/>
          <w:lang w:val="es-ES_tradnl"/>
        </w:rPr>
      </w:pPr>
    </w:p>
    <w:p w14:paraId="3DA38042"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Este tipo de parentesco está determinado por un acto civil, y no natural. Su fundamento no está en la genética, sino en el derecho. Pero si bien, lo que se pretende con la norma, al impedir el matrimonio entre parientes afines es proteger y preservar la estabilidad conyugal, este impedimento tendría que dejar de ser al extinguirse el acto que dio origen a la afinidad, como es el matrimonio; porque lo que se protegía era ese acto original –el matrimonio-, y al extinguirse queda también extinto el bien jurídico protegido. </w:t>
      </w:r>
    </w:p>
    <w:p w14:paraId="447C3559" w14:textId="77777777" w:rsidR="0082775B" w:rsidRPr="000D3432" w:rsidRDefault="0082775B" w:rsidP="00A95498">
      <w:pPr>
        <w:pStyle w:val="Textodecuerpo"/>
        <w:spacing w:line="240" w:lineRule="auto"/>
        <w:rPr>
          <w:rFonts w:asciiTheme="minorHAnsi" w:hAnsiTheme="minorHAnsi"/>
          <w:color w:val="000000"/>
          <w:sz w:val="24"/>
          <w:szCs w:val="24"/>
        </w:rPr>
      </w:pPr>
    </w:p>
    <w:p w14:paraId="6C177B36"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El parentesco por afinidad, no es por lo tanto un fenómeno natural, o mejor, se desprende de un fenómeno natural- la necesidad de vivir en pareja-, pero su consolidación es cultural, es decir, producto y creación del hombre, que la ha encerrado, para entenderla, en la disciplina jurídica, y ello para darle actuación dentro de un campo determinado y circunscrito a sus fines: el bienestar de la sociedad. </w:t>
      </w:r>
    </w:p>
    <w:p w14:paraId="5BDEA553" w14:textId="77777777" w:rsidR="0082775B" w:rsidRPr="000D3432" w:rsidRDefault="0082775B" w:rsidP="00A95498">
      <w:pPr>
        <w:pStyle w:val="Textodecuerpo"/>
        <w:spacing w:line="240" w:lineRule="auto"/>
        <w:rPr>
          <w:rFonts w:asciiTheme="minorHAnsi" w:hAnsiTheme="minorHAnsi"/>
          <w:color w:val="000000"/>
          <w:sz w:val="24"/>
          <w:szCs w:val="24"/>
        </w:rPr>
      </w:pPr>
    </w:p>
    <w:p w14:paraId="077951C6"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Por otro lado, lo que la ley quería al prohibir el matrimonio entre afines era preservarnos de los peligros que pudiera conllevar el matrimonio entre cuñados, por ejemplo, como desestructuración de la organización familiar; sin embargo, una vez extinguido ese peligro que nace también de la consolidación del matrimonio, ya no hay tal peligro, y por tal debe anularse cualquier parentesco consanguíneo; y permitir el matrimonio entre las personas que han dejado de ser ya parientes por afinidad.</w:t>
      </w:r>
    </w:p>
    <w:p w14:paraId="5442CCA1"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lang w:val="es-ES_tradnl"/>
        </w:rPr>
        <w:t xml:space="preserve"> </w:t>
      </w:r>
    </w:p>
    <w:p w14:paraId="21B12311" w14:textId="77777777" w:rsidR="0082775B" w:rsidRPr="000D3432" w:rsidRDefault="0082775B" w:rsidP="00A95498">
      <w:pPr>
        <w:pStyle w:val="Textodecuerpo2"/>
        <w:spacing w:after="0" w:line="240" w:lineRule="auto"/>
        <w:rPr>
          <w:rFonts w:asciiTheme="minorHAnsi" w:hAnsiTheme="minorHAnsi"/>
          <w:b/>
          <w:szCs w:val="24"/>
        </w:rPr>
      </w:pPr>
      <w:r w:rsidRPr="000D3432">
        <w:rPr>
          <w:rFonts w:asciiTheme="minorHAnsi" w:hAnsiTheme="minorHAnsi"/>
          <w:b/>
          <w:szCs w:val="24"/>
        </w:rPr>
        <w:t>PROPUESTA:</w:t>
      </w:r>
    </w:p>
    <w:p w14:paraId="239B1034" w14:textId="77777777" w:rsidR="0082775B" w:rsidRPr="000D3432" w:rsidRDefault="0082775B" w:rsidP="00A95498">
      <w:pPr>
        <w:jc w:val="both"/>
        <w:rPr>
          <w:rFonts w:asciiTheme="minorHAnsi" w:hAnsiTheme="minorHAnsi"/>
          <w:szCs w:val="24"/>
        </w:rPr>
      </w:pPr>
    </w:p>
    <w:p w14:paraId="0EC96A3E"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Artículo 242</w:t>
      </w:r>
      <w:r w:rsidRPr="000D3432">
        <w:rPr>
          <w:rFonts w:asciiTheme="minorHAnsi" w:hAnsiTheme="minorHAnsi"/>
          <w:szCs w:val="24"/>
        </w:rPr>
        <w:t>.- Impedimentos relativos</w:t>
      </w:r>
    </w:p>
    <w:p w14:paraId="5FFD8DB6" w14:textId="77777777" w:rsidR="0082775B" w:rsidRPr="000D3432" w:rsidRDefault="0082775B" w:rsidP="00A95498">
      <w:pPr>
        <w:jc w:val="both"/>
        <w:rPr>
          <w:rFonts w:asciiTheme="minorHAnsi" w:hAnsiTheme="minorHAnsi"/>
          <w:szCs w:val="24"/>
        </w:rPr>
      </w:pPr>
    </w:p>
    <w:p w14:paraId="1D325A0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No pueden contraer matrimonio entre sí:</w:t>
      </w:r>
    </w:p>
    <w:p w14:paraId="2FB3BEDE" w14:textId="77777777" w:rsidR="0082775B" w:rsidRPr="000D3432" w:rsidRDefault="0082775B" w:rsidP="00A95498">
      <w:pPr>
        <w:pStyle w:val="Sangra3detdecuerpo"/>
        <w:spacing w:after="0"/>
        <w:jc w:val="both"/>
        <w:rPr>
          <w:rFonts w:asciiTheme="minorHAnsi" w:hAnsiTheme="minorHAnsi"/>
          <w:sz w:val="24"/>
          <w:szCs w:val="24"/>
        </w:rPr>
      </w:pPr>
      <w:r w:rsidRPr="000D3432">
        <w:rPr>
          <w:rFonts w:asciiTheme="minorHAnsi" w:hAnsiTheme="minorHAnsi"/>
          <w:sz w:val="24"/>
          <w:szCs w:val="24"/>
        </w:rPr>
        <w:t>1.- Los consanguíneos en línea recta. El fallo que condena al pago de alimentos en favor del hijo extramatrimonial no reconocido ni declarado judicialmente produce también el impedimento a que se refiere este inciso.</w:t>
      </w:r>
    </w:p>
    <w:p w14:paraId="1DAE10B5" w14:textId="77777777" w:rsidR="0082775B" w:rsidRPr="000D3432" w:rsidRDefault="0082775B" w:rsidP="00A95498">
      <w:pPr>
        <w:pStyle w:val="Sangra3detdecuerpo"/>
        <w:spacing w:after="0"/>
        <w:jc w:val="both"/>
        <w:rPr>
          <w:rFonts w:asciiTheme="minorHAnsi" w:hAnsiTheme="minorHAnsi"/>
          <w:sz w:val="24"/>
          <w:szCs w:val="24"/>
        </w:rPr>
      </w:pPr>
      <w:r w:rsidRPr="000D3432">
        <w:rPr>
          <w:rFonts w:asciiTheme="minorHAnsi" w:hAnsiTheme="minorHAnsi"/>
          <w:sz w:val="24"/>
          <w:szCs w:val="24"/>
        </w:rPr>
        <w:t>2.- Los consanguíneos en línea colateral dentro del segundo y el tercer grados. Tratándose del tercer grado el juez puede dispensar este impedimento cuando existan motivos graves.</w:t>
      </w:r>
    </w:p>
    <w:p w14:paraId="39C3C33A"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3.- Los afines en línea recta.</w:t>
      </w:r>
    </w:p>
    <w:p w14:paraId="262548E3"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4.- El adoptante, el adoptado y sus familiares en las líneas y dentro de los grados señalados en los incisos 1 para la consanguinidad.</w:t>
      </w:r>
    </w:p>
    <w:p w14:paraId="7F69E482"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5.- El condenado como partícipe en el homicidio doloso de uno de los cónyuges, ni el procesado por esta causa con el sobreviviente.</w:t>
      </w:r>
    </w:p>
    <w:p w14:paraId="1C704A56" w14:textId="77777777" w:rsidR="0082775B" w:rsidRPr="000D3432" w:rsidRDefault="0082775B" w:rsidP="00A95498">
      <w:pPr>
        <w:tabs>
          <w:tab w:val="left" w:pos="284"/>
        </w:tabs>
        <w:ind w:left="284" w:hanging="284"/>
        <w:jc w:val="both"/>
        <w:rPr>
          <w:rFonts w:asciiTheme="minorHAnsi" w:hAnsiTheme="minorHAnsi"/>
          <w:szCs w:val="24"/>
        </w:rPr>
      </w:pPr>
      <w:r w:rsidRPr="000D3432">
        <w:rPr>
          <w:rFonts w:asciiTheme="minorHAnsi" w:hAnsiTheme="minorHAnsi"/>
          <w:szCs w:val="24"/>
        </w:rPr>
        <w:t>6.- El raptor con la raptada o a la inversa, mientras subsista el rapto o haya retención violenta.</w:t>
      </w:r>
    </w:p>
    <w:p w14:paraId="1AE08981" w14:textId="77777777" w:rsidR="0082775B" w:rsidRPr="000D3432" w:rsidRDefault="0082775B" w:rsidP="00A95498">
      <w:pPr>
        <w:jc w:val="both"/>
        <w:rPr>
          <w:rFonts w:asciiTheme="minorHAnsi" w:hAnsiTheme="minorHAnsi"/>
          <w:b/>
          <w:szCs w:val="24"/>
        </w:rPr>
      </w:pPr>
    </w:p>
    <w:p w14:paraId="3307DF8C"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MODIFICACION DEL ARTÍCULO 237 DEL CÓDIGO CIVIL</w:t>
      </w:r>
    </w:p>
    <w:p w14:paraId="5017D4DA" w14:textId="77777777" w:rsidR="0082775B" w:rsidRPr="000D3432" w:rsidRDefault="0082775B" w:rsidP="00A95498">
      <w:pPr>
        <w:jc w:val="both"/>
        <w:rPr>
          <w:rFonts w:asciiTheme="minorHAnsi" w:hAnsiTheme="minorHAnsi"/>
          <w:b/>
          <w:szCs w:val="24"/>
        </w:rPr>
      </w:pPr>
    </w:p>
    <w:p w14:paraId="3D4D849D" w14:textId="77777777" w:rsidR="0082775B" w:rsidRPr="000D3432" w:rsidRDefault="0082775B" w:rsidP="00A95498">
      <w:pPr>
        <w:pStyle w:val="Ttulo1"/>
        <w:spacing w:line="240" w:lineRule="auto"/>
        <w:rPr>
          <w:rFonts w:asciiTheme="minorHAnsi" w:hAnsiTheme="minorHAnsi"/>
          <w:sz w:val="24"/>
          <w:szCs w:val="24"/>
        </w:rPr>
      </w:pPr>
      <w:bookmarkStart w:id="156" w:name="_Toc318102965"/>
      <w:r w:rsidRPr="000D3432">
        <w:rPr>
          <w:rFonts w:asciiTheme="minorHAnsi" w:hAnsiTheme="minorHAnsi"/>
          <w:sz w:val="24"/>
          <w:szCs w:val="24"/>
        </w:rPr>
        <w:lastRenderedPageBreak/>
        <w:t>Base Legal.-</w:t>
      </w:r>
      <w:bookmarkEnd w:id="156"/>
      <w:r w:rsidRPr="000D3432">
        <w:rPr>
          <w:rFonts w:asciiTheme="minorHAnsi" w:hAnsiTheme="minorHAnsi"/>
          <w:sz w:val="24"/>
          <w:szCs w:val="24"/>
        </w:rPr>
        <w:t xml:space="preserve"> </w:t>
      </w:r>
    </w:p>
    <w:p w14:paraId="61E55792" w14:textId="77777777" w:rsidR="0082775B" w:rsidRPr="000D3432" w:rsidRDefault="0082775B" w:rsidP="00A95498">
      <w:pPr>
        <w:jc w:val="both"/>
        <w:rPr>
          <w:rFonts w:asciiTheme="minorHAnsi" w:hAnsiTheme="minorHAnsi"/>
          <w:szCs w:val="24"/>
        </w:rPr>
      </w:pPr>
    </w:p>
    <w:p w14:paraId="365D6264"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Artículo 237.- Parentesco por afinidad</w:t>
      </w:r>
    </w:p>
    <w:p w14:paraId="379474D0" w14:textId="77777777" w:rsidR="0082775B" w:rsidRPr="000D3432" w:rsidRDefault="0082775B" w:rsidP="00A95498">
      <w:pPr>
        <w:pStyle w:val="Textodecuerpo"/>
        <w:spacing w:line="240" w:lineRule="auto"/>
        <w:rPr>
          <w:rFonts w:asciiTheme="minorHAnsi" w:hAnsiTheme="minorHAnsi"/>
          <w:b/>
          <w:sz w:val="24"/>
          <w:szCs w:val="24"/>
        </w:rPr>
      </w:pPr>
      <w:r w:rsidRPr="000D3432">
        <w:rPr>
          <w:rFonts w:asciiTheme="minorHAnsi" w:hAnsiTheme="minorHAnsi"/>
          <w:b/>
          <w:sz w:val="24"/>
          <w:szCs w:val="24"/>
        </w:rPr>
        <w:t>El matrimonio produce parentesco de afinidad entre cada uno de los cónyuges con los parientes consanguíneos del otro. Cada cónyuge se halla en igual línea y grado de parentesco por afinidad que el otro por consanguinidad.</w:t>
      </w:r>
    </w:p>
    <w:p w14:paraId="55522B46" w14:textId="77777777" w:rsidR="0082775B" w:rsidRPr="000D3432" w:rsidRDefault="0082775B" w:rsidP="00A95498">
      <w:pPr>
        <w:jc w:val="both"/>
        <w:rPr>
          <w:rFonts w:asciiTheme="minorHAnsi" w:hAnsiTheme="minorHAnsi"/>
          <w:szCs w:val="24"/>
        </w:rPr>
      </w:pPr>
    </w:p>
    <w:p w14:paraId="4C5302D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afinidad en línea recta no acaba por la disolución del matrimonio que la produce. Subsiste la afinidad en el segundo grado de la línea colateral en caso de divorcio y mientras viva el ex-cónyuge.</w:t>
      </w:r>
    </w:p>
    <w:p w14:paraId="27A17103" w14:textId="77777777" w:rsidR="0082775B" w:rsidRPr="000D3432" w:rsidRDefault="0082775B" w:rsidP="00A95498">
      <w:pPr>
        <w:jc w:val="both"/>
        <w:rPr>
          <w:rFonts w:asciiTheme="minorHAnsi" w:hAnsiTheme="minorHAnsi"/>
          <w:b/>
          <w:szCs w:val="24"/>
        </w:rPr>
      </w:pPr>
    </w:p>
    <w:p w14:paraId="777957AE" w14:textId="77777777" w:rsidR="0082775B" w:rsidRPr="000D3432" w:rsidRDefault="0082775B" w:rsidP="00A95498">
      <w:pPr>
        <w:pStyle w:val="Ttulo1"/>
        <w:spacing w:line="240" w:lineRule="auto"/>
        <w:rPr>
          <w:rFonts w:asciiTheme="minorHAnsi" w:hAnsiTheme="minorHAnsi"/>
          <w:sz w:val="24"/>
          <w:szCs w:val="24"/>
        </w:rPr>
      </w:pPr>
      <w:bookmarkStart w:id="157" w:name="_Toc318102966"/>
      <w:r w:rsidRPr="000D3432">
        <w:rPr>
          <w:rFonts w:asciiTheme="minorHAnsi" w:hAnsiTheme="minorHAnsi"/>
          <w:sz w:val="24"/>
          <w:szCs w:val="24"/>
        </w:rPr>
        <w:t>ANÁLISIS.-</w:t>
      </w:r>
      <w:bookmarkEnd w:id="157"/>
    </w:p>
    <w:p w14:paraId="05259504" w14:textId="77777777" w:rsidR="0082775B" w:rsidRPr="000D3432" w:rsidRDefault="0082775B" w:rsidP="00A95498">
      <w:pPr>
        <w:jc w:val="both"/>
        <w:rPr>
          <w:rFonts w:asciiTheme="minorHAnsi" w:hAnsiTheme="minorHAnsi"/>
          <w:szCs w:val="24"/>
        </w:rPr>
      </w:pPr>
    </w:p>
    <w:p w14:paraId="0DD27606"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Se debe aclarar que con la extinción del matrimonio, sea la causa que fuere, debe también acabarse el parentesco por afinidad. Puesto que si la afinidad nace del matrimonio, entonces, cuando éste acaba, no existe razón alguna para  que siga persistiendo el parentesco por afinidad. Las razones son de orden orgánico, y clasificador. </w:t>
      </w:r>
    </w:p>
    <w:p w14:paraId="5E06872A" w14:textId="77777777" w:rsidR="0082775B" w:rsidRPr="000D3432" w:rsidRDefault="0082775B" w:rsidP="00A95498">
      <w:pPr>
        <w:jc w:val="both"/>
        <w:rPr>
          <w:rFonts w:asciiTheme="minorHAnsi" w:hAnsiTheme="minorHAnsi"/>
          <w:szCs w:val="24"/>
        </w:rPr>
      </w:pPr>
    </w:p>
    <w:p w14:paraId="3B7C3EEF" w14:textId="77777777" w:rsidR="0082775B" w:rsidRPr="000D3432" w:rsidRDefault="0082775B" w:rsidP="00A95498">
      <w:pPr>
        <w:jc w:val="both"/>
        <w:rPr>
          <w:rFonts w:asciiTheme="minorHAnsi" w:hAnsiTheme="minorHAnsi"/>
          <w:color w:val="FF0000"/>
          <w:szCs w:val="24"/>
        </w:rPr>
      </w:pPr>
      <w:r w:rsidRPr="000D3432">
        <w:rPr>
          <w:rFonts w:asciiTheme="minorHAnsi" w:hAnsiTheme="minorHAnsi"/>
          <w:szCs w:val="24"/>
        </w:rPr>
        <w:t>“En el artículo 237 debería establecerse que con la disolución del matrimonio se extingue el parentesco por afinidad.  En efecto, este parentesco está directamente relacionado con el matrimonio y extinguido éste, no se encuentra razón válida para que se mantenga el parentesco.”</w:t>
      </w:r>
      <w:r w:rsidRPr="000D3432">
        <w:rPr>
          <w:rFonts w:asciiTheme="minorHAnsi" w:hAnsiTheme="minorHAnsi"/>
          <w:color w:val="FF0000"/>
          <w:szCs w:val="24"/>
        </w:rPr>
        <w:t xml:space="preserve"> </w:t>
      </w:r>
    </w:p>
    <w:p w14:paraId="28872726" w14:textId="77777777" w:rsidR="0082775B" w:rsidRPr="000D3432" w:rsidRDefault="0082775B" w:rsidP="00A95498">
      <w:pPr>
        <w:jc w:val="both"/>
        <w:rPr>
          <w:rFonts w:asciiTheme="minorHAnsi" w:hAnsiTheme="minorHAnsi"/>
          <w:szCs w:val="24"/>
        </w:rPr>
      </w:pPr>
    </w:p>
    <w:p w14:paraId="63F5ABDA"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El fenómeno del parentesco por afinidad, se presenta siempre desde la concepción de la familia, de la generación de la familia. Se es afín, y entonces se es familia, o parte de la familia. Pero a menudo nos confundimos con los términos y alcances de lo que entendemos por familia, así la confusión surge de una errónea concepción o perspectiva del fenómeno familia. Error que nace cuando, por ejemplo, queremos encuadrar nuestro concepto de familia social dentro o en la misma categoría que la familia jurídica; así confundimos el concepto de familia natural con el de familia social, cultural, etc. Enredamos los factores biológicos con los factores sociológicos y jurídicos. La familia, luego se ve desde del ángulo de los genes. Por tal concepción son familia sólo aquellos que tienen nuestros mismos genes. La verdad biológica se impone en esta concepción de familia. Pero al lado contrario, y hasta opuesto de la familia biológica existe también la familia no biológica, la familia jurídica, que es una invención en respuesta a los intereses sociales. Por eso el Derecho produce familia, por la necesidad colectiva de regular ciertas uniones o relaciones que cumplen una actividad similar a la de la familia genética. Por eso el Derecho determina, fictamente, quienes son o pueden ser considerados familia, y dentro de estos están los familiares por la línea de la afinidad, es decir, por la conformación de la familia nacida del matrimonio, de la unión de dos personas para conformar una familia. Se pasa pues de una concepción de la familia biológica, a la familia artificial, para proteger todo aquello que le es cercano y natural a la familia nacida del matrimonio. Se crea una nueva verdad, una verdad social, cultural, jurídica, la familia por afinidad, y que es consecuencia de </w:t>
      </w:r>
      <w:r w:rsidRPr="000D3432">
        <w:rPr>
          <w:rFonts w:asciiTheme="minorHAnsi" w:hAnsiTheme="minorHAnsi"/>
          <w:szCs w:val="24"/>
        </w:rPr>
        <w:lastRenderedPageBreak/>
        <w:t xml:space="preserve">los fines sociales que persigue el Derecho. </w:t>
      </w:r>
    </w:p>
    <w:p w14:paraId="62CEBC3C" w14:textId="77777777" w:rsidR="0082775B" w:rsidRPr="000D3432" w:rsidRDefault="0082775B" w:rsidP="00A95498">
      <w:pPr>
        <w:pStyle w:val="Textodecuerpo"/>
        <w:spacing w:line="240" w:lineRule="auto"/>
        <w:rPr>
          <w:rFonts w:asciiTheme="minorHAnsi" w:hAnsiTheme="minorHAnsi"/>
          <w:b/>
          <w:color w:val="000000"/>
          <w:sz w:val="24"/>
          <w:szCs w:val="24"/>
        </w:rPr>
      </w:pPr>
    </w:p>
    <w:p w14:paraId="3018352C"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 xml:space="preserve">Por lo dicho, no puede haber familia sólo por disposición de la naturaleza, sino por necesidad social, colectiva, y por lo tanto cultural, jurídica. Así, es el grupo social y sus convicciones lo que determina lo que es familia o no es familia, y allí está también el concepto de la familia por afinidad. Pero lo concreto es que esta sociedad ha quedado en considerar como familia por afinidad a aquella que se produce por el matrimonio. </w:t>
      </w:r>
    </w:p>
    <w:p w14:paraId="2BBC97A0" w14:textId="77777777" w:rsidR="0082775B" w:rsidRPr="000D3432" w:rsidRDefault="0082775B" w:rsidP="00A95498">
      <w:pPr>
        <w:pStyle w:val="Textodecuerpo"/>
        <w:spacing w:line="240" w:lineRule="auto"/>
        <w:rPr>
          <w:rFonts w:asciiTheme="minorHAnsi" w:hAnsiTheme="minorHAnsi"/>
          <w:color w:val="000000"/>
          <w:sz w:val="24"/>
          <w:szCs w:val="24"/>
        </w:rPr>
      </w:pPr>
    </w:p>
    <w:p w14:paraId="7D11A944"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Pero si el matrimonio, sea el caso, se resuelve, se disuelve, ¿debe quedar perenne la familia por afinidad? No lo creemos, por eso postulamos la idea de anular, extinguir la familia colateral, cuando ha dejado de existir aquello que le da sustento, vigencia y validez: el matrimonio.</w:t>
      </w:r>
    </w:p>
    <w:p w14:paraId="2997953C" w14:textId="77777777" w:rsidR="0082775B" w:rsidRPr="000D3432" w:rsidRDefault="0082775B" w:rsidP="00A95498">
      <w:pPr>
        <w:jc w:val="both"/>
        <w:rPr>
          <w:rFonts w:asciiTheme="minorHAnsi" w:hAnsiTheme="minorHAnsi"/>
          <w:szCs w:val="24"/>
        </w:rPr>
      </w:pPr>
    </w:p>
    <w:p w14:paraId="3744D845" w14:textId="77777777" w:rsidR="0082775B" w:rsidRPr="000D3432" w:rsidRDefault="0082775B" w:rsidP="00A95498">
      <w:pPr>
        <w:pStyle w:val="Ttulo2"/>
        <w:spacing w:line="240" w:lineRule="auto"/>
        <w:rPr>
          <w:rFonts w:asciiTheme="minorHAnsi" w:hAnsiTheme="minorHAnsi"/>
          <w:sz w:val="24"/>
          <w:szCs w:val="24"/>
        </w:rPr>
      </w:pPr>
      <w:bookmarkStart w:id="158" w:name="_Toc318102967"/>
      <w:r w:rsidRPr="000D3432">
        <w:rPr>
          <w:rFonts w:asciiTheme="minorHAnsi" w:hAnsiTheme="minorHAnsi"/>
          <w:sz w:val="24"/>
          <w:szCs w:val="24"/>
        </w:rPr>
        <w:t>PROPUESTA.-</w:t>
      </w:r>
      <w:bookmarkEnd w:id="158"/>
      <w:r w:rsidRPr="000D3432">
        <w:rPr>
          <w:rFonts w:asciiTheme="minorHAnsi" w:hAnsiTheme="minorHAnsi"/>
          <w:sz w:val="24"/>
          <w:szCs w:val="24"/>
        </w:rPr>
        <w:t xml:space="preserve"> </w:t>
      </w:r>
    </w:p>
    <w:p w14:paraId="67298EC1" w14:textId="77777777" w:rsidR="0082775B" w:rsidRPr="000D3432" w:rsidRDefault="0082775B" w:rsidP="00A95498">
      <w:pPr>
        <w:jc w:val="both"/>
        <w:rPr>
          <w:rFonts w:asciiTheme="minorHAnsi" w:hAnsiTheme="minorHAnsi"/>
          <w:szCs w:val="24"/>
        </w:rPr>
      </w:pPr>
    </w:p>
    <w:p w14:paraId="40566B17"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Artículo 237.- Parentesco por afinidad</w:t>
      </w:r>
    </w:p>
    <w:p w14:paraId="4E571730"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El matrimonio produce parentesco de afinidad entre cada uno de los cónyuges con los parientes consanguíneos del otro. Cada cónyuge se halla en igual línea y grado de parentesco por afinidad que el otro por consanguinidad.</w:t>
      </w:r>
    </w:p>
    <w:p w14:paraId="7E21715D" w14:textId="77777777" w:rsidR="0082775B" w:rsidRPr="000D3432" w:rsidRDefault="0082775B" w:rsidP="00A95498">
      <w:pPr>
        <w:jc w:val="both"/>
        <w:rPr>
          <w:rFonts w:asciiTheme="minorHAnsi" w:hAnsiTheme="minorHAnsi"/>
          <w:szCs w:val="24"/>
        </w:rPr>
      </w:pPr>
    </w:p>
    <w:p w14:paraId="6406F05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La afinidad en línea recta acaba por la disolución del matrimonio que la produce. No subsiste la afinidad en el segundo grado de la línea colateral en caso de divorcio y mientras viva el ex-cónyuge.</w:t>
      </w:r>
    </w:p>
    <w:p w14:paraId="793E7D96" w14:textId="77777777" w:rsidR="0082775B" w:rsidRPr="000D3432" w:rsidRDefault="0082775B" w:rsidP="00A95498">
      <w:pPr>
        <w:rPr>
          <w:rFonts w:asciiTheme="minorHAnsi" w:hAnsiTheme="minorHAnsi"/>
          <w:szCs w:val="24"/>
        </w:rPr>
      </w:pPr>
    </w:p>
    <w:p w14:paraId="6D64D0BC" w14:textId="77777777" w:rsidR="0082775B" w:rsidRPr="000D3432" w:rsidRDefault="0082775B" w:rsidP="00A95498">
      <w:pPr>
        <w:jc w:val="both"/>
        <w:rPr>
          <w:rFonts w:asciiTheme="minorHAnsi" w:hAnsiTheme="minorHAnsi"/>
          <w:b/>
          <w:szCs w:val="24"/>
        </w:rPr>
      </w:pPr>
    </w:p>
    <w:p w14:paraId="4FA8B634"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MODIFICACION DEL ARTÍCULO 234 del Código Civil:</w:t>
      </w:r>
    </w:p>
    <w:p w14:paraId="1662D71D" w14:textId="77777777" w:rsidR="0082775B" w:rsidRPr="000D3432" w:rsidRDefault="0082775B" w:rsidP="00A95498">
      <w:pPr>
        <w:jc w:val="both"/>
        <w:rPr>
          <w:rFonts w:asciiTheme="minorHAnsi" w:hAnsiTheme="minorHAnsi"/>
          <w:szCs w:val="24"/>
        </w:rPr>
      </w:pPr>
    </w:p>
    <w:p w14:paraId="68E32E6D" w14:textId="77777777" w:rsidR="0082775B" w:rsidRPr="000D3432" w:rsidRDefault="0082775B" w:rsidP="00A95498">
      <w:pPr>
        <w:pStyle w:val="Ttulo2"/>
        <w:spacing w:line="240" w:lineRule="auto"/>
        <w:rPr>
          <w:rFonts w:asciiTheme="minorHAnsi" w:hAnsiTheme="minorHAnsi"/>
          <w:sz w:val="24"/>
          <w:szCs w:val="24"/>
        </w:rPr>
      </w:pPr>
      <w:bookmarkStart w:id="159" w:name="_Toc318102968"/>
      <w:r w:rsidRPr="000D3432">
        <w:rPr>
          <w:rFonts w:asciiTheme="minorHAnsi" w:hAnsiTheme="minorHAnsi"/>
          <w:sz w:val="24"/>
          <w:szCs w:val="24"/>
        </w:rPr>
        <w:t>Base Legal.-</w:t>
      </w:r>
      <w:bookmarkEnd w:id="159"/>
    </w:p>
    <w:p w14:paraId="6E7902F5" w14:textId="77777777" w:rsidR="0082775B" w:rsidRPr="000D3432" w:rsidRDefault="0082775B" w:rsidP="00A95498">
      <w:pPr>
        <w:jc w:val="both"/>
        <w:rPr>
          <w:rFonts w:asciiTheme="minorHAnsi" w:hAnsiTheme="minorHAnsi"/>
          <w:szCs w:val="24"/>
        </w:rPr>
      </w:pPr>
    </w:p>
    <w:p w14:paraId="33735868"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Artículo 234.- Noción del matrimonio</w:t>
      </w:r>
    </w:p>
    <w:p w14:paraId="6B135ABB"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El matrimonio es la unión voluntariamente concertada por un varón y una mujer legalmente aptos para ella y formalizada con sujeción a las disposiciones de este Código, a fin de hacer vida común.</w:t>
      </w:r>
    </w:p>
    <w:p w14:paraId="608CA6AD" w14:textId="77777777" w:rsidR="0082775B" w:rsidRPr="000D3432" w:rsidRDefault="0082775B" w:rsidP="00A95498">
      <w:pPr>
        <w:jc w:val="both"/>
        <w:rPr>
          <w:rFonts w:asciiTheme="minorHAnsi" w:hAnsiTheme="minorHAnsi"/>
          <w:szCs w:val="24"/>
        </w:rPr>
      </w:pPr>
    </w:p>
    <w:p w14:paraId="0EE326AC"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marido y la mujer tienen en el hogar autoridad, consideraciones, derechos, deberes y responsabilidades iguales.</w:t>
      </w:r>
    </w:p>
    <w:p w14:paraId="3B4F5692" w14:textId="77777777" w:rsidR="0082775B" w:rsidRPr="000D3432" w:rsidRDefault="0082775B" w:rsidP="00A95498">
      <w:pPr>
        <w:jc w:val="both"/>
        <w:rPr>
          <w:rFonts w:asciiTheme="minorHAnsi" w:hAnsiTheme="minorHAnsi"/>
          <w:szCs w:val="24"/>
        </w:rPr>
      </w:pPr>
    </w:p>
    <w:p w14:paraId="6DB900D1" w14:textId="77777777" w:rsidR="0082775B" w:rsidRPr="000D3432" w:rsidRDefault="0082775B" w:rsidP="00A95498">
      <w:pPr>
        <w:pStyle w:val="Ttulo2"/>
        <w:spacing w:line="240" w:lineRule="auto"/>
        <w:rPr>
          <w:rFonts w:asciiTheme="minorHAnsi" w:hAnsiTheme="minorHAnsi"/>
          <w:sz w:val="24"/>
          <w:szCs w:val="24"/>
        </w:rPr>
      </w:pPr>
      <w:bookmarkStart w:id="160" w:name="_Toc318102969"/>
      <w:r w:rsidRPr="000D3432">
        <w:rPr>
          <w:rFonts w:asciiTheme="minorHAnsi" w:hAnsiTheme="minorHAnsi"/>
          <w:sz w:val="24"/>
          <w:szCs w:val="24"/>
        </w:rPr>
        <w:t>ANÁLISIS.-</w:t>
      </w:r>
      <w:bookmarkEnd w:id="160"/>
    </w:p>
    <w:p w14:paraId="6D6153B3" w14:textId="77777777" w:rsidR="0082775B" w:rsidRPr="000D3432" w:rsidRDefault="0082775B" w:rsidP="00A95498">
      <w:pPr>
        <w:jc w:val="both"/>
        <w:rPr>
          <w:rFonts w:asciiTheme="minorHAnsi" w:hAnsiTheme="minorHAnsi"/>
          <w:szCs w:val="24"/>
        </w:rPr>
      </w:pPr>
    </w:p>
    <w:p w14:paraId="49D4EAF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Necesitamos integrar dentro del concepto de matrimonio otras figuras de la realidad, como la de las sociedades de hecho, u hogares de hecho, porque estas, aunque no cumplen las formalidades de ley, si son realmente uniones de hecho, que generan, por tal la necesidad de protección y salvaguarda de la relación. Además, ya que en lo tiempos modernos las uniones de hecho están en ampliación, por la inestabilidad que dan los matrimonios (es demasiado complicado divorciarse, costoso en dinero y en tiempo) por lo que las uniones </w:t>
      </w:r>
      <w:r w:rsidRPr="000D3432">
        <w:rPr>
          <w:rFonts w:asciiTheme="minorHAnsi" w:hAnsiTheme="minorHAnsi"/>
          <w:szCs w:val="24"/>
        </w:rPr>
        <w:lastRenderedPageBreak/>
        <w:t>de hecho son más operativas en la actualidad.</w:t>
      </w:r>
    </w:p>
    <w:p w14:paraId="08461591" w14:textId="77777777" w:rsidR="0082775B" w:rsidRPr="000D3432" w:rsidRDefault="0082775B" w:rsidP="00A95498">
      <w:pPr>
        <w:jc w:val="both"/>
        <w:rPr>
          <w:rFonts w:asciiTheme="minorHAnsi" w:hAnsiTheme="minorHAnsi"/>
          <w:szCs w:val="24"/>
        </w:rPr>
      </w:pPr>
    </w:p>
    <w:p w14:paraId="03B6126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Juan Monroy Gálvez escribe, en su libro: </w:t>
      </w:r>
      <w:r w:rsidRPr="000D3432">
        <w:rPr>
          <w:rFonts w:asciiTheme="minorHAnsi" w:hAnsiTheme="minorHAnsi"/>
          <w:i/>
          <w:szCs w:val="24"/>
        </w:rPr>
        <w:t>Para ‘mi otro corazón’</w:t>
      </w:r>
      <w:r w:rsidRPr="000D3432">
        <w:rPr>
          <w:rFonts w:asciiTheme="minorHAnsi" w:hAnsiTheme="minorHAnsi"/>
          <w:szCs w:val="24"/>
        </w:rPr>
        <w:t xml:space="preserve">,  que el concubinato es una institución imperfecta pero que funciona, a diferencia del matrimonio que es una institución perfecta pero que no funciona. </w:t>
      </w:r>
    </w:p>
    <w:p w14:paraId="7AEBB747" w14:textId="77777777" w:rsidR="0082775B" w:rsidRPr="000D3432" w:rsidRDefault="0082775B" w:rsidP="00A95498">
      <w:pPr>
        <w:jc w:val="both"/>
        <w:rPr>
          <w:rFonts w:asciiTheme="minorHAnsi" w:hAnsiTheme="minorHAnsi"/>
          <w:szCs w:val="24"/>
        </w:rPr>
      </w:pPr>
    </w:p>
    <w:p w14:paraId="3FE306CB"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La familia de hecho, es antes que la familia de Derecho. Fernando de Trazegnies afirma que la familia es tomada, en principio, como una institución anterior al Derecho. Eso significaría que primero es la familia, y después vendría el derecho a regular una situación determinada llamada familia. Trazegnies aclara que esto es un error, porque la familia no es una institución ya dada, o mejor, que el concepto de familia social que todos tenemos y comprendemos por sentido común, no es el que necesariamente cristaliza el Derecho. No siempre la familia es anterior al Derecho. Sino que muchas veces es el Derecho de Familia o la Familia jurídica la que se antepone a una realidad existente. La familia es también creada por el Derecho.  Por eso, el Derecho no se “limita a comprobar la existencia de la familia”. Y tampoco puede ser que “las normas jurídicas no serían otra cosa que la transposición imperativa de una realidad natural, espontánea y universal.”.</w:t>
      </w:r>
    </w:p>
    <w:p w14:paraId="03887816" w14:textId="77777777" w:rsidR="0082775B" w:rsidRPr="000D3432" w:rsidRDefault="0082775B" w:rsidP="00A95498">
      <w:pPr>
        <w:pStyle w:val="Textodecuerpo"/>
        <w:spacing w:line="240" w:lineRule="auto"/>
        <w:rPr>
          <w:rFonts w:asciiTheme="minorHAnsi" w:hAnsiTheme="minorHAnsi"/>
          <w:color w:val="000000"/>
          <w:sz w:val="24"/>
          <w:szCs w:val="24"/>
        </w:rPr>
      </w:pPr>
    </w:p>
    <w:p w14:paraId="25738B68" w14:textId="77777777" w:rsidR="0082775B" w:rsidRPr="000D3432" w:rsidRDefault="0082775B" w:rsidP="00A95498">
      <w:pPr>
        <w:pStyle w:val="Textodecuerpo"/>
        <w:spacing w:line="240" w:lineRule="auto"/>
        <w:rPr>
          <w:rFonts w:asciiTheme="minorHAnsi" w:hAnsiTheme="minorHAnsi"/>
          <w:color w:val="000000"/>
          <w:sz w:val="24"/>
          <w:szCs w:val="24"/>
        </w:rPr>
      </w:pPr>
      <w:r w:rsidRPr="000D3432">
        <w:rPr>
          <w:rFonts w:asciiTheme="minorHAnsi" w:hAnsiTheme="minorHAnsi"/>
          <w:color w:val="000000"/>
          <w:sz w:val="24"/>
          <w:szCs w:val="24"/>
        </w:rPr>
        <w:t>Desde la perspectiva de la Sociología lo único que se haría sería comprobar la realidad social llamada familia, y listo, el Derecho se apegaría a ese dato y ya. Y así  “...el papel del Derecho no sería nada más que facilitar mediante reglas imperativas que esa convicción social se afirme.” Por eso la familia de hecho, que ya está reconocida, debería incluirse ya dentro del artículo 234, que define al matrimonio en una parte final.</w:t>
      </w:r>
    </w:p>
    <w:p w14:paraId="5CB7DD16" w14:textId="77777777" w:rsidR="0082775B" w:rsidRPr="000D3432" w:rsidRDefault="0082775B" w:rsidP="00A95498">
      <w:pPr>
        <w:jc w:val="both"/>
        <w:rPr>
          <w:rFonts w:asciiTheme="minorHAnsi" w:hAnsiTheme="minorHAnsi"/>
          <w:szCs w:val="24"/>
        </w:rPr>
      </w:pPr>
    </w:p>
    <w:p w14:paraId="14A979B3"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PROPUESTA:</w:t>
      </w:r>
    </w:p>
    <w:p w14:paraId="44AE804C" w14:textId="77777777" w:rsidR="0082775B" w:rsidRPr="000D3432" w:rsidRDefault="0082775B" w:rsidP="00A95498">
      <w:pPr>
        <w:jc w:val="both"/>
        <w:rPr>
          <w:rFonts w:asciiTheme="minorHAnsi" w:hAnsiTheme="minorHAnsi"/>
          <w:szCs w:val="24"/>
        </w:rPr>
      </w:pPr>
    </w:p>
    <w:p w14:paraId="757CCD4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Artículo 234.- Noción del matrimonio</w:t>
      </w:r>
    </w:p>
    <w:p w14:paraId="4FDB3B29"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El matrimonio es la unión voluntariamente concertada por un varón y una mujer legalmente aptos para ella y formalizada con sujeción a las disposiciones de este Código, a fin de hacer vida común.</w:t>
      </w:r>
    </w:p>
    <w:p w14:paraId="28797A2C" w14:textId="77777777" w:rsidR="0082775B" w:rsidRPr="000D3432" w:rsidRDefault="0082775B" w:rsidP="00A95498">
      <w:pPr>
        <w:jc w:val="both"/>
        <w:rPr>
          <w:rFonts w:asciiTheme="minorHAnsi" w:hAnsiTheme="minorHAnsi"/>
          <w:szCs w:val="24"/>
        </w:rPr>
      </w:pPr>
    </w:p>
    <w:p w14:paraId="5750C18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 unión voluntariamente realizada ya mantenida por un varón y una mujer, libres de impedimento matrimonial, para alcanzar finalidades y cumplir deberes semejantes a los del matrimonio, </w:t>
      </w:r>
      <w:r w:rsidRPr="000D3432">
        <w:rPr>
          <w:rFonts w:asciiTheme="minorHAnsi" w:hAnsiTheme="minorHAnsi"/>
          <w:i/>
          <w:szCs w:val="24"/>
        </w:rPr>
        <w:t>forma un hogar de hecho que produce los efectos que establece el ordenamiento jurídico.</w:t>
      </w:r>
      <w:r w:rsidRPr="000D3432">
        <w:rPr>
          <w:rFonts w:asciiTheme="minorHAnsi" w:hAnsiTheme="minorHAnsi"/>
          <w:szCs w:val="24"/>
        </w:rPr>
        <w:t>”</w:t>
      </w:r>
    </w:p>
    <w:p w14:paraId="501C2B55" w14:textId="77777777" w:rsidR="0082775B" w:rsidRPr="000D3432" w:rsidRDefault="0082775B" w:rsidP="00A95498">
      <w:pPr>
        <w:jc w:val="both"/>
        <w:rPr>
          <w:rFonts w:asciiTheme="minorHAnsi" w:hAnsiTheme="minorHAnsi"/>
          <w:szCs w:val="24"/>
        </w:rPr>
      </w:pPr>
    </w:p>
    <w:p w14:paraId="63B741EE"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El marido y la mujer tienen en el hogar autoridad, consideraciones, derechos, deberes y responsabilidades iguales.</w:t>
      </w:r>
    </w:p>
    <w:p w14:paraId="08693070" w14:textId="77777777" w:rsidR="0082775B" w:rsidRPr="000D3432" w:rsidRDefault="0082775B" w:rsidP="00A95498">
      <w:pPr>
        <w:rPr>
          <w:rFonts w:asciiTheme="minorHAnsi" w:hAnsiTheme="minorHAnsi"/>
          <w:szCs w:val="24"/>
        </w:rPr>
      </w:pPr>
    </w:p>
    <w:p w14:paraId="6AF8193E" w14:textId="77777777" w:rsidR="0082775B" w:rsidRPr="000D3432" w:rsidRDefault="0082775B" w:rsidP="005F7CFC">
      <w:pPr>
        <w:pStyle w:val="Sangradetdecuerpo"/>
        <w:ind w:left="0"/>
        <w:rPr>
          <w:rFonts w:asciiTheme="minorHAnsi" w:hAnsiTheme="minorHAnsi"/>
          <w:b w:val="0"/>
          <w:sz w:val="24"/>
          <w:szCs w:val="24"/>
        </w:rPr>
      </w:pPr>
      <w:r w:rsidRPr="000D3432">
        <w:rPr>
          <w:rFonts w:asciiTheme="minorHAnsi" w:hAnsiTheme="minorHAnsi"/>
          <w:b w:val="0"/>
          <w:sz w:val="24"/>
          <w:szCs w:val="24"/>
        </w:rPr>
        <w:t xml:space="preserve">Por lo demás, el contrato es un mini derecho, construido como pequeño y modesto molde, fabricado en la voluntad, en el querer </w:t>
      </w:r>
      <w:r w:rsidRPr="000D3432">
        <w:rPr>
          <w:rFonts w:asciiTheme="minorHAnsi" w:hAnsiTheme="minorHAnsi"/>
          <w:b w:val="0"/>
          <w:sz w:val="24"/>
          <w:szCs w:val="24"/>
        </w:rPr>
        <w:lastRenderedPageBreak/>
        <w:t xml:space="preserve">consciente. Este contrato surte efectos de norma jurídica, es decir, es obligatorio; porque el contrato como norma jurídica es “un mandato con eficacia social de organización” (Luis Diez Picazo), ¿y no es precisamente lo que constituye al contrato como garantía? El contrato es norma jurídica por querer, o pretender, organizar “socialmente” a las partes, eficazmente. El contrato es un acuerdo de voluntades de las partes, y éstos son tomados como mandatos, es decir como obligatorios. Por eso son susceptibles de ser impuestos por la función coactiva del Estado. Creada ya una relación jurídica patrimonial, en caso de ser incumplida esta relación, el Estado tiene la facultad para usar de su fuerza coactiva. </w:t>
      </w:r>
    </w:p>
    <w:p w14:paraId="4AED5310" w14:textId="77777777" w:rsidR="0082775B" w:rsidRPr="000D3432" w:rsidRDefault="0082775B" w:rsidP="005F7CFC">
      <w:pPr>
        <w:pStyle w:val="Sangradetdecuerpo"/>
        <w:ind w:left="0"/>
        <w:rPr>
          <w:rFonts w:asciiTheme="minorHAnsi" w:hAnsiTheme="minorHAnsi"/>
          <w:b w:val="0"/>
          <w:sz w:val="24"/>
          <w:szCs w:val="24"/>
        </w:rPr>
      </w:pPr>
      <w:r w:rsidRPr="000D3432">
        <w:rPr>
          <w:rFonts w:asciiTheme="minorHAnsi" w:hAnsiTheme="minorHAnsi"/>
          <w:b w:val="0"/>
          <w:sz w:val="24"/>
          <w:szCs w:val="24"/>
        </w:rPr>
        <w:t xml:space="preserve">No obstante, cuando la voluntad es representada, o exteriorizada en un contrato, el Derecho no se encarga de hacer cumplir estas voluntades concertadas, sino de imponer sanciones en caso de no cumplir con esas voluntades concertadas. Esta afirmación parece salir de Luis Diez Picazo que explica que la norma jurídica nunca impone deberes, sino sanciones: “No existen deberes, sólo existen sanciones”. “Las normas jurídicas únicamente pueden imponer sanciones”. “Los particulares no están obligados por las normas, sino simplemente expuestos a sufrir una sanción, si se presenta la hipótesis expuesta por la norma.”. “Las normas de derecho no pueden imponer conductas, porque el comportamiento humano es algo enteramente voluntario y libre. Las normas de derecho pueden únicamente imponer sanciones”. Diez Picazo aplica aún más este razonamiento y dice que “en rigor, jurídicamente, no se debe, sino que se es responsable”. </w:t>
      </w:r>
    </w:p>
    <w:p w14:paraId="0D986A40" w14:textId="77777777" w:rsidR="0082775B" w:rsidRPr="000D3432" w:rsidRDefault="0082775B" w:rsidP="00A95498">
      <w:pPr>
        <w:pStyle w:val="Textodecuerpo"/>
        <w:spacing w:line="240" w:lineRule="auto"/>
        <w:rPr>
          <w:rFonts w:asciiTheme="minorHAnsi" w:hAnsiTheme="minorHAnsi"/>
          <w:sz w:val="24"/>
          <w:szCs w:val="24"/>
        </w:rPr>
      </w:pPr>
    </w:p>
    <w:p w14:paraId="2B30E022"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Ahora bien todo contrato tiene que ver con la voluntad, y esta supone la determinación libre y la facultad de elegir entre distintas posibilidades. “Querer -dice Ribot- es elegir para obrar”. Creemos ser la causa de nuestros actos voluntarios; nos atribuimos toda la responsabilidad en su formación y sus efectos. La voluntad aparece, pues, en aquellos fenómenos de los que somos o creemos ser nosotros mismos la causa.” – parafrasea Marco Aurelio Risolia; y agrega: La voluntad es el fenómeno más importante para el Derecho. “El Derecho es la voluntad” –diría Portalis; pero se trata de la voluntad coordinada con la voluntad de los demás. La </w:t>
      </w:r>
      <w:r w:rsidRPr="000D3432">
        <w:rPr>
          <w:rFonts w:asciiTheme="minorHAnsi" w:hAnsiTheme="minorHAnsi"/>
          <w:sz w:val="24"/>
          <w:szCs w:val="24"/>
        </w:rPr>
        <w:lastRenderedPageBreak/>
        <w:t xml:space="preserve">voluntad es un hacer o no hacer, podría decirse en términos del código. Pero a qué responde este hacer o no hacer? Un hacer o no hacer que nace de nosotros, que depende de nosotros. En donde somos nosotros la causa. La voluntad, sin embargo, como fenómeno interno, como proceso mental interno, se puede teorizar por medio de la psicología, pero jurídicamente sólo se puede apreciar mediante sus efectos. Somos la causa, pero son los efectos los que podemos tratar jurídicamente, lo que se transforma en jurídico, es decir, en algo que puede convertirse en una exigencia de tratamiento social. </w:t>
      </w:r>
    </w:p>
    <w:p w14:paraId="0D134BC0" w14:textId="77777777" w:rsidR="0082775B" w:rsidRPr="000D3432" w:rsidRDefault="0082775B" w:rsidP="00A95498">
      <w:pPr>
        <w:jc w:val="both"/>
        <w:rPr>
          <w:rFonts w:asciiTheme="minorHAnsi" w:hAnsiTheme="minorHAnsi"/>
          <w:szCs w:val="24"/>
        </w:rPr>
      </w:pPr>
    </w:p>
    <w:p w14:paraId="384DBE98"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La voluntad jurídica es difícil de reconocer objetivamente. No se sabe de ella más que de sus efectos. Son estos efectos los que la configuran, las que permiten una apreciación objetiva.  Sólo se “sabe reconocer la voluntad jurídica sobre todo por sus efectos, de los que la ley habla con detalle. Relega, pues, la determinación y la estimación del acto voluntario al dominio de la psicología; el estudio de sus conexiones con el  juicio, al de la lógica.” – escribe Risolia. Causas y Efectos separados inevitablemente. El estudio del proceso interno de la voluntad no está en el campo del Derecho. No si entendemos al Derecho como regulador de conductas, pero de las conductas como fenómeno externo. La medicina mental, sicología y psicoanálisis, son más bien las que se encargan de estudiar y tratar los fenómenos internos, complejos, de la voluntad, etc. Sin embargo, cabe recalcar que en el Derecho Penal lo más cercano al estudio de la voluntad es el dolo, que configura la intención del autor de hacer o no hacer algo. </w:t>
      </w:r>
    </w:p>
    <w:p w14:paraId="1995AFC1" w14:textId="77777777" w:rsidR="0082775B" w:rsidRPr="000D3432" w:rsidRDefault="0082775B" w:rsidP="00A95498">
      <w:pPr>
        <w:pStyle w:val="Textodecuerpo"/>
        <w:spacing w:line="240" w:lineRule="auto"/>
        <w:rPr>
          <w:rFonts w:asciiTheme="minorHAnsi" w:hAnsiTheme="minorHAnsi"/>
          <w:sz w:val="24"/>
          <w:szCs w:val="24"/>
        </w:rPr>
      </w:pPr>
    </w:p>
    <w:p w14:paraId="1E842D1F"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Pero esta intención sólo se puede probar objetivamente mediante representaciones externas de la voluntad, mediante aproximaciones, o indicios que, operacionalizadas a través del razonamiento lógico, puedan conducirnos a una conclusión posible de culpabilidad, de consecuencia de una determinada voluntad, intención, o dolo. Así, cuando se habla de dolo se cree estar hablando de la voluntad: capacidad para decidir hacer o no hacer algo. Facultad para elegir y decidir nuestras conductas. El dolo es un elemento del delito. Pero lo que se castiga en el Derecho Penal no es el dolo, sino su consecuencia. El dolo es sólo el nexo, la relación, indispensable, para determinar la culpabilidad responsable. Si el dolo se queda en la configuración mental, en un simple “yo quise o tenía la intención de hacerlo”, no surte efectos jurídicos. No es el querer, sino la obra, la exteriorización de nuestro dolo, lo organizado por el derecho. </w:t>
      </w:r>
    </w:p>
    <w:p w14:paraId="4FC3C5F8" w14:textId="77777777" w:rsidR="0082775B" w:rsidRPr="000D3432" w:rsidRDefault="0082775B" w:rsidP="00A95498">
      <w:pPr>
        <w:pStyle w:val="Textodecuerpo"/>
        <w:spacing w:line="240" w:lineRule="auto"/>
        <w:rPr>
          <w:rFonts w:asciiTheme="minorHAnsi" w:hAnsiTheme="minorHAnsi"/>
          <w:sz w:val="24"/>
          <w:szCs w:val="24"/>
        </w:rPr>
      </w:pPr>
    </w:p>
    <w:p w14:paraId="248E8E6A"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El dolo en materia civil, en el Derecho civil, es “la Voluntad maliciosa que persigue deslealmente el beneficio propio o el daño de otro al realizar cualquier acto o contrato, valiéndose de argucias y sutilezas o de la ignorancia ajena; pero sin intervención ni de la fuerza ni de amenazas, constitutivas una y otra de otros vicios jurídicos.” (Guillermo Cabanellas). Curioso inicio de la definición del dolo en el Derecho Civil: “Voluntad maliciosa…” Pero ¿puede ser malicioso buscar el beneficio propio? en estricto sensu creo que no. Lo malicioso es un convenio por el cual se pretende involucrar al otro como medida de nuestros actos, de la </w:t>
      </w:r>
      <w:r w:rsidRPr="000D3432">
        <w:rPr>
          <w:rFonts w:asciiTheme="minorHAnsi" w:hAnsiTheme="minorHAnsi"/>
          <w:sz w:val="24"/>
          <w:szCs w:val="24"/>
        </w:rPr>
        <w:lastRenderedPageBreak/>
        <w:t>permisibilidad de nuestra voluntad. Es en referencia al otro, a los otros como puede configurarse social y jurídicamente nuestra voluntad. Nuestra voluntad, entonces, ya no es hacer lo que uno quiere, sin limitación alguna, sino hacer lo que nos está permitido hacer, esto jurídicamente hablando. O mejor, puede nuestra voluntad querer, pero este querer, esa exteriorización de nuestro querer siempre ha de ser medida por la propia exterioridad, por el mundo de afuera, por los demás, por el interés social.</w:t>
      </w:r>
    </w:p>
    <w:p w14:paraId="0BFA51C0" w14:textId="77777777" w:rsidR="0082775B" w:rsidRPr="000D3432" w:rsidRDefault="0082775B" w:rsidP="00A95498">
      <w:pPr>
        <w:pStyle w:val="Textodecuerpo"/>
        <w:spacing w:line="240" w:lineRule="auto"/>
        <w:rPr>
          <w:rFonts w:asciiTheme="minorHAnsi" w:hAnsiTheme="minorHAnsi"/>
          <w:sz w:val="24"/>
          <w:szCs w:val="24"/>
        </w:rPr>
      </w:pPr>
    </w:p>
    <w:p w14:paraId="1D1EF30A"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Es el mundo de afuera, entonces, el que intenta determinar nuestra voluntad, quienes intentan decirnos qué voluntad debemos tener. Sin embargo, como escribe Luis Diez Picazo no se puede imponernos deberes (tu voluntad debe ser); porque el derecho sólo impone sanciones. El derecho es normativo justamente por eso, porque impone sanciones frente a determinadas conductas. La norma es más una consecuencia determinada, es más imputación que hecho, que supuesto de hecho. El Derecho es también consecuencia, respuesta a un fenómeno social determinado. No es un hecho, sino consecuencia, otra vez una imputación kelseniana si se quiere. El Derecho es normativo porque es indicativo de las conductas intersubjetivas. Estas conductas tienen una causa. La causa es la voluntad, si hablamos del mundo consciente; el azar o las circunstancias, si hablamos desde otra perspectiva.</w:t>
      </w:r>
    </w:p>
    <w:p w14:paraId="475E9AA1" w14:textId="77777777" w:rsidR="0082775B" w:rsidRPr="000D3432" w:rsidRDefault="0082775B" w:rsidP="00A95498">
      <w:pPr>
        <w:numPr>
          <w:ilvl w:val="12"/>
          <w:numId w:val="0"/>
        </w:numPr>
        <w:rPr>
          <w:rFonts w:asciiTheme="minorHAnsi" w:hAnsiTheme="minorHAnsi"/>
          <w:color w:val="000000"/>
          <w:szCs w:val="24"/>
          <w:lang w:val="es-MX"/>
        </w:rPr>
      </w:pPr>
    </w:p>
    <w:p w14:paraId="135EDDB8" w14:textId="77777777" w:rsidR="0082775B" w:rsidRPr="000D3432" w:rsidRDefault="0082775B" w:rsidP="00A95498">
      <w:pPr>
        <w:numPr>
          <w:ilvl w:val="12"/>
          <w:numId w:val="0"/>
        </w:numPr>
        <w:rPr>
          <w:rFonts w:asciiTheme="minorHAnsi" w:hAnsiTheme="minorHAnsi"/>
          <w:color w:val="000000"/>
          <w:szCs w:val="24"/>
          <w:lang w:val="es-MX"/>
        </w:rPr>
      </w:pPr>
    </w:p>
    <w:p w14:paraId="396C9D68" w14:textId="77777777" w:rsidR="0082775B" w:rsidRPr="000D3432" w:rsidRDefault="0082775B" w:rsidP="00A95498">
      <w:pPr>
        <w:numPr>
          <w:ilvl w:val="12"/>
          <w:numId w:val="0"/>
        </w:numPr>
        <w:rPr>
          <w:rFonts w:asciiTheme="minorHAnsi" w:hAnsiTheme="minorHAnsi"/>
          <w:color w:val="000000"/>
          <w:szCs w:val="24"/>
          <w:lang w:val="es-MX"/>
        </w:rPr>
      </w:pPr>
    </w:p>
    <w:p w14:paraId="16DF7627" w14:textId="77777777" w:rsidR="0082775B" w:rsidRPr="000D3432" w:rsidRDefault="0082775B" w:rsidP="00A95498">
      <w:pPr>
        <w:numPr>
          <w:ilvl w:val="12"/>
          <w:numId w:val="0"/>
        </w:numPr>
        <w:rPr>
          <w:rFonts w:asciiTheme="minorHAnsi" w:hAnsiTheme="minorHAnsi"/>
          <w:color w:val="000000"/>
          <w:szCs w:val="24"/>
          <w:lang w:val="es-MX"/>
        </w:rPr>
      </w:pPr>
      <w:r w:rsidRPr="000D3432">
        <w:rPr>
          <w:rFonts w:asciiTheme="minorHAnsi" w:hAnsiTheme="minorHAnsi"/>
          <w:color w:val="000000"/>
          <w:szCs w:val="24"/>
          <w:lang w:val="es-MX"/>
        </w:rPr>
        <w:br w:type="page"/>
      </w:r>
    </w:p>
    <w:p w14:paraId="15C461B4" w14:textId="77777777" w:rsidR="0082775B" w:rsidRPr="000D3432" w:rsidRDefault="0082775B" w:rsidP="00A95498">
      <w:pPr>
        <w:numPr>
          <w:ilvl w:val="12"/>
          <w:numId w:val="0"/>
        </w:numPr>
        <w:rPr>
          <w:rFonts w:asciiTheme="minorHAnsi" w:hAnsiTheme="minorHAnsi"/>
          <w:color w:val="000000"/>
          <w:szCs w:val="24"/>
          <w:lang w:val="es-MX"/>
        </w:rPr>
      </w:pPr>
    </w:p>
    <w:p w14:paraId="29E4FE53" w14:textId="77777777" w:rsidR="0082775B" w:rsidRPr="000D3432" w:rsidRDefault="0082775B" w:rsidP="00A95498">
      <w:pPr>
        <w:numPr>
          <w:ilvl w:val="12"/>
          <w:numId w:val="0"/>
        </w:numPr>
        <w:rPr>
          <w:rFonts w:asciiTheme="minorHAnsi" w:hAnsiTheme="minorHAnsi"/>
          <w:color w:val="000000"/>
          <w:szCs w:val="24"/>
          <w:lang w:val="es-MX"/>
        </w:rPr>
      </w:pPr>
    </w:p>
    <w:p w14:paraId="50FD7803" w14:textId="77777777" w:rsidR="0082775B" w:rsidRPr="000D3432" w:rsidRDefault="0082775B" w:rsidP="00A95498">
      <w:pPr>
        <w:numPr>
          <w:ilvl w:val="12"/>
          <w:numId w:val="0"/>
        </w:numPr>
        <w:rPr>
          <w:rFonts w:asciiTheme="minorHAnsi" w:hAnsiTheme="minorHAnsi"/>
          <w:color w:val="000000"/>
          <w:szCs w:val="24"/>
          <w:lang w:val="es-MX"/>
        </w:rPr>
      </w:pPr>
    </w:p>
    <w:p w14:paraId="26F1FE55" w14:textId="77777777" w:rsidR="0082775B" w:rsidRPr="000D3432" w:rsidRDefault="0082775B" w:rsidP="00A95498">
      <w:pPr>
        <w:numPr>
          <w:ilvl w:val="12"/>
          <w:numId w:val="0"/>
        </w:numPr>
        <w:rPr>
          <w:rFonts w:asciiTheme="minorHAnsi" w:hAnsiTheme="minorHAnsi"/>
          <w:color w:val="000000"/>
          <w:szCs w:val="24"/>
          <w:lang w:val="es-MX"/>
        </w:rPr>
      </w:pPr>
    </w:p>
    <w:p w14:paraId="2CB6C44B" w14:textId="77777777" w:rsidR="0082775B" w:rsidRPr="000D3432" w:rsidRDefault="0082775B" w:rsidP="00A95498">
      <w:pPr>
        <w:numPr>
          <w:ilvl w:val="12"/>
          <w:numId w:val="0"/>
        </w:numPr>
        <w:rPr>
          <w:rFonts w:asciiTheme="minorHAnsi" w:hAnsiTheme="minorHAnsi"/>
          <w:color w:val="000000"/>
          <w:szCs w:val="24"/>
          <w:lang w:val="es-MX"/>
        </w:rPr>
      </w:pPr>
    </w:p>
    <w:p w14:paraId="7A953AAC" w14:textId="77777777" w:rsidR="0082775B" w:rsidRPr="000D3432" w:rsidRDefault="0082775B" w:rsidP="00A95498">
      <w:pPr>
        <w:numPr>
          <w:ilvl w:val="12"/>
          <w:numId w:val="0"/>
        </w:numPr>
        <w:rPr>
          <w:rFonts w:asciiTheme="minorHAnsi" w:hAnsiTheme="minorHAnsi"/>
          <w:color w:val="000000"/>
          <w:szCs w:val="24"/>
          <w:lang w:val="es-MX"/>
        </w:rPr>
      </w:pPr>
    </w:p>
    <w:p w14:paraId="49F8D8FC" w14:textId="77777777" w:rsidR="0082775B" w:rsidRPr="000D3432" w:rsidRDefault="0082775B" w:rsidP="00A95498">
      <w:pPr>
        <w:numPr>
          <w:ilvl w:val="12"/>
          <w:numId w:val="0"/>
        </w:numPr>
        <w:rPr>
          <w:rFonts w:asciiTheme="minorHAnsi" w:hAnsiTheme="minorHAnsi"/>
          <w:color w:val="000000"/>
          <w:szCs w:val="24"/>
          <w:lang w:val="es-MX"/>
        </w:rPr>
      </w:pPr>
    </w:p>
    <w:p w14:paraId="6AA9292A" w14:textId="77777777" w:rsidR="0082775B" w:rsidRPr="000D3432" w:rsidRDefault="0082775B" w:rsidP="00A95498">
      <w:pPr>
        <w:numPr>
          <w:ilvl w:val="12"/>
          <w:numId w:val="0"/>
        </w:numPr>
        <w:rPr>
          <w:rFonts w:asciiTheme="minorHAnsi" w:hAnsiTheme="minorHAnsi"/>
          <w:color w:val="000000"/>
          <w:szCs w:val="24"/>
          <w:lang w:val="es-MX"/>
        </w:rPr>
      </w:pPr>
    </w:p>
    <w:p w14:paraId="769D267E" w14:textId="77777777" w:rsidR="0082775B" w:rsidRPr="000D3432" w:rsidRDefault="0082775B" w:rsidP="00A95498">
      <w:pPr>
        <w:numPr>
          <w:ilvl w:val="12"/>
          <w:numId w:val="0"/>
        </w:numPr>
        <w:rPr>
          <w:rFonts w:asciiTheme="minorHAnsi" w:hAnsiTheme="minorHAnsi"/>
          <w:color w:val="000000"/>
          <w:szCs w:val="24"/>
          <w:lang w:val="es-MX"/>
        </w:rPr>
      </w:pPr>
    </w:p>
    <w:p w14:paraId="05DAA1BE" w14:textId="77777777" w:rsidR="0082775B" w:rsidRPr="000D3432" w:rsidRDefault="0082775B" w:rsidP="00A95498">
      <w:pPr>
        <w:numPr>
          <w:ilvl w:val="12"/>
          <w:numId w:val="0"/>
        </w:numPr>
        <w:rPr>
          <w:rFonts w:asciiTheme="minorHAnsi" w:hAnsiTheme="minorHAnsi"/>
          <w:color w:val="000000"/>
          <w:szCs w:val="24"/>
          <w:lang w:val="es-MX"/>
        </w:rPr>
      </w:pPr>
    </w:p>
    <w:p w14:paraId="2F7BB424" w14:textId="77777777" w:rsidR="0082775B" w:rsidRPr="000D3432" w:rsidRDefault="0082775B" w:rsidP="00A95498">
      <w:pPr>
        <w:pStyle w:val="Ttulo1"/>
        <w:spacing w:line="240" w:lineRule="auto"/>
        <w:jc w:val="center"/>
        <w:rPr>
          <w:rFonts w:asciiTheme="minorHAnsi" w:hAnsiTheme="minorHAnsi"/>
          <w:sz w:val="24"/>
          <w:szCs w:val="24"/>
        </w:rPr>
      </w:pPr>
      <w:bookmarkStart w:id="161" w:name="_Toc318102970"/>
      <w:r w:rsidRPr="000D3432">
        <w:rPr>
          <w:rFonts w:asciiTheme="minorHAnsi" w:hAnsiTheme="minorHAnsi"/>
          <w:sz w:val="24"/>
          <w:szCs w:val="24"/>
        </w:rPr>
        <w:t>_____ LA MUERTE DE LA ESPECIALIZACIÓN DEL DERECHO _____</w:t>
      </w:r>
      <w:bookmarkEnd w:id="161"/>
    </w:p>
    <w:p w14:paraId="37BA92CF" w14:textId="77777777" w:rsidR="0082775B" w:rsidRPr="000D3432" w:rsidRDefault="0082775B" w:rsidP="00A95498">
      <w:pPr>
        <w:jc w:val="both"/>
        <w:rPr>
          <w:rFonts w:asciiTheme="minorHAnsi" w:hAnsiTheme="minorHAnsi"/>
          <w:szCs w:val="24"/>
        </w:rPr>
      </w:pPr>
    </w:p>
    <w:p w14:paraId="0B9EDEDA" w14:textId="77777777" w:rsidR="0082775B" w:rsidRPr="000D3432" w:rsidRDefault="0082775B" w:rsidP="00A95498">
      <w:pPr>
        <w:jc w:val="both"/>
        <w:rPr>
          <w:rFonts w:asciiTheme="minorHAnsi" w:hAnsiTheme="minorHAnsi"/>
          <w:szCs w:val="24"/>
        </w:rPr>
      </w:pPr>
    </w:p>
    <w:p w14:paraId="68D807E4" w14:textId="77777777" w:rsidR="0082775B" w:rsidRPr="000D3432" w:rsidRDefault="0082775B" w:rsidP="00A95498">
      <w:pPr>
        <w:jc w:val="both"/>
        <w:rPr>
          <w:rFonts w:asciiTheme="minorHAnsi" w:hAnsiTheme="minorHAnsi"/>
          <w:szCs w:val="24"/>
        </w:rPr>
      </w:pPr>
    </w:p>
    <w:p w14:paraId="42B3A698" w14:textId="77777777" w:rsidR="0082775B" w:rsidRPr="000D3432" w:rsidRDefault="0082775B" w:rsidP="00A95498">
      <w:pPr>
        <w:jc w:val="both"/>
        <w:rPr>
          <w:rFonts w:asciiTheme="minorHAnsi" w:hAnsiTheme="minorHAnsi"/>
          <w:szCs w:val="24"/>
        </w:rPr>
      </w:pPr>
    </w:p>
    <w:p w14:paraId="010AFD39"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Hoy se requiere que miremos con visión panorámica, desde muchos ángulos, hoy necesitamos ver desde perspectivas globales, integrales, MULTIDISCIPLINARIAS; porque, por fin, nos hemos dado cuenta que nada en la vida es solitario sino que todo está conformado por cuerpos, que todo está integrado, que todo es sistémico.</w:t>
      </w:r>
    </w:p>
    <w:p w14:paraId="1DA12BAE" w14:textId="77777777" w:rsidR="0082775B" w:rsidRPr="000D3432" w:rsidRDefault="0082775B" w:rsidP="00A95498">
      <w:pPr>
        <w:jc w:val="both"/>
        <w:rPr>
          <w:rFonts w:asciiTheme="minorHAnsi" w:hAnsiTheme="minorHAnsi"/>
          <w:szCs w:val="24"/>
          <w:lang w:val="es-MX"/>
        </w:rPr>
      </w:pPr>
    </w:p>
    <w:p w14:paraId="4B157FFD"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Y es que no hay nada tan contradictorio a la vida humana que pensarlo por partes, por especialidades. Por supuesto que como por ejemplo, incluso en la medicina hay especialidades, que tiene que ver con el tratamiento de una parte específica de cuerpo, pero ni siquiera la especialidad puede negar que el ser humano está constituido, como Unamuno lo diría, de “carne y hueso”, es decir de lo físico y de lo mental. Nadie puede negar que la especialidad es sólo un método de análisis pero no es todo y no es suficiente. Por eso aplaudo este tipo de eventos donde se enseña que el mundo es multidisciplinario, que la vida está compuesta de muchas dimensiones, y no sólo de una, lo que refleja incluso la multiculturalidad, entre otros aspectos.</w:t>
      </w:r>
    </w:p>
    <w:p w14:paraId="12DBE0B8" w14:textId="77777777" w:rsidR="0082775B" w:rsidRPr="000D3432" w:rsidRDefault="0082775B" w:rsidP="00A95498">
      <w:pPr>
        <w:pStyle w:val="Textodecuerpo"/>
        <w:spacing w:line="240" w:lineRule="auto"/>
        <w:rPr>
          <w:rFonts w:asciiTheme="minorHAnsi" w:hAnsiTheme="minorHAnsi"/>
          <w:sz w:val="24"/>
          <w:szCs w:val="24"/>
        </w:rPr>
      </w:pPr>
    </w:p>
    <w:p w14:paraId="1848BFDF"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Y sólo para aclarar un punto, cuando hablamos de Derecho jamás hablamos sólo de una rama: Derecho Penal, Civil, etc. No puede haber abogados reducidos a la especialidad, porque incluso para ser especialista se requiere tener nociones claras de los fundamentos esenciales de todo el Derecho. Recordemos que en la Universidad nunca nos enseñan sólo derecho civil, o derecho penal, o cualquier otro derecho, nos enseñan todos los derechos. Un hombre de derecho, en estos tiempos, es un ser multidimensional, que entiende de muchas dimensiones, un abogado de hoy debe ser un hombre culto, es decir, un hombre integral, globalizado, multidisciplinario. </w:t>
      </w:r>
    </w:p>
    <w:p w14:paraId="39F59D5D" w14:textId="77777777" w:rsidR="0082775B" w:rsidRPr="000D3432" w:rsidRDefault="0082775B" w:rsidP="00A95498">
      <w:pPr>
        <w:pStyle w:val="Textodecuerpo"/>
        <w:spacing w:line="240" w:lineRule="auto"/>
        <w:rPr>
          <w:rFonts w:asciiTheme="minorHAnsi" w:hAnsiTheme="minorHAnsi"/>
          <w:sz w:val="24"/>
          <w:szCs w:val="24"/>
        </w:rPr>
      </w:pPr>
    </w:p>
    <w:p w14:paraId="1EA2B9FA"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Por eso he de atreverme a decir algunas cuantas palabras al respecto de este conocimiento multidisciplinario, e intentaré ser breve, pues la tarea de profundizar en estos temas les toca a los señores expositores a quienes auguro desde ya muchos éxitos.</w:t>
      </w:r>
    </w:p>
    <w:p w14:paraId="63C56058" w14:textId="77777777" w:rsidR="0082775B" w:rsidRPr="000D3432" w:rsidRDefault="0082775B" w:rsidP="00A95498">
      <w:pPr>
        <w:jc w:val="both"/>
        <w:rPr>
          <w:rFonts w:asciiTheme="minorHAnsi" w:hAnsiTheme="minorHAnsi"/>
          <w:szCs w:val="24"/>
          <w:lang w:val="es-MX"/>
        </w:rPr>
      </w:pPr>
    </w:p>
    <w:p w14:paraId="260DF679" w14:textId="77777777" w:rsidR="0082775B" w:rsidRPr="000D3432" w:rsidRDefault="0082775B" w:rsidP="00A95498">
      <w:pPr>
        <w:pStyle w:val="Ttulo4"/>
        <w:rPr>
          <w:rFonts w:asciiTheme="minorHAnsi" w:hAnsiTheme="minorHAnsi"/>
          <w:b/>
          <w:color w:val="auto"/>
        </w:rPr>
      </w:pPr>
      <w:r w:rsidRPr="000D3432">
        <w:rPr>
          <w:rFonts w:asciiTheme="minorHAnsi" w:hAnsiTheme="minorHAnsi"/>
          <w:b/>
          <w:color w:val="auto"/>
        </w:rPr>
        <w:t xml:space="preserve">DERECHO CIVIL.- </w:t>
      </w:r>
    </w:p>
    <w:p w14:paraId="00B54605" w14:textId="77777777" w:rsidR="0082775B" w:rsidRPr="000D3432" w:rsidRDefault="0082775B" w:rsidP="00A95498">
      <w:pPr>
        <w:jc w:val="both"/>
        <w:rPr>
          <w:rFonts w:asciiTheme="minorHAnsi" w:hAnsiTheme="minorHAnsi"/>
          <w:szCs w:val="24"/>
          <w:lang w:val="es-MX"/>
        </w:rPr>
      </w:pPr>
    </w:p>
    <w:p w14:paraId="454BDAEC"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El Derecho Civil parece ser el de más antigua data, al menos en lo que respecta a su concretización como cuerpo normativo. Sino recordemos aquel famoso </w:t>
      </w:r>
      <w:r w:rsidRPr="000D3432">
        <w:rPr>
          <w:rFonts w:asciiTheme="minorHAnsi" w:hAnsiTheme="minorHAnsi"/>
          <w:i/>
          <w:szCs w:val="24"/>
          <w:lang w:val="es-MX"/>
        </w:rPr>
        <w:t>Corpus Iuris Civilis</w:t>
      </w:r>
      <w:r w:rsidRPr="000D3432">
        <w:rPr>
          <w:rFonts w:asciiTheme="minorHAnsi" w:hAnsiTheme="minorHAnsi"/>
          <w:szCs w:val="24"/>
          <w:lang w:val="es-MX"/>
        </w:rPr>
        <w:t xml:space="preserve"> de los Romanos, o el Código Napoleónico, o los textos alemanes, entre otros.</w:t>
      </w:r>
    </w:p>
    <w:p w14:paraId="0A1A76EA" w14:textId="77777777" w:rsidR="0082775B" w:rsidRPr="000D3432" w:rsidRDefault="0082775B" w:rsidP="00A95498">
      <w:pPr>
        <w:jc w:val="both"/>
        <w:rPr>
          <w:rFonts w:asciiTheme="minorHAnsi" w:hAnsiTheme="minorHAnsi"/>
          <w:szCs w:val="24"/>
          <w:lang w:val="es-MX"/>
        </w:rPr>
      </w:pPr>
    </w:p>
    <w:p w14:paraId="3450B285"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Del Derecho civil se ha planteado varias teorías. Trata de la vida del ser humano y de las relaciones de estos seres humanos con otros, en referencia a un eje: el patrimonio. No obstante, en la actualidad se ha dado un giro a los conceptos e interpretación del Derecho Civil de antaño, porque no sería ya el patrimonio el eje. Hoy el eje central de todo el Derecho Civil sería cada uno de nosotros, la persona. El patrimonio sería el nexo de la relación no el fundamento final del Derecho Civil. Es en esta concepción como llegamos a Luis Diez Picazo un gran filósofo y jurista del Derecho Civil, quien describe con la limpidez del maestro la fenomenología del Derecho Civil y escribe al lado de otro gran jurista, Antonio Gullón, que  el eje central del Derecho Civil es la persona, descrito esto en su libro “Sistema de Derecho Civil”. </w:t>
      </w:r>
    </w:p>
    <w:p w14:paraId="16DD650C" w14:textId="77777777" w:rsidR="0082775B" w:rsidRPr="000D3432" w:rsidRDefault="0082775B" w:rsidP="00A95498">
      <w:pPr>
        <w:jc w:val="both"/>
        <w:rPr>
          <w:rFonts w:asciiTheme="minorHAnsi" w:hAnsiTheme="minorHAnsi"/>
          <w:szCs w:val="24"/>
          <w:lang w:val="es-MX"/>
        </w:rPr>
      </w:pPr>
    </w:p>
    <w:p w14:paraId="467A30D6"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En materia nacional tenemos a un gran León Bandariarán, que analizó el Código Civil peruano desde la perspectiva del jurista, y no sólo del abogado. Y más cercano tenemos a otro gran jurista, el Dr. Fernández Sessarego, quien describiera y descubriera a la cultura jurídica latinoamericana el concepto de persona y las disociaciones al respecto, y quien no recuerda que este autor concluyó aclarando que en el derecho no existen lagunas o vacíos legales, puesto que un problema que no está tipificado, pero es pasible de ser solucionado jurídicamente no constituye un vacío o laguna jurídica. Fernández Sessarego ha tratado el tema de la persona en forma genial y hasta trascendiendo la ley; además de haber introducido el tema de la tridimensionalidad del Derecho en el Perú, que ya era, por así decirlo, una contradicción a las visiones reduccionistas de las especialidades que significarían creer en una sola dimensión.</w:t>
      </w:r>
    </w:p>
    <w:p w14:paraId="58B0536A" w14:textId="77777777" w:rsidR="0082775B" w:rsidRPr="000D3432" w:rsidRDefault="0082775B" w:rsidP="00A95498">
      <w:pPr>
        <w:pStyle w:val="Ttulo4"/>
        <w:rPr>
          <w:rFonts w:asciiTheme="minorHAnsi" w:hAnsiTheme="minorHAnsi"/>
        </w:rPr>
      </w:pPr>
    </w:p>
    <w:p w14:paraId="7F7CE2E5" w14:textId="77777777" w:rsidR="0082775B" w:rsidRPr="000D3432" w:rsidRDefault="0082775B" w:rsidP="00A95498">
      <w:pPr>
        <w:pStyle w:val="Ttulo4"/>
        <w:rPr>
          <w:rFonts w:asciiTheme="minorHAnsi" w:hAnsiTheme="minorHAnsi"/>
          <w:b/>
          <w:color w:val="auto"/>
        </w:rPr>
      </w:pPr>
      <w:r w:rsidRPr="000D3432">
        <w:rPr>
          <w:rFonts w:asciiTheme="minorHAnsi" w:hAnsiTheme="minorHAnsi"/>
          <w:b/>
          <w:color w:val="auto"/>
        </w:rPr>
        <w:t>DERECHO PENAL</w:t>
      </w:r>
    </w:p>
    <w:p w14:paraId="75195FC7" w14:textId="77777777" w:rsidR="0082775B" w:rsidRPr="000D3432" w:rsidRDefault="0082775B" w:rsidP="00A95498">
      <w:pPr>
        <w:rPr>
          <w:rFonts w:asciiTheme="minorHAnsi" w:hAnsiTheme="minorHAnsi"/>
          <w:szCs w:val="24"/>
          <w:lang w:val="es-MX"/>
        </w:rPr>
      </w:pPr>
    </w:p>
    <w:p w14:paraId="697C4768"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Del Derecho penal podemos hablar desde varias perspectivas también, como por ejemplo desde un César Beccaria, con su obra “De los Delitos y de las penas”, donde expone la teoría del Derecho Penal, Teoría general del delito, evolución histórica, humanización de los castigos. Proporcionalidad y graduación de las penas, entre otros puntos.</w:t>
      </w:r>
    </w:p>
    <w:p w14:paraId="5FCC5332" w14:textId="77777777" w:rsidR="0082775B" w:rsidRPr="000D3432" w:rsidRDefault="0082775B" w:rsidP="00A95498">
      <w:pPr>
        <w:jc w:val="both"/>
        <w:rPr>
          <w:rFonts w:asciiTheme="minorHAnsi" w:hAnsiTheme="minorHAnsi"/>
          <w:szCs w:val="24"/>
          <w:lang w:val="es-MX"/>
        </w:rPr>
      </w:pPr>
    </w:p>
    <w:p w14:paraId="3CA08D04"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César Beccaria describe el fenómeno del delito y de la pena. La pena en sí no es sólo el castigo hecho realidad, la cárcel, etc., la pena se va cumpliendo incluso antes de la ejecución de la misma, en la imaginación del delincuente, cuando piensa qué le va a pasar en la cárcel, cuando descubre mentalmente que no va a ser libre, mucho antes de ser encarcelado. Las penas son anteriores mentalmente, y por eso deben humanizarse.</w:t>
      </w:r>
    </w:p>
    <w:p w14:paraId="764EA2D9" w14:textId="77777777" w:rsidR="0082775B" w:rsidRPr="000D3432" w:rsidRDefault="0082775B" w:rsidP="00A95498">
      <w:pPr>
        <w:jc w:val="both"/>
        <w:rPr>
          <w:rFonts w:asciiTheme="minorHAnsi" w:hAnsiTheme="minorHAnsi"/>
          <w:szCs w:val="24"/>
          <w:lang w:val="es-MX"/>
        </w:rPr>
      </w:pPr>
    </w:p>
    <w:p w14:paraId="41CA5B37"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lastRenderedPageBreak/>
        <w:t xml:space="preserve">Tal vez tendríamos que irnos a otros autores que trataron el asunto penal, como un Michel Foucault, que usando a Jeremías Benthan, describió el sistema del Panoptismo, es decir, un sistema penal en donde lo central estaba en “VIGILAR Y CASTIGAR”, es decir, el Derecho Penal se reducía, según la historia, en el vigilar a quienes se comportan delictivamente, para luego castigarlos. </w:t>
      </w:r>
    </w:p>
    <w:p w14:paraId="0B1A148A" w14:textId="77777777" w:rsidR="0082775B" w:rsidRPr="000D3432" w:rsidRDefault="0082775B" w:rsidP="00A95498">
      <w:pPr>
        <w:jc w:val="both"/>
        <w:rPr>
          <w:rFonts w:asciiTheme="minorHAnsi" w:hAnsiTheme="minorHAnsi"/>
          <w:szCs w:val="24"/>
          <w:lang w:val="es-MX"/>
        </w:rPr>
      </w:pPr>
    </w:p>
    <w:p w14:paraId="0292B785"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Y dentro de esta teoría tenemos a un gran Zafaronni, que en su libro en busca de las penas pérdidas, utiliza la perspectiva de Michel Foucault y su teoría penal.</w:t>
      </w:r>
    </w:p>
    <w:p w14:paraId="5197246F" w14:textId="77777777" w:rsidR="0082775B" w:rsidRPr="000D3432" w:rsidRDefault="0082775B" w:rsidP="00A95498">
      <w:pPr>
        <w:jc w:val="both"/>
        <w:rPr>
          <w:rFonts w:asciiTheme="minorHAnsi" w:hAnsiTheme="minorHAnsi"/>
          <w:szCs w:val="24"/>
          <w:lang w:val="es-MX"/>
        </w:rPr>
      </w:pPr>
    </w:p>
    <w:p w14:paraId="2E5D9C3B"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Hoy por supuesto tenemos a un gran Hurtado Pozo, y otros jóvenes juristas que nos revelan nuevas e ingeniosas maneras de ver el Derecho penal, tanto como esa visión de darle a las personas jurídicas una interrogante, definirlas dentro de la pregunta de si pueden o no cometer delito como personas jurídicas, si son o no pasibles de sanción penal.</w:t>
      </w:r>
    </w:p>
    <w:p w14:paraId="583F4F1C" w14:textId="77777777" w:rsidR="0082775B" w:rsidRPr="000D3432" w:rsidRDefault="0082775B" w:rsidP="00A95498">
      <w:pPr>
        <w:jc w:val="both"/>
        <w:rPr>
          <w:rFonts w:asciiTheme="minorHAnsi" w:hAnsiTheme="minorHAnsi"/>
          <w:szCs w:val="24"/>
          <w:lang w:val="es-MX"/>
        </w:rPr>
      </w:pPr>
    </w:p>
    <w:p w14:paraId="0FCAD08C"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Y bueno, como no mencionar a un gran Carrara, entre otros clásicos, que usan los modernos. Así el Derecho penal también se ha hecho multidimensional porque utiliza varias dimensiones del conocimiento para lograr integrarse como disciplina jurídica.</w:t>
      </w:r>
    </w:p>
    <w:p w14:paraId="72AF497F" w14:textId="77777777" w:rsidR="0082775B" w:rsidRPr="000D3432" w:rsidRDefault="0082775B" w:rsidP="00A95498">
      <w:pPr>
        <w:jc w:val="both"/>
        <w:rPr>
          <w:rFonts w:asciiTheme="minorHAnsi" w:hAnsiTheme="minorHAnsi"/>
          <w:szCs w:val="24"/>
          <w:lang w:val="es-MX"/>
        </w:rPr>
      </w:pPr>
    </w:p>
    <w:p w14:paraId="49A387A5" w14:textId="77777777" w:rsidR="0082775B" w:rsidRPr="000D3432" w:rsidRDefault="0082775B" w:rsidP="00A95498">
      <w:pPr>
        <w:pStyle w:val="Ttulo4"/>
        <w:rPr>
          <w:rFonts w:asciiTheme="minorHAnsi" w:hAnsiTheme="minorHAnsi"/>
          <w:b/>
          <w:color w:val="auto"/>
        </w:rPr>
      </w:pPr>
      <w:r w:rsidRPr="000D3432">
        <w:rPr>
          <w:rFonts w:asciiTheme="minorHAnsi" w:hAnsiTheme="minorHAnsi"/>
          <w:b/>
          <w:color w:val="auto"/>
        </w:rPr>
        <w:t>DERECHO PROCESAL</w:t>
      </w:r>
    </w:p>
    <w:p w14:paraId="21979E2F" w14:textId="77777777" w:rsidR="0082775B" w:rsidRPr="000D3432" w:rsidRDefault="0082775B" w:rsidP="00A95498">
      <w:pPr>
        <w:jc w:val="both"/>
        <w:rPr>
          <w:rFonts w:asciiTheme="minorHAnsi" w:hAnsiTheme="minorHAnsi"/>
          <w:szCs w:val="24"/>
          <w:lang w:val="es-MX"/>
        </w:rPr>
      </w:pPr>
    </w:p>
    <w:p w14:paraId="509C315D"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Esta parte es la más absorbida por los abogados de hoy. Para el abogado promedio el Derecho es sinónimo de “Proceso”. Es la parte medular, según ellos, porque allí está la vida en acción, la ejecución de los derechos, el derecho en vivo.</w:t>
      </w:r>
    </w:p>
    <w:p w14:paraId="131E90C8" w14:textId="77777777" w:rsidR="0082775B" w:rsidRPr="000D3432" w:rsidRDefault="0082775B" w:rsidP="00A95498">
      <w:pPr>
        <w:jc w:val="both"/>
        <w:rPr>
          <w:rFonts w:asciiTheme="minorHAnsi" w:hAnsiTheme="minorHAnsi"/>
          <w:szCs w:val="24"/>
          <w:lang w:val="es-MX"/>
        </w:rPr>
      </w:pPr>
    </w:p>
    <w:p w14:paraId="16A513E3"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Allí tenemos a grandes procesalistas como Francesco Carnelutti y su libro Sistema de Derecho Procesal Civil, o a un gran James Golsdmicht, o a un Peyrano, Sata, Chiovenda, Couture, Mauro Capeletti, </w:t>
      </w:r>
    </w:p>
    <w:p w14:paraId="55F8AD07" w14:textId="77777777" w:rsidR="0082775B" w:rsidRPr="000D3432" w:rsidRDefault="0082775B" w:rsidP="00A95498">
      <w:pPr>
        <w:jc w:val="both"/>
        <w:rPr>
          <w:rFonts w:asciiTheme="minorHAnsi" w:hAnsiTheme="minorHAnsi"/>
          <w:szCs w:val="24"/>
          <w:lang w:val="es-MX"/>
        </w:rPr>
      </w:pPr>
    </w:p>
    <w:p w14:paraId="4012BCE9"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O actualmente a un gran jurista peruano, el Dr. Jorge Monroy Galvez, con su libro “Para mi otro corazón”, o “Introducción al Derecho Procesal Civil”, autor que hace del lenguaje procesal un rico panorama intelectual. O tal vez tenemos también a una novedosa e ingeniosa jurista Eugenia Ariano Deho, que describe el derecho procesal civil con la pasión de una mujer analítica y genial.</w:t>
      </w:r>
    </w:p>
    <w:p w14:paraId="29E6088B" w14:textId="77777777" w:rsidR="0082775B" w:rsidRPr="000D3432" w:rsidRDefault="0082775B" w:rsidP="00A95498">
      <w:pPr>
        <w:jc w:val="both"/>
        <w:rPr>
          <w:rFonts w:asciiTheme="minorHAnsi" w:hAnsiTheme="minorHAnsi"/>
          <w:szCs w:val="24"/>
          <w:lang w:val="es-MX"/>
        </w:rPr>
      </w:pPr>
    </w:p>
    <w:p w14:paraId="78E2846D"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Así el Derecho procesal es según Piedro Calamandrei “un método para lograr la justicia”. Es ante todo método. O dicho en otros términos, es una guerra reglamentada.</w:t>
      </w:r>
    </w:p>
    <w:p w14:paraId="24FF31D3" w14:textId="77777777" w:rsidR="0082775B" w:rsidRPr="000D3432" w:rsidRDefault="0082775B" w:rsidP="00A95498">
      <w:pPr>
        <w:jc w:val="both"/>
        <w:rPr>
          <w:rFonts w:asciiTheme="minorHAnsi" w:hAnsiTheme="minorHAnsi"/>
          <w:szCs w:val="24"/>
          <w:lang w:val="es-MX"/>
        </w:rPr>
      </w:pPr>
    </w:p>
    <w:p w14:paraId="6D27389A"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DERECHO LABORAL</w:t>
      </w:r>
    </w:p>
    <w:p w14:paraId="14B35AB1" w14:textId="77777777" w:rsidR="0082775B" w:rsidRPr="000D3432" w:rsidRDefault="0082775B" w:rsidP="00A95498">
      <w:pPr>
        <w:jc w:val="both"/>
        <w:rPr>
          <w:rFonts w:asciiTheme="minorHAnsi" w:hAnsiTheme="minorHAnsi"/>
          <w:szCs w:val="24"/>
          <w:lang w:val="es-MX"/>
        </w:rPr>
      </w:pPr>
    </w:p>
    <w:p w14:paraId="3FAAFDC2"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El Derecho laboral es también una perspectiva muy singular, concluye en dar una visión más real del ser humano, y dice: El ser humano es desigual por naturaleza. Y para decirlo en términos del derecho laboral: entre el empleador y el empleado hay siempre una desigualdad, uno de ellos es el más fuerte, el empleador. Por eso el Derecho laboral crea ficticiamente la igualdad, y equilibra </w:t>
      </w:r>
      <w:r w:rsidRPr="000D3432">
        <w:rPr>
          <w:rFonts w:asciiTheme="minorHAnsi" w:hAnsiTheme="minorHAnsi"/>
          <w:szCs w:val="24"/>
          <w:lang w:val="es-MX"/>
        </w:rPr>
        <w:lastRenderedPageBreak/>
        <w:t>las fuerzas.</w:t>
      </w:r>
    </w:p>
    <w:p w14:paraId="1DD5E3EE" w14:textId="77777777" w:rsidR="0082775B" w:rsidRPr="000D3432" w:rsidRDefault="0082775B" w:rsidP="00A95498">
      <w:pPr>
        <w:jc w:val="both"/>
        <w:rPr>
          <w:rFonts w:asciiTheme="minorHAnsi" w:hAnsiTheme="minorHAnsi"/>
          <w:szCs w:val="24"/>
          <w:lang w:val="es-MX"/>
        </w:rPr>
      </w:pPr>
    </w:p>
    <w:p w14:paraId="3195DCE1"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Para entender el Derecho laboral tenemos a un Herbert Marcuse, o en el Perú a un Jorge Toyama Miyagusuku, o a un Javier Neves Mujica, entre otros. </w:t>
      </w:r>
    </w:p>
    <w:p w14:paraId="5D477F26" w14:textId="77777777" w:rsidR="0082775B" w:rsidRPr="000D3432" w:rsidRDefault="0082775B" w:rsidP="00A95498">
      <w:pPr>
        <w:jc w:val="both"/>
        <w:rPr>
          <w:rFonts w:asciiTheme="minorHAnsi" w:hAnsiTheme="minorHAnsi"/>
          <w:szCs w:val="24"/>
          <w:lang w:val="es-MX"/>
        </w:rPr>
      </w:pPr>
    </w:p>
    <w:p w14:paraId="1AE5C5B9"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DERECHO ADMINISTRATIVO</w:t>
      </w:r>
    </w:p>
    <w:p w14:paraId="7BDF19C7" w14:textId="77777777" w:rsidR="0082775B" w:rsidRPr="000D3432" w:rsidRDefault="0082775B" w:rsidP="00A95498">
      <w:pPr>
        <w:jc w:val="both"/>
        <w:rPr>
          <w:rFonts w:asciiTheme="minorHAnsi" w:hAnsiTheme="minorHAnsi"/>
          <w:szCs w:val="24"/>
          <w:lang w:val="es-MX"/>
        </w:rPr>
      </w:pPr>
    </w:p>
    <w:p w14:paraId="38ECE3C0"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El Derecho Administrativo es tan bien un tema apasionante porque en sus entrañas se encierran los actos al parecer simples de la vida en la actividad institucional, actos a los cuales se les ha denominado: actos administrativos, aquellos que se representan como simples trámites pero que pueden decidir todo el destino de la persona.</w:t>
      </w:r>
    </w:p>
    <w:p w14:paraId="72EA0B59" w14:textId="77777777" w:rsidR="0082775B" w:rsidRPr="000D3432" w:rsidRDefault="0082775B" w:rsidP="00A95498">
      <w:pPr>
        <w:jc w:val="both"/>
        <w:rPr>
          <w:rFonts w:asciiTheme="minorHAnsi" w:hAnsiTheme="minorHAnsi"/>
          <w:szCs w:val="24"/>
          <w:lang w:val="es-MX"/>
        </w:rPr>
      </w:pPr>
    </w:p>
    <w:p w14:paraId="17C243EE"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DERECHO TRIBUTARIO</w:t>
      </w:r>
    </w:p>
    <w:p w14:paraId="12B4B8D6" w14:textId="77777777" w:rsidR="0082775B" w:rsidRPr="000D3432" w:rsidRDefault="0082775B" w:rsidP="00A95498">
      <w:pPr>
        <w:jc w:val="both"/>
        <w:rPr>
          <w:rFonts w:asciiTheme="minorHAnsi" w:hAnsiTheme="minorHAnsi"/>
          <w:szCs w:val="24"/>
          <w:lang w:val="es-MX"/>
        </w:rPr>
      </w:pPr>
    </w:p>
    <w:p w14:paraId="3A23A623"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Podemos usar el libro “Hipótesis de incidencia tributaria”, escrita por Geraldo Ataliba, gran jurista del Derecho Tributario donde nos alcanza la idea de que el Derecho tributario no es nada más que la relación regulada entre el que tributa y el Estado recaudador. Claro podemos recoger también las teorías de un gran Héctor Villegas, y de juristas peruanos como Ponce de León, tan genial a la teoría del Derecho tributario.</w:t>
      </w:r>
    </w:p>
    <w:p w14:paraId="04A94FA1" w14:textId="77777777" w:rsidR="0082775B" w:rsidRPr="000D3432" w:rsidRDefault="0082775B" w:rsidP="00A95498">
      <w:pPr>
        <w:jc w:val="both"/>
        <w:rPr>
          <w:rFonts w:asciiTheme="minorHAnsi" w:hAnsiTheme="minorHAnsi"/>
          <w:szCs w:val="24"/>
          <w:lang w:val="es-MX"/>
        </w:rPr>
      </w:pPr>
    </w:p>
    <w:p w14:paraId="6E608ED4"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DERECHO COMERCIAL</w:t>
      </w:r>
    </w:p>
    <w:p w14:paraId="095455D4" w14:textId="77777777" w:rsidR="0082775B" w:rsidRPr="000D3432" w:rsidRDefault="0082775B" w:rsidP="00A95498">
      <w:pPr>
        <w:jc w:val="both"/>
        <w:rPr>
          <w:rFonts w:asciiTheme="minorHAnsi" w:hAnsiTheme="minorHAnsi"/>
          <w:b/>
          <w:szCs w:val="24"/>
          <w:lang w:val="es-MX"/>
        </w:rPr>
      </w:pPr>
    </w:p>
    <w:p w14:paraId="036D4E68"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Tendríamos desde un Galgano, hasta en el Perú a un Ulises Montoya, y trata de cómo se regula la actividad de aquellos seres humanos que generan riqueza. Esa relación producto de la búsqueda y generación de la riqueza es la que trata el Derecho comercial como un sistema normativo.</w:t>
      </w:r>
    </w:p>
    <w:p w14:paraId="13659B97" w14:textId="77777777" w:rsidR="0082775B" w:rsidRPr="000D3432" w:rsidRDefault="0082775B" w:rsidP="00A95498">
      <w:pPr>
        <w:jc w:val="both"/>
        <w:rPr>
          <w:rFonts w:asciiTheme="minorHAnsi" w:hAnsiTheme="minorHAnsi"/>
          <w:szCs w:val="24"/>
          <w:lang w:val="es-MX"/>
        </w:rPr>
      </w:pPr>
    </w:p>
    <w:p w14:paraId="3C0E9EFC"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DERECHO AMBIENTAL</w:t>
      </w:r>
    </w:p>
    <w:p w14:paraId="17F60D0E" w14:textId="77777777" w:rsidR="0082775B" w:rsidRPr="000D3432" w:rsidRDefault="0082775B" w:rsidP="00A95498">
      <w:pPr>
        <w:jc w:val="both"/>
        <w:rPr>
          <w:rFonts w:asciiTheme="minorHAnsi" w:hAnsiTheme="minorHAnsi"/>
          <w:b/>
          <w:szCs w:val="24"/>
          <w:lang w:val="es-MX"/>
        </w:rPr>
      </w:pPr>
    </w:p>
    <w:p w14:paraId="555F8DF4"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El tema ambiental es trascendental, como el mismo hecho de respirar aire puro. El ambiente en el que vivimos es el que permite también que vivamos. Y eso no lo tenemos en cuenta. Todos los ecologistas no están nada más que diciéndonos, aprendamos a no hacernos el harakiri, no matemos la salud ambiental porque nos estaremos matando a nosotros.</w:t>
      </w:r>
    </w:p>
    <w:p w14:paraId="4DD5A880" w14:textId="77777777" w:rsidR="0082775B" w:rsidRPr="000D3432" w:rsidRDefault="0082775B" w:rsidP="00A95498">
      <w:pPr>
        <w:jc w:val="both"/>
        <w:rPr>
          <w:rFonts w:asciiTheme="minorHAnsi" w:hAnsiTheme="minorHAnsi"/>
          <w:szCs w:val="24"/>
          <w:lang w:val="es-MX"/>
        </w:rPr>
      </w:pPr>
    </w:p>
    <w:p w14:paraId="18AE0EB1"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Por último, puedo decir que realmente son muchos los temas y aunque quisiera hablar de muchos de ellos, esa tarea ya está encomendada a importantes expositores a quienes les revelo mi admiración y aprecio.</w:t>
      </w:r>
    </w:p>
    <w:p w14:paraId="68766E1F" w14:textId="77777777" w:rsidR="0082775B" w:rsidRPr="000D3432" w:rsidRDefault="0082775B" w:rsidP="00A95498">
      <w:pPr>
        <w:jc w:val="both"/>
        <w:rPr>
          <w:rFonts w:asciiTheme="minorHAnsi" w:hAnsiTheme="minorHAnsi"/>
          <w:szCs w:val="24"/>
          <w:lang w:val="es-MX"/>
        </w:rPr>
      </w:pPr>
    </w:p>
    <w:p w14:paraId="226B8297"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Y como dijera Rudolf Von Ihering, el Derecho es lucha,  pero la lucha  no es física, sino mental, se trata de hacer un mundo mejor a través del intelecto y las buenas razones, a través del método, a través del Derecho, a través de la razón y no de la violencia.</w:t>
      </w:r>
    </w:p>
    <w:p w14:paraId="117DA0D7" w14:textId="77777777" w:rsidR="0082775B" w:rsidRPr="000D3432" w:rsidRDefault="0082775B" w:rsidP="00A95498">
      <w:pPr>
        <w:numPr>
          <w:ilvl w:val="12"/>
          <w:numId w:val="0"/>
        </w:numPr>
        <w:rPr>
          <w:rFonts w:asciiTheme="minorHAnsi" w:hAnsiTheme="minorHAnsi"/>
          <w:color w:val="000000"/>
          <w:szCs w:val="24"/>
          <w:lang w:val="es-MX"/>
        </w:rPr>
      </w:pPr>
      <w:r w:rsidRPr="000D3432">
        <w:rPr>
          <w:rFonts w:asciiTheme="minorHAnsi" w:hAnsiTheme="minorHAnsi"/>
          <w:color w:val="000000"/>
          <w:szCs w:val="24"/>
          <w:lang w:val="es-MX"/>
        </w:rPr>
        <w:br w:type="page"/>
      </w:r>
    </w:p>
    <w:p w14:paraId="1B90249C" w14:textId="77777777" w:rsidR="0082775B" w:rsidRPr="000D3432" w:rsidRDefault="0082775B" w:rsidP="00A95498">
      <w:pPr>
        <w:numPr>
          <w:ilvl w:val="12"/>
          <w:numId w:val="0"/>
        </w:numPr>
        <w:rPr>
          <w:rFonts w:asciiTheme="minorHAnsi" w:hAnsiTheme="minorHAnsi"/>
          <w:color w:val="000000"/>
          <w:szCs w:val="24"/>
          <w:lang w:val="es-MX"/>
        </w:rPr>
      </w:pPr>
    </w:p>
    <w:p w14:paraId="03D9399C" w14:textId="77777777" w:rsidR="0082775B" w:rsidRPr="000D3432" w:rsidRDefault="0082775B" w:rsidP="00A95498">
      <w:pPr>
        <w:numPr>
          <w:ilvl w:val="12"/>
          <w:numId w:val="0"/>
        </w:numPr>
        <w:rPr>
          <w:rFonts w:asciiTheme="minorHAnsi" w:hAnsiTheme="minorHAnsi"/>
          <w:color w:val="000000"/>
          <w:szCs w:val="24"/>
          <w:lang w:val="es-MX"/>
        </w:rPr>
      </w:pPr>
    </w:p>
    <w:p w14:paraId="3F83CD58" w14:textId="77777777" w:rsidR="0082775B" w:rsidRPr="000D3432" w:rsidRDefault="0082775B" w:rsidP="00A95498">
      <w:pPr>
        <w:ind w:left="360"/>
        <w:jc w:val="center"/>
        <w:rPr>
          <w:rFonts w:asciiTheme="minorHAnsi" w:hAnsiTheme="minorHAnsi"/>
          <w:b/>
          <w:szCs w:val="24"/>
          <w:lang w:val="es-MX"/>
        </w:rPr>
      </w:pPr>
      <w:r w:rsidRPr="000D3432">
        <w:rPr>
          <w:rFonts w:asciiTheme="minorHAnsi" w:hAnsiTheme="minorHAnsi"/>
          <w:b/>
          <w:szCs w:val="24"/>
          <w:lang w:val="es-MX"/>
        </w:rPr>
        <w:t xml:space="preserve">ANÁLISIS DEL DERECHO A LA LIBERTAD DE EXPRESIÓN </w:t>
      </w:r>
    </w:p>
    <w:p w14:paraId="3E69813C" w14:textId="77777777" w:rsidR="0082775B" w:rsidRPr="000D3432" w:rsidRDefault="0082775B" w:rsidP="00A95498">
      <w:pPr>
        <w:ind w:left="360"/>
        <w:jc w:val="center"/>
        <w:rPr>
          <w:rFonts w:asciiTheme="minorHAnsi" w:hAnsiTheme="minorHAnsi"/>
          <w:b/>
          <w:szCs w:val="24"/>
          <w:lang w:val="es-MX"/>
        </w:rPr>
      </w:pPr>
      <w:r w:rsidRPr="000D3432">
        <w:rPr>
          <w:rFonts w:asciiTheme="minorHAnsi" w:hAnsiTheme="minorHAnsi"/>
          <w:b/>
          <w:szCs w:val="24"/>
          <w:lang w:val="es-MX"/>
        </w:rPr>
        <w:t>VS. EL DERECHO A LA PRIVACIDAD</w:t>
      </w:r>
    </w:p>
    <w:p w14:paraId="708FB396" w14:textId="77777777" w:rsidR="0082775B" w:rsidRPr="000D3432" w:rsidRDefault="0082775B" w:rsidP="00A95498">
      <w:pPr>
        <w:ind w:left="360"/>
        <w:rPr>
          <w:rFonts w:asciiTheme="minorHAnsi" w:hAnsiTheme="minorHAnsi"/>
          <w:b/>
          <w:szCs w:val="24"/>
          <w:lang w:val="es-MX"/>
        </w:rPr>
      </w:pPr>
    </w:p>
    <w:p w14:paraId="53E964B2" w14:textId="77777777" w:rsidR="0082775B" w:rsidRPr="000D3432" w:rsidRDefault="0082775B" w:rsidP="00A95498">
      <w:pPr>
        <w:jc w:val="center"/>
        <w:rPr>
          <w:rFonts w:asciiTheme="minorHAnsi" w:hAnsiTheme="minorHAnsi"/>
          <w:b/>
          <w:szCs w:val="24"/>
          <w:lang w:val="es-MX"/>
        </w:rPr>
      </w:pPr>
      <w:r w:rsidRPr="000D3432">
        <w:rPr>
          <w:rFonts w:asciiTheme="minorHAnsi" w:hAnsiTheme="minorHAnsi"/>
          <w:b/>
          <w:szCs w:val="24"/>
          <w:lang w:val="es-MX"/>
        </w:rPr>
        <w:t>___________________________________________________</w:t>
      </w:r>
    </w:p>
    <w:p w14:paraId="3BC8ED63" w14:textId="77777777" w:rsidR="0082775B" w:rsidRPr="000D3432" w:rsidRDefault="0082775B" w:rsidP="00A95498">
      <w:pPr>
        <w:jc w:val="both"/>
        <w:rPr>
          <w:rFonts w:asciiTheme="minorHAnsi" w:hAnsiTheme="minorHAnsi"/>
          <w:b/>
          <w:szCs w:val="24"/>
          <w:lang w:val="es-MX"/>
        </w:rPr>
      </w:pPr>
    </w:p>
    <w:p w14:paraId="2647B7F2" w14:textId="77777777" w:rsidR="0082775B" w:rsidRPr="000D3432" w:rsidRDefault="0082775B" w:rsidP="00A95498">
      <w:pPr>
        <w:jc w:val="both"/>
        <w:rPr>
          <w:rFonts w:asciiTheme="minorHAnsi" w:hAnsiTheme="minorHAnsi"/>
          <w:b/>
          <w:szCs w:val="24"/>
          <w:lang w:val="es-MX"/>
        </w:rPr>
      </w:pPr>
    </w:p>
    <w:p w14:paraId="2868959C" w14:textId="77777777" w:rsidR="0082775B" w:rsidRPr="000D3432" w:rsidRDefault="0082775B" w:rsidP="00A95498">
      <w:pPr>
        <w:jc w:val="both"/>
        <w:rPr>
          <w:rFonts w:asciiTheme="minorHAnsi" w:hAnsiTheme="minorHAnsi"/>
          <w:b/>
          <w:szCs w:val="24"/>
          <w:lang w:val="es-MX"/>
        </w:rPr>
      </w:pPr>
      <w:r w:rsidRPr="000D3432">
        <w:rPr>
          <w:rFonts w:asciiTheme="minorHAnsi" w:hAnsiTheme="minorHAnsi"/>
          <w:b/>
          <w:szCs w:val="24"/>
          <w:lang w:val="es-MX"/>
        </w:rPr>
        <w:t>1.- INTRODUCCIÓN:</w:t>
      </w:r>
    </w:p>
    <w:p w14:paraId="4F403B37" w14:textId="77777777" w:rsidR="0082775B" w:rsidRPr="000D3432" w:rsidRDefault="0082775B" w:rsidP="00A95498">
      <w:pPr>
        <w:ind w:left="1056"/>
        <w:jc w:val="right"/>
        <w:rPr>
          <w:rFonts w:asciiTheme="minorHAnsi" w:hAnsiTheme="minorHAnsi"/>
          <w:szCs w:val="24"/>
          <w:lang w:val="es-MX"/>
        </w:rPr>
      </w:pPr>
    </w:p>
    <w:p w14:paraId="6E2C9A00" w14:textId="77777777" w:rsidR="0082775B" w:rsidRPr="000D3432" w:rsidRDefault="0082775B" w:rsidP="00A95498">
      <w:pPr>
        <w:ind w:left="425"/>
        <w:jc w:val="both"/>
        <w:rPr>
          <w:rFonts w:asciiTheme="minorHAnsi" w:hAnsiTheme="minorHAnsi"/>
          <w:szCs w:val="24"/>
          <w:lang w:val="es-MX"/>
        </w:rPr>
      </w:pPr>
      <w:r w:rsidRPr="000D3432">
        <w:rPr>
          <w:rFonts w:asciiTheme="minorHAnsi" w:hAnsiTheme="minorHAnsi"/>
          <w:szCs w:val="24"/>
          <w:lang w:val="es-MX"/>
        </w:rPr>
        <w:t>“Pongo mi vida en las manos de los demás, del parecer y opinión de los demás, de la terrible y cruel “opinión pública”; aquella que alguna vez mató a un tal Sócrates, a Jesús,  Rousseau, y también a un Sade; y todo en nombre de la Verdad, la Fe, la  Libertad y de la Moral” (Hanks Bandini).</w:t>
      </w:r>
    </w:p>
    <w:p w14:paraId="401CD6DB" w14:textId="77777777" w:rsidR="0082775B" w:rsidRPr="000D3432" w:rsidRDefault="0082775B" w:rsidP="00A95498">
      <w:pPr>
        <w:jc w:val="both"/>
        <w:rPr>
          <w:rFonts w:asciiTheme="minorHAnsi" w:hAnsiTheme="minorHAnsi"/>
          <w:szCs w:val="24"/>
          <w:lang w:val="es-MX"/>
        </w:rPr>
      </w:pPr>
    </w:p>
    <w:p w14:paraId="2D6B55EB" w14:textId="77777777" w:rsidR="0082775B" w:rsidRPr="000D3432" w:rsidRDefault="0082775B" w:rsidP="00A95498">
      <w:pPr>
        <w:ind w:left="425"/>
        <w:jc w:val="both"/>
        <w:rPr>
          <w:rFonts w:asciiTheme="minorHAnsi" w:hAnsiTheme="minorHAnsi"/>
          <w:szCs w:val="24"/>
        </w:rPr>
      </w:pPr>
      <w:r w:rsidRPr="000D3432">
        <w:rPr>
          <w:rFonts w:asciiTheme="minorHAnsi" w:hAnsiTheme="minorHAnsi"/>
          <w:szCs w:val="24"/>
        </w:rPr>
        <w:t>“El hombre libre es inmoral, porque quiere depender en todo de si mismo y no del uso establecido”. Nietzsche</w:t>
      </w:r>
    </w:p>
    <w:p w14:paraId="09CBE15B" w14:textId="77777777" w:rsidR="0082775B" w:rsidRPr="000D3432" w:rsidRDefault="0082775B" w:rsidP="00A95498">
      <w:pPr>
        <w:jc w:val="both"/>
        <w:rPr>
          <w:rFonts w:asciiTheme="minorHAnsi" w:hAnsiTheme="minorHAnsi"/>
          <w:szCs w:val="24"/>
          <w:lang w:val="es-MX"/>
        </w:rPr>
      </w:pPr>
    </w:p>
    <w:p w14:paraId="6D911063" w14:textId="77777777" w:rsidR="0082775B" w:rsidRPr="000D3432" w:rsidRDefault="0082775B" w:rsidP="00A95498">
      <w:pPr>
        <w:ind w:left="425"/>
        <w:jc w:val="both"/>
        <w:rPr>
          <w:rFonts w:asciiTheme="minorHAnsi" w:hAnsiTheme="minorHAnsi"/>
          <w:szCs w:val="24"/>
        </w:rPr>
      </w:pPr>
      <w:r w:rsidRPr="000D3432">
        <w:rPr>
          <w:rFonts w:asciiTheme="minorHAnsi" w:hAnsiTheme="minorHAnsi"/>
          <w:szCs w:val="24"/>
        </w:rPr>
        <w:t>“Foucault muestra que la ley no es ni un estado de paz ni el resultado de una guerra ganada: es la guerra, la estrategia de esa guerra en acto, de la misma manera que el poder no es una propiedad adquirida de la clase dominante, sino un ejercicio actual de su estrategia.” Deleuze</w:t>
      </w:r>
      <w:r w:rsidRPr="000D3432">
        <w:rPr>
          <w:rStyle w:val="Refdenotaalpie"/>
          <w:rFonts w:asciiTheme="minorHAnsi" w:hAnsiTheme="minorHAnsi"/>
          <w:sz w:val="24"/>
          <w:szCs w:val="24"/>
        </w:rPr>
        <w:footnoteReference w:id="823"/>
      </w:r>
    </w:p>
    <w:p w14:paraId="712E85DF" w14:textId="77777777" w:rsidR="0082775B" w:rsidRPr="000D3432" w:rsidRDefault="0082775B" w:rsidP="00A95498">
      <w:pPr>
        <w:jc w:val="both"/>
        <w:rPr>
          <w:rFonts w:asciiTheme="minorHAnsi" w:hAnsiTheme="minorHAnsi"/>
          <w:szCs w:val="24"/>
          <w:lang w:val="es-MX"/>
        </w:rPr>
      </w:pPr>
    </w:p>
    <w:p w14:paraId="20D2A909"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¿Porqué “lo que diga o piense la gente” nos afecta tanto, si son sólo pareceres, palabras?, porque en su compleja “constitución” el ser humano puede ser trastocado dramáticamente por los “rumores, chismes, pareceres y opiniones” de los demás. Tal es la trascendencia de este fenómeno que, sobre la base de proteger la dignidad (que no se hable a la ligera y/o ofensivamente de la persona) la Constitución ha incluido al honor y la buena reputación como derechos fundamentales, es decir, como derecho irrefutable, inviolable. Siendo el fenómeno más complejo aún por ser tratado no sólo por el Derecho Constitucional, sino resguardado por el derecho penal, con la tipificación del delito de injuria, calumnia y difamación, como consecuencias y responsabilidades de la ligereza o mal intencionalidad de las opiniones, rumores, chismes, opiniones, etc. Darle el tratamiento de un delito a este tipo de actos (“el decir de los demás”) revela la potencia o fuerza de los efectos que pueden causar en nosotros la opinión de los demás. Claro que para que estos “rumores”, “decires”, etc., de la gente se configuren como delitos tienen que cumplirse con ciertos requisitos. En la difamación es necesario el “animus injuriando”, es decir “la voluntad específica de lesionar el honor de una persona”. En la calumnia, la falsa atribución de un delito a un sujeto. En la difamación, perjudicar el honor o reputación. El fenómeno se torna más complejo aún, cuando se anteponen derechos, como el derecho a la libertad de expresión, opinión y prensa frente al derecho a la privacidad. </w:t>
      </w:r>
    </w:p>
    <w:p w14:paraId="4CAB7CD6" w14:textId="77777777" w:rsidR="0082775B" w:rsidRPr="000D3432" w:rsidRDefault="0082775B" w:rsidP="00A95498">
      <w:pPr>
        <w:jc w:val="both"/>
        <w:rPr>
          <w:rFonts w:asciiTheme="minorHAnsi" w:hAnsiTheme="minorHAnsi"/>
          <w:szCs w:val="24"/>
          <w:lang w:val="es-MX"/>
        </w:rPr>
      </w:pPr>
    </w:p>
    <w:p w14:paraId="69E0EAEB" w14:textId="77777777" w:rsidR="0082775B" w:rsidRPr="000D3432" w:rsidRDefault="0082775B" w:rsidP="00A95498">
      <w:pPr>
        <w:jc w:val="both"/>
        <w:rPr>
          <w:rFonts w:asciiTheme="minorHAnsi" w:hAnsiTheme="minorHAnsi"/>
          <w:szCs w:val="24"/>
          <w:lang w:val="es-MX"/>
        </w:rPr>
      </w:pPr>
      <w:r w:rsidRPr="000D3432">
        <w:rPr>
          <w:rFonts w:asciiTheme="minorHAnsi" w:hAnsiTheme="minorHAnsi"/>
          <w:szCs w:val="24"/>
          <w:lang w:val="es-MX"/>
        </w:rPr>
        <w:t xml:space="preserve">El presente texto es sólo un punto de reflexión constitucional de este problema, </w:t>
      </w:r>
      <w:r w:rsidRPr="000D3432">
        <w:rPr>
          <w:rFonts w:asciiTheme="minorHAnsi" w:hAnsiTheme="minorHAnsi"/>
          <w:szCs w:val="24"/>
          <w:lang w:val="es-MX"/>
        </w:rPr>
        <w:lastRenderedPageBreak/>
        <w:t xml:space="preserve">pero visto,  antojadizamente, desde la concepción del Derecho empresarial, porque como problema social y jurídico afecta la capacidad productiva y desvía el sentido de las relaciones humanas hacia un ángulo estéril e improductivo. En principio el problema de las “opiniones de los demás” está en los efectos que causan estas opiniones (que nos miren con cierto recelo, que nos traten con cierta discriminación, que se predisponga la conducta de los demás frente a nosotros, etc.). En fin, el asunto no está sólo en lo que pueden o no pensar los demás de nosotros, sino en el tipo de relación intersubjetiva que se crea. Por eso este fenómeno y/o problema se tiene que tornar jurídico, porque se requiere de regulación de las relaciones que pueden suceder como consecuencia del parecer de los demás. </w:t>
      </w:r>
    </w:p>
    <w:p w14:paraId="74A116A7" w14:textId="77777777" w:rsidR="0082775B" w:rsidRPr="000D3432" w:rsidRDefault="0082775B" w:rsidP="00A95498">
      <w:pPr>
        <w:jc w:val="both"/>
        <w:rPr>
          <w:rFonts w:asciiTheme="minorHAnsi" w:hAnsiTheme="minorHAnsi"/>
          <w:szCs w:val="24"/>
          <w:lang w:val="es-MX"/>
        </w:rPr>
      </w:pPr>
    </w:p>
    <w:p w14:paraId="62EF0A57"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rPr>
        <w:t>Por ello, vamos a tratar en si cuatro temas entrelazados: a) El Derecho a la Privacidad, b) el Derecho a la Información, c) El Derecho al libre acceso a la información pública, y d) El Derecho a la libertad de expresión, opinión y prensa. Considerando que tienen todos que ver unos con otros, puesto que se relacionan necesariamente de alguna forma, y observando en forma analítica la contradicción que existe entre ellos. En primer término desarrollaremos el derecho a la privacidad versus el derecho a la libertad de expresión. En consecuencia debemos limitar nuestra concepción sobre el derecho a la privacidad, que no es más que el derecho a “gozar de la soledad: el derecho que tiene cada persona a no ser objeto de una publicidad ilegal; el derecho de vivir sin interferencias ilegales del público en lo concerniente a asuntos en los cuales ese público no tiene un interés legítimo”</w:t>
      </w:r>
      <w:r w:rsidRPr="000D3432">
        <w:rPr>
          <w:rStyle w:val="Refdenotaalpie"/>
          <w:rFonts w:asciiTheme="minorHAnsi" w:hAnsiTheme="minorHAnsi"/>
          <w:sz w:val="24"/>
          <w:szCs w:val="24"/>
          <w:lang w:val="es-ES_tradnl"/>
        </w:rPr>
        <w:footnoteReference w:id="824"/>
      </w:r>
      <w:r w:rsidRPr="000D3432">
        <w:rPr>
          <w:rFonts w:asciiTheme="minorHAnsi" w:hAnsiTheme="minorHAnsi"/>
          <w:szCs w:val="24"/>
          <w:lang w:val="es-ES_tradnl"/>
        </w:rPr>
        <w:t>. O  “En su sentido más general el derecho a la intimidad puede ser definido como aquel derecho humano por virtud del cual la persona -bien individual, bien colectiva-, tiene el poder de excluir a las demás personas del conocimiento de su vida personal -sentimientos, emociones, datos biográficos y personales e imagen-, y tiene, además, la facultad de determinar en qué medida esas dimensiones de la vida personal pueden ser legítimamente comunicados a otros.”</w:t>
      </w:r>
      <w:r w:rsidRPr="000D3432">
        <w:rPr>
          <w:rStyle w:val="Refdenotaalpie"/>
          <w:rFonts w:asciiTheme="minorHAnsi" w:hAnsiTheme="minorHAnsi"/>
          <w:sz w:val="24"/>
          <w:szCs w:val="24"/>
          <w:lang w:val="es-ES_tradnl"/>
        </w:rPr>
        <w:footnoteReference w:id="825"/>
      </w:r>
      <w:r w:rsidRPr="000D3432">
        <w:rPr>
          <w:rFonts w:asciiTheme="minorHAnsi" w:hAnsiTheme="minorHAnsi"/>
          <w:szCs w:val="24"/>
          <w:lang w:val="es-ES_tradnl"/>
        </w:rPr>
        <w:t>. Este derecho, pues, lo tiene la persona, que según Marcial Rubio Correa: “La persona es el ser humano entre su nacimiento y su muerte, con  personalidad jurídica, es decir, con capacidad de tener deberes y derechos”</w:t>
      </w:r>
      <w:r w:rsidRPr="000D3432">
        <w:rPr>
          <w:rStyle w:val="Refdenotaalpie"/>
          <w:rFonts w:asciiTheme="minorHAnsi" w:hAnsiTheme="minorHAnsi"/>
          <w:sz w:val="24"/>
          <w:szCs w:val="24"/>
          <w:lang w:val="es-ES_tradnl"/>
        </w:rPr>
        <w:footnoteReference w:id="826"/>
      </w:r>
      <w:r w:rsidRPr="000D3432">
        <w:rPr>
          <w:rFonts w:asciiTheme="minorHAnsi" w:hAnsiTheme="minorHAnsi"/>
          <w:szCs w:val="24"/>
          <w:lang w:val="es-ES_tradnl"/>
        </w:rPr>
        <w:t xml:space="preserve">. La persona, pues, es una “entidad jurídica capaz de ser sujeto de derechos y deberes”, un “eje de imputación jurídica de deberes y derechos”  Así, se configuran los derechos de la personalidad en dos grupos: 1) Los del sector físico, como el derecho a la vida, a la integridad física, etc.; y 2) Los derechos del sector incorporal de la personalidad, como son: la individualidad, imagen, intimidad, honor, etc.  </w:t>
      </w:r>
    </w:p>
    <w:p w14:paraId="076C873F" w14:textId="77777777" w:rsidR="0082775B" w:rsidRPr="000D3432" w:rsidRDefault="0082775B" w:rsidP="00A95498">
      <w:pPr>
        <w:jc w:val="both"/>
        <w:rPr>
          <w:rFonts w:asciiTheme="minorHAnsi" w:hAnsiTheme="minorHAnsi"/>
          <w:szCs w:val="24"/>
          <w:lang w:val="es-ES_tradnl"/>
        </w:rPr>
      </w:pPr>
    </w:p>
    <w:p w14:paraId="698D34FB" w14:textId="77777777" w:rsidR="0082775B" w:rsidRPr="000D3432" w:rsidRDefault="0082775B" w:rsidP="00A95498">
      <w:pPr>
        <w:pStyle w:val="Textodecuerpo"/>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 xml:space="preserve">2.- PERSONALIDAD JURÍDICA: </w:t>
      </w:r>
    </w:p>
    <w:p w14:paraId="69366AC1" w14:textId="77777777" w:rsidR="0082775B" w:rsidRPr="000D3432" w:rsidRDefault="0082775B" w:rsidP="00A95498">
      <w:pPr>
        <w:pStyle w:val="Textodecuerpo"/>
        <w:spacing w:line="240" w:lineRule="auto"/>
        <w:ind w:left="3540"/>
        <w:rPr>
          <w:rFonts w:asciiTheme="minorHAnsi" w:hAnsiTheme="minorHAnsi"/>
          <w:sz w:val="24"/>
          <w:szCs w:val="24"/>
        </w:rPr>
      </w:pPr>
    </w:p>
    <w:p w14:paraId="67AA6BB1" w14:textId="77777777" w:rsidR="0082775B" w:rsidRPr="000D3432" w:rsidRDefault="0082775B" w:rsidP="00A95498">
      <w:pPr>
        <w:pStyle w:val="Textodecuerpo"/>
        <w:spacing w:line="240" w:lineRule="auto"/>
        <w:rPr>
          <w:rFonts w:asciiTheme="minorHAnsi" w:hAnsiTheme="minorHAnsi"/>
          <w:sz w:val="24"/>
          <w:szCs w:val="24"/>
        </w:rPr>
      </w:pPr>
      <w:r w:rsidRPr="000D3432">
        <w:rPr>
          <w:rFonts w:asciiTheme="minorHAnsi" w:hAnsiTheme="minorHAnsi"/>
          <w:sz w:val="24"/>
          <w:szCs w:val="24"/>
        </w:rPr>
        <w:t xml:space="preserve">“…la persona es el ser humano entre su nacimiento y su muerte, con </w:t>
      </w:r>
      <w:r w:rsidRPr="000D3432">
        <w:rPr>
          <w:rFonts w:asciiTheme="minorHAnsi" w:hAnsiTheme="minorHAnsi"/>
          <w:sz w:val="24"/>
          <w:szCs w:val="24"/>
        </w:rPr>
        <w:lastRenderedPageBreak/>
        <w:t>personalidad jurídica, es decir, con capacidad de tener deberes y derechos” Marcial Rubio Correa”</w:t>
      </w:r>
      <w:r w:rsidRPr="000D3432">
        <w:rPr>
          <w:rStyle w:val="Refdenotaalpie"/>
          <w:rFonts w:asciiTheme="minorHAnsi" w:hAnsiTheme="minorHAnsi"/>
          <w:sz w:val="24"/>
          <w:szCs w:val="24"/>
        </w:rPr>
        <w:footnoteReference w:id="827"/>
      </w:r>
    </w:p>
    <w:p w14:paraId="0FF24FA1" w14:textId="77777777" w:rsidR="0082775B" w:rsidRPr="000D3432" w:rsidRDefault="0082775B" w:rsidP="00A95498">
      <w:pPr>
        <w:pStyle w:val="Textodecuerpo"/>
        <w:spacing w:line="240" w:lineRule="auto"/>
        <w:rPr>
          <w:rFonts w:asciiTheme="minorHAnsi" w:hAnsiTheme="minorHAnsi"/>
          <w:sz w:val="24"/>
          <w:szCs w:val="24"/>
        </w:rPr>
      </w:pPr>
    </w:p>
    <w:p w14:paraId="5DE57D4C"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Por ese rumbo llegamos al hecho que la persona es aquella que tiene personalidad jurídica, y esta tiene dentro sus atribuciones o propiedades las del sector incorporal de la persona, como el honor, y para que exista esta última hay necesidad de que la persona tenga también “capacidad de ejercicio”. Así por medio de esta se delimita el área de su privacidad, puesto que “La capacidad de ejercicio tiene que ver con las dimensiones privadas de la persona humana.”. Lo privado prescribe la exclusividad del contorno íntimo de la persona, y su derecho a excluir de esta área a los demás. Puede decirse también que lo privado no tiene que ver con lo público, lo contradice o se muestra como una barrera a esta. Lo privado es algo que pertenece sólo a la persona, a su esfera singular, íntima exclusiva y excluyente de los demás, mediante la cual la persona “se reserva el derecho de ingreso” en su vida privada. La capacidad de ejercicio, sin embargo, requiere de una condición fundamental: el discernimiento, que es aquella facultad selectiva y ecléctica para tener libre arbitrio, “El discernimiento parece ser la capacidad humana de distinguir el bien del mal y, al mismo tiempo, de desarrollar el pensamiento abstracto. Es el momento en el que el ser humano deja su ego y su mundo propio y concreto para proyectarse más allá, a un mundo complejo, de muchas y variadas interrelaciones, que no sólo tiene presente sino también sentido de previsión y de futuro.”</w:t>
      </w:r>
      <w:r w:rsidRPr="000D3432">
        <w:rPr>
          <w:rStyle w:val="Refdenotaalpie"/>
          <w:rFonts w:asciiTheme="minorHAnsi" w:hAnsiTheme="minorHAnsi"/>
          <w:sz w:val="24"/>
          <w:szCs w:val="24"/>
          <w:lang w:val="es-ES_tradnl"/>
        </w:rPr>
        <w:footnoteReference w:id="828"/>
      </w:r>
      <w:r w:rsidRPr="000D3432">
        <w:rPr>
          <w:rFonts w:asciiTheme="minorHAnsi" w:hAnsiTheme="minorHAnsi"/>
          <w:sz w:val="24"/>
          <w:szCs w:val="24"/>
          <w:lang w:val="es-ES_tradnl"/>
        </w:rPr>
        <w:t xml:space="preserve">. Expuesto así, queda el asunto de determinar cómo y en qué momento aparece el Discernimiento. Según criterios biológicos, y temporales, se estima que éste aparece a los diez años de edad, en el que el individuo logra una formación conceptual suficiente y necesaria para poder diferenciar, seleccionar, decidir, prever el futuro, determinar las consecuencias, etc. </w:t>
      </w:r>
    </w:p>
    <w:p w14:paraId="4804B416" w14:textId="77777777" w:rsidR="0082775B" w:rsidRPr="000D3432" w:rsidRDefault="0082775B" w:rsidP="00A95498">
      <w:pPr>
        <w:pStyle w:val="Textodecuerpo"/>
        <w:spacing w:line="240" w:lineRule="auto"/>
        <w:rPr>
          <w:rFonts w:asciiTheme="minorHAnsi" w:hAnsiTheme="minorHAnsi"/>
          <w:sz w:val="24"/>
          <w:szCs w:val="24"/>
          <w:lang w:val="es-ES_tradnl"/>
        </w:rPr>
      </w:pPr>
    </w:p>
    <w:p w14:paraId="777D83E9"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En este entendido, Rubio escribe al respecto  “…consideramos que confluyen la psicología moderna y las normas legislativas peruanas en considerar que el discernimiento puede aparecer aproximadamente a los diez años, y que ya estaría en pleno proceso de formación y consolidación hacia los 14 años …” cada ser humano alcanza el discernimiento en distinto momento de su desarrollo…”</w:t>
      </w:r>
      <w:r w:rsidRPr="000D3432">
        <w:rPr>
          <w:rStyle w:val="Refdenotaalpie"/>
          <w:rFonts w:asciiTheme="minorHAnsi" w:hAnsiTheme="minorHAnsi"/>
          <w:sz w:val="24"/>
          <w:szCs w:val="24"/>
          <w:lang w:val="es-ES_tradnl"/>
        </w:rPr>
        <w:footnoteReference w:id="829"/>
      </w:r>
      <w:r w:rsidRPr="000D3432">
        <w:rPr>
          <w:rFonts w:asciiTheme="minorHAnsi" w:hAnsiTheme="minorHAnsi"/>
          <w:sz w:val="24"/>
          <w:szCs w:val="24"/>
          <w:lang w:val="es-ES_tradnl"/>
        </w:rPr>
        <w:t xml:space="preserve">. Pero esta concepción sólo puede plantearse como hipótesis general y no única, porque el proceso para la formación de un intelecto –conjunto de conocimientos que nos permiten a su vez conocer y reconocer los datos, a través del cual procesamos la información recibida y “valoramos” su uso, disponibilidad o desechamos los mismos. Por eso pueden haber casos en los cuales el discernimiento pueda aparecer o bien después, o antes de la edad reseñada. Mas si el </w:t>
      </w:r>
      <w:r w:rsidRPr="000D3432">
        <w:rPr>
          <w:rFonts w:asciiTheme="minorHAnsi" w:hAnsiTheme="minorHAnsi"/>
          <w:sz w:val="24"/>
          <w:szCs w:val="24"/>
          <w:lang w:val="es-ES_tradnl"/>
        </w:rPr>
        <w:lastRenderedPageBreak/>
        <w:t>discernimiento es producto de un proceso cultura (de lo que nos enseñan en la sociedad), de comprensión y aprehensión de los saberes dominantes que se nos imponen a través de la familia, la escuela, la religión, etc. Y debemos saber además que incluso “…el cociente intelectual; es no sólo una estipulación biológica, sino una ficción jurídica, científica que determina la autocomposición de  o la correspondencia del hombre con su entorno, medir en que grado el hombre se corresponde con la sociedad que la está evaluando, por eso la “mención del cociente intelectual está condicionada culturalmente”</w:t>
      </w:r>
      <w:r w:rsidRPr="000D3432">
        <w:rPr>
          <w:rStyle w:val="Refdenotaalpie"/>
          <w:rFonts w:asciiTheme="minorHAnsi" w:hAnsiTheme="minorHAnsi"/>
          <w:sz w:val="24"/>
          <w:szCs w:val="24"/>
          <w:lang w:val="es-ES_tradnl"/>
        </w:rPr>
        <w:footnoteReference w:id="830"/>
      </w:r>
      <w:r w:rsidRPr="000D3432">
        <w:rPr>
          <w:rFonts w:asciiTheme="minorHAnsi" w:hAnsiTheme="minorHAnsi"/>
          <w:sz w:val="24"/>
          <w:szCs w:val="24"/>
          <w:lang w:val="es-ES_tradnl"/>
        </w:rPr>
        <w:t>. Son bajo estas perspectivas que el discernimiento se plantea, como un proceso de socialización del ser humano. Dentro de esta área queda insertada la concepción de lo que se entiende luego por privado, por íntimo, excluyente de los ojos de los demás.</w:t>
      </w:r>
    </w:p>
    <w:p w14:paraId="253A6C45" w14:textId="77777777" w:rsidR="0082775B" w:rsidRPr="000D3432" w:rsidRDefault="0082775B" w:rsidP="00A95498">
      <w:pPr>
        <w:pStyle w:val="Textodecuerpo"/>
        <w:spacing w:line="240" w:lineRule="auto"/>
        <w:rPr>
          <w:rFonts w:asciiTheme="minorHAnsi" w:hAnsiTheme="minorHAnsi"/>
          <w:sz w:val="24"/>
          <w:szCs w:val="24"/>
          <w:lang w:val="es-ES_tradnl"/>
        </w:rPr>
      </w:pPr>
    </w:p>
    <w:p w14:paraId="4D5858D3" w14:textId="77777777" w:rsidR="0082775B" w:rsidRPr="000D3432" w:rsidRDefault="0082775B" w:rsidP="00A95498">
      <w:pPr>
        <w:pStyle w:val="Textodecuerpo"/>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 xml:space="preserve">3.- PUBLICIDAD: </w:t>
      </w:r>
    </w:p>
    <w:p w14:paraId="5154749D" w14:textId="77777777" w:rsidR="0082775B" w:rsidRPr="000D3432" w:rsidRDefault="0082775B" w:rsidP="00A95498">
      <w:pPr>
        <w:pStyle w:val="Textodecuerpo"/>
        <w:spacing w:line="240" w:lineRule="auto"/>
        <w:rPr>
          <w:rFonts w:asciiTheme="minorHAnsi" w:hAnsiTheme="minorHAnsi"/>
          <w:sz w:val="24"/>
          <w:szCs w:val="24"/>
          <w:lang w:val="es-ES_tradnl"/>
        </w:rPr>
      </w:pPr>
    </w:p>
    <w:p w14:paraId="300A7C55" w14:textId="77777777" w:rsidR="0082775B" w:rsidRPr="000D3432" w:rsidRDefault="0082775B" w:rsidP="00A95498">
      <w:pPr>
        <w:ind w:left="720"/>
        <w:jc w:val="both"/>
        <w:rPr>
          <w:rFonts w:asciiTheme="minorHAnsi" w:hAnsiTheme="minorHAnsi"/>
          <w:szCs w:val="24"/>
        </w:rPr>
      </w:pPr>
      <w:r w:rsidRPr="000D3432">
        <w:rPr>
          <w:rFonts w:asciiTheme="minorHAnsi" w:hAnsiTheme="minorHAnsi"/>
          <w:szCs w:val="24"/>
        </w:rPr>
        <w:t>“La ley siempre es una composición de ilegalismos que ella diferencia al formalizarlos. Basta con considerar el derecho de las sociedades comerciales para ver que las leyes no se oponen globalmente a la ilegalidad, sino que unas organizan explícitamente la manera de eludir los otros. La ley es una gestión de los ilegalismos, unos que permiten, hacen posible o inventan como privilegio de la clase dominante, otros que toleran como compensación de las clases dominadas, o que incluso hacen que sirvan a la clase dominante, otros, por último, que prohíben, aíslan y toman como objeto, pero también como medio de dominación.”Deleuze</w:t>
      </w:r>
      <w:r w:rsidRPr="000D3432">
        <w:rPr>
          <w:rStyle w:val="Refdenotaalpie"/>
          <w:rFonts w:asciiTheme="minorHAnsi" w:hAnsiTheme="minorHAnsi"/>
          <w:sz w:val="24"/>
          <w:szCs w:val="24"/>
        </w:rPr>
        <w:footnoteReference w:id="831"/>
      </w:r>
    </w:p>
    <w:p w14:paraId="1D50A5CB" w14:textId="77777777" w:rsidR="0082775B" w:rsidRPr="000D3432" w:rsidRDefault="0082775B" w:rsidP="00A95498">
      <w:pPr>
        <w:pStyle w:val="Textodecuerpo"/>
        <w:spacing w:line="240" w:lineRule="auto"/>
        <w:rPr>
          <w:rFonts w:asciiTheme="minorHAnsi" w:hAnsiTheme="minorHAnsi"/>
          <w:sz w:val="24"/>
          <w:szCs w:val="24"/>
        </w:rPr>
      </w:pPr>
    </w:p>
    <w:p w14:paraId="39F51937" w14:textId="77777777" w:rsidR="0082775B" w:rsidRPr="000D3432" w:rsidRDefault="0082775B" w:rsidP="00A95498">
      <w:pPr>
        <w:pStyle w:val="Textodecuerpo"/>
        <w:spacing w:line="240" w:lineRule="auto"/>
        <w:rPr>
          <w:rFonts w:asciiTheme="minorHAnsi" w:hAnsiTheme="minorHAnsi"/>
          <w:sz w:val="24"/>
          <w:szCs w:val="24"/>
          <w:lang w:val="es-ES_tradnl"/>
        </w:rPr>
      </w:pPr>
    </w:p>
    <w:p w14:paraId="0AD51CDD"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Desde otro ángulo, hablar del Derecho a la privacidad, implica que no exista “publicidad ilegal”, es decir, que no se diga sobre nadie cosas que puedan constituirse como “publicidad ilegal”, que es “aquella no permitida expresamente por la ley”. Esta última fórmula contiene un contingente grupo de mecanismos de seguridad jurídica, como la capacidad y técnica de asegurar y garantizar el derecho a la privacidad a través de insertarlo como derecho subjetivo, es decir, como “capacidad y poder” que a partir del texto normativo (derecho a la privacidad) se activen los mecanismos de defensa, protección, restauración, penalización, etc., del derecho en referencia, y en determinado hecho o circunstancia que amerite. </w:t>
      </w:r>
    </w:p>
    <w:p w14:paraId="2CC10182" w14:textId="77777777" w:rsidR="0082775B" w:rsidRPr="000D3432" w:rsidRDefault="0082775B" w:rsidP="00A95498">
      <w:pPr>
        <w:pStyle w:val="Textodecuerpo"/>
        <w:spacing w:line="240" w:lineRule="auto"/>
        <w:rPr>
          <w:rFonts w:asciiTheme="minorHAnsi" w:hAnsiTheme="minorHAnsi"/>
          <w:sz w:val="24"/>
          <w:szCs w:val="24"/>
          <w:lang w:val="es-ES_tradnl"/>
        </w:rPr>
      </w:pPr>
    </w:p>
    <w:p w14:paraId="0363AD0D"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Si bien cuando hablamos de publicidad de los hechos, o de actos públicos, o de saberes públicos, tenemos que delimitar a qué nos estamos refiriendo. En efecto, la publicidad consiste en hacer de público conocimiento un dato, hecho, noticia, información, etc. Puesto que lo </w:t>
      </w:r>
      <w:r w:rsidRPr="000D3432">
        <w:rPr>
          <w:rFonts w:asciiTheme="minorHAnsi" w:hAnsiTheme="minorHAnsi"/>
          <w:sz w:val="24"/>
          <w:szCs w:val="24"/>
          <w:lang w:val="es-ES_tradnl"/>
        </w:rPr>
        <w:lastRenderedPageBreak/>
        <w:t xml:space="preserve">público significa “lo que es sabido por todos”, o al menos se presume que todos pueden y tienen derecho a saber. El punto está en este “saber”. El saber ¿es necesario, posible y legítimo que todos o muchos sepan? Proceso cognoscitivo. Este saber público puede ser “de general uso o aprovechamiento” (Cabanellas) Este saber, que ha caído en la esfera de todos o de muchos, puede por tal razón ser usado o aprovechado libremente. Son los efectos de este saber lo que importa (la libertad del uso y disfrute del saber público). No el saber por sí mismo. El saber usado y aprovechado, el saber que constituye una imagen o figura del individuo. No es el saber por si mismo, sino  lo que determina este saber en el hombre, o colectividad, lo que afecta su relación “normal”, con los demás. Allí está el punto clave, otra vez: los efectos de la relación con los demás, y la disposición del sujeto para consigo mismo y para con los demás; pero ¿cómo afecta este saber en el ser humano, en su conducta individual y social?, puede suceder que se utilice este saber con fines ilícitos, ilegales, por eso, para que ello no suceda debe ser regulado o normado jurídicamente, construyendo el concepto y o principio de publicidad.  </w:t>
      </w:r>
    </w:p>
    <w:p w14:paraId="21F27084" w14:textId="77777777" w:rsidR="0082775B" w:rsidRPr="000D3432" w:rsidRDefault="0082775B" w:rsidP="00A95498">
      <w:pPr>
        <w:pStyle w:val="Textodecuerpo"/>
        <w:spacing w:line="240" w:lineRule="auto"/>
        <w:rPr>
          <w:rFonts w:asciiTheme="minorHAnsi" w:hAnsiTheme="minorHAnsi"/>
          <w:sz w:val="24"/>
          <w:szCs w:val="24"/>
          <w:lang w:val="es-ES_tradnl"/>
        </w:rPr>
      </w:pPr>
    </w:p>
    <w:p w14:paraId="6CD3328B"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Así normado el fenómeno o hecho, el sentido que le da Luis Diez Picazo a la norma “como un mandato con oficia social de organización. Se trata, pues, de normar las conductas humanas que puedan atentar contra la paz social, contra la propia organización social, o las reglas de convivencia. Por eso que se traspase los límites del saber público se ha configurado como “publicidad ilegal”, que en esencia significa darle a la sociedad la posibilidad d convivencia, coexistencia, de paz, o límite al poder de intromisión del público en la esfera privada del ser humano. La publicidad ilegal es, entonces, aquella información perturbadora del equilibrio de la vida en sociedad, afectando el libre desenvolvimiento y relación de los seres humanos.</w:t>
      </w:r>
    </w:p>
    <w:p w14:paraId="7D470058" w14:textId="77777777" w:rsidR="0082775B" w:rsidRPr="000D3432" w:rsidRDefault="0082775B" w:rsidP="00A95498">
      <w:pPr>
        <w:pStyle w:val="Textodecuerpo"/>
        <w:spacing w:line="240" w:lineRule="auto"/>
        <w:rPr>
          <w:rFonts w:asciiTheme="minorHAnsi" w:hAnsiTheme="minorHAnsi"/>
          <w:sz w:val="24"/>
          <w:szCs w:val="24"/>
          <w:lang w:val="es-ES_tradnl"/>
        </w:rPr>
      </w:pPr>
    </w:p>
    <w:p w14:paraId="27E527EE" w14:textId="77777777" w:rsidR="0082775B" w:rsidRPr="000D3432" w:rsidRDefault="0082775B" w:rsidP="00A95498">
      <w:pPr>
        <w:pStyle w:val="Textodecuerpo"/>
        <w:spacing w:line="240" w:lineRule="auto"/>
        <w:rPr>
          <w:rFonts w:asciiTheme="minorHAnsi" w:hAnsiTheme="minorHAnsi"/>
          <w:b/>
          <w:sz w:val="24"/>
          <w:szCs w:val="24"/>
          <w:lang w:val="es-ES_tradnl"/>
        </w:rPr>
      </w:pPr>
      <w:r w:rsidRPr="000D3432">
        <w:rPr>
          <w:rFonts w:asciiTheme="minorHAnsi" w:hAnsiTheme="minorHAnsi"/>
          <w:b/>
          <w:sz w:val="24"/>
          <w:szCs w:val="24"/>
          <w:lang w:val="es-ES_tradnl"/>
        </w:rPr>
        <w:t xml:space="preserve">4.- INTERÉS LEGÍTIMO: </w:t>
      </w:r>
    </w:p>
    <w:p w14:paraId="1D39A7F6" w14:textId="77777777" w:rsidR="0082775B" w:rsidRPr="000D3432" w:rsidRDefault="0082775B" w:rsidP="00A95498">
      <w:pPr>
        <w:pStyle w:val="Textodecuerpo"/>
        <w:spacing w:line="240" w:lineRule="auto"/>
        <w:rPr>
          <w:rFonts w:asciiTheme="minorHAnsi" w:hAnsiTheme="minorHAnsi"/>
          <w:sz w:val="24"/>
          <w:szCs w:val="24"/>
          <w:lang w:val="es-ES_tradnl"/>
        </w:rPr>
      </w:pPr>
    </w:p>
    <w:p w14:paraId="47ED3B51" w14:textId="77777777" w:rsidR="0082775B" w:rsidRPr="000D3432" w:rsidRDefault="0082775B" w:rsidP="00A95498">
      <w:pPr>
        <w:pStyle w:val="Textodecuerpo"/>
        <w:spacing w:line="240" w:lineRule="auto"/>
        <w:rPr>
          <w:rFonts w:asciiTheme="minorHAnsi" w:hAnsiTheme="minorHAnsi"/>
          <w:sz w:val="24"/>
          <w:szCs w:val="24"/>
          <w:lang w:val="es-ES_tradnl"/>
        </w:rPr>
      </w:pPr>
    </w:p>
    <w:p w14:paraId="7309800B" w14:textId="77777777" w:rsidR="0082775B" w:rsidRPr="000D3432" w:rsidRDefault="0082775B" w:rsidP="00A95498">
      <w:pPr>
        <w:pStyle w:val="Prraffo"/>
        <w:spacing w:line="240" w:lineRule="auto"/>
        <w:ind w:left="425"/>
        <w:rPr>
          <w:rFonts w:asciiTheme="minorHAnsi" w:hAnsiTheme="minorHAnsi"/>
          <w:sz w:val="24"/>
          <w:szCs w:val="24"/>
        </w:rPr>
      </w:pPr>
      <w:r w:rsidRPr="000D3432">
        <w:rPr>
          <w:rFonts w:asciiTheme="minorHAnsi" w:hAnsiTheme="minorHAnsi"/>
          <w:sz w:val="24"/>
          <w:szCs w:val="24"/>
        </w:rPr>
        <w:t>“...El derecho visto no desde el lado de la legitimidad que se instaura, sino desde el de los procedimientos de sometimiento que pone en marcha.”</w:t>
      </w:r>
      <w:r w:rsidRPr="000D3432">
        <w:rPr>
          <w:rStyle w:val="Refdenotaalpie"/>
          <w:rFonts w:asciiTheme="minorHAnsi" w:hAnsiTheme="minorHAnsi"/>
          <w:sz w:val="24"/>
          <w:szCs w:val="24"/>
        </w:rPr>
        <w:t xml:space="preserve"> </w:t>
      </w:r>
      <w:r w:rsidRPr="000D3432">
        <w:rPr>
          <w:rFonts w:asciiTheme="minorHAnsi" w:hAnsiTheme="minorHAnsi"/>
          <w:sz w:val="24"/>
          <w:szCs w:val="24"/>
        </w:rPr>
        <w:t>Foucault</w:t>
      </w:r>
      <w:r w:rsidRPr="000D3432">
        <w:rPr>
          <w:rStyle w:val="Refdenotaalpie"/>
          <w:rFonts w:asciiTheme="minorHAnsi" w:hAnsiTheme="minorHAnsi"/>
          <w:sz w:val="24"/>
          <w:szCs w:val="24"/>
        </w:rPr>
        <w:footnoteReference w:id="832"/>
      </w:r>
    </w:p>
    <w:p w14:paraId="4E821C3B" w14:textId="77777777" w:rsidR="0082775B" w:rsidRPr="000D3432" w:rsidRDefault="0082775B" w:rsidP="00A95498">
      <w:pPr>
        <w:pStyle w:val="Textodecuerpo"/>
        <w:spacing w:line="240" w:lineRule="auto"/>
        <w:rPr>
          <w:rFonts w:asciiTheme="minorHAnsi" w:hAnsiTheme="minorHAnsi"/>
          <w:sz w:val="24"/>
          <w:szCs w:val="24"/>
        </w:rPr>
      </w:pPr>
    </w:p>
    <w:p w14:paraId="7081F58C" w14:textId="77777777" w:rsidR="0082775B" w:rsidRPr="000D3432" w:rsidRDefault="0082775B" w:rsidP="00A95498">
      <w:pPr>
        <w:pStyle w:val="Textodecuerpo"/>
        <w:spacing w:line="240" w:lineRule="auto"/>
        <w:ind w:left="425"/>
        <w:rPr>
          <w:rFonts w:asciiTheme="minorHAnsi" w:hAnsiTheme="minorHAnsi"/>
          <w:sz w:val="24"/>
          <w:szCs w:val="24"/>
          <w:lang w:val="es-ES_tradnl"/>
        </w:rPr>
      </w:pPr>
      <w:r w:rsidRPr="000D3432">
        <w:rPr>
          <w:rFonts w:asciiTheme="minorHAnsi" w:hAnsiTheme="minorHAnsi"/>
          <w:sz w:val="24"/>
          <w:szCs w:val="24"/>
          <w:lang w:val="es-ES_tradnl"/>
        </w:rPr>
        <w:t>“la legitimidad es un puro y simple estado de hecho”Bobbio</w:t>
      </w:r>
      <w:r w:rsidRPr="000D3432">
        <w:rPr>
          <w:rStyle w:val="Refdenotaalpie"/>
          <w:rFonts w:asciiTheme="minorHAnsi" w:hAnsiTheme="minorHAnsi"/>
          <w:sz w:val="24"/>
          <w:szCs w:val="24"/>
          <w:lang w:val="es-ES_tradnl"/>
        </w:rPr>
        <w:footnoteReference w:id="833"/>
      </w:r>
    </w:p>
    <w:p w14:paraId="44B5EE33" w14:textId="77777777" w:rsidR="0082775B" w:rsidRPr="000D3432" w:rsidRDefault="0082775B" w:rsidP="00A95498">
      <w:pPr>
        <w:pStyle w:val="Textodecuerpo"/>
        <w:spacing w:line="240" w:lineRule="auto"/>
        <w:rPr>
          <w:rFonts w:asciiTheme="minorHAnsi" w:hAnsiTheme="minorHAnsi"/>
          <w:sz w:val="24"/>
          <w:szCs w:val="24"/>
          <w:lang w:val="es-ES_tradnl"/>
        </w:rPr>
      </w:pPr>
    </w:p>
    <w:p w14:paraId="127FFB90"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Por otro lado, analizando el concepto del derecho a la privacidad, encontramos también otra institución o elemento, la del “interés legítimo” para introducirse en la vida de los demás. Usando a Francesco Carnelutti, sabemos que interés es una posición estratégica, un “la posición favorable para la satisfacción de una necesidad”. Con ello Carnelutti explica que el interés no es más que una postura estratégica, que tiene relación directa </w:t>
      </w:r>
      <w:r w:rsidRPr="000D3432">
        <w:rPr>
          <w:rFonts w:asciiTheme="minorHAnsi" w:hAnsiTheme="minorHAnsi"/>
          <w:sz w:val="24"/>
          <w:szCs w:val="24"/>
          <w:lang w:val="es-ES_tradnl"/>
        </w:rPr>
        <w:lastRenderedPageBreak/>
        <w:t>con nuestras necesidades; por lo tanto, el interés es un centro al cual nos dirigimos, una fuerza que motiva nuestra conducta, hacia un bien. Este bien, esta posición favorable para obtener este bien tiene que ser legítimo, es decir reconocido y aceptado socialmente. Un interés legítimo tiene pues coincidencia en una postura o posición favorable a la satisfacción de una necesidad, pero esta posición estratégica tiene que ser legítima es decir efectiva, necesaria, aceptada y reconocida. Entonces, podemos preguntarnos si ¿el Derecho a la intimidad tiene carácter excluyente?, ¿el público no tiene interés legítimo en la vida privada de la persona, en informarse de la vida privada e íntima de los individuos?  Esta vida íntima sólo puede ser conocida y divulgada en caso involucre un interés social, afecte a la colectividad, o a otro individuo. Es decir cuando entra en relación directa con el conjunto social. Cuando está dentro de esta esfera de acción recién se constituye como derecho, y éste último es una fuerza que se impone, pero para imponerse, necesita de la aceptación, lo que le da legitimidad; sin esta aceptación y reconocimiento el derecho no es tal, sino simple fuerza bruta, y no fuerza legítima y componedora de problemas socialmente aceptada y autorizada (derecho).</w:t>
      </w:r>
    </w:p>
    <w:p w14:paraId="52E27F67" w14:textId="77777777" w:rsidR="0082775B" w:rsidRPr="000D3432" w:rsidRDefault="0082775B" w:rsidP="00A95498">
      <w:pPr>
        <w:pStyle w:val="Textodecuerpo"/>
        <w:spacing w:line="240" w:lineRule="auto"/>
        <w:rPr>
          <w:rFonts w:asciiTheme="minorHAnsi" w:hAnsiTheme="minorHAnsi"/>
          <w:sz w:val="24"/>
          <w:szCs w:val="24"/>
          <w:lang w:val="es-ES_tradnl"/>
        </w:rPr>
      </w:pPr>
    </w:p>
    <w:p w14:paraId="563E862E"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Y frente al cualquier intromisión a la vida privada existe lo que se denomina “el Poder de exclusión”, que no es más que la capacidad y poder de la persona para repudiar, o refutar cualquier intromisión en su vida privada. El derecho a la privacidad tiene como elemento fundamental la “facultad y el poder de excluir” al resto de conocer y actuar en nuestro radio de acción privado. Se trata luego de “hacer algo prohibido a los demás”, y este algo prohibido es nuestra vida privada; aquella que no tiene nada que ver con la vida en sociedad, o al menos que de su desenvolvimiento no resulte ningún efecto social directo o distorsionador del colectivo. Este derecho de exclusión no ha nacido de la nada, es más bien producto de ciertos fenómenos sociales de colisión  y confrontación. No olvidemos que en la antigüedad este derecho no era general sino exclusivo de unos cuantos. La existencia de la esclavitud prueba nuestra afirmación. Los esclavos, como objetos de producción y servicio no tenían derechos, y menos derecho de exclusión del resto. No tenían vida privada jurídicamente protegida. La privacidad, y su protección o tutela jurídica aparecen luego, con el confluir de varios derechos más, como el derecho a la libertad, a la igualdad, a la no discriminación, etc. Por ello el derecho a la exclusión, constituido ya históricamente es un fenómeno tan trascendental, que se muestra como eje del derecho a la intimidad. Y se van construyendo, a la vez, dimensiones de la vida privada. Así las dimensiones a las que nos referimos son sólo los niveles, esferas, categorías, que agrupan, clasifican un determinado fenómeno, dato, conocimiento, etc.., por ello cuando se habla de las dimensiones de la vida privada en el derecho a la intimidad, se está hablando de los marcos y perímetros de acción y operación de los derechos de la persona, de autonomía de esta, es decir, de conductas y acciones permitidas por el ordenamiento jurídico y por el Derecho en su conjunto. Las dimensiones no son más que el radio de acción y las posibilidades de acción y ejecución </w:t>
      </w:r>
      <w:r w:rsidRPr="000D3432">
        <w:rPr>
          <w:rFonts w:asciiTheme="minorHAnsi" w:hAnsiTheme="minorHAnsi"/>
          <w:sz w:val="24"/>
          <w:szCs w:val="24"/>
          <w:lang w:val="es-ES_tradnl"/>
        </w:rPr>
        <w:lastRenderedPageBreak/>
        <w:t>del ser humano.</w:t>
      </w:r>
    </w:p>
    <w:p w14:paraId="37AE84E7" w14:textId="77777777" w:rsidR="0082775B" w:rsidRPr="000D3432" w:rsidRDefault="0082775B" w:rsidP="00A95498">
      <w:pPr>
        <w:rPr>
          <w:rFonts w:asciiTheme="minorHAnsi" w:hAnsiTheme="minorHAnsi"/>
          <w:szCs w:val="24"/>
        </w:rPr>
      </w:pPr>
    </w:p>
    <w:p w14:paraId="3D2D64DD"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rPr>
        <w:t>Todo el antecedente discurso ha sido tratado ya desde una esfera internacional, garantizado por la normatividad mundial. Por lo que el derecho muestra, como en el presente caso, su universalización; es decir el derecho y sus efectos se desenvuelven conteniendo ya mecanismos internacionales de garantía, resolución y ejecución de instituciones jurídicas (derecho a privacidad, al honor, etc.).</w:t>
      </w:r>
      <w:r w:rsidRPr="000D3432">
        <w:rPr>
          <w:rFonts w:asciiTheme="minorHAnsi" w:hAnsiTheme="minorHAnsi"/>
          <w:sz w:val="24"/>
          <w:szCs w:val="24"/>
          <w:lang w:val="es-ES_tradnl"/>
        </w:rPr>
        <w:t xml:space="preserve"> Estar a un nivel internacional no es simple coincidencia, sino es traspasar las esferas del derecho local y nacional; no se inquiere a nivel microscópico, sino a nivel macroscópico; por lo mismo supera y se confunde con la visión jurídicamente pluricultural. Es más, que los Estados internacionales haya coincidido en la protección de este derecho, significa una garantía valiosísima y grandiosa para la individualidad y su respeto. Teniendo en cuenta, también, que los rasgos primarios, o antecedentes del derecho a la intimidad se presume aparecen ya en la Edad Media, como manifestaciones primarias, insipientes aún, pero suficientemente solventes para constituirse luego como un derecho internacional en la actualidad. Estableciéndose en esta normatividad internacional ideas fundamentales como la no injerencia arbitraria en la esfera individual, la capacidad de exclusión de la totalidad o parcialidad de la sociedad de la esfera personal e individual, la capacidad o facultad tomada como derecho “cuando lo exija el interés de la vida privada”, el respeto a la vida privada, la inviolabilidad de este derecho, la posibilidad de rechazar las injerencias arbitrarias o abusivas en la vida privada, la protección de la ley contra las injerencias o ataques a la vida íntima, la conciencia de la dimensión moral y física protegida.</w:t>
      </w:r>
    </w:p>
    <w:p w14:paraId="11834F0D" w14:textId="77777777" w:rsidR="0082775B" w:rsidRPr="000D3432" w:rsidRDefault="0082775B" w:rsidP="00A95498">
      <w:pPr>
        <w:pStyle w:val="Textodecuerpo"/>
        <w:spacing w:line="240" w:lineRule="auto"/>
        <w:rPr>
          <w:rFonts w:asciiTheme="minorHAnsi" w:hAnsiTheme="minorHAnsi"/>
          <w:sz w:val="24"/>
          <w:szCs w:val="24"/>
          <w:lang w:val="es-ES_tradnl"/>
        </w:rPr>
      </w:pPr>
    </w:p>
    <w:p w14:paraId="757C5440"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 norma pretende ser aquel marco por donde deben circular las conductas humanas (incluido el derecho a la privacidad, a la intimidad, y el derecho a la información); pretende establecer el orden, contraponiéndose al caos, pretende decirnos lo que podemos hacer o no, pretende dar líneas de tránsito en donde todo funcione según un orden, regulado, controlado, y adecuado para el mejor vivir de los ciudadanos que forman parte de esa sociedad. La norma (derecho a la privacidad) es, entonces, la contradicción al caos, es una aseveración de que el mundo puede y debe ordenarse; sólo que el control es una ficción social, económica, jurídica, como la ficción puede ser también la historia o la política, pero, “Me parece que existe la posibilidad de hacer funcionar la ficción en la verdad; de inducir efectos de verdad con un discurso de ficción, y hacer de tal suerte que el discurso de verdad suscite, "fabrique" algo que no existe todavía, es decir, "ficcione". Por eso, hay que ficcionar un orden, unos límites al derecho de información frente al derecho a la intimidad. Así, el orden  (derecho a la privacidad) es sólo una estrategia mediante la cual se intenta interconectar a los individuos sin que estos se destruyan y por el contrario puedan convivir. </w:t>
      </w:r>
    </w:p>
    <w:p w14:paraId="3DB913BC" w14:textId="77777777" w:rsidR="0082775B" w:rsidRPr="000D3432" w:rsidRDefault="0082775B" w:rsidP="00A95498">
      <w:pPr>
        <w:jc w:val="both"/>
        <w:rPr>
          <w:rFonts w:asciiTheme="minorHAnsi" w:hAnsiTheme="minorHAnsi"/>
          <w:szCs w:val="24"/>
        </w:rPr>
      </w:pPr>
    </w:p>
    <w:p w14:paraId="0036F02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rPr>
        <w:t xml:space="preserve">El orden es ficcionar el control para preservarnos, garantizarnos un futuro cierto, seguro. Por el contrario el caos producto del azar refuta la teoría matemática del orden. Todo lo ordenado, todo lo planeado puede no funcionar </w:t>
      </w:r>
      <w:r w:rsidRPr="000D3432">
        <w:rPr>
          <w:rFonts w:asciiTheme="minorHAnsi" w:hAnsiTheme="minorHAnsi"/>
          <w:szCs w:val="24"/>
        </w:rPr>
        <w:lastRenderedPageBreak/>
        <w:t xml:space="preserve">por cuestiones del azar, de lo humano, etc., pero en el asunto planteado -la contradicción entre el derecho a la privacidad y el derecho a la información- los hechos no suceden por azar, sino por interés, legítimo algunas veces, e ilegítimo muchas más. </w:t>
      </w:r>
      <w:r w:rsidRPr="000D3432">
        <w:rPr>
          <w:rFonts w:asciiTheme="minorHAnsi" w:hAnsiTheme="minorHAnsi"/>
          <w:szCs w:val="24"/>
          <w:lang w:val="es-ES_tradnl"/>
        </w:rPr>
        <w:t xml:space="preserve">El problema se puede enfocar desde la perspectiva de la condición sociable del hombre, de su condición de ser en relación, así, usando a Juan Morales Godo, quien parafrasea a Carlos Fernández Sessarego, y Sartre, habla de que “el hombre es un ser de relación”. La vida privada sería así “necesaria e indispensable para el equilibrio y desarrollo de su personalidad”. La misma que permitirá “la proyección social del hombre”. Pero ¿tiene naturaleza social el hombre? Podría decirse, en una primera instancia que si alguna naturaleza tiene el hombre es la de su condición social; eso es al menos lo que parece decir Cossio, pero ¿puede esta condición de ser el ser humano (“relación”) imponérsele sobre su existencia? ¿Puede por lo tanto el derecho a la información, como relación intersubjetiva, imponérsele, a costa de la existencia tranquila del individuo relacionado? El derecho a la privacidad es la respuesta: sólo si hay interés legítimo y social; sino no puede haber intromisión en la vida privada. </w:t>
      </w:r>
    </w:p>
    <w:p w14:paraId="56A72436" w14:textId="77777777" w:rsidR="0082775B" w:rsidRPr="000D3432" w:rsidRDefault="0082775B" w:rsidP="00A95498">
      <w:pPr>
        <w:jc w:val="both"/>
        <w:rPr>
          <w:rFonts w:asciiTheme="minorHAnsi" w:hAnsiTheme="minorHAnsi"/>
          <w:szCs w:val="24"/>
          <w:lang w:val="es-ES_tradnl"/>
        </w:rPr>
      </w:pPr>
    </w:p>
    <w:p w14:paraId="65251FFB"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 xml:space="preserve">Es pertinente, pues, hacerse otras preguntas; como ¿si al derecho sólo le importara el ser humano en relación, dónde quedaría la otra parte del individuo, que precisamente no quiere relacionarse, sino aislarse, privar al resto de su existencia y relación?. Si el hombre es sólo relación, ello implica que cuando el hombre no se relaciona no hay derecho, ¿puede ser eso así? Recordemos, un ejemplo, expuesto, con la historia de Robinson Crusoe. Antes de que Viernes apareciera, no había derecho, porque no había relación, no había regulación de la conducta en referencia a otras conductas (levantarse a tal hora, comer a tal hora, etc.), pero estas conductas adoptadas (aún si fueran sistemáticas, ordenadas) no tienen que ver con los demás y si con uno mismo. </w:t>
      </w:r>
    </w:p>
    <w:p w14:paraId="5C48CBC7" w14:textId="77777777" w:rsidR="0082775B" w:rsidRPr="000D3432" w:rsidRDefault="0082775B" w:rsidP="00A95498">
      <w:pPr>
        <w:jc w:val="both"/>
        <w:rPr>
          <w:rFonts w:asciiTheme="minorHAnsi" w:hAnsiTheme="minorHAnsi"/>
          <w:szCs w:val="24"/>
          <w:lang w:val="es-ES_tradnl"/>
        </w:rPr>
      </w:pPr>
    </w:p>
    <w:p w14:paraId="6FBE8B33" w14:textId="77777777" w:rsidR="0082775B" w:rsidRPr="000D3432" w:rsidRDefault="0082775B" w:rsidP="00A95498">
      <w:pPr>
        <w:jc w:val="both"/>
        <w:rPr>
          <w:rFonts w:asciiTheme="minorHAnsi" w:hAnsiTheme="minorHAnsi"/>
          <w:szCs w:val="24"/>
          <w:lang w:val="es-ES_tradnl"/>
        </w:rPr>
      </w:pPr>
      <w:r w:rsidRPr="000D3432">
        <w:rPr>
          <w:rFonts w:asciiTheme="minorHAnsi" w:hAnsiTheme="minorHAnsi"/>
          <w:szCs w:val="24"/>
          <w:lang w:val="es-ES_tradnl"/>
        </w:rPr>
        <w:t>El eje principal es el propio individuo y no el resto, la sociedad. Sin embargo el derecho sólo aparece cuando hay más de una persona. ¿porqué? Porque es “regulación de la conducta intersubjetiva” diría Cossio, parafraseado por Morales Godo</w:t>
      </w:r>
      <w:r w:rsidRPr="000D3432">
        <w:rPr>
          <w:rStyle w:val="Refdenotaalpie"/>
          <w:rFonts w:asciiTheme="minorHAnsi" w:hAnsiTheme="minorHAnsi"/>
          <w:sz w:val="24"/>
          <w:szCs w:val="24"/>
          <w:lang w:val="es-ES_tradnl"/>
        </w:rPr>
        <w:footnoteReference w:id="834"/>
      </w:r>
      <w:r w:rsidRPr="000D3432">
        <w:rPr>
          <w:rFonts w:asciiTheme="minorHAnsi" w:hAnsiTheme="minorHAnsi"/>
          <w:szCs w:val="24"/>
          <w:lang w:val="es-ES_tradnl"/>
        </w:rPr>
        <w:t>. Pero el derecho a la intimidad, a la vida privada es un derecho porque precisamente se halla en sociedad, no habría necesidad de derecho privado si no existiera sociedad. El fenómeno es, entonces, causal. Son los efectos lo que le preocupa al derecho. Los efectos, o conductas de los hombres, provistos de libertad que quieren privacidad.</w:t>
      </w:r>
    </w:p>
    <w:p w14:paraId="7BEF11AB" w14:textId="77777777" w:rsidR="0082775B" w:rsidRPr="000D3432" w:rsidRDefault="0082775B" w:rsidP="00A95498">
      <w:pPr>
        <w:pStyle w:val="Textodecuerpo"/>
        <w:spacing w:line="240" w:lineRule="auto"/>
        <w:rPr>
          <w:rFonts w:asciiTheme="minorHAnsi" w:hAnsiTheme="minorHAnsi"/>
          <w:sz w:val="24"/>
          <w:szCs w:val="24"/>
          <w:lang w:val="es-ES_tradnl"/>
        </w:rPr>
      </w:pPr>
    </w:p>
    <w:p w14:paraId="1D85CDED"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Consta que la condición social del hombre, que el derecho sea la “regulación de las relaciones intersubjetivas, no niega para nada el derecho a la privacidad, esto último tiene que ver con el derecho, porque de sus efectos se desprende el desarrollo de la sociedad. Aquí sí existe la lógica de Adam Smith y los individualistas. El individuo es el centro, y la sociedad lo complementario. Por una simple razón: todos somos personas, “entes ideales de naturaleza racional”, “ejes o centros de imputaciones de </w:t>
      </w:r>
      <w:r w:rsidRPr="000D3432">
        <w:rPr>
          <w:rFonts w:asciiTheme="minorHAnsi" w:hAnsiTheme="minorHAnsi"/>
          <w:sz w:val="24"/>
          <w:szCs w:val="24"/>
          <w:lang w:val="es-ES_tradnl"/>
        </w:rPr>
        <w:lastRenderedPageBreak/>
        <w:t>derechos y deberes”, seres irrepetibles, únicos y distintos, y por lo tanto con derecho a esa singularidad que se manifiesta o desarrolla dentro del derecho a la privacidad. Y aunque el ser humano tiene naturaleza social, como explica Aristóteles con su “zoom politicon”, ello no significa que el hombre es un político, sino que es social, que su ser es la sociedad, y el movimiento dentro de esta sociedad; y por lo tanto debe medirse dentro de los marcos de lo social, por lo cual su derecho a la privacidad está también dentro de lo social, pero con ciertas características, como la de exclusión de su esfera individual, íntima. Sin embargo ser social significa que ¿todo es de todos?, Juan Morales Godo</w:t>
      </w:r>
      <w:r w:rsidRPr="000D3432">
        <w:rPr>
          <w:rStyle w:val="Refdenotaalpie"/>
          <w:rFonts w:asciiTheme="minorHAnsi" w:hAnsiTheme="minorHAnsi"/>
          <w:sz w:val="24"/>
          <w:szCs w:val="24"/>
          <w:lang w:val="es-ES_tradnl"/>
        </w:rPr>
        <w:footnoteReference w:id="835"/>
      </w:r>
      <w:r w:rsidRPr="000D3432">
        <w:rPr>
          <w:rFonts w:asciiTheme="minorHAnsi" w:hAnsiTheme="minorHAnsi"/>
          <w:sz w:val="24"/>
          <w:szCs w:val="24"/>
          <w:lang w:val="es-ES_tradnl"/>
        </w:rPr>
        <w:t xml:space="preserve"> escribe, hablando de Hobbes, que “la naturaleza concedió a todos los hombres derecho a todo”, “la naturaleza lo ha dado todo a todos”, pero al ser el hombre social, es decir creativo, no natural sino inventivo, ha creado su mundo privado dentro del mundo social. </w:t>
      </w:r>
    </w:p>
    <w:p w14:paraId="3139B9DE" w14:textId="77777777" w:rsidR="0082775B" w:rsidRPr="000D3432" w:rsidRDefault="0082775B" w:rsidP="00A95498">
      <w:pPr>
        <w:pStyle w:val="Textodecuerpo"/>
        <w:spacing w:line="240" w:lineRule="auto"/>
        <w:rPr>
          <w:rFonts w:asciiTheme="minorHAnsi" w:hAnsiTheme="minorHAnsi"/>
          <w:sz w:val="24"/>
          <w:szCs w:val="24"/>
          <w:lang w:val="es-ES_tradnl"/>
        </w:rPr>
      </w:pPr>
    </w:p>
    <w:p w14:paraId="0E9C390B"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Por lo tanto, para que el resto pueda intervenir en la esfera individual debe haber aceptación, voluntad. Así la voluntad es un elemento importante que choca con el derecho a la información, al menos a informarse y divulgar la vida del otro. El derecho a la vida privada implica, sin embargo, voluntad consensuada. Si quieres vivir en paz deja a los demás en paz. Hay sin embargo un fenómeno curioso, que contradice, o confunde este fenómeno. La libertad, la libertad es el fundamento que se utiliza para inmiscuirse en el fenómeno tratado. La pregunta sería: qué es la libertad. “conciencia de nuestra necesidad”, “conciencia o saber lo que necesitamos”. Esta parece ser una concepción recogida de los estoicos, pero no aclara mucho el asunto. El problema del derecho a la privacidad suele contrarrestarse con el derecho a la libertad de información. Así, si la libertad es “saber lo que necesitamos” y dirigirnos hacia esa necesidad, puede ser que necesitemos saber la vida del otro, su vida privada, porque esto nos da, por ejemplo, la posibilidad de -al difundir la vida privada del otro- darnos mercado,  raiting -en el caso de los periodistas; nos inmiscuimos en la vida privada, entonces, para lograr mercado, audiencia, y funcionamos ya no con metas teleológicas sino como funciona el mercado, es decir como simples transacciones comerciales de información y difusión de esta información. </w:t>
      </w:r>
    </w:p>
    <w:p w14:paraId="1A4501BD" w14:textId="77777777" w:rsidR="0082775B" w:rsidRPr="000D3432" w:rsidRDefault="0082775B" w:rsidP="00A95498">
      <w:pPr>
        <w:pStyle w:val="Textodecuerpo"/>
        <w:spacing w:line="240" w:lineRule="auto"/>
        <w:rPr>
          <w:rFonts w:asciiTheme="minorHAnsi" w:hAnsiTheme="minorHAnsi"/>
          <w:sz w:val="24"/>
          <w:szCs w:val="24"/>
          <w:lang w:val="es-ES_tradnl"/>
        </w:rPr>
      </w:pPr>
    </w:p>
    <w:p w14:paraId="64605F9D"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No obstante, para que haya legitimidad en el acceso de la vida privada de los demás es necesario que haya voluntad, sin embargo, no siempre la voluntad es plena, sino que se puede distorsionar, así “No hay voluntad cuando hay afectación de la conciencia, y esta es la relación entre el yo y los demás, o en el yo y el yo de los demás”. Es más, no hay voluntad cuando el hombre no decide, sino son sus circunstancias quienes deciden, aunque Ortega dijera que el hombre es él y sus circunstancias. Por ejemplo, el derecho penal, restringe la voluntad, la voluntad ya no es suya sino de los demás, de “todos”, en su conjunto.</w:t>
      </w:r>
    </w:p>
    <w:p w14:paraId="6040ED77" w14:textId="77777777" w:rsidR="0082775B" w:rsidRPr="000D3432" w:rsidRDefault="0082775B" w:rsidP="00A95498">
      <w:pPr>
        <w:pStyle w:val="Textodecuerpo"/>
        <w:spacing w:line="240" w:lineRule="auto"/>
        <w:rPr>
          <w:rFonts w:asciiTheme="minorHAnsi" w:hAnsiTheme="minorHAnsi"/>
          <w:sz w:val="24"/>
          <w:szCs w:val="24"/>
          <w:lang w:val="es-ES_tradnl"/>
        </w:rPr>
      </w:pPr>
    </w:p>
    <w:p w14:paraId="35E2C97E"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Por último, debemos determinar muchos criterios, como por ejemplo, ¿qué valor le damos al derecho a la intimidad y qué valor al derecho a la información? Para aclararlo debemos entrar en el sistema político en el cual estamos históricamente ubicados, determinación temporal y espacial. Así podemos ubicarnos dentro de un sistema político democrático -aparentemente-, y por lo tanto la libertad de estos derechos en contradicción puede darse a través de la democracia, y ésta es sintéticamente expuesto como la “organización política de la libertad”</w:t>
      </w:r>
      <w:r w:rsidRPr="000D3432">
        <w:rPr>
          <w:rStyle w:val="Refdenotaalpie"/>
          <w:rFonts w:asciiTheme="minorHAnsi" w:hAnsiTheme="minorHAnsi"/>
          <w:sz w:val="24"/>
          <w:szCs w:val="24"/>
          <w:lang w:val="es-ES_tradnl"/>
        </w:rPr>
        <w:footnoteReference w:id="836"/>
      </w:r>
      <w:r w:rsidRPr="000D3432">
        <w:rPr>
          <w:rFonts w:asciiTheme="minorHAnsi" w:hAnsiTheme="minorHAnsi"/>
          <w:sz w:val="24"/>
          <w:szCs w:val="24"/>
          <w:lang w:val="es-ES_tradnl"/>
        </w:rPr>
        <w:t>, lo que supone un nuevo contexto de apreciación del fenómeno investigado. Anotaremos, entonces, con Fernando de Trazegnies que “Vivir en Democracia no significa que cada uno haga lo que le dé la gana sino que supone sujetarse a ciertas reglas de juego, a fin de que la libertad de cada uno pueda ser eficaz; donde no hay reglas, las libertades individuales se expresan caóticamente y terminan entrampándonos en situaciones poco productivas”</w:t>
      </w:r>
      <w:r w:rsidRPr="000D3432">
        <w:rPr>
          <w:rStyle w:val="Refdenotaalpie"/>
          <w:rFonts w:asciiTheme="minorHAnsi" w:hAnsiTheme="minorHAnsi"/>
          <w:sz w:val="24"/>
          <w:szCs w:val="24"/>
          <w:lang w:val="es-ES_tradnl"/>
        </w:rPr>
        <w:footnoteReference w:id="837"/>
      </w:r>
      <w:r w:rsidRPr="000D3432">
        <w:rPr>
          <w:rFonts w:asciiTheme="minorHAnsi" w:hAnsiTheme="minorHAnsi"/>
          <w:sz w:val="24"/>
          <w:szCs w:val="24"/>
          <w:lang w:val="es-ES_tradnl"/>
        </w:rPr>
        <w:t>. Ceder parte de mi libertad para tener libertad, sería el mensaje final. Así para que el derecho a la intimidad y el derecho a la información entre en la esfera política de la democracia es necesario ciertas condiciones de coexistencia, ciertos márgenes; estos son los márgenes del derecho al honor y a la buena reputación, consagrados en nuestra Constitución y demás sistematización jurídica.  Y explicando el asunto Marcial Rubio Correa hace una inteligente diferenciación  entre honor y buena reputación, y dice que “El honor es la auto estima de la persona y es lesionado cuando se agravia dicha autoimagen”. El honor no es el concepto que tienen los demás de la persona, eso es buena reputación en derecho</w:t>
      </w:r>
      <w:r w:rsidRPr="000D3432">
        <w:rPr>
          <w:rStyle w:val="Refdenotaalpie"/>
          <w:rFonts w:asciiTheme="minorHAnsi" w:hAnsiTheme="minorHAnsi"/>
          <w:sz w:val="24"/>
          <w:szCs w:val="24"/>
          <w:lang w:val="es-ES_tradnl"/>
        </w:rPr>
        <w:footnoteReference w:id="838"/>
      </w:r>
      <w:r w:rsidRPr="000D3432">
        <w:rPr>
          <w:rFonts w:asciiTheme="minorHAnsi" w:hAnsiTheme="minorHAnsi"/>
          <w:sz w:val="24"/>
          <w:szCs w:val="24"/>
          <w:lang w:val="es-ES_tradnl"/>
        </w:rPr>
        <w:t xml:space="preserve">. </w:t>
      </w:r>
    </w:p>
    <w:p w14:paraId="5858C9C1" w14:textId="77777777" w:rsidR="0082775B" w:rsidRPr="000D3432" w:rsidRDefault="0082775B" w:rsidP="00A95498">
      <w:pPr>
        <w:pStyle w:val="Textodecuerpo"/>
        <w:spacing w:line="240" w:lineRule="auto"/>
        <w:rPr>
          <w:rFonts w:asciiTheme="minorHAnsi" w:hAnsiTheme="minorHAnsi"/>
          <w:sz w:val="24"/>
          <w:szCs w:val="24"/>
          <w:lang w:val="es-ES_tradnl"/>
        </w:rPr>
      </w:pPr>
    </w:p>
    <w:p w14:paraId="6140C8ED"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El honor es autoestima, y la buena reputación es moral, es estima de los demás, es relación directa con los demás, con el parecer de los demás sobre uno. Lo trascendental del análisis hecho por Rubio es su afirmación que, en estos casos, la verdad no importa en el derecho a la buena reputación; sino la “imagen” positiva que los demás tienen de cada ser humano, “la buena reputación es agraviada aún cuando los hechos que se divulguen sean ciertos”, afirmaría Rubio Correa. Lo que caería en el ámbito del chisme o la difamación. Y surge un atentado contra la dignidad además, “La dignidad viene muy cosida a la indignación y esta es la “percepción de la injusticia”. </w:t>
      </w:r>
    </w:p>
    <w:p w14:paraId="0D6927CF" w14:textId="77777777" w:rsidR="0082775B" w:rsidRPr="000D3432" w:rsidRDefault="0082775B" w:rsidP="00A95498">
      <w:pPr>
        <w:pStyle w:val="Textodecuerpo"/>
        <w:spacing w:line="240" w:lineRule="auto"/>
        <w:rPr>
          <w:rFonts w:asciiTheme="minorHAnsi" w:hAnsiTheme="minorHAnsi"/>
          <w:sz w:val="24"/>
          <w:szCs w:val="24"/>
          <w:lang w:val="es-ES_tradnl"/>
        </w:rPr>
      </w:pPr>
    </w:p>
    <w:p w14:paraId="1628DF68"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 xml:space="preserve">Cuando se viola el derecho a la privacidad se está también atentando contra los derechos de la personalidad, que “son derechos humanos que pertenecen a la esfera individual de la persona y se centran en ella misma. Son privativos del individuo, instransmisibles e imposibles de </w:t>
      </w:r>
      <w:r w:rsidRPr="000D3432">
        <w:rPr>
          <w:rFonts w:asciiTheme="minorHAnsi" w:hAnsiTheme="minorHAnsi"/>
          <w:sz w:val="24"/>
          <w:szCs w:val="24"/>
          <w:lang w:val="es-ES_tradnl"/>
        </w:rPr>
        <w:lastRenderedPageBreak/>
        <w:t>compartir”</w:t>
      </w:r>
      <w:r w:rsidRPr="000D3432">
        <w:rPr>
          <w:rStyle w:val="Refdenotaalpie"/>
          <w:rFonts w:asciiTheme="minorHAnsi" w:hAnsiTheme="minorHAnsi"/>
          <w:sz w:val="24"/>
          <w:szCs w:val="24"/>
          <w:lang w:val="es-ES_tradnl"/>
        </w:rPr>
        <w:footnoteReference w:id="839"/>
      </w:r>
      <w:r w:rsidRPr="000D3432">
        <w:rPr>
          <w:rFonts w:asciiTheme="minorHAnsi" w:hAnsiTheme="minorHAnsi"/>
          <w:sz w:val="24"/>
          <w:szCs w:val="24"/>
          <w:lang w:val="es-ES_tradnl"/>
        </w:rPr>
        <w:t>, y por lo tanto, si son mancillados, se centran en el individuo y se esparce en la esfera amical o familiar. Porque el hombre vive en sociedad, y es poco probable cambiar esta circunstancia. No existiría derecho si no hay sociedad, “…no hay derechos que no sean sociales pues, ahí donde no hay sociedad sino un sólo humano sin contacto con los demás de su especie no hay sociedad ni tampoco hay Derecho”.</w:t>
      </w:r>
      <w:r w:rsidRPr="000D3432">
        <w:rPr>
          <w:rStyle w:val="Refdenotaalpie"/>
          <w:rFonts w:asciiTheme="minorHAnsi" w:hAnsiTheme="minorHAnsi"/>
          <w:sz w:val="24"/>
          <w:szCs w:val="24"/>
          <w:lang w:val="es-ES_tradnl"/>
        </w:rPr>
        <w:footnoteReference w:id="840"/>
      </w:r>
      <w:r w:rsidRPr="000D3432">
        <w:rPr>
          <w:rFonts w:asciiTheme="minorHAnsi" w:hAnsiTheme="minorHAnsi"/>
          <w:sz w:val="24"/>
          <w:szCs w:val="24"/>
          <w:lang w:val="es-ES_tradnl"/>
        </w:rPr>
        <w:t>. El derecho al honor y a la buena reputación confluyen necesariamente con el derecho a la intimidad, puesto que son derechos que atañen a la personalidad, así “mientras ciertos derechos sólo pueden verificarse al actuar en conjunto con otros (reunión, asociación, contratación, etc.) es connatural a los derechos de la personalidad centrarse en el individuo mismo”.</w:t>
      </w:r>
      <w:r w:rsidRPr="000D3432">
        <w:rPr>
          <w:rStyle w:val="Refdenotaalpie"/>
          <w:rFonts w:asciiTheme="minorHAnsi" w:hAnsiTheme="minorHAnsi"/>
          <w:sz w:val="24"/>
          <w:szCs w:val="24"/>
          <w:lang w:val="es-ES_tradnl"/>
        </w:rPr>
        <w:footnoteReference w:id="841"/>
      </w:r>
      <w:r w:rsidRPr="000D3432">
        <w:rPr>
          <w:rFonts w:asciiTheme="minorHAnsi" w:hAnsiTheme="minorHAnsi"/>
          <w:sz w:val="24"/>
          <w:szCs w:val="24"/>
          <w:lang w:val="es-ES_tradnl"/>
        </w:rPr>
        <w:t xml:space="preserve"> El conflicto que se suscita, por lo tanto entre el Derecho a la intimidad y el Derecho a la información no está en la “intrusión, sino en la “divulgación de cierta información que “pertenecen, son propios del individuo”. Y que por lo tanto afectan otros derechos. </w:t>
      </w:r>
    </w:p>
    <w:p w14:paraId="390F5CE4" w14:textId="77777777" w:rsidR="0082775B" w:rsidRPr="000D3432" w:rsidRDefault="0082775B" w:rsidP="00A95498">
      <w:pPr>
        <w:pStyle w:val="Textodecuerpo"/>
        <w:spacing w:line="240" w:lineRule="auto"/>
        <w:rPr>
          <w:rFonts w:asciiTheme="minorHAnsi" w:hAnsiTheme="minorHAnsi"/>
          <w:sz w:val="24"/>
          <w:szCs w:val="24"/>
          <w:lang w:val="es-ES_tradnl"/>
        </w:rPr>
      </w:pPr>
    </w:p>
    <w:p w14:paraId="1D6B74F1" w14:textId="77777777" w:rsidR="0082775B" w:rsidRPr="000D3432" w:rsidRDefault="0082775B" w:rsidP="00A95498">
      <w:pPr>
        <w:pStyle w:val="Textodecuerpo"/>
        <w:spacing w:line="240" w:lineRule="auto"/>
        <w:rPr>
          <w:rFonts w:asciiTheme="minorHAnsi" w:hAnsiTheme="minorHAnsi"/>
          <w:sz w:val="24"/>
          <w:szCs w:val="24"/>
          <w:lang w:val="es-ES_tradnl"/>
        </w:rPr>
      </w:pPr>
      <w:r w:rsidRPr="000D3432">
        <w:rPr>
          <w:rFonts w:asciiTheme="minorHAnsi" w:hAnsiTheme="minorHAnsi"/>
          <w:sz w:val="24"/>
          <w:szCs w:val="24"/>
          <w:lang w:val="es-ES_tradnl"/>
        </w:rPr>
        <w:t>Por eso lo que hace falta es delimitar el radio de acción u operación de cada derecho, y este sólo es producto de la estimativa, de la os efectos que produce, de las posibilidades que permite. Podemos decir, entonces que el Derecho a la vida privada es autonomía, y ésta última es el poder jurídico de gobernar nuestras propios intereses privados.</w:t>
      </w:r>
      <w:r w:rsidRPr="000D3432">
        <w:rPr>
          <w:rStyle w:val="Refdenotaalpie"/>
          <w:rFonts w:asciiTheme="minorHAnsi" w:hAnsiTheme="minorHAnsi"/>
          <w:sz w:val="24"/>
          <w:szCs w:val="24"/>
          <w:lang w:val="es-ES_tradnl"/>
        </w:rPr>
        <w:footnoteReference w:id="842"/>
      </w:r>
      <w:r w:rsidRPr="000D3432">
        <w:rPr>
          <w:rFonts w:asciiTheme="minorHAnsi" w:hAnsiTheme="minorHAnsi"/>
          <w:sz w:val="24"/>
          <w:szCs w:val="24"/>
          <w:lang w:val="es-ES_tradnl"/>
        </w:rPr>
        <w:t>, y el derecho a la información es más bien una facultad para conocer y hacer conocer, que tiene que cuidarse de no caer en la manipulación, puesto que la información, los saberes inciden, influyen en la formación del ser humano y en el desarrollo de valor, que complicarán el mecanismo de regulación y ordenamiento colectivo. Además podemos decir que el derecho a la intimidad o privacidad, y el derecho a la información pueden encontrarse dentro de los derechos fundamentales del ser humano. Pero esto sólo tiene relevancia para nuestro estudio si sabemos porqué son fundamentales, y qué categoría o nivel adquieren al ser tales. Veamos primero que son derechos fundamentales. Según esta escrito, los derechos fundamentales “Son los derechos básicos que norman la convivencia social y que nacen como concepción de los gobernantes o como acuerdo entre la sociedad y el Estado. Se les llama así a los derechos humanos positivados jurídicamente en los que se incluyen las exigencias de dignidad, de libertad y de igualdad entre todos los ciudadanos.”</w:t>
      </w:r>
      <w:r w:rsidRPr="000D3432">
        <w:rPr>
          <w:rStyle w:val="Refdenotaalpie"/>
          <w:rFonts w:asciiTheme="minorHAnsi" w:hAnsiTheme="minorHAnsi"/>
          <w:sz w:val="24"/>
          <w:szCs w:val="24"/>
          <w:lang w:val="es-ES_tradnl"/>
        </w:rPr>
        <w:footnoteReference w:id="843"/>
      </w:r>
      <w:r w:rsidRPr="000D3432">
        <w:rPr>
          <w:rFonts w:asciiTheme="minorHAnsi" w:hAnsiTheme="minorHAnsi"/>
          <w:sz w:val="24"/>
          <w:szCs w:val="24"/>
          <w:lang w:val="es-ES_tradnl"/>
        </w:rPr>
        <w:t xml:space="preserve">. Los derechos fundamentales son fuerzas irresistibles y últimas, como por ejemplo, la libertad, que es derecho que no se discute; lo que si entra en la esfera de la </w:t>
      </w:r>
      <w:r w:rsidRPr="000D3432">
        <w:rPr>
          <w:rFonts w:asciiTheme="minorHAnsi" w:hAnsiTheme="minorHAnsi"/>
          <w:sz w:val="24"/>
          <w:szCs w:val="24"/>
          <w:lang w:val="es-ES_tradnl"/>
        </w:rPr>
        <w:lastRenderedPageBreak/>
        <w:t>discusión es más bien el radio de acción u operación de este derecho de libertad. Por el mismo lado, “los derechos fundamentales tienen una dimensión axiológica (pues afirma el valor supremo de la dignidad humana), poseen una concepción histórica (fruto de la evolución social), representa una tendencia doctrinaria en expansión (pues su comprensión tiende a expandirse en sus alcances normativos) y son universales (pues traspasa los entornos locales y/o nacionales).”</w:t>
      </w:r>
      <w:r w:rsidRPr="000D3432">
        <w:rPr>
          <w:rStyle w:val="Refdenotaalpie"/>
          <w:rFonts w:asciiTheme="minorHAnsi" w:hAnsiTheme="minorHAnsi"/>
          <w:sz w:val="24"/>
          <w:szCs w:val="24"/>
          <w:lang w:val="es-ES_tradnl"/>
        </w:rPr>
        <w:footnoteReference w:id="844"/>
      </w:r>
      <w:r w:rsidRPr="000D3432">
        <w:rPr>
          <w:rFonts w:asciiTheme="minorHAnsi" w:hAnsiTheme="minorHAnsi"/>
          <w:sz w:val="24"/>
          <w:szCs w:val="24"/>
          <w:lang w:val="es-ES_tradnl"/>
        </w:rPr>
        <w:t>. Lo axiológico es una categoría social, cultural que se prescribe como directivas o matrices de dirección.  La contradicción del derecho a la privacidad con el derecho a la libertad de información, es un tema muy recurrente, y que no se resuelve por esa imposibilidad de enfrentarse a los medios de comunicación masiva, y por la falta de permanencia en solidez de las afirmaciones doctrinarias que pretenden limitar cualquier abuso del derecho.</w:t>
      </w:r>
    </w:p>
    <w:p w14:paraId="3E71FA6C" w14:textId="77777777" w:rsidR="0082775B" w:rsidRPr="000D3432" w:rsidRDefault="0082775B" w:rsidP="00A95498">
      <w:pPr>
        <w:pStyle w:val="Textodecuerpo"/>
        <w:spacing w:line="240" w:lineRule="auto"/>
        <w:rPr>
          <w:rFonts w:asciiTheme="minorHAnsi" w:hAnsiTheme="minorHAnsi"/>
          <w:sz w:val="24"/>
          <w:szCs w:val="24"/>
          <w:lang w:val="es-ES_tradnl"/>
        </w:rPr>
      </w:pPr>
    </w:p>
    <w:p w14:paraId="35A0D5E8"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5.- DERECHO DE ACCESO A LA INFORMACIÓN PÚBLICA:</w:t>
      </w:r>
    </w:p>
    <w:p w14:paraId="763AE27F" w14:textId="77777777" w:rsidR="0082775B" w:rsidRPr="000D3432" w:rsidRDefault="0082775B" w:rsidP="00A95498">
      <w:pPr>
        <w:jc w:val="both"/>
        <w:rPr>
          <w:rFonts w:asciiTheme="minorHAnsi" w:hAnsiTheme="minorHAnsi"/>
          <w:szCs w:val="24"/>
        </w:rPr>
      </w:pPr>
    </w:p>
    <w:p w14:paraId="4C100B56"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En las siguientes líneas se esbozará un grupo de conceptos  que agrupados explican y resumen lo que significa el derecho a la información pública. </w:t>
      </w:r>
    </w:p>
    <w:p w14:paraId="1E8FBCFC" w14:textId="77777777" w:rsidR="0082775B" w:rsidRPr="000D3432" w:rsidRDefault="0082775B" w:rsidP="00A95498">
      <w:pPr>
        <w:jc w:val="both"/>
        <w:rPr>
          <w:rFonts w:asciiTheme="minorHAnsi" w:hAnsiTheme="minorHAnsi"/>
          <w:szCs w:val="24"/>
        </w:rPr>
      </w:pPr>
    </w:p>
    <w:p w14:paraId="0B51C1C1"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6.- DERECHO AL ACCESO A LA INFORMACIÓN</w:t>
      </w:r>
      <w:r w:rsidRPr="000D3432">
        <w:rPr>
          <w:rFonts w:asciiTheme="minorHAnsi" w:hAnsiTheme="minorHAnsi"/>
          <w:szCs w:val="24"/>
        </w:rPr>
        <w:t xml:space="preserve">: </w:t>
      </w:r>
    </w:p>
    <w:p w14:paraId="5A82B10C" w14:textId="77777777" w:rsidR="0082775B" w:rsidRPr="000D3432" w:rsidRDefault="0082775B" w:rsidP="00A95498">
      <w:pPr>
        <w:jc w:val="both"/>
        <w:rPr>
          <w:rFonts w:asciiTheme="minorHAnsi" w:hAnsiTheme="minorHAnsi"/>
          <w:szCs w:val="24"/>
        </w:rPr>
      </w:pPr>
    </w:p>
    <w:p w14:paraId="62CF1271" w14:textId="77777777" w:rsidR="0082775B" w:rsidRPr="000D3432" w:rsidRDefault="0082775B" w:rsidP="00A95498">
      <w:pPr>
        <w:ind w:left="2832"/>
        <w:jc w:val="both"/>
        <w:rPr>
          <w:rFonts w:asciiTheme="minorHAnsi" w:hAnsiTheme="minorHAnsi"/>
          <w:i/>
          <w:szCs w:val="24"/>
        </w:rPr>
      </w:pPr>
      <w:r w:rsidRPr="000D3432">
        <w:rPr>
          <w:rFonts w:asciiTheme="minorHAnsi" w:hAnsiTheme="minorHAnsi"/>
          <w:i/>
          <w:szCs w:val="24"/>
        </w:rPr>
        <w:t xml:space="preserve">“No toda investigación científica procura el conocimiento objetivo. Así, la lógica y las matemáticas -esto es, los diversos sistemas de lógica formal y los diferentes capítulos de la matemática pura- son racionales, sistemáticos y verificables, pero no son objetivos, </w:t>
      </w:r>
      <w:r w:rsidRPr="000D3432">
        <w:rPr>
          <w:rFonts w:asciiTheme="minorHAnsi" w:hAnsiTheme="minorHAnsi"/>
          <w:b/>
          <w:i/>
          <w:szCs w:val="24"/>
        </w:rPr>
        <w:t>no nos dan informaciones acerca de la realidad; simplemente, no se ocupan de los hechos</w:t>
      </w:r>
      <w:r w:rsidRPr="000D3432">
        <w:rPr>
          <w:rFonts w:asciiTheme="minorHAnsi" w:hAnsiTheme="minorHAnsi"/>
          <w:i/>
          <w:szCs w:val="24"/>
        </w:rPr>
        <w:t>. La lógica y la matemática tratan de entes ideales; estos entes, tanto los abstractos como los interpretados, sólo existen en la mente humana.”, escribe Mario Bunge.</w:t>
      </w:r>
    </w:p>
    <w:p w14:paraId="3D036745" w14:textId="77777777" w:rsidR="0082775B" w:rsidRPr="000D3432" w:rsidRDefault="0082775B" w:rsidP="00A95498">
      <w:pPr>
        <w:jc w:val="both"/>
        <w:rPr>
          <w:rFonts w:asciiTheme="minorHAnsi" w:hAnsiTheme="minorHAnsi"/>
          <w:szCs w:val="24"/>
        </w:rPr>
      </w:pPr>
    </w:p>
    <w:p w14:paraId="469DA353" w14:textId="77777777" w:rsidR="0082775B" w:rsidRPr="000D3432" w:rsidRDefault="0082775B" w:rsidP="00A95498">
      <w:pPr>
        <w:jc w:val="both"/>
        <w:rPr>
          <w:rFonts w:asciiTheme="minorHAnsi" w:hAnsiTheme="minorHAnsi"/>
          <w:i/>
          <w:szCs w:val="24"/>
        </w:rPr>
      </w:pPr>
      <w:r w:rsidRPr="000D3432">
        <w:rPr>
          <w:rFonts w:asciiTheme="minorHAnsi" w:hAnsiTheme="minorHAnsi"/>
          <w:szCs w:val="24"/>
        </w:rPr>
        <w:t xml:space="preserve">El Derecho de acceso a la información pública consiste en aquella facultad de cualquier persona de solicitar y recabar la información pública, salvo las excepciones de ley.  “Consiste en la posibilidad de pedir o demandar – sin necesidad de exponer razones ni motivos- toda la información oficial (datos estadísticos, dictámenes, resoluciones) que se requiera. “Esta facultad se ejerce ante todas las entidades de la Administración pública, entendiéndose por tales las siguientes: - Poderes del Estado (Ejecutivo, Legislativo, y Judicial); - Organismos autónomos (Ministerio Público, Banco Central de Reserva, etc.); - Instituciones públicas descentralizadas (Instituto Nacional de Estadística e Informática, Instituto Nacional de Becas y Créditos Educativos, etc.); - Empresas Públicas; - Municipios y Regiones.” </w:t>
      </w:r>
      <w:r w:rsidRPr="000D3432">
        <w:rPr>
          <w:rFonts w:asciiTheme="minorHAnsi" w:hAnsiTheme="minorHAnsi"/>
          <w:i/>
          <w:szCs w:val="24"/>
        </w:rPr>
        <w:t xml:space="preserve">(Víctor García Toma. Análisis sistemático de la Constitución peruana de 1993, Tomo I., Fondo de Desarrollo Editorial de la </w:t>
      </w:r>
      <w:r w:rsidRPr="000D3432">
        <w:rPr>
          <w:rFonts w:asciiTheme="minorHAnsi" w:hAnsiTheme="minorHAnsi"/>
          <w:i/>
          <w:szCs w:val="24"/>
        </w:rPr>
        <w:lastRenderedPageBreak/>
        <w:t>Universidad de Lima, 1998, pp. 83).</w:t>
      </w:r>
    </w:p>
    <w:p w14:paraId="288F7827" w14:textId="77777777" w:rsidR="0082775B" w:rsidRPr="000D3432" w:rsidRDefault="0082775B" w:rsidP="00A95498">
      <w:pPr>
        <w:ind w:left="708"/>
        <w:jc w:val="both"/>
        <w:rPr>
          <w:rFonts w:asciiTheme="minorHAnsi" w:hAnsiTheme="minorHAnsi"/>
          <w:i/>
          <w:szCs w:val="24"/>
        </w:rPr>
      </w:pPr>
    </w:p>
    <w:p w14:paraId="23013135"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7.- FACULTAD PARA SOLICITAR INFORMACIÓN: </w:t>
      </w:r>
    </w:p>
    <w:p w14:paraId="7FC98B34" w14:textId="77777777" w:rsidR="0082775B" w:rsidRPr="000D3432" w:rsidRDefault="0082775B" w:rsidP="00A95498">
      <w:pPr>
        <w:jc w:val="both"/>
        <w:rPr>
          <w:rFonts w:asciiTheme="minorHAnsi" w:hAnsiTheme="minorHAnsi"/>
          <w:b/>
          <w:szCs w:val="24"/>
        </w:rPr>
      </w:pPr>
    </w:p>
    <w:p w14:paraId="71EE38A2"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Ahora bien, la facultad de solicitar información “consiste en la posibilidad de pedir a la administración pública toda información, se entiende de carácter oficial (datos estadísticos, dictámenes, resoluciones), que requiera el administrado.” (Marco A. Cabrera Vásquez / Rosa Quintana Vivanco. Comentarios: Teoría General del Procedimiento Administrativo, Ediciones Legales, San Marcos. pp. 378).</w:t>
      </w:r>
    </w:p>
    <w:p w14:paraId="5AFF8AAC" w14:textId="77777777" w:rsidR="0082775B" w:rsidRPr="000D3432" w:rsidRDefault="0082775B" w:rsidP="00A95498">
      <w:pPr>
        <w:ind w:left="708"/>
        <w:jc w:val="both"/>
        <w:rPr>
          <w:rFonts w:asciiTheme="minorHAnsi" w:hAnsiTheme="minorHAnsi"/>
          <w:i/>
          <w:szCs w:val="24"/>
        </w:rPr>
      </w:pPr>
    </w:p>
    <w:p w14:paraId="1877D103"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Y, es más, toda persona tiene derecho  “A solicitar sin expresión de causa la información que requiera y a recibirla de cualquier entidad pública, en el plazo legal, con el costo que suponga el pedido.  Se exceptúan las informaciones que afectan la intimidad personal y las que expresamente se excluyan por ley o por razones de seguridad nacional.  Lo que se expresa en la Constitución, Artículo 2°, inciso 5, además de la Ley 27444, Artículo 110; concordando con la Ley N° 27806. </w:t>
      </w:r>
    </w:p>
    <w:p w14:paraId="479A227A" w14:textId="77777777" w:rsidR="0082775B" w:rsidRPr="000D3432" w:rsidRDefault="0082775B" w:rsidP="00A95498">
      <w:pPr>
        <w:ind w:left="708"/>
        <w:jc w:val="both"/>
        <w:rPr>
          <w:rFonts w:asciiTheme="minorHAnsi" w:hAnsiTheme="minorHAnsi"/>
          <w:szCs w:val="24"/>
        </w:rPr>
      </w:pPr>
    </w:p>
    <w:p w14:paraId="7F29799C"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8.- DERECHO DE PETICIÓN:</w:t>
      </w:r>
      <w:r w:rsidRPr="000D3432">
        <w:rPr>
          <w:rFonts w:asciiTheme="minorHAnsi" w:hAnsiTheme="minorHAnsi"/>
          <w:szCs w:val="24"/>
        </w:rPr>
        <w:t xml:space="preserve"> </w:t>
      </w:r>
    </w:p>
    <w:p w14:paraId="752B46F6" w14:textId="77777777" w:rsidR="0082775B" w:rsidRPr="000D3432" w:rsidRDefault="0082775B" w:rsidP="00A95498">
      <w:pPr>
        <w:jc w:val="both"/>
        <w:rPr>
          <w:rFonts w:asciiTheme="minorHAnsi" w:hAnsiTheme="minorHAnsi"/>
          <w:szCs w:val="24"/>
        </w:rPr>
      </w:pPr>
    </w:p>
    <w:p w14:paraId="184E3DC9" w14:textId="77777777" w:rsidR="0082775B" w:rsidRPr="000D3432" w:rsidRDefault="0082775B" w:rsidP="00A95498">
      <w:pPr>
        <w:jc w:val="both"/>
        <w:rPr>
          <w:rFonts w:asciiTheme="minorHAnsi" w:hAnsiTheme="minorHAnsi"/>
          <w:i/>
          <w:szCs w:val="24"/>
        </w:rPr>
      </w:pPr>
      <w:r w:rsidRPr="000D3432">
        <w:rPr>
          <w:rFonts w:asciiTheme="minorHAnsi" w:hAnsiTheme="minorHAnsi"/>
          <w:szCs w:val="24"/>
        </w:rPr>
        <w:t xml:space="preserve">Debe tenerse en cuenta también el Derecho de petición: “El Derecho de petición incluye el de solicitar la información que obra en poder de las entidades, siguiendo el régimen previsto en la Constitución y la Ley.”. Lo que está expreso en la Ley </w:t>
      </w:r>
      <w:r w:rsidRPr="000D3432">
        <w:rPr>
          <w:rFonts w:asciiTheme="minorHAnsi" w:hAnsiTheme="minorHAnsi"/>
          <w:i/>
          <w:szCs w:val="24"/>
        </w:rPr>
        <w:t>27444, Art. 110.1.</w:t>
      </w:r>
    </w:p>
    <w:p w14:paraId="0CA50996" w14:textId="77777777" w:rsidR="0082775B" w:rsidRPr="000D3432" w:rsidRDefault="0082775B" w:rsidP="00A95498">
      <w:pPr>
        <w:jc w:val="both"/>
        <w:rPr>
          <w:rFonts w:asciiTheme="minorHAnsi" w:hAnsiTheme="minorHAnsi"/>
          <w:i/>
          <w:szCs w:val="24"/>
        </w:rPr>
      </w:pPr>
    </w:p>
    <w:p w14:paraId="326D707F" w14:textId="77777777" w:rsidR="0082775B" w:rsidRPr="000D3432" w:rsidRDefault="0082775B" w:rsidP="00A95498">
      <w:pPr>
        <w:jc w:val="both"/>
        <w:rPr>
          <w:rFonts w:asciiTheme="minorHAnsi" w:hAnsiTheme="minorHAnsi"/>
          <w:szCs w:val="24"/>
        </w:rPr>
      </w:pPr>
      <w:r w:rsidRPr="000D3432">
        <w:rPr>
          <w:rFonts w:asciiTheme="minorHAnsi" w:hAnsiTheme="minorHAnsi"/>
          <w:i/>
          <w:szCs w:val="24"/>
        </w:rPr>
        <w:t xml:space="preserve">Asimismo de acuerdo al Artículo 110.2, de la Ley 27444, Ley del Procedimiento Administrativo General, </w:t>
      </w:r>
      <w:r w:rsidRPr="000D3432">
        <w:rPr>
          <w:rFonts w:asciiTheme="minorHAnsi" w:hAnsiTheme="minorHAnsi"/>
          <w:szCs w:val="24"/>
        </w:rPr>
        <w:t xml:space="preserve"> “Las entidades establecen mecanismos de atención a los pedidos sobre información específica y prevén el suministro de oficio a los interesados, incluso vía telefónica, de la información general sobre los temas de interés recurrente par la ciudadanía.”</w:t>
      </w:r>
    </w:p>
    <w:p w14:paraId="2B818A09" w14:textId="77777777" w:rsidR="0082775B" w:rsidRPr="000D3432" w:rsidRDefault="0082775B" w:rsidP="00A95498">
      <w:pPr>
        <w:jc w:val="both"/>
        <w:rPr>
          <w:rFonts w:asciiTheme="minorHAnsi" w:hAnsiTheme="minorHAnsi"/>
          <w:szCs w:val="24"/>
        </w:rPr>
      </w:pPr>
    </w:p>
    <w:p w14:paraId="23994334"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9.- DERECHO A LA TRANSPARENCIA</w:t>
      </w:r>
      <w:r w:rsidRPr="000D3432">
        <w:rPr>
          <w:rFonts w:asciiTheme="minorHAnsi" w:hAnsiTheme="minorHAnsi"/>
          <w:szCs w:val="24"/>
        </w:rPr>
        <w:t xml:space="preserve">: </w:t>
      </w:r>
    </w:p>
    <w:p w14:paraId="49B3E3C1" w14:textId="77777777" w:rsidR="0082775B" w:rsidRPr="000D3432" w:rsidRDefault="0082775B" w:rsidP="00A95498">
      <w:pPr>
        <w:jc w:val="both"/>
        <w:rPr>
          <w:rFonts w:asciiTheme="minorHAnsi" w:hAnsiTheme="minorHAnsi"/>
          <w:szCs w:val="24"/>
        </w:rPr>
      </w:pPr>
    </w:p>
    <w:p w14:paraId="15352FFE" w14:textId="77777777" w:rsidR="0082775B" w:rsidRPr="000D3432" w:rsidRDefault="0082775B" w:rsidP="00A95498">
      <w:pPr>
        <w:jc w:val="both"/>
        <w:rPr>
          <w:rFonts w:asciiTheme="minorHAnsi" w:hAnsiTheme="minorHAnsi"/>
          <w:i/>
          <w:szCs w:val="24"/>
        </w:rPr>
      </w:pPr>
      <w:r w:rsidRPr="000D3432">
        <w:rPr>
          <w:rFonts w:asciiTheme="minorHAnsi" w:hAnsiTheme="minorHAnsi"/>
          <w:szCs w:val="24"/>
        </w:rPr>
        <w:t xml:space="preserve">Por la que  “La Ley tiene por finalidad promover la transparencia de los actos del Estado y regular el derecho fundamental del acceso a la información consagrado en el numeral del artículo 2 de la Constitución Política del Perú.”. Esto de conformidad con el Texto Único Ordenado de la </w:t>
      </w:r>
      <w:r w:rsidRPr="000D3432">
        <w:rPr>
          <w:rFonts w:asciiTheme="minorHAnsi" w:hAnsiTheme="minorHAnsi"/>
          <w:i/>
          <w:szCs w:val="24"/>
        </w:rPr>
        <w:t xml:space="preserve">Ley N° 27806, Ley de transparencia y acceso a la información publica, en su artículo. 1°. </w:t>
      </w:r>
    </w:p>
    <w:p w14:paraId="347EE4B0" w14:textId="77777777" w:rsidR="0082775B" w:rsidRPr="000D3432" w:rsidRDefault="0082775B" w:rsidP="00A95498">
      <w:pPr>
        <w:jc w:val="both"/>
        <w:rPr>
          <w:rFonts w:asciiTheme="minorHAnsi" w:hAnsiTheme="minorHAnsi"/>
          <w:i/>
          <w:szCs w:val="24"/>
        </w:rPr>
      </w:pPr>
    </w:p>
    <w:p w14:paraId="0317FD5F"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10.- ENTIDADES DE LA ADMINISTRACIÓN PÚBLICA: </w:t>
      </w:r>
    </w:p>
    <w:p w14:paraId="4A5FD949" w14:textId="77777777" w:rsidR="0082775B" w:rsidRPr="000D3432" w:rsidRDefault="0082775B" w:rsidP="00A95498">
      <w:pPr>
        <w:jc w:val="both"/>
        <w:rPr>
          <w:rFonts w:asciiTheme="minorHAnsi" w:hAnsiTheme="minorHAnsi"/>
          <w:b/>
          <w:szCs w:val="24"/>
        </w:rPr>
      </w:pPr>
    </w:p>
    <w:p w14:paraId="5A1FB311"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 xml:space="preserve">Las entidades públicas tienen, pues, la obligación de emitir la información pública, por lo que el  Texto Único de la </w:t>
      </w:r>
      <w:r w:rsidRPr="000D3432">
        <w:rPr>
          <w:rFonts w:asciiTheme="minorHAnsi" w:hAnsiTheme="minorHAnsi"/>
          <w:i/>
          <w:szCs w:val="24"/>
        </w:rPr>
        <w:t xml:space="preserve">Ley N° 27806, Ley de transparencia y acceso a la información publica, Art. 2°, indica: </w:t>
      </w:r>
      <w:r w:rsidRPr="000D3432">
        <w:rPr>
          <w:rFonts w:asciiTheme="minorHAnsi" w:hAnsiTheme="minorHAnsi"/>
          <w:szCs w:val="24"/>
        </w:rPr>
        <w:t xml:space="preserve"> “Se entiende por entidades de la Administración Pública a las señaladas en el artículo I del Titulo Preliminar de la Ley N° 27444, Ley del Procedimiento Administrativo General”, en donde se encuentra contemplado en su acápite 3, el Poder Judicial. </w:t>
      </w:r>
    </w:p>
    <w:p w14:paraId="0D257316" w14:textId="77777777" w:rsidR="0082775B" w:rsidRPr="000D3432" w:rsidRDefault="0082775B" w:rsidP="00A95498">
      <w:pPr>
        <w:pStyle w:val="Textodecuerpo3"/>
        <w:spacing w:after="0"/>
        <w:rPr>
          <w:rFonts w:asciiTheme="minorHAnsi" w:hAnsiTheme="minorHAnsi"/>
          <w:sz w:val="24"/>
          <w:szCs w:val="24"/>
        </w:rPr>
      </w:pPr>
    </w:p>
    <w:p w14:paraId="70BCD9A6" w14:textId="77777777" w:rsidR="0082775B" w:rsidRPr="000D3432" w:rsidRDefault="0082775B" w:rsidP="00A95498">
      <w:pPr>
        <w:pStyle w:val="Textodecuerpo3"/>
        <w:spacing w:after="0"/>
        <w:jc w:val="both"/>
        <w:rPr>
          <w:rFonts w:asciiTheme="minorHAnsi" w:hAnsiTheme="minorHAnsi"/>
          <w:b/>
          <w:sz w:val="24"/>
          <w:szCs w:val="24"/>
        </w:rPr>
      </w:pPr>
      <w:r w:rsidRPr="000D3432">
        <w:rPr>
          <w:rFonts w:asciiTheme="minorHAnsi" w:hAnsiTheme="minorHAnsi"/>
          <w:b/>
          <w:sz w:val="24"/>
          <w:szCs w:val="24"/>
        </w:rPr>
        <w:t xml:space="preserve">11.- PRINCIPIO DE PUBLICIDAD: </w:t>
      </w:r>
    </w:p>
    <w:p w14:paraId="17F69A29" w14:textId="77777777" w:rsidR="0082775B" w:rsidRPr="000D3432" w:rsidRDefault="0082775B" w:rsidP="00A95498">
      <w:pPr>
        <w:pStyle w:val="Textodecuerpo3"/>
        <w:spacing w:after="0"/>
        <w:jc w:val="both"/>
        <w:rPr>
          <w:rFonts w:asciiTheme="minorHAnsi" w:hAnsiTheme="minorHAnsi"/>
          <w:sz w:val="24"/>
          <w:szCs w:val="24"/>
        </w:rPr>
      </w:pPr>
    </w:p>
    <w:p w14:paraId="6A84DD40" w14:textId="77777777" w:rsidR="0082775B" w:rsidRPr="000D3432" w:rsidRDefault="0082775B" w:rsidP="00A95498">
      <w:pPr>
        <w:pStyle w:val="Textodecuerpo3"/>
        <w:spacing w:after="0"/>
        <w:jc w:val="both"/>
        <w:rPr>
          <w:rFonts w:asciiTheme="minorHAnsi" w:hAnsiTheme="minorHAnsi"/>
          <w:sz w:val="24"/>
          <w:szCs w:val="24"/>
        </w:rPr>
      </w:pPr>
      <w:r w:rsidRPr="000D3432">
        <w:rPr>
          <w:rFonts w:asciiTheme="minorHAnsi" w:hAnsiTheme="minorHAnsi"/>
          <w:sz w:val="24"/>
          <w:szCs w:val="24"/>
        </w:rPr>
        <w:t xml:space="preserve">Por medio de la cual  “El Estado tiene la obligación de entrega la información que demanden las personas en aplicación del principio de publicidad.”. Contemplado en el </w:t>
      </w:r>
      <w:r w:rsidRPr="000D3432">
        <w:rPr>
          <w:rFonts w:asciiTheme="minorHAnsi" w:hAnsiTheme="minorHAnsi"/>
          <w:i/>
          <w:sz w:val="24"/>
          <w:szCs w:val="24"/>
        </w:rPr>
        <w:t>T.U.O. de la Ley N° 27806, Ley de transparencia y acceso a la información publica, Art. 3°, inciso 3.</w:t>
      </w:r>
    </w:p>
    <w:p w14:paraId="0628CF99" w14:textId="77777777" w:rsidR="0082775B" w:rsidRPr="000D3432" w:rsidRDefault="0082775B" w:rsidP="00A95498">
      <w:pPr>
        <w:jc w:val="both"/>
        <w:rPr>
          <w:rFonts w:asciiTheme="minorHAnsi" w:hAnsiTheme="minorHAnsi"/>
          <w:b/>
          <w:szCs w:val="24"/>
        </w:rPr>
      </w:pPr>
    </w:p>
    <w:p w14:paraId="66B0D0E9"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12.- PRINCIPIOS QUE CONSAGRAN EL DERECHO AL ACCESO A LA INFORMACIÓN PÚBLICA</w:t>
      </w:r>
    </w:p>
    <w:p w14:paraId="284B5A8E" w14:textId="77777777" w:rsidR="0082775B" w:rsidRPr="000D3432" w:rsidRDefault="0082775B" w:rsidP="00A95498">
      <w:pPr>
        <w:ind w:left="708"/>
        <w:jc w:val="both"/>
        <w:rPr>
          <w:rFonts w:asciiTheme="minorHAnsi" w:hAnsiTheme="minorHAnsi"/>
          <w:szCs w:val="24"/>
        </w:rPr>
      </w:pPr>
    </w:p>
    <w:p w14:paraId="6DDDC03E" w14:textId="77777777" w:rsidR="0082775B" w:rsidRPr="000D3432" w:rsidRDefault="0082775B" w:rsidP="00A95498">
      <w:pPr>
        <w:jc w:val="both"/>
        <w:rPr>
          <w:rFonts w:asciiTheme="minorHAnsi" w:hAnsiTheme="minorHAnsi"/>
          <w:i/>
          <w:szCs w:val="24"/>
        </w:rPr>
      </w:pPr>
      <w:r w:rsidRPr="000D3432">
        <w:rPr>
          <w:rFonts w:asciiTheme="minorHAnsi" w:hAnsiTheme="minorHAnsi"/>
          <w:b/>
          <w:szCs w:val="24"/>
        </w:rPr>
        <w:t xml:space="preserve">12.1.- PRINCIPIO DE PARTICIPACIÓN:  </w:t>
      </w:r>
      <w:r w:rsidRPr="000D3432">
        <w:rPr>
          <w:rFonts w:asciiTheme="minorHAnsi" w:hAnsiTheme="minorHAnsi"/>
          <w:szCs w:val="24"/>
        </w:rPr>
        <w:t xml:space="preserve">“Se trata de revelar expresamente el permanente y libre acceso a la información para todos los administrados, sin que para ello sea necesario dar razón, explicación o expresar causa alguna (…) con la reserva de aquellas vinculadas a la seguridad nacional o que afecten la intimidad de las personas; (…), es evidente la intención del legislador de tener procedimientos administrativos, transparentes y que inclusive permitan que los administrados y sus representantes sean actores, enriqueciendo y perfeccionando las decisiones públicas.” </w:t>
      </w:r>
      <w:r w:rsidRPr="000D3432">
        <w:rPr>
          <w:rFonts w:asciiTheme="minorHAnsi" w:hAnsiTheme="minorHAnsi"/>
          <w:i/>
          <w:szCs w:val="24"/>
        </w:rPr>
        <w:t>(Dante A. Cervantes Anaya. Manual de Derecho Administrativo. Editorial Rodhas. pp. 393).</w:t>
      </w:r>
    </w:p>
    <w:p w14:paraId="6F24EF60" w14:textId="77777777" w:rsidR="0082775B" w:rsidRPr="000D3432" w:rsidRDefault="0082775B" w:rsidP="00A95498">
      <w:pPr>
        <w:ind w:left="708"/>
        <w:jc w:val="both"/>
        <w:rPr>
          <w:rFonts w:asciiTheme="minorHAnsi" w:hAnsiTheme="minorHAnsi"/>
          <w:szCs w:val="24"/>
        </w:rPr>
      </w:pPr>
    </w:p>
    <w:p w14:paraId="77002298" w14:textId="77777777" w:rsidR="0082775B" w:rsidRPr="000D3432" w:rsidRDefault="0082775B" w:rsidP="00A95498">
      <w:pPr>
        <w:jc w:val="both"/>
        <w:rPr>
          <w:rFonts w:asciiTheme="minorHAnsi" w:hAnsiTheme="minorHAnsi"/>
          <w:i/>
          <w:szCs w:val="24"/>
        </w:rPr>
      </w:pPr>
      <w:r w:rsidRPr="000D3432">
        <w:rPr>
          <w:rFonts w:asciiTheme="minorHAnsi" w:hAnsiTheme="minorHAnsi"/>
          <w:szCs w:val="24"/>
        </w:rPr>
        <w:t>“Las entidades deben brindar las condiciones necesarias a todos los administrados para acceder a la información que administren, sin expresión de causa, salvo aquellas que afectan la intimidad personal, las vinculadas a la seguridad nacional o las que expresamente sean excluidas por la ley; y extender las posibilidades de participación de los administrados y de sus representantes, en aquellas decisiones públicas que les puedan afectar, mediante cualquier sistema que permita la difusión, el servicio de acceso a la información y la presentación de opinión.” (</w:t>
      </w:r>
      <w:r w:rsidRPr="000D3432">
        <w:rPr>
          <w:rFonts w:asciiTheme="minorHAnsi" w:hAnsiTheme="minorHAnsi"/>
          <w:i/>
          <w:szCs w:val="24"/>
        </w:rPr>
        <w:t>Ley 27444, Art. IV, 1.12.).</w:t>
      </w:r>
    </w:p>
    <w:p w14:paraId="5B3C10A3" w14:textId="77777777" w:rsidR="0082775B" w:rsidRPr="000D3432" w:rsidRDefault="0082775B" w:rsidP="00A95498">
      <w:pPr>
        <w:ind w:left="708"/>
        <w:jc w:val="both"/>
        <w:rPr>
          <w:rFonts w:asciiTheme="minorHAnsi" w:hAnsiTheme="minorHAnsi"/>
          <w:szCs w:val="24"/>
        </w:rPr>
      </w:pPr>
    </w:p>
    <w:p w14:paraId="2A571AF4" w14:textId="77777777" w:rsidR="0082775B" w:rsidRPr="000D3432" w:rsidRDefault="0082775B" w:rsidP="00A95498">
      <w:pPr>
        <w:jc w:val="both"/>
        <w:rPr>
          <w:rFonts w:asciiTheme="minorHAnsi" w:hAnsiTheme="minorHAnsi"/>
          <w:i/>
          <w:szCs w:val="24"/>
        </w:rPr>
      </w:pPr>
      <w:r w:rsidRPr="000D3432">
        <w:rPr>
          <w:rFonts w:asciiTheme="minorHAnsi" w:hAnsiTheme="minorHAnsi"/>
          <w:b/>
          <w:szCs w:val="24"/>
        </w:rPr>
        <w:t xml:space="preserve">12.2.-PRINCIPIO DE PUBLICIDAD: </w:t>
      </w:r>
      <w:r w:rsidRPr="000D3432">
        <w:rPr>
          <w:rFonts w:asciiTheme="minorHAnsi" w:hAnsiTheme="minorHAnsi"/>
          <w:szCs w:val="24"/>
        </w:rPr>
        <w:t xml:space="preserve">“Son principios y derechos de la función jurisdiccional: 4) La publicidad de los procesos, salvo disposición contraria a la ley. Los procesos judiciales por responsabilidad de funcionarios públicos, y por los delitos cometidos por medio de la prensa y los que se refieren a derechos fundamentales garantizados por la Constitución, son siempre públicos.”. Esto de acuerdo a la </w:t>
      </w:r>
      <w:r w:rsidRPr="000D3432">
        <w:rPr>
          <w:rFonts w:asciiTheme="minorHAnsi" w:hAnsiTheme="minorHAnsi"/>
          <w:i/>
          <w:szCs w:val="24"/>
        </w:rPr>
        <w:t>Constitución, Art. 139° inciso 4.</w:t>
      </w:r>
    </w:p>
    <w:p w14:paraId="6AB1BF08" w14:textId="77777777" w:rsidR="0082775B" w:rsidRPr="000D3432" w:rsidRDefault="0082775B" w:rsidP="00A95498">
      <w:pPr>
        <w:ind w:firstLine="708"/>
        <w:jc w:val="both"/>
        <w:rPr>
          <w:rFonts w:asciiTheme="minorHAnsi" w:hAnsiTheme="minorHAnsi"/>
          <w:b/>
          <w:szCs w:val="24"/>
        </w:rPr>
      </w:pPr>
    </w:p>
    <w:p w14:paraId="3FFA7F2E" w14:textId="77777777" w:rsidR="0082775B" w:rsidRPr="000D3432" w:rsidRDefault="0082775B" w:rsidP="00A95498">
      <w:pPr>
        <w:jc w:val="both"/>
        <w:rPr>
          <w:rFonts w:asciiTheme="minorHAnsi" w:hAnsiTheme="minorHAnsi"/>
          <w:i/>
          <w:szCs w:val="24"/>
        </w:rPr>
      </w:pPr>
      <w:r w:rsidRPr="000D3432">
        <w:rPr>
          <w:rFonts w:asciiTheme="minorHAnsi" w:hAnsiTheme="minorHAnsi"/>
          <w:szCs w:val="24"/>
        </w:rPr>
        <w:t>Además, la Declaración Universal de los Derechos Humanos, (Aprobada por la Resolución Legislativa N° 13282, del 15 de diciembre del 1959), establece el derecho a investigar y recibir información, así como el Pacto Internacional de Derechos Civiles y Políticos (Aprobado por Decreto Ley N° 22128. Entró en vigor en el Perú el 28 de julio de 1978. Asimismo la Convención Americana sobre Derechos Humanos (Aprobado por Decreto Ley N° 22231. Entró en vigencia el 28 de julio de 1978). (</w:t>
      </w:r>
      <w:r w:rsidRPr="000D3432">
        <w:rPr>
          <w:rFonts w:asciiTheme="minorHAnsi" w:hAnsiTheme="minorHAnsi"/>
          <w:i/>
          <w:szCs w:val="24"/>
        </w:rPr>
        <w:t xml:space="preserve">Declaración Universal de Derechos Humanos, Art. 19°; Resolución Legislativa N° 13282; Pacto Internacional de Derechos Civiles y Políticos, Artículo 19°, inciso 2; Decreto Ley N° 22128; Convención Americana sobre Derechos Humanos. Art. 13°, inciso 1, 2). </w:t>
      </w:r>
    </w:p>
    <w:p w14:paraId="07EDE96C" w14:textId="77777777" w:rsidR="0082775B" w:rsidRPr="000D3432" w:rsidRDefault="0082775B" w:rsidP="00A95498">
      <w:pPr>
        <w:ind w:left="708"/>
        <w:jc w:val="both"/>
        <w:rPr>
          <w:rFonts w:asciiTheme="minorHAnsi" w:hAnsiTheme="minorHAnsi"/>
          <w:i/>
          <w:szCs w:val="24"/>
        </w:rPr>
      </w:pPr>
    </w:p>
    <w:p w14:paraId="4D208251"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lastRenderedPageBreak/>
        <w:t xml:space="preserve">12.3.-PRINCIPIO DE PUBLICIDAD. DERECHO A FORMULAR ANÁLISIS Y CRÍTICAS DE LAS RESOLUCIONES JUDICIALES: </w:t>
      </w:r>
      <w:r w:rsidRPr="000D3432">
        <w:rPr>
          <w:rFonts w:asciiTheme="minorHAnsi" w:hAnsiTheme="minorHAnsi"/>
          <w:szCs w:val="24"/>
        </w:rPr>
        <w:t xml:space="preserve">Por la cual “Toda actuación judicial es pública, con las excepciones que la Constitución y las leyes autorizan. Tienen el mismo carácter los registros, archivos y copias de los actuados judiciales fenecidos que se conserven, de acuerdo a ley. Toda persona debidamente identificada puede acceder a los mismos para solicitar su estudio o copia certificada, con las restricciones que establece la ley. Cualquier decisión judicial, recaída en un proceso fenecido, puede ser objeto de análisis y crítica, con las limitaciones que la ley señala.” ( </w:t>
      </w:r>
      <w:r w:rsidRPr="000D3432">
        <w:rPr>
          <w:rFonts w:asciiTheme="minorHAnsi" w:hAnsiTheme="minorHAnsi"/>
          <w:i/>
          <w:szCs w:val="24"/>
        </w:rPr>
        <w:t>T.U.O. de la Ley Orgánica del Poder Judicial, Art. 10°).</w:t>
      </w:r>
    </w:p>
    <w:p w14:paraId="73342C19" w14:textId="77777777" w:rsidR="0082775B" w:rsidRPr="000D3432" w:rsidRDefault="0082775B" w:rsidP="00A95498">
      <w:pPr>
        <w:ind w:left="708"/>
        <w:jc w:val="both"/>
        <w:rPr>
          <w:rFonts w:asciiTheme="minorHAnsi" w:hAnsiTheme="minorHAnsi"/>
          <w:szCs w:val="24"/>
        </w:rPr>
      </w:pPr>
    </w:p>
    <w:p w14:paraId="338CB0A5"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12.4.-PRINCIPIO DE PREDICTIBILIDAD: </w:t>
      </w:r>
      <w:r w:rsidRPr="000D3432">
        <w:rPr>
          <w:rFonts w:asciiTheme="minorHAnsi" w:hAnsiTheme="minorHAnsi"/>
          <w:szCs w:val="24"/>
        </w:rPr>
        <w:t>Por la que “La autoridad administrativa deberá brindar a los administrados o sus representantes información veraz, completa y confiable sobre cada trámite, de modo tal que  su inicio, el administrado pueda tener una conciencia bastante certera del cuál será el resultado final que se obtendrá.” (</w:t>
      </w:r>
      <w:r w:rsidRPr="000D3432">
        <w:rPr>
          <w:rFonts w:asciiTheme="minorHAnsi" w:hAnsiTheme="minorHAnsi"/>
          <w:i/>
          <w:szCs w:val="24"/>
        </w:rPr>
        <w:t>Ley 27444, Art. 1.15).</w:t>
      </w:r>
    </w:p>
    <w:p w14:paraId="376183A2" w14:textId="77777777" w:rsidR="0082775B" w:rsidRPr="000D3432" w:rsidRDefault="0082775B" w:rsidP="00A95498">
      <w:pPr>
        <w:ind w:left="708"/>
        <w:jc w:val="both"/>
        <w:rPr>
          <w:rFonts w:asciiTheme="minorHAnsi" w:hAnsiTheme="minorHAnsi"/>
          <w:szCs w:val="24"/>
        </w:rPr>
      </w:pPr>
    </w:p>
    <w:p w14:paraId="3303A196"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13.- DERECHO DE ACCESO A LOS EXPEDIENTES:</w:t>
      </w:r>
    </w:p>
    <w:p w14:paraId="2D5AD920" w14:textId="77777777" w:rsidR="0082775B" w:rsidRPr="000D3432" w:rsidRDefault="0082775B" w:rsidP="00A95498">
      <w:pPr>
        <w:ind w:left="708"/>
        <w:jc w:val="both"/>
        <w:rPr>
          <w:rFonts w:asciiTheme="minorHAnsi" w:hAnsiTheme="minorHAnsi"/>
          <w:szCs w:val="24"/>
        </w:rPr>
      </w:pPr>
    </w:p>
    <w:p w14:paraId="11486E1B"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 xml:space="preserve">13.1.- ACCESO A EXPEDIENTES EN GIRO: </w:t>
      </w:r>
      <w:r w:rsidRPr="000D3432">
        <w:rPr>
          <w:rFonts w:asciiTheme="minorHAnsi" w:hAnsiTheme="minorHAnsi"/>
          <w:szCs w:val="24"/>
        </w:rPr>
        <w:t>“Las partes, sus apoderados o sus abogados, tienen acceso a los expedientes en giro, con las excepciones que establece la ley. En ningún caso son retirados del despacho judicial, salvo los casos permitidos por la Ley. (</w:t>
      </w:r>
      <w:r w:rsidRPr="000D3432">
        <w:rPr>
          <w:rFonts w:asciiTheme="minorHAnsi" w:hAnsiTheme="minorHAnsi"/>
          <w:i/>
          <w:szCs w:val="24"/>
        </w:rPr>
        <w:t>T.U.O. de la Ley Orgánica del Poder Judicial, Art. 171).</w:t>
      </w:r>
    </w:p>
    <w:p w14:paraId="22B4AE3E" w14:textId="77777777" w:rsidR="0082775B" w:rsidRPr="000D3432" w:rsidRDefault="0082775B" w:rsidP="00A95498">
      <w:pPr>
        <w:jc w:val="both"/>
        <w:rPr>
          <w:rFonts w:asciiTheme="minorHAnsi" w:hAnsiTheme="minorHAnsi"/>
          <w:szCs w:val="24"/>
        </w:rPr>
      </w:pPr>
    </w:p>
    <w:p w14:paraId="088D4F5A"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13.2.-PUBLICIDAD DEL JUICIO ORAL:</w:t>
      </w:r>
      <w:r w:rsidRPr="000D3432">
        <w:rPr>
          <w:rFonts w:asciiTheme="minorHAnsi" w:hAnsiTheme="minorHAnsi"/>
          <w:szCs w:val="24"/>
        </w:rPr>
        <w:t xml:space="preserve"> “El juicio será oral y público ante los Tribunales Correccionales, constituidos en cada Corte Superior por una Sala compuesta de tres Vocales. ( Código de Procedimientos penales /Ley N° 9024, Art. 207).</w:t>
      </w:r>
    </w:p>
    <w:p w14:paraId="3029E678" w14:textId="77777777" w:rsidR="0082775B" w:rsidRPr="000D3432" w:rsidRDefault="0082775B" w:rsidP="00A95498">
      <w:pPr>
        <w:ind w:left="708"/>
        <w:jc w:val="both"/>
        <w:rPr>
          <w:rFonts w:asciiTheme="minorHAnsi" w:hAnsiTheme="minorHAnsi"/>
          <w:i/>
          <w:szCs w:val="24"/>
        </w:rPr>
      </w:pPr>
    </w:p>
    <w:p w14:paraId="527B5AF7"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13.3.-PUBLICIDAD DEL JUICIO ORAL: </w:t>
      </w:r>
      <w:r w:rsidRPr="000D3432">
        <w:rPr>
          <w:rFonts w:asciiTheme="minorHAnsi" w:hAnsiTheme="minorHAnsi"/>
          <w:szCs w:val="24"/>
        </w:rPr>
        <w:t>“Las audiencias del juicio oral serán públicas, bajo pena de nulidad. En casos excepcionales, por acuerdo del Tribunal, puede resolverse que la audiencia se celebre en privado o con una concurrencia limitada de personas. Para excluir a los representantes de la prensa, se requiere también acuerdo del Tribunal.” (Código de Procedimientos penales /Ley N° 9024, Art. 215).</w:t>
      </w:r>
    </w:p>
    <w:p w14:paraId="615D999C" w14:textId="77777777" w:rsidR="0082775B" w:rsidRPr="000D3432" w:rsidRDefault="0082775B" w:rsidP="00A95498">
      <w:pPr>
        <w:jc w:val="both"/>
        <w:rPr>
          <w:rFonts w:asciiTheme="minorHAnsi" w:hAnsiTheme="minorHAnsi"/>
          <w:b/>
          <w:szCs w:val="24"/>
        </w:rPr>
      </w:pPr>
    </w:p>
    <w:p w14:paraId="5EDAD461"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13.4.-DERECHOS DE LOS ADMINISTRADOS: </w:t>
      </w:r>
      <w:r w:rsidRPr="000D3432">
        <w:rPr>
          <w:rFonts w:asciiTheme="minorHAnsi" w:hAnsiTheme="minorHAnsi"/>
          <w:szCs w:val="24"/>
        </w:rPr>
        <w:t xml:space="preserve"> “Son derechos de los administrados con respecto al procedimiento administrativo, los siguientes: 1.-Acceder, en cualquier momento, de manera directa y sin limitación alguna a la información contenida en los expedientes de los procedimientos administrativos en que sean partes y a obtener copias de los documentos contenidos en el mismo sufragando el costo que suponga su pedido, salvo las excepciones expresamente previstas por ley.” (</w:t>
      </w:r>
      <w:r w:rsidRPr="000D3432">
        <w:rPr>
          <w:rFonts w:asciiTheme="minorHAnsi" w:hAnsiTheme="minorHAnsi"/>
          <w:i/>
          <w:szCs w:val="24"/>
        </w:rPr>
        <w:t>Ley 27444, Art. 55).</w:t>
      </w:r>
    </w:p>
    <w:p w14:paraId="0C127DDC" w14:textId="77777777" w:rsidR="0082775B" w:rsidRPr="000D3432" w:rsidRDefault="0082775B" w:rsidP="00A95498">
      <w:pPr>
        <w:ind w:left="708"/>
        <w:jc w:val="both"/>
        <w:rPr>
          <w:rFonts w:asciiTheme="minorHAnsi" w:hAnsiTheme="minorHAnsi"/>
          <w:b/>
          <w:i/>
          <w:szCs w:val="24"/>
        </w:rPr>
      </w:pPr>
    </w:p>
    <w:p w14:paraId="3C73149F"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13.5.-</w:t>
      </w:r>
      <w:r w:rsidRPr="000D3432">
        <w:rPr>
          <w:rFonts w:asciiTheme="minorHAnsi" w:hAnsiTheme="minorHAnsi"/>
          <w:b/>
          <w:i/>
          <w:szCs w:val="24"/>
        </w:rPr>
        <w:t>ADMINISTRADO</w:t>
      </w:r>
      <w:r w:rsidRPr="000D3432">
        <w:rPr>
          <w:rFonts w:asciiTheme="minorHAnsi" w:hAnsiTheme="minorHAnsi"/>
          <w:i/>
          <w:szCs w:val="24"/>
        </w:rPr>
        <w:t xml:space="preserve">: </w:t>
      </w:r>
      <w:r w:rsidRPr="000D3432">
        <w:rPr>
          <w:rFonts w:asciiTheme="minorHAnsi" w:hAnsiTheme="minorHAnsi"/>
          <w:szCs w:val="24"/>
        </w:rPr>
        <w:t xml:space="preserve"> “Se consideran administrados respecto de algún procedimiento administrativo concreto: 1.- Quienes lo promuevan como titulares de derechos o intereses legítimos individuales o colectivos. 2.- Aquellos </w:t>
      </w:r>
      <w:r w:rsidRPr="000D3432">
        <w:rPr>
          <w:rFonts w:asciiTheme="minorHAnsi" w:hAnsiTheme="minorHAnsi"/>
          <w:szCs w:val="24"/>
        </w:rPr>
        <w:lastRenderedPageBreak/>
        <w:t>que, sin haber iniciado el procedimiento, posean derechos o intereses legítimos que pueden resultar afectados por la decisión a adoptarse. (</w:t>
      </w:r>
      <w:r w:rsidRPr="000D3432">
        <w:rPr>
          <w:rFonts w:asciiTheme="minorHAnsi" w:hAnsiTheme="minorHAnsi"/>
          <w:i/>
          <w:szCs w:val="24"/>
        </w:rPr>
        <w:t>Ley N° 27444, Art. 51).</w:t>
      </w:r>
    </w:p>
    <w:p w14:paraId="25EAFE57" w14:textId="77777777" w:rsidR="0082775B" w:rsidRPr="000D3432" w:rsidRDefault="0082775B" w:rsidP="00A95498">
      <w:pPr>
        <w:ind w:left="708"/>
        <w:jc w:val="both"/>
        <w:rPr>
          <w:rFonts w:asciiTheme="minorHAnsi" w:hAnsiTheme="minorHAnsi"/>
          <w:szCs w:val="24"/>
        </w:rPr>
      </w:pPr>
    </w:p>
    <w:p w14:paraId="432C1CA2" w14:textId="77777777" w:rsidR="0082775B" w:rsidRPr="000D3432" w:rsidRDefault="0082775B" w:rsidP="00A95498">
      <w:pPr>
        <w:jc w:val="both"/>
        <w:rPr>
          <w:rFonts w:asciiTheme="minorHAnsi" w:hAnsiTheme="minorHAnsi"/>
          <w:szCs w:val="24"/>
        </w:rPr>
      </w:pPr>
      <w:r w:rsidRPr="000D3432">
        <w:rPr>
          <w:rFonts w:asciiTheme="minorHAnsi" w:hAnsiTheme="minorHAnsi"/>
          <w:b/>
          <w:szCs w:val="24"/>
        </w:rPr>
        <w:t xml:space="preserve">14.- LÍMITES Y EXCEPCIONES AL DERECHO AL ACCESO A LA INFORMACIÓN: </w:t>
      </w:r>
      <w:r w:rsidRPr="000D3432">
        <w:rPr>
          <w:rFonts w:asciiTheme="minorHAnsi" w:hAnsiTheme="minorHAnsi"/>
          <w:szCs w:val="24"/>
        </w:rPr>
        <w:t>Sin embargo los límites o excepciones al derecho de acceso a la información son en los siguientes casos: - Información que afecta a la intimidad personal; - Las que expresamente se excluyan por ley o razones de seguridad nacional; - El secreto Bancario. (solo puede ser levantada a solicitud de autoridad judicial, Fiscalía de la Nación, Comisión investigadora del Congreso); - La Reserva Tributaria. (solo puede ser levantada a solicitud de autoridad judicial, Fiscalía de la Nación, Comisión investigadora del Congreso).</w:t>
      </w:r>
    </w:p>
    <w:p w14:paraId="0E534234" w14:textId="77777777" w:rsidR="0082775B" w:rsidRPr="000D3432" w:rsidRDefault="0082775B" w:rsidP="00A95498">
      <w:pPr>
        <w:ind w:left="708"/>
        <w:jc w:val="both"/>
        <w:rPr>
          <w:rFonts w:asciiTheme="minorHAnsi" w:hAnsiTheme="minorHAnsi"/>
          <w:szCs w:val="24"/>
        </w:rPr>
      </w:pPr>
    </w:p>
    <w:p w14:paraId="2B1F8614"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14.1.- ACCESO A LA INFORMACIÓN Y LÍMITES:</w:t>
      </w:r>
      <w:r w:rsidRPr="000D3432">
        <w:rPr>
          <w:rFonts w:asciiTheme="minorHAnsi" w:hAnsiTheme="minorHAnsi"/>
          <w:szCs w:val="24"/>
        </w:rPr>
        <w:t xml:space="preserve">  “Los administrados, sus representantes o su abogado, tienen derecho de acceso al expediente en cualquier momento de su trámite, así como a sus documentos, antecedentes, estudios, informes y dictámenes, obtener certificaciones de su estado y recabar copias de las piezas que contiene, previo pago del costo de las mismas. Sólo se exceptúan aquellas actuaciones, diligencias, informes o dictámenes que contienen información cuyo conocimiento pueda afectar su derecho a la intimidad personal o familiar y las que expresamente se excluyan por ley o por razones de seguridad nacional de acuerdo a lo establecido ene. Inciso 5) del Artículo 2° de la Constitución Política. Adicionalmente se exceptúan las materias protegidas por el secreto bancario, tributario, comercial e industrial, así como todos aquellos documentos que impliquen un pronunciamiento previo por parte de la autoridad competente. ( </w:t>
      </w:r>
      <w:r w:rsidRPr="000D3432">
        <w:rPr>
          <w:rFonts w:asciiTheme="minorHAnsi" w:hAnsiTheme="minorHAnsi"/>
          <w:i/>
          <w:szCs w:val="24"/>
        </w:rPr>
        <w:t>Ley 27444, Art. 160.1).</w:t>
      </w:r>
    </w:p>
    <w:p w14:paraId="73678827" w14:textId="77777777" w:rsidR="0082775B" w:rsidRPr="000D3432" w:rsidRDefault="0082775B" w:rsidP="00A95498">
      <w:pPr>
        <w:ind w:left="708"/>
        <w:jc w:val="both"/>
        <w:rPr>
          <w:rFonts w:asciiTheme="minorHAnsi" w:hAnsiTheme="minorHAnsi"/>
          <w:szCs w:val="24"/>
        </w:rPr>
      </w:pPr>
    </w:p>
    <w:p w14:paraId="65DF26AB"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 xml:space="preserve">14.2.- RESERVA DE LA INSTRUCCIÓN: </w:t>
      </w:r>
      <w:r w:rsidRPr="000D3432">
        <w:rPr>
          <w:rFonts w:asciiTheme="minorHAnsi" w:hAnsiTheme="minorHAnsi"/>
          <w:szCs w:val="24"/>
        </w:rPr>
        <w:t xml:space="preserve"> “La instrucción tiene carácter de reservado. El defensor puede enterarse en el despacho del juez de las actuaciones a las que no haya asistido el inculpado bastando para ello que lo solicite verbalmente en las horas útiles del despacho judicial. Sin embargo, el juez peude ordenar que una actuación se mantenga en reserva por un tiempo determinado cuando juzgue que su conocimiento puede entorpecer o dificultar en alguna forma el éxito de la investigación que lleva a cabo. En todo caso cesa la reserva cuando se ponga la instrucción a disposición del defensor durante tres días en el juzgado para que informe de toda la instrucción, hay concurrido o no a las diligencias.”  (</w:t>
      </w:r>
      <w:r w:rsidRPr="000D3432">
        <w:rPr>
          <w:rFonts w:asciiTheme="minorHAnsi" w:hAnsiTheme="minorHAnsi"/>
          <w:i/>
          <w:szCs w:val="24"/>
        </w:rPr>
        <w:t xml:space="preserve">Código de Procedimientos penales /Ley N° 9024, Art. 73). </w:t>
      </w:r>
    </w:p>
    <w:p w14:paraId="3CDB5A8B" w14:textId="77777777" w:rsidR="0082775B" w:rsidRPr="000D3432" w:rsidRDefault="0082775B" w:rsidP="00A95498">
      <w:pPr>
        <w:jc w:val="both"/>
        <w:rPr>
          <w:rFonts w:asciiTheme="minorHAnsi" w:hAnsiTheme="minorHAnsi"/>
          <w:i/>
          <w:szCs w:val="24"/>
        </w:rPr>
      </w:pPr>
    </w:p>
    <w:p w14:paraId="462D59F7" w14:textId="77777777" w:rsidR="0082775B" w:rsidRPr="000D3432" w:rsidRDefault="0082775B" w:rsidP="00A95498">
      <w:pPr>
        <w:jc w:val="both"/>
        <w:rPr>
          <w:rFonts w:asciiTheme="minorHAnsi" w:hAnsiTheme="minorHAnsi"/>
          <w:b/>
          <w:szCs w:val="24"/>
        </w:rPr>
      </w:pPr>
      <w:r w:rsidRPr="000D3432">
        <w:rPr>
          <w:rFonts w:asciiTheme="minorHAnsi" w:hAnsiTheme="minorHAnsi"/>
          <w:b/>
          <w:szCs w:val="24"/>
        </w:rPr>
        <w:t>14.3.- RESERVA DE LAS AUDIENCIAS EN LOS CAOS DE DELITOS CONTRA LA LIBERTAD SEXUAL:</w:t>
      </w:r>
      <w:r w:rsidRPr="000D3432">
        <w:rPr>
          <w:rFonts w:asciiTheme="minorHAnsi" w:hAnsiTheme="minorHAnsi"/>
          <w:szCs w:val="24"/>
        </w:rPr>
        <w:t xml:space="preserve"> “En los casos de delitos contra el honor sexual, la audiencia se realizará siempre en privado. Sólo podrán concurrir las personas a quienes, por razones especiales, lo permita el Presidente del Tribunal Correccional.” ( </w:t>
      </w:r>
      <w:r w:rsidRPr="000D3432">
        <w:rPr>
          <w:rFonts w:asciiTheme="minorHAnsi" w:hAnsiTheme="minorHAnsi"/>
          <w:i/>
          <w:szCs w:val="24"/>
        </w:rPr>
        <w:t>Código de Procedimientos penales /Ley N° 9024, Art. 218).</w:t>
      </w:r>
    </w:p>
    <w:p w14:paraId="54E13FE8" w14:textId="77777777" w:rsidR="0082775B" w:rsidRPr="000D3432" w:rsidRDefault="0082775B" w:rsidP="00A95498">
      <w:pPr>
        <w:ind w:left="708"/>
        <w:jc w:val="both"/>
        <w:rPr>
          <w:rFonts w:asciiTheme="minorHAnsi" w:hAnsiTheme="minorHAnsi"/>
          <w:szCs w:val="24"/>
        </w:rPr>
      </w:pPr>
    </w:p>
    <w:p w14:paraId="605D85B0" w14:textId="77777777" w:rsidR="0082775B" w:rsidRPr="000D3432" w:rsidRDefault="0082775B" w:rsidP="00A95498">
      <w:pPr>
        <w:jc w:val="both"/>
        <w:rPr>
          <w:rFonts w:asciiTheme="minorHAnsi" w:hAnsiTheme="minorHAnsi"/>
          <w:i/>
          <w:szCs w:val="24"/>
        </w:rPr>
      </w:pPr>
      <w:r w:rsidRPr="000D3432">
        <w:rPr>
          <w:rFonts w:asciiTheme="minorHAnsi" w:hAnsiTheme="minorHAnsi"/>
          <w:b/>
          <w:szCs w:val="24"/>
        </w:rPr>
        <w:t xml:space="preserve">15.- VULNERACIÓN AL DERECHO DE ACCESO A LA INFORMACIÓN: </w:t>
      </w:r>
      <w:r w:rsidRPr="000D3432">
        <w:rPr>
          <w:rFonts w:asciiTheme="minorHAnsi" w:hAnsiTheme="minorHAnsi"/>
          <w:szCs w:val="24"/>
        </w:rPr>
        <w:t xml:space="preserve">Cuando se niegue a emitir información, por parte de cualquier autoridad procede La Acción de Hábeas Data, “Son garantías constitucionales: (…) La Acción de Hábeas Data, que procede contra el hecho u omisión, por parte de cualquier </w:t>
      </w:r>
      <w:r w:rsidRPr="000D3432">
        <w:rPr>
          <w:rFonts w:asciiTheme="minorHAnsi" w:hAnsiTheme="minorHAnsi"/>
          <w:szCs w:val="24"/>
        </w:rPr>
        <w:lastRenderedPageBreak/>
        <w:t xml:space="preserve">autoridad, funcionario o persona, que vulnera o amenaza los derechos a que se refiere el Artículo 21, inciso 5) y 6) de la Constitución (Inciso reformado mediante Ley N° 26470, publicado el 12 de Junio de 1995. ( </w:t>
      </w:r>
      <w:r w:rsidRPr="000D3432">
        <w:rPr>
          <w:rFonts w:asciiTheme="minorHAnsi" w:hAnsiTheme="minorHAnsi"/>
          <w:i/>
          <w:szCs w:val="24"/>
        </w:rPr>
        <w:t xml:space="preserve">Constitución, Art. 200°, inciso 3). </w:t>
      </w:r>
    </w:p>
    <w:p w14:paraId="7EDEAC0B" w14:textId="77777777" w:rsidR="0082775B" w:rsidRPr="000D3432" w:rsidRDefault="0082775B" w:rsidP="00A95498">
      <w:pPr>
        <w:rPr>
          <w:rFonts w:asciiTheme="minorHAnsi" w:hAnsiTheme="minorHAnsi"/>
          <w:szCs w:val="24"/>
        </w:rPr>
      </w:pPr>
    </w:p>
    <w:p w14:paraId="3F7B0C8B" w14:textId="77777777" w:rsidR="0082775B" w:rsidRPr="000D3432" w:rsidRDefault="0082775B" w:rsidP="00A95498">
      <w:pPr>
        <w:jc w:val="both"/>
        <w:rPr>
          <w:rFonts w:asciiTheme="minorHAnsi" w:hAnsiTheme="minorHAnsi"/>
          <w:szCs w:val="24"/>
        </w:rPr>
      </w:pPr>
      <w:r w:rsidRPr="000D3432">
        <w:rPr>
          <w:rFonts w:asciiTheme="minorHAnsi" w:hAnsiTheme="minorHAnsi"/>
          <w:szCs w:val="24"/>
        </w:rPr>
        <w:t>Por último, debemos agregar que si bien el tema tratado anteriormente está contemplado y regulado por la Constitución, nuestra preocupación no es necesariamente samaritana, sino empresarial. El hecho que esta interferencia en la vida privada, por el uso, y abuso, del derecho a la libertad de información y expresión, provoca que las fuerzas, y/o energías productivas se desvíen, y no se enfoque el real problema de nuestra sociedad: su capacidad productiva, empresarial, y la necesidad de regular e impulsar a través de esta regulación normativa (jurídica-económica-social) el desarrollo de nuestra sociedad. Y si bien deberíamos desarrollar el tema aquí, no es posible, por cuestiones sugestivamente internas del autor. Así que el presente análisis queda, pues, para un segundo momento.</w:t>
      </w:r>
    </w:p>
    <w:p w14:paraId="6E9D15B9" w14:textId="77777777" w:rsidR="0082775B" w:rsidRPr="000D3432" w:rsidRDefault="0082775B" w:rsidP="00A95498">
      <w:pPr>
        <w:rPr>
          <w:rFonts w:asciiTheme="minorHAnsi" w:hAnsiTheme="minorHAnsi"/>
          <w:szCs w:val="24"/>
        </w:rPr>
      </w:pPr>
    </w:p>
    <w:p w14:paraId="1B574342" w14:textId="51A6EBE4" w:rsidR="009E6E2E" w:rsidRPr="000D3432" w:rsidRDefault="009E6E2E">
      <w:pPr>
        <w:widowControl/>
        <w:overflowPunct/>
        <w:autoSpaceDE/>
        <w:autoSpaceDN/>
        <w:adjustRightInd/>
        <w:textAlignment w:val="auto"/>
        <w:rPr>
          <w:rFonts w:asciiTheme="minorHAnsi" w:hAnsiTheme="minorHAnsi"/>
          <w:szCs w:val="24"/>
        </w:rPr>
      </w:pPr>
      <w:r w:rsidRPr="000D3432">
        <w:rPr>
          <w:rFonts w:asciiTheme="minorHAnsi" w:hAnsiTheme="minorHAnsi"/>
          <w:szCs w:val="24"/>
        </w:rPr>
        <w:br w:type="page"/>
      </w:r>
    </w:p>
    <w:p w14:paraId="0BB463F8" w14:textId="77777777" w:rsidR="0050116F" w:rsidRPr="000D3432" w:rsidRDefault="0050116F" w:rsidP="00A95498">
      <w:pPr>
        <w:rPr>
          <w:rFonts w:asciiTheme="minorHAnsi" w:hAnsiTheme="minorHAnsi"/>
          <w:szCs w:val="24"/>
        </w:rPr>
      </w:pPr>
    </w:p>
    <w:p w14:paraId="226BE847" w14:textId="77777777" w:rsidR="009E6E2E" w:rsidRPr="000D3432" w:rsidRDefault="009E6E2E" w:rsidP="00A95498">
      <w:pPr>
        <w:rPr>
          <w:rFonts w:asciiTheme="minorHAnsi" w:hAnsiTheme="minorHAnsi"/>
          <w:szCs w:val="24"/>
        </w:rPr>
      </w:pPr>
    </w:p>
    <w:p w14:paraId="20BAB4B3" w14:textId="77777777" w:rsidR="009E6E2E" w:rsidRPr="000D3432" w:rsidRDefault="009E6E2E" w:rsidP="00A95498">
      <w:pPr>
        <w:rPr>
          <w:rFonts w:asciiTheme="minorHAnsi" w:hAnsiTheme="minorHAnsi"/>
          <w:szCs w:val="24"/>
        </w:rPr>
      </w:pPr>
    </w:p>
    <w:p w14:paraId="35B306C1" w14:textId="77777777" w:rsidR="009E6E2E" w:rsidRPr="000D3432" w:rsidRDefault="009E6E2E" w:rsidP="00A95498">
      <w:pPr>
        <w:rPr>
          <w:rFonts w:asciiTheme="minorHAnsi" w:hAnsiTheme="minorHAnsi"/>
          <w:szCs w:val="24"/>
        </w:rPr>
      </w:pPr>
    </w:p>
    <w:p w14:paraId="3016D7C8" w14:textId="77777777" w:rsidR="009E6E2E" w:rsidRPr="000D3432" w:rsidRDefault="009E6E2E" w:rsidP="00A95498">
      <w:pPr>
        <w:rPr>
          <w:rFonts w:asciiTheme="minorHAnsi" w:hAnsiTheme="minorHAnsi"/>
          <w:szCs w:val="24"/>
        </w:rPr>
      </w:pPr>
    </w:p>
    <w:p w14:paraId="7760D9F0" w14:textId="77777777" w:rsidR="009E6E2E" w:rsidRPr="000D3432" w:rsidRDefault="009E6E2E" w:rsidP="00A95498">
      <w:pPr>
        <w:rPr>
          <w:rFonts w:asciiTheme="minorHAnsi" w:hAnsiTheme="minorHAnsi"/>
          <w:szCs w:val="24"/>
        </w:rPr>
      </w:pPr>
    </w:p>
    <w:p w14:paraId="5995B490" w14:textId="77777777" w:rsidR="009E6E2E" w:rsidRPr="000D3432" w:rsidRDefault="009E6E2E" w:rsidP="00A95498">
      <w:pPr>
        <w:rPr>
          <w:rFonts w:asciiTheme="minorHAnsi" w:hAnsiTheme="minorHAnsi"/>
          <w:szCs w:val="24"/>
        </w:rPr>
      </w:pPr>
    </w:p>
    <w:p w14:paraId="33C920CD" w14:textId="77777777" w:rsidR="00890DE1" w:rsidRPr="00890DE1" w:rsidRDefault="00890DE1" w:rsidP="009E6E2E">
      <w:pPr>
        <w:jc w:val="center"/>
        <w:rPr>
          <w:rFonts w:asciiTheme="minorHAnsi" w:hAnsiTheme="minorHAnsi"/>
          <w:b/>
          <w:color w:val="008000"/>
          <w:sz w:val="40"/>
          <w:szCs w:val="24"/>
          <w:lang w:val="es-ES_tradnl"/>
        </w:rPr>
      </w:pPr>
      <w:r w:rsidRPr="00890DE1">
        <w:rPr>
          <w:rFonts w:asciiTheme="minorHAnsi" w:hAnsiTheme="minorHAnsi"/>
          <w:b/>
          <w:color w:val="008000"/>
          <w:sz w:val="40"/>
          <w:szCs w:val="24"/>
          <w:lang w:val="es-ES_tradnl"/>
        </w:rPr>
        <w:t>¿YO, EL DELINCUENTE?</w:t>
      </w:r>
    </w:p>
    <w:p w14:paraId="3B7F3208" w14:textId="7E25BF72" w:rsidR="009E6E2E" w:rsidRPr="000D3432" w:rsidRDefault="009E6E2E" w:rsidP="009E6E2E">
      <w:pPr>
        <w:jc w:val="center"/>
        <w:rPr>
          <w:rFonts w:asciiTheme="minorHAnsi" w:hAnsiTheme="minorHAnsi"/>
          <w:b/>
          <w:color w:val="008000"/>
          <w:szCs w:val="24"/>
          <w:lang w:val="es-ES_tradnl"/>
        </w:rPr>
      </w:pPr>
      <w:r w:rsidRPr="000D3432">
        <w:rPr>
          <w:rFonts w:asciiTheme="minorHAnsi" w:hAnsiTheme="minorHAnsi"/>
          <w:b/>
          <w:color w:val="008000"/>
          <w:szCs w:val="24"/>
          <w:lang w:val="es-ES_tradnl"/>
        </w:rPr>
        <w:t>DELITOS CONTRA LA ADMINISTRACIÓN PÚBLICA</w:t>
      </w:r>
    </w:p>
    <w:p w14:paraId="19AF22F8" w14:textId="77777777" w:rsidR="009E6E2E" w:rsidRPr="000D3432" w:rsidRDefault="009E6E2E" w:rsidP="009E6E2E">
      <w:pPr>
        <w:jc w:val="center"/>
        <w:rPr>
          <w:rFonts w:asciiTheme="minorHAnsi" w:hAnsiTheme="minorHAnsi"/>
          <w:b/>
          <w:color w:val="008000"/>
          <w:szCs w:val="24"/>
          <w:lang w:val="es-ES_tradnl"/>
        </w:rPr>
      </w:pPr>
      <w:r w:rsidRPr="000D3432">
        <w:rPr>
          <w:rFonts w:asciiTheme="minorHAnsi" w:hAnsiTheme="minorHAnsi"/>
          <w:b/>
          <w:color w:val="008000"/>
          <w:szCs w:val="24"/>
          <w:lang w:val="es-ES_tradnl"/>
        </w:rPr>
        <w:t>En las curvas del Derecho</w:t>
      </w:r>
    </w:p>
    <w:p w14:paraId="36B558B4" w14:textId="56E196A0" w:rsidR="009E6E2E" w:rsidRPr="000D3432" w:rsidRDefault="009E6E2E" w:rsidP="00890DE1">
      <w:pPr>
        <w:jc w:val="center"/>
        <w:rPr>
          <w:rFonts w:asciiTheme="minorHAnsi" w:hAnsiTheme="minorHAnsi"/>
          <w:b/>
          <w:color w:val="365F91"/>
          <w:szCs w:val="24"/>
          <w:lang w:val="es-ES_tradnl"/>
        </w:rPr>
      </w:pPr>
    </w:p>
    <w:p w14:paraId="6618CFE0" w14:textId="77777777" w:rsidR="009E6E2E" w:rsidRPr="000D3432" w:rsidRDefault="009E6E2E" w:rsidP="009E6E2E">
      <w:pPr>
        <w:jc w:val="center"/>
        <w:rPr>
          <w:rFonts w:asciiTheme="minorHAnsi" w:hAnsiTheme="minorHAnsi"/>
          <w:b/>
          <w:color w:val="365F91"/>
          <w:szCs w:val="24"/>
          <w:lang w:val="es-ES_tradnl"/>
        </w:rPr>
      </w:pPr>
    </w:p>
    <w:p w14:paraId="60EBA016" w14:textId="77777777" w:rsidR="009E6E2E" w:rsidRPr="000D3432" w:rsidRDefault="009E6E2E" w:rsidP="009E6E2E">
      <w:pPr>
        <w:jc w:val="center"/>
        <w:rPr>
          <w:rFonts w:asciiTheme="minorHAnsi" w:hAnsiTheme="minorHAnsi"/>
          <w:b/>
          <w:color w:val="365F91"/>
          <w:szCs w:val="24"/>
          <w:lang w:val="es-ES_tradnl"/>
        </w:rPr>
      </w:pPr>
    </w:p>
    <w:p w14:paraId="275C6E5D" w14:textId="77777777" w:rsidR="00890DE1" w:rsidRDefault="009E6E2E" w:rsidP="009E6E2E">
      <w:pPr>
        <w:jc w:val="center"/>
        <w:rPr>
          <w:rFonts w:asciiTheme="minorHAnsi" w:hAnsiTheme="minorHAnsi"/>
          <w:b/>
          <w:color w:val="365F91"/>
          <w:szCs w:val="24"/>
          <w:lang w:val="es-ES_tradnl"/>
        </w:rPr>
      </w:pPr>
      <w:r w:rsidRPr="000D3432">
        <w:rPr>
          <w:rFonts w:asciiTheme="minorHAnsi" w:hAnsiTheme="minorHAnsi"/>
          <w:b/>
          <w:color w:val="365F91"/>
          <w:szCs w:val="24"/>
          <w:lang w:val="es-ES_tradnl"/>
        </w:rPr>
        <w:t xml:space="preserve">Delitos cometidos por </w:t>
      </w:r>
    </w:p>
    <w:p w14:paraId="225C075F" w14:textId="77777777" w:rsidR="00890DE1" w:rsidRDefault="009E6E2E" w:rsidP="009E6E2E">
      <w:pPr>
        <w:jc w:val="center"/>
        <w:rPr>
          <w:rFonts w:asciiTheme="minorHAnsi" w:hAnsiTheme="minorHAnsi"/>
          <w:b/>
          <w:color w:val="365F91"/>
          <w:szCs w:val="24"/>
          <w:lang w:val="es-ES_tradnl"/>
        </w:rPr>
      </w:pPr>
      <w:r w:rsidRPr="000D3432">
        <w:rPr>
          <w:rFonts w:asciiTheme="minorHAnsi" w:hAnsiTheme="minorHAnsi"/>
          <w:b/>
          <w:color w:val="365F91"/>
          <w:szCs w:val="24"/>
          <w:lang w:val="es-ES_tradnl"/>
        </w:rPr>
        <w:t>Funcionarios, Servidores Públicos y Particulares</w:t>
      </w:r>
    </w:p>
    <w:p w14:paraId="4A69526B" w14:textId="3F938A46" w:rsidR="009E6E2E" w:rsidRPr="000D3432" w:rsidRDefault="009E6E2E" w:rsidP="009E6E2E">
      <w:pPr>
        <w:jc w:val="center"/>
        <w:rPr>
          <w:rFonts w:asciiTheme="minorHAnsi" w:hAnsiTheme="minorHAnsi"/>
          <w:b/>
          <w:color w:val="365F91"/>
          <w:szCs w:val="24"/>
          <w:lang w:val="es-ES_tradnl"/>
        </w:rPr>
      </w:pPr>
      <w:r w:rsidRPr="000D3432">
        <w:rPr>
          <w:rFonts w:asciiTheme="minorHAnsi" w:hAnsiTheme="minorHAnsi"/>
          <w:b/>
          <w:color w:val="365F91"/>
          <w:szCs w:val="24"/>
          <w:lang w:val="es-ES_tradnl"/>
        </w:rPr>
        <w:t xml:space="preserve"> contra la Administración Pública</w:t>
      </w:r>
    </w:p>
    <w:p w14:paraId="5F3CD333" w14:textId="77777777" w:rsidR="009E6E2E" w:rsidRPr="000D3432" w:rsidRDefault="009E6E2E" w:rsidP="00A95498">
      <w:pPr>
        <w:rPr>
          <w:rFonts w:asciiTheme="minorHAnsi" w:hAnsiTheme="minorHAnsi"/>
          <w:szCs w:val="24"/>
        </w:rPr>
      </w:pPr>
    </w:p>
    <w:p w14:paraId="458BB853" w14:textId="77777777" w:rsidR="009E6E2E" w:rsidRPr="000D3432" w:rsidRDefault="009E6E2E" w:rsidP="00A95498">
      <w:pPr>
        <w:rPr>
          <w:rFonts w:asciiTheme="minorHAnsi" w:hAnsiTheme="minorHAnsi"/>
          <w:szCs w:val="24"/>
        </w:rPr>
      </w:pPr>
    </w:p>
    <w:p w14:paraId="1C2B1FBF" w14:textId="77777777" w:rsidR="009E6E2E" w:rsidRPr="000D3432" w:rsidRDefault="009E6E2E" w:rsidP="00A95498">
      <w:pPr>
        <w:rPr>
          <w:rFonts w:asciiTheme="minorHAnsi" w:hAnsiTheme="minorHAnsi"/>
          <w:szCs w:val="24"/>
        </w:rPr>
      </w:pPr>
    </w:p>
    <w:p w14:paraId="3D6DA2D3" w14:textId="77777777" w:rsidR="009E6E2E" w:rsidRPr="000D3432" w:rsidRDefault="009E6E2E" w:rsidP="00A95498">
      <w:pPr>
        <w:rPr>
          <w:rFonts w:asciiTheme="minorHAnsi" w:hAnsiTheme="minorHAnsi"/>
          <w:szCs w:val="24"/>
        </w:rPr>
      </w:pPr>
    </w:p>
    <w:p w14:paraId="320C5A96" w14:textId="77777777" w:rsidR="009E6E2E" w:rsidRPr="000D3432" w:rsidRDefault="009E6E2E" w:rsidP="00A95498">
      <w:pPr>
        <w:rPr>
          <w:rFonts w:asciiTheme="minorHAnsi" w:hAnsiTheme="minorHAnsi"/>
          <w:szCs w:val="24"/>
        </w:rPr>
      </w:pPr>
    </w:p>
    <w:p w14:paraId="1EFBEF7B" w14:textId="0CDB933D" w:rsidR="00890DE1" w:rsidRDefault="00890DE1">
      <w:pPr>
        <w:widowControl/>
        <w:overflowPunct/>
        <w:autoSpaceDE/>
        <w:autoSpaceDN/>
        <w:adjustRightInd/>
        <w:textAlignment w:val="auto"/>
        <w:rPr>
          <w:rFonts w:asciiTheme="minorHAnsi" w:hAnsiTheme="minorHAnsi"/>
          <w:szCs w:val="24"/>
        </w:rPr>
      </w:pPr>
      <w:r>
        <w:rPr>
          <w:rFonts w:asciiTheme="minorHAnsi" w:hAnsiTheme="minorHAnsi"/>
          <w:szCs w:val="24"/>
        </w:rPr>
        <w:br w:type="page"/>
      </w:r>
    </w:p>
    <w:p w14:paraId="5EAC418E" w14:textId="77777777" w:rsidR="009E6E2E" w:rsidRPr="000D3432" w:rsidRDefault="009E6E2E" w:rsidP="00A95498">
      <w:pPr>
        <w:rPr>
          <w:rFonts w:asciiTheme="minorHAnsi" w:hAnsiTheme="minorHAnsi"/>
          <w:szCs w:val="24"/>
        </w:rPr>
      </w:pPr>
    </w:p>
    <w:p w14:paraId="7DBC07ED" w14:textId="77777777" w:rsidR="0050116F" w:rsidRPr="000D3432" w:rsidRDefault="0050116F" w:rsidP="00A95498">
      <w:pPr>
        <w:rPr>
          <w:rFonts w:asciiTheme="minorHAnsi" w:hAnsiTheme="minorHAnsi"/>
          <w:szCs w:val="24"/>
        </w:rPr>
      </w:pPr>
    </w:p>
    <w:p w14:paraId="436A4467" w14:textId="77777777" w:rsidR="009E6E2E" w:rsidRPr="000D3432" w:rsidRDefault="009E6E2E" w:rsidP="009E6E2E">
      <w:pPr>
        <w:jc w:val="center"/>
        <w:rPr>
          <w:rFonts w:asciiTheme="minorHAnsi" w:hAnsiTheme="minorHAnsi"/>
          <w:b/>
          <w:szCs w:val="24"/>
          <w:u w:val="single"/>
          <w:lang w:val="es-ES_tradnl"/>
        </w:rPr>
      </w:pPr>
      <w:r w:rsidRPr="000D3432">
        <w:rPr>
          <w:rFonts w:asciiTheme="minorHAnsi" w:hAnsiTheme="minorHAnsi"/>
          <w:b/>
          <w:szCs w:val="24"/>
          <w:u w:val="single"/>
          <w:lang w:val="es-ES_tradnl"/>
        </w:rPr>
        <w:t>CONTENIDO</w:t>
      </w:r>
    </w:p>
    <w:p w14:paraId="5ECF0473" w14:textId="77777777" w:rsidR="009E6E2E" w:rsidRPr="000D3432" w:rsidRDefault="009E6E2E" w:rsidP="009E6E2E">
      <w:pPr>
        <w:jc w:val="center"/>
        <w:rPr>
          <w:rFonts w:asciiTheme="minorHAnsi" w:hAnsiTheme="minorHAnsi"/>
          <w:b/>
          <w:szCs w:val="24"/>
          <w:lang w:val="es-ES_tradnl"/>
        </w:rPr>
      </w:pPr>
    </w:p>
    <w:p w14:paraId="46EA923C" w14:textId="77777777" w:rsidR="009E6E2E" w:rsidRPr="000D3432" w:rsidRDefault="009E6E2E" w:rsidP="009E6E2E">
      <w:pPr>
        <w:jc w:val="center"/>
        <w:rPr>
          <w:rFonts w:asciiTheme="minorHAnsi" w:hAnsiTheme="minorHAnsi"/>
          <w:b/>
          <w:szCs w:val="24"/>
          <w:lang w:val="es-ES_tradnl"/>
        </w:rPr>
      </w:pPr>
    </w:p>
    <w:p w14:paraId="2FF8D533" w14:textId="77777777" w:rsidR="009E6E2E" w:rsidRPr="000D3432" w:rsidRDefault="009E6E2E" w:rsidP="009E6E2E">
      <w:pPr>
        <w:jc w:val="center"/>
        <w:rPr>
          <w:rFonts w:asciiTheme="minorHAnsi" w:hAnsiTheme="minorHAnsi"/>
          <w:b/>
          <w:szCs w:val="24"/>
          <w:lang w:val="es-ES_tradnl"/>
        </w:rPr>
      </w:pPr>
    </w:p>
    <w:p w14:paraId="7817D15A" w14:textId="77777777" w:rsidR="009E6E2E" w:rsidRPr="000D3432" w:rsidRDefault="009E6E2E" w:rsidP="009E6E2E">
      <w:pPr>
        <w:jc w:val="center"/>
        <w:rPr>
          <w:rFonts w:asciiTheme="minorHAnsi" w:hAnsiTheme="minorHAnsi"/>
          <w:b/>
          <w:szCs w:val="24"/>
          <w:u w:val="single"/>
          <w:lang w:val="es-ES_tradnl"/>
        </w:rPr>
      </w:pPr>
      <w:r w:rsidRPr="000D3432">
        <w:rPr>
          <w:rFonts w:asciiTheme="minorHAnsi" w:hAnsiTheme="minorHAnsi"/>
          <w:b/>
          <w:szCs w:val="24"/>
          <w:u w:val="single"/>
          <w:lang w:val="es-ES_tradnl"/>
        </w:rPr>
        <w:t xml:space="preserve">Introducción </w:t>
      </w:r>
    </w:p>
    <w:p w14:paraId="44C76301" w14:textId="77777777" w:rsidR="009E6E2E" w:rsidRPr="000D3432" w:rsidRDefault="009E6E2E" w:rsidP="009E6E2E">
      <w:pPr>
        <w:jc w:val="both"/>
        <w:rPr>
          <w:rFonts w:asciiTheme="minorHAnsi" w:hAnsiTheme="minorHAnsi"/>
          <w:b/>
          <w:szCs w:val="24"/>
          <w:lang w:val="es-ES_tradnl"/>
        </w:rPr>
      </w:pPr>
    </w:p>
    <w:p w14:paraId="302DFA3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Los delitos cometidos contra la Administración Pública tienen una relevancia singular, por ser aquellos que se cometen contra la integridad política, moral, social y económica de todos los que –dentro de un sistema del pacto o contrato social- vivimos dentro de una determinada sociedad. Es un delito contra todos. </w:t>
      </w:r>
    </w:p>
    <w:p w14:paraId="6EE45263" w14:textId="77777777" w:rsidR="009E6E2E" w:rsidRPr="000D3432" w:rsidRDefault="009E6E2E" w:rsidP="009E6E2E">
      <w:pPr>
        <w:jc w:val="both"/>
        <w:rPr>
          <w:rFonts w:asciiTheme="minorHAnsi" w:hAnsiTheme="minorHAnsi"/>
          <w:szCs w:val="24"/>
          <w:lang w:val="es-ES_tradnl"/>
        </w:rPr>
      </w:pPr>
    </w:p>
    <w:p w14:paraId="4839945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enfoque que hemos tomado es desde la mayoría de lados procesales, puesto que –integrados dentro de una conceptualización que el derecho es sólo una «imputación subjetiva colectiva», el ejercicio del mismo es y debe ser parcial, así intentaremos ver los hechos desde los diferentes lados: juez, fiscal, procurador, abogado, agraviado, tercero civil, delincuente, a fin de dar una noción más general sobre el proceso judicial penal.</w:t>
      </w:r>
    </w:p>
    <w:p w14:paraId="5DF592C8" w14:textId="77777777" w:rsidR="009E6E2E" w:rsidRPr="000D3432" w:rsidRDefault="009E6E2E" w:rsidP="009E6E2E">
      <w:pPr>
        <w:jc w:val="both"/>
        <w:rPr>
          <w:rFonts w:asciiTheme="minorHAnsi" w:hAnsiTheme="minorHAnsi"/>
          <w:b/>
          <w:szCs w:val="24"/>
          <w:lang w:val="es-ES_tradnl"/>
        </w:rPr>
      </w:pPr>
    </w:p>
    <w:p w14:paraId="4A491815" w14:textId="7E2FD741" w:rsidR="009E6E2E" w:rsidRPr="00890DE1" w:rsidRDefault="00890DE1" w:rsidP="00890DE1">
      <w:pPr>
        <w:jc w:val="center"/>
        <w:rPr>
          <w:rFonts w:asciiTheme="minorHAnsi" w:hAnsiTheme="minorHAnsi"/>
          <w:b/>
          <w:szCs w:val="24"/>
          <w:lang w:val="es-ES_tradnl"/>
        </w:rPr>
      </w:pPr>
      <w:r>
        <w:rPr>
          <w:rFonts w:asciiTheme="minorHAnsi" w:hAnsiTheme="minorHAnsi"/>
          <w:b/>
          <w:szCs w:val="24"/>
          <w:lang w:val="es-ES_tradnl"/>
        </w:rPr>
        <w:t>***</w:t>
      </w:r>
    </w:p>
    <w:p w14:paraId="712DB66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César Beccaria, Michel Foucault, Zafaroni, Hurtado Pozo, Francesco Carnelutti, Jiménez de Azúa, </w:t>
      </w:r>
      <w:r w:rsidRPr="000D3432">
        <w:rPr>
          <w:rFonts w:asciiTheme="minorHAnsi" w:hAnsiTheme="minorHAnsi"/>
          <w:szCs w:val="24"/>
          <w:u w:val="single"/>
          <w:lang w:val="es-ES_tradnl"/>
        </w:rPr>
        <w:t>Claus Roxi, Jacoks</w:t>
      </w:r>
      <w:r w:rsidRPr="000D3432">
        <w:rPr>
          <w:rFonts w:asciiTheme="minorHAnsi" w:hAnsiTheme="minorHAnsi"/>
          <w:szCs w:val="24"/>
          <w:lang w:val="es-ES_tradnl"/>
        </w:rPr>
        <w:t xml:space="preserve">, entre otros autores, han explorado genialmente el Derecho desde el ángulo </w:t>
      </w:r>
      <w:bookmarkStart w:id="162" w:name="_GoBack"/>
      <w:bookmarkEnd w:id="162"/>
      <w:r w:rsidRPr="000D3432">
        <w:rPr>
          <w:rFonts w:asciiTheme="minorHAnsi" w:hAnsiTheme="minorHAnsi"/>
          <w:szCs w:val="24"/>
          <w:lang w:val="es-ES_tradnl"/>
        </w:rPr>
        <w:t xml:space="preserve">penal; aquella monstruosa capacidad del ser humano (transformado en Estado) para aplicar sanciones, para restringir o limitar las conductas, para arrebatarle al ser humano su condición de natural, de ser uno con la naturaleza, de hacer lo que sus instintos y su fuerza permitan. La gran explicación a este fenómeno: la civilización; la gran justificación: la humanización. Esto no quita, sin embargo, que en mérito a dichas razones se sigan cometiendo tremendas atrocidades, como recluir a un ser humano en cárceles, que aunque parece el único medio para combatir la actividad delictiva, no puede borrar la atrocidad de todo el sistema penitenciario, ni evitar las consecuencias nocivas de ello. </w:t>
      </w:r>
    </w:p>
    <w:p w14:paraId="01BC0A15" w14:textId="77777777" w:rsidR="009E6E2E" w:rsidRPr="000D3432" w:rsidRDefault="009E6E2E" w:rsidP="009E6E2E">
      <w:pPr>
        <w:jc w:val="both"/>
        <w:rPr>
          <w:rFonts w:asciiTheme="minorHAnsi" w:hAnsiTheme="minorHAnsi"/>
          <w:szCs w:val="24"/>
          <w:lang w:val="es-ES_tradnl"/>
        </w:rPr>
      </w:pPr>
    </w:p>
    <w:p w14:paraId="25DB67A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Desde otro ángulo, se puede observar que el Estado, la sociedad organizada, ha generado, desde su existencia, con su propia construcción, el centro o germen desde donde se pueden cometer delitos; una especie de hábitat, de vivienda, en el que los delitos pueden ser cometidos: el propio Estado. Esto se explica, en principio, con la propia creación de la norma jurídica, de una norma o regla de conducta. Y es que la naturaleza de toda regla es que puede ser transgredida, y por lo tanto mientras se creen reglas se crean a la vez a los transgresores, o delincuentes, y se crea en consecuencia el delito. Pero como se decía, existe un hábitat explícito, creado por el propio Estado, los delitos contra la administración pública.</w:t>
      </w:r>
    </w:p>
    <w:p w14:paraId="6D232E1B" w14:textId="77777777" w:rsidR="009E6E2E" w:rsidRPr="000D3432" w:rsidRDefault="009E6E2E" w:rsidP="009E6E2E">
      <w:pPr>
        <w:jc w:val="both"/>
        <w:rPr>
          <w:rFonts w:asciiTheme="minorHAnsi" w:hAnsiTheme="minorHAnsi"/>
          <w:b/>
          <w:szCs w:val="24"/>
          <w:lang w:val="es-ES_tradnl"/>
        </w:rPr>
      </w:pPr>
    </w:p>
    <w:p w14:paraId="79ACAF80" w14:textId="77777777" w:rsidR="009E6E2E" w:rsidRPr="000D3432" w:rsidRDefault="009E6E2E" w:rsidP="009E6E2E">
      <w:pPr>
        <w:jc w:val="both"/>
        <w:rPr>
          <w:rFonts w:asciiTheme="minorHAnsi" w:hAnsiTheme="minorHAnsi"/>
          <w:b/>
          <w:szCs w:val="24"/>
          <w:lang w:val="es-ES_tradnl"/>
        </w:rPr>
      </w:pPr>
    </w:p>
    <w:p w14:paraId="70D5BEB4" w14:textId="77777777" w:rsidR="009E6E2E" w:rsidRPr="000D3432" w:rsidRDefault="009E6E2E" w:rsidP="009E6E2E">
      <w:pPr>
        <w:jc w:val="both"/>
        <w:rPr>
          <w:rFonts w:asciiTheme="minorHAnsi" w:hAnsiTheme="minorHAnsi"/>
          <w:b/>
          <w:szCs w:val="24"/>
          <w:lang w:val="es-ES_tradnl"/>
        </w:rPr>
      </w:pPr>
    </w:p>
    <w:p w14:paraId="5301ED4F" w14:textId="77777777" w:rsidR="009E6E2E" w:rsidRPr="000D3432" w:rsidRDefault="009E6E2E" w:rsidP="009E6E2E">
      <w:pPr>
        <w:jc w:val="both"/>
        <w:rPr>
          <w:rFonts w:asciiTheme="minorHAnsi" w:hAnsiTheme="minorHAnsi"/>
          <w:b/>
          <w:szCs w:val="24"/>
          <w:u w:val="single"/>
          <w:lang w:val="es-ES_tradnl"/>
        </w:rPr>
      </w:pPr>
      <w:r w:rsidRPr="000D3432">
        <w:rPr>
          <w:rFonts w:asciiTheme="minorHAnsi" w:hAnsiTheme="minorHAnsi"/>
          <w:b/>
          <w:szCs w:val="24"/>
          <w:u w:val="single"/>
          <w:lang w:val="es-ES_tradnl"/>
        </w:rPr>
        <w:t>TITULO I</w:t>
      </w:r>
    </w:p>
    <w:p w14:paraId="0BF9DB8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DERECHO</w:t>
      </w:r>
    </w:p>
    <w:p w14:paraId="0B6765C5" w14:textId="77777777" w:rsidR="009E6E2E" w:rsidRPr="000D3432" w:rsidRDefault="009E6E2E" w:rsidP="009E6E2E">
      <w:pPr>
        <w:jc w:val="both"/>
        <w:rPr>
          <w:rFonts w:asciiTheme="minorHAnsi" w:hAnsiTheme="minorHAnsi"/>
          <w:b/>
          <w:szCs w:val="24"/>
          <w:lang w:val="es-ES_tradnl"/>
        </w:rPr>
      </w:pPr>
    </w:p>
    <w:p w14:paraId="18B7F1FD" w14:textId="77777777" w:rsidR="009E6E2E" w:rsidRPr="000D3432" w:rsidRDefault="009E6E2E" w:rsidP="009E6E2E">
      <w:pPr>
        <w:jc w:val="both"/>
        <w:rPr>
          <w:rFonts w:asciiTheme="minorHAnsi" w:hAnsiTheme="minorHAnsi"/>
          <w:b/>
          <w:szCs w:val="24"/>
          <w:u w:val="single"/>
          <w:lang w:val="es-ES_tradnl"/>
        </w:rPr>
      </w:pPr>
      <w:r w:rsidRPr="000D3432">
        <w:rPr>
          <w:rFonts w:asciiTheme="minorHAnsi" w:hAnsiTheme="minorHAnsi"/>
          <w:b/>
          <w:szCs w:val="24"/>
          <w:u w:val="single"/>
          <w:lang w:val="es-ES_tradnl"/>
        </w:rPr>
        <w:t>TITULO II</w:t>
      </w:r>
    </w:p>
    <w:p w14:paraId="63CB2BF5"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ESTADO</w:t>
      </w:r>
    </w:p>
    <w:p w14:paraId="046246ED" w14:textId="77777777" w:rsidR="009E6E2E" w:rsidRPr="000D3432" w:rsidRDefault="009E6E2E" w:rsidP="009E6E2E">
      <w:pPr>
        <w:jc w:val="both"/>
        <w:rPr>
          <w:rFonts w:asciiTheme="minorHAnsi" w:hAnsiTheme="minorHAnsi"/>
          <w:b/>
          <w:szCs w:val="24"/>
          <w:lang w:val="es-ES_tradnl"/>
        </w:rPr>
      </w:pPr>
    </w:p>
    <w:p w14:paraId="49479B4F" w14:textId="77777777" w:rsidR="009E6E2E" w:rsidRPr="000D3432" w:rsidRDefault="009E6E2E" w:rsidP="009E6E2E">
      <w:pPr>
        <w:jc w:val="both"/>
        <w:rPr>
          <w:rFonts w:asciiTheme="minorHAnsi" w:hAnsiTheme="minorHAnsi"/>
          <w:b/>
          <w:szCs w:val="24"/>
          <w:lang w:val="es-ES_tradnl"/>
        </w:rPr>
      </w:pPr>
    </w:p>
    <w:p w14:paraId="5B1DFBCA" w14:textId="77777777" w:rsidR="009E6E2E" w:rsidRPr="000D3432" w:rsidRDefault="009E6E2E" w:rsidP="009E6E2E">
      <w:pPr>
        <w:pStyle w:val="Ttulo4"/>
        <w:jc w:val="center"/>
        <w:rPr>
          <w:rFonts w:asciiTheme="minorHAnsi" w:hAnsiTheme="minorHAnsi"/>
          <w:u w:val="single"/>
          <w:lang w:val="es-ES_tradnl"/>
        </w:rPr>
      </w:pPr>
      <w:r w:rsidRPr="000D3432">
        <w:rPr>
          <w:rFonts w:asciiTheme="minorHAnsi" w:hAnsiTheme="minorHAnsi"/>
          <w:u w:val="single"/>
          <w:lang w:val="es-ES_tradnl"/>
        </w:rPr>
        <w:t>CAPÍTULO SEGUNDO</w:t>
      </w:r>
    </w:p>
    <w:p w14:paraId="28516946" w14:textId="77777777" w:rsidR="009E6E2E" w:rsidRPr="000D3432" w:rsidRDefault="009E6E2E" w:rsidP="009E6E2E">
      <w:pPr>
        <w:jc w:val="center"/>
        <w:rPr>
          <w:rFonts w:asciiTheme="minorHAnsi" w:hAnsiTheme="minorHAnsi"/>
          <w:b/>
          <w:szCs w:val="24"/>
          <w:lang w:val="es-ES_tradnl"/>
        </w:rPr>
      </w:pPr>
      <w:r w:rsidRPr="000D3432">
        <w:rPr>
          <w:rFonts w:asciiTheme="minorHAnsi" w:hAnsiTheme="minorHAnsi"/>
          <w:b/>
          <w:szCs w:val="24"/>
          <w:lang w:val="es-ES_tradnl"/>
        </w:rPr>
        <w:t>EL CONCEPTO DE ESTADO</w:t>
      </w:r>
    </w:p>
    <w:p w14:paraId="564063B1" w14:textId="77777777" w:rsidR="009E6E2E" w:rsidRPr="000D3432" w:rsidRDefault="009E6E2E" w:rsidP="009E6E2E">
      <w:pPr>
        <w:jc w:val="center"/>
        <w:rPr>
          <w:rFonts w:asciiTheme="minorHAnsi" w:hAnsiTheme="minorHAnsi"/>
          <w:b/>
          <w:szCs w:val="24"/>
          <w:lang w:val="es-ES_tradnl"/>
        </w:rPr>
      </w:pPr>
    </w:p>
    <w:p w14:paraId="7F3D5F27" w14:textId="77777777" w:rsidR="009E6E2E" w:rsidRPr="000D3432" w:rsidRDefault="009E6E2E" w:rsidP="009E6E2E">
      <w:pPr>
        <w:jc w:val="center"/>
        <w:rPr>
          <w:rFonts w:asciiTheme="minorHAnsi" w:hAnsiTheme="minorHAnsi"/>
          <w:b/>
          <w:szCs w:val="24"/>
          <w:lang w:val="es-ES_tradnl"/>
        </w:rPr>
      </w:pPr>
    </w:p>
    <w:p w14:paraId="707863E9" w14:textId="77777777" w:rsidR="009E6E2E" w:rsidRPr="000D3432" w:rsidRDefault="009E6E2E" w:rsidP="009E6E2E">
      <w:pPr>
        <w:jc w:val="center"/>
        <w:rPr>
          <w:rFonts w:asciiTheme="minorHAnsi" w:hAnsiTheme="minorHAnsi"/>
          <w:b/>
          <w:szCs w:val="24"/>
          <w:lang w:val="es-ES_tradnl"/>
        </w:rPr>
      </w:pPr>
    </w:p>
    <w:p w14:paraId="559DCE84" w14:textId="77777777" w:rsidR="009E6E2E" w:rsidRPr="000D3432" w:rsidRDefault="009E6E2E" w:rsidP="009E6E2E">
      <w:pPr>
        <w:jc w:val="center"/>
        <w:rPr>
          <w:rFonts w:asciiTheme="minorHAnsi" w:hAnsiTheme="minorHAnsi"/>
          <w:b/>
          <w:szCs w:val="24"/>
          <w:lang w:val="es-ES_tradnl"/>
        </w:rPr>
      </w:pPr>
      <w:r w:rsidRPr="000D3432">
        <w:rPr>
          <w:rFonts w:asciiTheme="minorHAnsi" w:hAnsiTheme="minorHAnsi"/>
          <w:b/>
          <w:szCs w:val="24"/>
          <w:lang w:val="es-ES_tradnl"/>
        </w:rPr>
        <w:t>I. NOCIONES GENERALES:</w:t>
      </w:r>
    </w:p>
    <w:p w14:paraId="220874F2" w14:textId="77777777" w:rsidR="009E6E2E" w:rsidRPr="000D3432" w:rsidRDefault="009E6E2E" w:rsidP="009E6E2E">
      <w:pPr>
        <w:jc w:val="center"/>
        <w:rPr>
          <w:rFonts w:asciiTheme="minorHAnsi" w:hAnsiTheme="minorHAnsi"/>
          <w:szCs w:val="24"/>
          <w:lang w:val="es-ES_tradnl"/>
        </w:rPr>
      </w:pPr>
    </w:p>
    <w:p w14:paraId="397B3D55" w14:textId="77777777" w:rsidR="009E6E2E" w:rsidRPr="000D3432" w:rsidRDefault="009E6E2E" w:rsidP="009E6E2E">
      <w:pPr>
        <w:jc w:val="center"/>
        <w:rPr>
          <w:rFonts w:asciiTheme="minorHAnsi" w:hAnsiTheme="minorHAnsi"/>
          <w:szCs w:val="24"/>
          <w:lang w:val="es-ES_tradnl"/>
        </w:rPr>
      </w:pPr>
    </w:p>
    <w:p w14:paraId="47ECC26A" w14:textId="77777777" w:rsidR="009E6E2E" w:rsidRPr="000D3432" w:rsidRDefault="009E6E2E" w:rsidP="009E6E2E">
      <w:pPr>
        <w:jc w:val="both"/>
        <w:rPr>
          <w:rFonts w:asciiTheme="minorHAnsi" w:hAnsiTheme="minorHAnsi"/>
          <w:szCs w:val="24"/>
          <w:lang w:val="es-ES_tradnl"/>
        </w:rPr>
      </w:pPr>
    </w:p>
    <w:p w14:paraId="60EB42DC" w14:textId="77777777" w:rsidR="009E6E2E" w:rsidRPr="000D3432" w:rsidRDefault="009E6E2E" w:rsidP="009E6E2E">
      <w:pPr>
        <w:pStyle w:val="BodyTextIndent21"/>
        <w:widowControl/>
        <w:rPr>
          <w:rFonts w:asciiTheme="minorHAnsi" w:hAnsiTheme="minorHAnsi"/>
          <w:szCs w:val="24"/>
          <w:lang w:val="es-ES_tradnl"/>
        </w:rPr>
      </w:pPr>
      <w:r w:rsidRPr="000D3432">
        <w:rPr>
          <w:rFonts w:asciiTheme="minorHAnsi" w:hAnsiTheme="minorHAnsi"/>
          <w:szCs w:val="24"/>
          <w:lang w:val="es-ES_tradnl"/>
        </w:rPr>
        <w:t>La idea del Estado es la idea de institución u organismo, pero no cualquier organismo, sino un organismo que concentra y monopoliza el poder, es la institución que organiza a la sociedad en un ente autónomo y dinámico. El Estado es un ente, y tiene o se define mejor como la “capitalización abstracta del poder, concentrando y separado de las posibles instancias concretas de la jerarquía” -diría Savater (89.Para la anarquía)</w:t>
      </w:r>
    </w:p>
    <w:p w14:paraId="3C70D068" w14:textId="77777777" w:rsidR="009E6E2E" w:rsidRPr="000D3432" w:rsidRDefault="009E6E2E" w:rsidP="009E6E2E">
      <w:pPr>
        <w:jc w:val="both"/>
        <w:rPr>
          <w:rFonts w:asciiTheme="minorHAnsi" w:hAnsiTheme="minorHAnsi"/>
          <w:szCs w:val="24"/>
          <w:lang w:val="es-ES_tradnl"/>
        </w:rPr>
      </w:pPr>
    </w:p>
    <w:p w14:paraId="4EF8017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Eso significa que cuando de Estado se habla -en esta concepción- se está uno refiriendo a un asunto económico, oscuro y político-jurídico. Decir capitalización, significa hablar de capital, es decir un recurso que tiene valor no en sí, sino en su condición de recurso, como mecanismo que permite y posibilita la generación, es decir, puede generar capitalización que es también acumulación y concentración o reunión de un grupo de fuerzas o potencias (posibilidad de ser) Pero si se trata de capitalización, se está hablando de un factor económico (no de mercado) eso significa el gobierno y administración de la riqueza, de concentración pues de la riqueza, y esa riqueza no es precisamente el dinero, sino el poder. El Estado es entonces capitalización, concentración, almacenamiento, acumulación de la riqueza y de todos los mecanismos generales globales de hacer, obtener esta riqueza, a través del poder, por eso se constituye como un rival del mercado, un poder paralelo al mercado, porque si bien el mercado tiene o maneja fenómenos económicos, no es Estado, es decir, no responde a una centralización, jerárquica de asignación de recursos, como imposición. El mercado es más bien democrático, porque permite que sean las partes, demandantes y ofertantes quienes decidan la asignación de recursos, o en donde colocar esta asignación de recursos. El Estado es, entonces, capitalización, concentración, acumulación, disposición y estructuración estratégica de la riqueza, y su almacenamiento origen y producción.</w:t>
      </w:r>
    </w:p>
    <w:p w14:paraId="1B5E2534" w14:textId="77777777" w:rsidR="009E6E2E" w:rsidRPr="000D3432" w:rsidRDefault="009E6E2E" w:rsidP="009E6E2E">
      <w:pPr>
        <w:jc w:val="both"/>
        <w:rPr>
          <w:rFonts w:asciiTheme="minorHAnsi" w:hAnsiTheme="minorHAnsi"/>
          <w:szCs w:val="24"/>
          <w:lang w:val="es-ES_tradnl"/>
        </w:rPr>
      </w:pPr>
    </w:p>
    <w:p w14:paraId="05C5FAF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Tres elementos entran en la capitalización, por trabajo, producción y distribución. El Estado entonces, organiza las formas de trabajo, cómo se produce y cómo se distribuye.</w:t>
      </w:r>
    </w:p>
    <w:p w14:paraId="173A46C7" w14:textId="77777777" w:rsidR="009E6E2E" w:rsidRPr="000D3432" w:rsidRDefault="009E6E2E" w:rsidP="009E6E2E">
      <w:pPr>
        <w:jc w:val="both"/>
        <w:rPr>
          <w:rFonts w:asciiTheme="minorHAnsi" w:hAnsiTheme="minorHAnsi"/>
          <w:szCs w:val="24"/>
          <w:lang w:val="es-ES_tradnl"/>
        </w:rPr>
      </w:pPr>
    </w:p>
    <w:p w14:paraId="31BA00B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Cuando se dice, luego que existe una condición abstracta puede aludirse a dos fenómenos, la oscuridad,. O la abstracción, es decir, ese tener características comunes de un fenómeno y olvidar las diferencias, trabajar con estas características comunes como hipótesis de proposiciones organizativas. Puede decirse que hay algo oscuro al determinar el Estado, pero puede decirse también que es una operación mental que trabaja con hipótesis no conocidas, o conocidos por medio del razonamiento, porque organizar una sociedad implica conocer ciertos elementos que conciernen y le dan contenido a esa sociedad. Organizar una sociedad es un acto complejo, porque lo que se organizan son los valores y conductas, los patrones de organización tienen que tener en cuenta el carácter diferencial de cada ser humano, tomarlo como individuo, pero en un contexto global, y jerárquico, el individuo es n elemento, pro no un elemento a la manera de un objeto, sino como sujeto o persona, es decir como representación, como ente ideal o eje de imputación de derechos y deberes y estos, derecho y deberes, son el margen, el marco de operacionalización del Estado; el Estado debe, pues, operacionalizar la organización de la sociedad, restringiendo su pode a estos derechos y deberes, capacidad que concentra, monopoliza, pues su pretensión es el destierro de cualquier otro poder, se propone luo como abstracto por la imposibilidad de aprehenderlo claramente, y esto imposibilidad se agranda cuando el número de integrantes aumenta, porque la organización se tiene que hacer más general, más abstracta, más compleja. Los sistemas de representación de la voluntad social emergen, en concordancia con el orden establecido para alcanzarlos. Por último, el poder como elemento del Estado es la parte política, aquella distribución o posibilidad de gobierno y dirección de la sociedad, poder que para ser eficaz necesita ser legitimado, es decir que sus condiciones se sometan a un proceso de legitimización y validez, producto de cierto saber dominante, de cierta especulación discursiva de vierto poder, “capacidad de afectar y ser afectado”.</w:t>
      </w:r>
    </w:p>
    <w:p w14:paraId="47BAE7DD" w14:textId="77777777" w:rsidR="009E6E2E" w:rsidRPr="000D3432" w:rsidRDefault="009E6E2E" w:rsidP="009E6E2E">
      <w:pPr>
        <w:jc w:val="both"/>
        <w:rPr>
          <w:rFonts w:asciiTheme="minorHAnsi" w:hAnsiTheme="minorHAnsi"/>
          <w:szCs w:val="24"/>
          <w:lang w:val="es-ES_tradnl"/>
        </w:rPr>
      </w:pPr>
    </w:p>
    <w:p w14:paraId="685DF2A2" w14:textId="77777777" w:rsidR="009E6E2E" w:rsidRPr="000D3432" w:rsidRDefault="009E6E2E" w:rsidP="009E6E2E">
      <w:pPr>
        <w:jc w:val="center"/>
        <w:rPr>
          <w:rFonts w:asciiTheme="minorHAnsi" w:hAnsiTheme="minorHAnsi"/>
          <w:szCs w:val="24"/>
          <w:lang w:val="es-ES_tradnl"/>
        </w:rPr>
      </w:pPr>
      <w:r w:rsidRPr="000D3432">
        <w:rPr>
          <w:rFonts w:asciiTheme="minorHAnsi" w:hAnsiTheme="minorHAnsi"/>
          <w:b/>
          <w:szCs w:val="24"/>
          <w:lang w:val="es-ES_tradnl"/>
        </w:rPr>
        <w:t>***</w:t>
      </w:r>
    </w:p>
    <w:p w14:paraId="77321986" w14:textId="77777777" w:rsidR="009E6E2E" w:rsidRPr="000D3432" w:rsidRDefault="009E6E2E" w:rsidP="009E6E2E">
      <w:pPr>
        <w:jc w:val="both"/>
        <w:rPr>
          <w:rFonts w:asciiTheme="minorHAnsi" w:hAnsiTheme="minorHAnsi"/>
          <w:szCs w:val="24"/>
          <w:lang w:val="es-ES_tradnl"/>
        </w:rPr>
      </w:pPr>
    </w:p>
    <w:p w14:paraId="580A205D" w14:textId="77777777" w:rsidR="009E6E2E" w:rsidRPr="000D3432" w:rsidRDefault="009E6E2E" w:rsidP="009E6E2E">
      <w:pPr>
        <w:jc w:val="both"/>
        <w:rPr>
          <w:rFonts w:asciiTheme="minorHAnsi" w:hAnsiTheme="minorHAnsi"/>
          <w:szCs w:val="24"/>
          <w:lang w:val="es-ES_tradnl"/>
        </w:rPr>
      </w:pPr>
    </w:p>
    <w:p w14:paraId="1788853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Estado es  un término tardío; nacido de la necesidad de designar aquel ente que entraba a gobernar, a dominar políticamente a una sociedad. Aparece como término derivado de la obra “El Príncipe” de Maquiavelo. Pero su inicio es sólo una afirmación de un nuevo tipo de organización social, no su conclusión. El Estado moderno es más tarde delimitado, afinado y pulido llegando a concluir un ente de poder, “poder hegemónico y fundamental”. Su clasificación moderna, la constitución de la que se le hace presa (Soberanía, territorio y pueblo) es sólo referencial, pero no concluyente. Porque si bien el Estado nace, como “organización social independiente”, este ha sufrido siempre un proceso de poda. El Estado no es sólo un ente, una institución; es antes que todo “ordenamiento político jurídico”:</w:t>
      </w:r>
    </w:p>
    <w:p w14:paraId="6B6AC134" w14:textId="77777777" w:rsidR="009E6E2E" w:rsidRPr="000D3432" w:rsidRDefault="009E6E2E" w:rsidP="009E6E2E">
      <w:pPr>
        <w:jc w:val="both"/>
        <w:rPr>
          <w:rFonts w:asciiTheme="minorHAnsi" w:hAnsiTheme="minorHAnsi"/>
          <w:szCs w:val="24"/>
          <w:lang w:val="es-ES_tradnl"/>
        </w:rPr>
      </w:pPr>
    </w:p>
    <w:p w14:paraId="7982D342" w14:textId="36052570" w:rsidR="002105F7"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Estado, entendido como ordenamiento político de una comunidad, nace de la disolución de la comunidad primitiva basada en vínculos de parentesco y de la formación de comunidades más amplias derivadas de la unión de muchos grupos familiares por razones de sobrevivencia interna (la sustentación) y externa ( la defensa).”</w:t>
      </w:r>
      <w:r w:rsidR="002105F7" w:rsidRPr="000D3432">
        <w:rPr>
          <w:rStyle w:val="Refdenotaalpie"/>
          <w:rFonts w:asciiTheme="minorHAnsi" w:hAnsiTheme="minorHAnsi"/>
          <w:sz w:val="24"/>
          <w:szCs w:val="24"/>
          <w:lang w:val="es-ES_tradnl"/>
        </w:rPr>
        <w:footnoteReference w:id="845"/>
      </w:r>
    </w:p>
    <w:p w14:paraId="2AEF966B" w14:textId="77777777" w:rsidR="002105F7" w:rsidRPr="000D3432" w:rsidRDefault="002105F7" w:rsidP="009E6E2E">
      <w:pPr>
        <w:jc w:val="both"/>
        <w:rPr>
          <w:rFonts w:asciiTheme="minorHAnsi" w:hAnsiTheme="minorHAnsi"/>
          <w:szCs w:val="24"/>
          <w:lang w:val="es-ES_tradnl"/>
        </w:rPr>
      </w:pPr>
    </w:p>
    <w:p w14:paraId="446A620F"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El Estado no nace por azar, ni porque una comunidad primitiva se haya desgastado; nace como un rompimiento, como una fuerza, una nueva fuerza que pretende, se pretende superior, y mejor que la anterior forma de organización. Es un acto de soberbia el nacimiento del Estado, pero sigue los mismos pasos de organización social anterior, se basa en “vínculos”, en el establecimiento y redescubrimiento de vínculos entre los seres humanos, que esta vez ya no serán los de “parentesco”, necesariamente, pero serán “vínculos” de todas formas, vínculos que unen, que obligan, que orientan, que organizan. El Estado es, pues, un vínculo que ata, por la fuerza o por la persuasión  la voluntad de los seres humanos. Vínculo que se convierte en organismo, en ordenamiento, en aquello que ordena cierto tipo de relaciones sociales, cierta manera de relacionarse. El Estado es pues un ordenamiento político, porque se pretende organizador de las fuerzas de gobierno, de los órdenes de gobierno. </w:t>
      </w:r>
    </w:p>
    <w:p w14:paraId="4040B576" w14:textId="77777777" w:rsidR="002105F7" w:rsidRPr="000D3432" w:rsidRDefault="002105F7" w:rsidP="009E6E2E">
      <w:pPr>
        <w:jc w:val="both"/>
        <w:rPr>
          <w:rFonts w:asciiTheme="minorHAnsi" w:hAnsiTheme="minorHAnsi"/>
          <w:szCs w:val="24"/>
          <w:lang w:val="es-ES_tradnl"/>
        </w:rPr>
      </w:pPr>
    </w:p>
    <w:p w14:paraId="0D7E4BCF" w14:textId="77777777" w:rsidR="002105F7" w:rsidRPr="000D3432" w:rsidRDefault="002105F7" w:rsidP="009E6E2E">
      <w:pPr>
        <w:jc w:val="both"/>
        <w:rPr>
          <w:rFonts w:asciiTheme="minorHAnsi" w:hAnsiTheme="minorHAnsi"/>
          <w:szCs w:val="24"/>
          <w:lang w:val="es-ES_tradnl"/>
        </w:rPr>
      </w:pPr>
    </w:p>
    <w:p w14:paraId="412EF2CE" w14:textId="77777777" w:rsidR="002105F7" w:rsidRPr="000D3432" w:rsidRDefault="002105F7" w:rsidP="009E6E2E">
      <w:pPr>
        <w:jc w:val="both"/>
        <w:rPr>
          <w:rFonts w:asciiTheme="minorHAnsi" w:hAnsiTheme="minorHAnsi"/>
          <w:szCs w:val="24"/>
          <w:lang w:val="es-ES_tradnl"/>
        </w:rPr>
      </w:pPr>
    </w:p>
    <w:p w14:paraId="4125A1ED" w14:textId="77777777" w:rsidR="002105F7" w:rsidRPr="000D3432" w:rsidRDefault="002105F7" w:rsidP="009E6E2E">
      <w:pPr>
        <w:jc w:val="center"/>
        <w:rPr>
          <w:rFonts w:asciiTheme="minorHAnsi" w:hAnsiTheme="minorHAnsi"/>
          <w:szCs w:val="24"/>
          <w:lang w:val="es-ES_tradnl"/>
        </w:rPr>
      </w:pPr>
      <w:r w:rsidRPr="000D3432">
        <w:rPr>
          <w:rFonts w:asciiTheme="minorHAnsi" w:hAnsiTheme="minorHAnsi"/>
          <w:b/>
          <w:szCs w:val="24"/>
          <w:lang w:val="es-ES_tradnl"/>
        </w:rPr>
        <w:t>***</w:t>
      </w:r>
    </w:p>
    <w:p w14:paraId="5BC1D9D0" w14:textId="77777777" w:rsidR="002105F7" w:rsidRPr="000D3432" w:rsidRDefault="002105F7" w:rsidP="009E6E2E">
      <w:pPr>
        <w:jc w:val="both"/>
        <w:rPr>
          <w:rFonts w:asciiTheme="minorHAnsi" w:hAnsiTheme="minorHAnsi"/>
          <w:szCs w:val="24"/>
          <w:lang w:val="es-ES_tradnl"/>
        </w:rPr>
      </w:pPr>
    </w:p>
    <w:p w14:paraId="36CDDCC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Estado es una institución con historia, es decir la de la “construcción progresiva de una organización que maneje el poder  en su máximo grado de expresión social.” (Rubio 31. El Sistema Jurídico)</w:t>
      </w:r>
    </w:p>
    <w:p w14:paraId="129C6EF4" w14:textId="77777777" w:rsidR="002105F7" w:rsidRPr="000D3432" w:rsidRDefault="002105F7" w:rsidP="009E6E2E">
      <w:pPr>
        <w:jc w:val="both"/>
        <w:rPr>
          <w:rFonts w:asciiTheme="minorHAnsi" w:hAnsiTheme="minorHAnsi"/>
          <w:szCs w:val="24"/>
          <w:lang w:val="es-ES_tradnl"/>
        </w:rPr>
      </w:pPr>
    </w:p>
    <w:p w14:paraId="16594F4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Estado es “la forma superior y más poderosa de organizar el poder dentro de la sociedad.” (Rubio 31. El Sistema Jurídico)</w:t>
      </w:r>
    </w:p>
    <w:p w14:paraId="7B41FE19" w14:textId="77777777" w:rsidR="002105F7" w:rsidRPr="000D3432" w:rsidRDefault="002105F7" w:rsidP="009E6E2E">
      <w:pPr>
        <w:jc w:val="both"/>
        <w:rPr>
          <w:rFonts w:asciiTheme="minorHAnsi" w:hAnsiTheme="minorHAnsi"/>
          <w:szCs w:val="24"/>
          <w:lang w:val="es-ES_tradnl"/>
        </w:rPr>
      </w:pPr>
    </w:p>
    <w:p w14:paraId="2DBDF99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Pero el Estado no organiza el poder, sino las relaciones de poder, por que la sociedad no está hecho de poder, el poder es un fenómeno, pero lo que hay en si son las relaciones intersubjetivas, las relaciones entre sujetos, cargadas de poder.</w:t>
      </w:r>
    </w:p>
    <w:p w14:paraId="6C1D2770" w14:textId="77777777" w:rsidR="002105F7" w:rsidRPr="000D3432" w:rsidRDefault="002105F7" w:rsidP="009E6E2E">
      <w:pPr>
        <w:jc w:val="both"/>
        <w:rPr>
          <w:rFonts w:asciiTheme="minorHAnsi" w:hAnsiTheme="minorHAnsi"/>
          <w:szCs w:val="24"/>
          <w:lang w:val="es-ES_tradnl"/>
        </w:rPr>
      </w:pPr>
    </w:p>
    <w:p w14:paraId="357EF11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poder, es una “fuerza capaz de imponerse a los demás”. El Estado legitimiza y organiza este ejercicio del poder, por sus efectos. No es el ejercicio del poder lo que se obstaculiza, sino su permanencia, su impunidad. Es el ejercicio del poder, porque poder es ejercicio -sino no existe- lo que organiza y coordina el Estado.</w:t>
      </w:r>
    </w:p>
    <w:p w14:paraId="61F4E86F" w14:textId="77777777" w:rsidR="002105F7" w:rsidRPr="000D3432" w:rsidRDefault="002105F7" w:rsidP="009E6E2E">
      <w:pPr>
        <w:jc w:val="both"/>
        <w:rPr>
          <w:rFonts w:asciiTheme="minorHAnsi" w:hAnsiTheme="minorHAnsi"/>
          <w:szCs w:val="24"/>
          <w:lang w:val="es-ES_tradnl"/>
        </w:rPr>
      </w:pPr>
    </w:p>
    <w:p w14:paraId="0B85D0A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ejercicio del poder sin limitaciones de su uso nos llevaría a una sociedad donde imperara la “ley del mas fuerte”, explica Rubio. Por eso el Estado ha sido una “construcción progresiva”, de ciertas instituciones para regular este ejercicio del poder, como la Constitución. “El Estado se organiza de acuerdo a una Constitución (es decir, a la fuerza colectiva, a la conciencia de la existencia de todos como fuerzas), y a sus leyes (que son la positivización de las fuerzas normativas, de la acción de regular los límites). El Derecho no es más que ese limitación al ejercicio del Poder, y el mayor concentrador del Poder es el Estado, porque su fundamento está en la fuerza social, en la comunidad toda. ¿Cómo oponerse a esas instituciones  que él representa, como el bien común?  Por eso “el Estado se organiza de acuerdo a una Constitución y sus leyes complementarias, en las que se establece los principios y derechos que regulan el uso de tal poder, y los organismos que lo detentan.” ((Rubio 32. El Sistema Jurídico)</w:t>
      </w:r>
    </w:p>
    <w:p w14:paraId="27A35B56" w14:textId="77777777" w:rsidR="002105F7" w:rsidRPr="000D3432" w:rsidRDefault="002105F7" w:rsidP="009E6E2E">
      <w:pPr>
        <w:jc w:val="both"/>
        <w:rPr>
          <w:rFonts w:asciiTheme="minorHAnsi" w:hAnsiTheme="minorHAnsi"/>
          <w:szCs w:val="24"/>
          <w:lang w:val="es-ES_tradnl"/>
        </w:rPr>
      </w:pPr>
    </w:p>
    <w:p w14:paraId="40F3A797"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Estado se forma como una entidad impersonal, porque nadie, como individuo, podría ya ser el detentador del poder absoluto (¿porqué él debe mandar y yo obedecer? Deben haberse preguntado los hombres. Y la respuesta de que Dios era quien decidía el destino ya no convencía). El Estado se forma como impersonal, y al ser tal no está en manos de un individuo, sino que es más bien una entidad, una ficción, una institución, una organización, en el cual puede estar cualquier individuo, pero no como individuo, es decir,  no para sí, sino para los demás. Por eso se cree que el Estado puede lograr ese dominio y organización del poder. Se cree que son los organismos y nos los individuos los que detentan el poder. Y esos organismos están abiertos a todos. El Estado es, pues un organismo. ¿quién es? Pues todos y nadie. No se lo puede definir ni describir exactamente, y por eso no se lo puede destruir, como Dios. que es una fuerza de organización, fuerza imperturbable e indestructible.</w:t>
      </w:r>
    </w:p>
    <w:p w14:paraId="5E713248" w14:textId="77777777" w:rsidR="002105F7" w:rsidRPr="000D3432" w:rsidRDefault="002105F7" w:rsidP="009E6E2E">
      <w:pPr>
        <w:jc w:val="both"/>
        <w:rPr>
          <w:rFonts w:asciiTheme="minorHAnsi" w:hAnsiTheme="minorHAnsi"/>
          <w:szCs w:val="24"/>
          <w:lang w:val="es-ES_tradnl"/>
        </w:rPr>
      </w:pPr>
    </w:p>
    <w:p w14:paraId="37A2D99C" w14:textId="77777777" w:rsidR="002105F7" w:rsidRPr="000D3432" w:rsidRDefault="002105F7" w:rsidP="009E6E2E">
      <w:pPr>
        <w:jc w:val="both"/>
        <w:rPr>
          <w:rFonts w:asciiTheme="minorHAnsi" w:hAnsiTheme="minorHAnsi"/>
          <w:szCs w:val="24"/>
          <w:lang w:val="es-ES_tradnl"/>
        </w:rPr>
      </w:pPr>
    </w:p>
    <w:p w14:paraId="7D830D42"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Por otro lado puede decirse que el Estado es la “organización jurídica, u ordenamiento jurídico, o sociedad organizada, que contiene los elementos de la soberanía, pueblo y territorio.</w:t>
      </w:r>
    </w:p>
    <w:p w14:paraId="27A0AA25" w14:textId="77777777" w:rsidR="002105F7" w:rsidRPr="000D3432" w:rsidRDefault="002105F7" w:rsidP="009E6E2E">
      <w:pPr>
        <w:jc w:val="both"/>
        <w:rPr>
          <w:rFonts w:asciiTheme="minorHAnsi" w:hAnsiTheme="minorHAnsi"/>
          <w:szCs w:val="24"/>
          <w:lang w:val="es-ES_tradnl"/>
        </w:rPr>
      </w:pPr>
    </w:p>
    <w:p w14:paraId="59AC0902" w14:textId="77777777" w:rsidR="002105F7" w:rsidRPr="000D3432" w:rsidRDefault="002105F7" w:rsidP="009E6E2E">
      <w:pPr>
        <w:jc w:val="both"/>
        <w:rPr>
          <w:rFonts w:asciiTheme="minorHAnsi" w:hAnsiTheme="minorHAnsi"/>
          <w:b/>
          <w:szCs w:val="24"/>
          <w:lang w:val="es-ES_tradnl"/>
        </w:rPr>
      </w:pPr>
    </w:p>
    <w:p w14:paraId="37E27B14" w14:textId="77777777" w:rsidR="002105F7" w:rsidRPr="000D3432" w:rsidRDefault="002105F7" w:rsidP="009E6E2E">
      <w:pPr>
        <w:jc w:val="both"/>
        <w:rPr>
          <w:rFonts w:asciiTheme="minorHAnsi" w:hAnsiTheme="minorHAnsi"/>
          <w:b/>
          <w:szCs w:val="24"/>
          <w:lang w:val="es-ES_tradnl"/>
        </w:rPr>
      </w:pPr>
    </w:p>
    <w:p w14:paraId="06987095" w14:textId="77777777" w:rsidR="002105F7" w:rsidRPr="000D3432" w:rsidRDefault="002105F7" w:rsidP="009E6E2E">
      <w:pPr>
        <w:jc w:val="both"/>
        <w:rPr>
          <w:rFonts w:asciiTheme="minorHAnsi" w:hAnsiTheme="minorHAnsi"/>
          <w:b/>
          <w:szCs w:val="24"/>
          <w:lang w:val="es-ES_tradnl"/>
        </w:rPr>
      </w:pPr>
    </w:p>
    <w:p w14:paraId="2123AE17" w14:textId="77777777" w:rsidR="002105F7" w:rsidRPr="000D3432" w:rsidRDefault="002105F7" w:rsidP="009E6E2E">
      <w:pPr>
        <w:jc w:val="both"/>
        <w:rPr>
          <w:rFonts w:asciiTheme="minorHAnsi" w:hAnsiTheme="minorHAnsi"/>
          <w:b/>
          <w:szCs w:val="24"/>
          <w:lang w:val="es-ES_tradnl"/>
        </w:rPr>
      </w:pPr>
    </w:p>
    <w:p w14:paraId="70DA7767" w14:textId="77777777" w:rsidR="002105F7" w:rsidRPr="000D3432" w:rsidRDefault="002105F7" w:rsidP="009E6E2E">
      <w:pPr>
        <w:jc w:val="both"/>
        <w:rPr>
          <w:rFonts w:asciiTheme="minorHAnsi" w:hAnsiTheme="minorHAnsi"/>
          <w:b/>
          <w:szCs w:val="24"/>
          <w:lang w:val="es-ES_tradnl"/>
        </w:rPr>
      </w:pPr>
    </w:p>
    <w:p w14:paraId="08239C76" w14:textId="77777777" w:rsidR="002105F7" w:rsidRPr="000D3432" w:rsidRDefault="002105F7" w:rsidP="009E6E2E">
      <w:pPr>
        <w:jc w:val="both"/>
        <w:rPr>
          <w:rFonts w:asciiTheme="minorHAnsi" w:hAnsiTheme="minorHAnsi"/>
          <w:b/>
          <w:szCs w:val="24"/>
          <w:lang w:val="es-ES_tradnl"/>
        </w:rPr>
      </w:pPr>
    </w:p>
    <w:p w14:paraId="59362006" w14:textId="77777777" w:rsidR="002105F7" w:rsidRPr="000D3432" w:rsidRDefault="002105F7" w:rsidP="009E6E2E">
      <w:pPr>
        <w:jc w:val="both"/>
        <w:rPr>
          <w:rFonts w:asciiTheme="minorHAnsi" w:hAnsiTheme="minorHAnsi"/>
          <w:b/>
          <w:szCs w:val="24"/>
          <w:lang w:val="es-ES_tradnl"/>
        </w:rPr>
      </w:pPr>
    </w:p>
    <w:p w14:paraId="0C777920" w14:textId="77777777" w:rsidR="002105F7" w:rsidRPr="000D3432" w:rsidRDefault="002105F7" w:rsidP="009E6E2E">
      <w:pPr>
        <w:jc w:val="both"/>
        <w:rPr>
          <w:rFonts w:asciiTheme="minorHAnsi" w:hAnsiTheme="minorHAnsi"/>
          <w:b/>
          <w:szCs w:val="24"/>
          <w:lang w:val="es-ES_tradnl"/>
        </w:rPr>
      </w:pPr>
    </w:p>
    <w:p w14:paraId="5E6E662A" w14:textId="77777777" w:rsidR="002105F7" w:rsidRPr="000D3432" w:rsidRDefault="002105F7" w:rsidP="009E6E2E">
      <w:pPr>
        <w:jc w:val="both"/>
        <w:rPr>
          <w:rFonts w:asciiTheme="minorHAnsi" w:hAnsiTheme="minorHAnsi"/>
          <w:b/>
          <w:szCs w:val="24"/>
          <w:lang w:val="es-ES_tradnl"/>
        </w:rPr>
      </w:pPr>
    </w:p>
    <w:p w14:paraId="4C52332C" w14:textId="77777777" w:rsidR="002105F7" w:rsidRPr="000D3432" w:rsidRDefault="002105F7" w:rsidP="009E6E2E">
      <w:pPr>
        <w:pStyle w:val="Ttulo6"/>
        <w:rPr>
          <w:rFonts w:asciiTheme="minorHAnsi" w:hAnsiTheme="minorHAnsi"/>
          <w:sz w:val="24"/>
          <w:szCs w:val="24"/>
        </w:rPr>
      </w:pPr>
      <w:r w:rsidRPr="000D3432">
        <w:rPr>
          <w:rFonts w:asciiTheme="minorHAnsi" w:hAnsiTheme="minorHAnsi"/>
          <w:sz w:val="24"/>
          <w:szCs w:val="24"/>
        </w:rPr>
        <w:t xml:space="preserve">CAPÍTULO </w:t>
      </w:r>
    </w:p>
    <w:p w14:paraId="0881F7A1" w14:textId="77777777" w:rsidR="002105F7" w:rsidRPr="000D3432" w:rsidRDefault="002105F7" w:rsidP="009E6E2E">
      <w:pPr>
        <w:jc w:val="center"/>
        <w:rPr>
          <w:rFonts w:asciiTheme="minorHAnsi" w:hAnsiTheme="minorHAnsi"/>
          <w:b/>
          <w:szCs w:val="24"/>
          <w:lang w:val="es-ES_tradnl"/>
        </w:rPr>
      </w:pPr>
      <w:r w:rsidRPr="000D3432">
        <w:rPr>
          <w:rFonts w:asciiTheme="minorHAnsi" w:hAnsiTheme="minorHAnsi"/>
          <w:b/>
          <w:szCs w:val="24"/>
          <w:lang w:val="es-ES_tradnl"/>
        </w:rPr>
        <w:t>LOS FINES DEL ESTADO</w:t>
      </w:r>
    </w:p>
    <w:p w14:paraId="7D058A64" w14:textId="77777777" w:rsidR="002105F7" w:rsidRPr="000D3432" w:rsidRDefault="002105F7" w:rsidP="009E6E2E">
      <w:pPr>
        <w:jc w:val="center"/>
        <w:rPr>
          <w:rFonts w:asciiTheme="minorHAnsi" w:hAnsiTheme="minorHAnsi"/>
          <w:b/>
          <w:szCs w:val="24"/>
          <w:lang w:val="es-ES_tradnl"/>
        </w:rPr>
      </w:pPr>
    </w:p>
    <w:p w14:paraId="589B134A" w14:textId="77777777" w:rsidR="002105F7" w:rsidRPr="000D3432" w:rsidRDefault="002105F7" w:rsidP="009E6E2E">
      <w:pPr>
        <w:jc w:val="center"/>
        <w:rPr>
          <w:rFonts w:asciiTheme="minorHAnsi" w:hAnsiTheme="minorHAnsi"/>
          <w:b/>
          <w:szCs w:val="24"/>
          <w:lang w:val="es-ES_tradnl"/>
        </w:rPr>
      </w:pPr>
    </w:p>
    <w:p w14:paraId="503FEC8D" w14:textId="77777777" w:rsidR="002105F7" w:rsidRPr="000D3432" w:rsidRDefault="002105F7" w:rsidP="009E6E2E">
      <w:pPr>
        <w:jc w:val="center"/>
        <w:rPr>
          <w:rFonts w:asciiTheme="minorHAnsi" w:hAnsiTheme="minorHAnsi"/>
          <w:b/>
          <w:szCs w:val="24"/>
          <w:lang w:val="es-ES_tradnl"/>
        </w:rPr>
      </w:pPr>
    </w:p>
    <w:p w14:paraId="3F62C1ED" w14:textId="77777777" w:rsidR="002105F7" w:rsidRPr="000D3432" w:rsidRDefault="002105F7" w:rsidP="009E6E2E">
      <w:pPr>
        <w:rPr>
          <w:rFonts w:asciiTheme="minorHAnsi" w:hAnsiTheme="minorHAnsi"/>
          <w:b/>
          <w:szCs w:val="24"/>
          <w:lang w:val="es-ES_tradnl"/>
        </w:rPr>
      </w:pPr>
      <w:r w:rsidRPr="000D3432">
        <w:rPr>
          <w:rFonts w:asciiTheme="minorHAnsi" w:hAnsiTheme="minorHAnsi"/>
          <w:b/>
          <w:szCs w:val="24"/>
          <w:lang w:val="es-ES_tradnl"/>
        </w:rPr>
        <w:t>DE LOS FINES DEL ESTADO</w:t>
      </w:r>
    </w:p>
    <w:p w14:paraId="4AB67FBB" w14:textId="77777777" w:rsidR="002105F7" w:rsidRPr="000D3432" w:rsidRDefault="002105F7" w:rsidP="009E6E2E">
      <w:pPr>
        <w:jc w:val="center"/>
        <w:rPr>
          <w:rFonts w:asciiTheme="minorHAnsi" w:hAnsiTheme="minorHAnsi"/>
          <w:b/>
          <w:szCs w:val="24"/>
          <w:lang w:val="es-ES_tradnl"/>
        </w:rPr>
      </w:pPr>
    </w:p>
    <w:p w14:paraId="564F1295" w14:textId="77777777" w:rsidR="002105F7" w:rsidRPr="000D3432" w:rsidRDefault="002105F7" w:rsidP="009E6E2E">
      <w:pPr>
        <w:pStyle w:val="Textodecuerpo"/>
        <w:widowControl/>
        <w:rPr>
          <w:rFonts w:asciiTheme="minorHAnsi" w:hAnsiTheme="minorHAnsi"/>
          <w:sz w:val="24"/>
          <w:szCs w:val="24"/>
          <w:lang w:val="es-ES_tradnl"/>
        </w:rPr>
      </w:pPr>
      <w:r w:rsidRPr="000D3432">
        <w:rPr>
          <w:rFonts w:asciiTheme="minorHAnsi" w:hAnsiTheme="minorHAnsi"/>
          <w:sz w:val="24"/>
          <w:szCs w:val="24"/>
          <w:lang w:val="es-ES_tradnl"/>
        </w:rPr>
        <w:t>Jellinek explicaba que existía la teoría “durante la primera mitad del siglo XIX  en que se consideraba que el conocimiento del Estado dependía de la comprensión exacta que se tuviera acerca de sus fines”</w:t>
      </w:r>
      <w:r w:rsidRPr="000D3432">
        <w:rPr>
          <w:rStyle w:val="Refdenotaalpie"/>
          <w:rFonts w:asciiTheme="minorHAnsi" w:hAnsiTheme="minorHAnsi"/>
          <w:sz w:val="24"/>
          <w:szCs w:val="24"/>
          <w:lang w:val="es-ES_tradnl"/>
        </w:rPr>
        <w:footnoteReference w:id="846"/>
      </w:r>
      <w:r w:rsidRPr="000D3432">
        <w:rPr>
          <w:rFonts w:asciiTheme="minorHAnsi" w:hAnsiTheme="minorHAnsi"/>
          <w:sz w:val="24"/>
          <w:szCs w:val="24"/>
          <w:lang w:val="es-ES_tradnl"/>
        </w:rPr>
        <w:t>. Eso indicaba que los fines definían al Estado. Y cuáles eran esos fines? Cuando se logré conocer al Estado podrá organizárselo y describir cómo utilizarlo para cumplir específicamente esos fines, mientras tanto nos perderemos en divagaciones y el Estado no tendrá fines sociales, propios, sino que responderán a los fines de los individuos que lo ostentan o conducen. Por eso es menester aclarar la definición de los fines del Estado. ¿Cuáles son en esencia estos fines? Es de nuevo la pregunta. Necesitamos conocerlos para lograr conocerlo, y necesitamos conocerlo para lograr organizarlo, y necesitamos organizarlo para que sea eficaz, es decir para que responda a sus fines.</w:t>
      </w:r>
    </w:p>
    <w:p w14:paraId="3288BC51"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Parece que la respuesta es hoy bastante clara, porque el fin del Estado es la Sociedad, el bienestar de la Sociedad. Pero este bienestar debe ser logrado, promovido sólo por el Estado? No será que el Estado tiene ciertos límites en su finalidad de lograr servir a las necesidades de la sociedad? Hasta qué límites existe el Estado para ser un servidor? O más bien es este Estado quien se convierte en vez de un servidor en un servido, en un ente que usa de la sociedad para servirse de ella? Aquí el problema de los fines del Estado: qué fin tiene el Estado.</w:t>
      </w:r>
    </w:p>
    <w:p w14:paraId="42AD2F4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Hacer unos ensayos críticos no tiene nada de vano, si la conclusión tiene en su límite un objetivo común: el individuo que integra a la sociedad, el individuo como parte integrante de la sociedad. </w:t>
      </w:r>
    </w:p>
    <w:p w14:paraId="08FB1441" w14:textId="77777777" w:rsidR="002105F7" w:rsidRPr="000D3432" w:rsidRDefault="002105F7" w:rsidP="009E6E2E">
      <w:pPr>
        <w:jc w:val="both"/>
        <w:rPr>
          <w:rFonts w:asciiTheme="minorHAnsi" w:hAnsiTheme="minorHAnsi"/>
          <w:szCs w:val="24"/>
          <w:lang w:val="es-ES_tradnl"/>
        </w:rPr>
      </w:pPr>
    </w:p>
    <w:p w14:paraId="2344BF3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“La teología cristiana necesitaba ya, en virtud del problema escatológico, tratar el problema del fin último del Estado. Estas doctrinas teológicas tienen una significación permanente, porque han sido las primeras en concebir los fenómenos de la historia, no como un orden resultante de la sucesión de los hechos humanos, sino como el desarrollo de una actividad que se propone alcanzar un objetivo.” </w:t>
      </w:r>
      <w:r w:rsidRPr="000D3432">
        <w:rPr>
          <w:rStyle w:val="Refdenotaalpie"/>
          <w:rFonts w:asciiTheme="minorHAnsi" w:hAnsiTheme="minorHAnsi"/>
          <w:sz w:val="24"/>
          <w:szCs w:val="24"/>
          <w:lang w:val="es-ES_tradnl"/>
        </w:rPr>
        <w:footnoteReference w:id="847"/>
      </w:r>
      <w:r w:rsidRPr="000D3432">
        <w:rPr>
          <w:rFonts w:asciiTheme="minorHAnsi" w:hAnsiTheme="minorHAnsi"/>
          <w:szCs w:val="24"/>
          <w:lang w:val="es-ES_tradnl"/>
        </w:rPr>
        <w:t xml:space="preserve">. La historia tiene un fin, y el Estado es producto de la historia, es decir de un fin determinado. ¿Cuál es este fin determinado por la historia? La historia no es una simple secuencia sino un objetivo a alcanzar. No es un fenómeno a priori, sino aposteriori, no es retroactivo, sino irretroactivo, para el futuro. No es recolección de datos del pasado, sino proyección de hechos en el futuro, por los datos del pasado. Es esta proyección lo histórico, y no lo pasado. Por eso la actividad teológica es una proposición de alcanzar un objetivo, en este caso, es alcanzar la divinidad, la vida eterna, la confirmación con Dios. El objetivo final es Dios. La historia es Dios, para los teólogos: es decir, una meta. </w:t>
      </w:r>
    </w:p>
    <w:p w14:paraId="1F681392" w14:textId="77777777" w:rsidR="002105F7" w:rsidRPr="000D3432" w:rsidRDefault="002105F7" w:rsidP="009E6E2E">
      <w:pPr>
        <w:jc w:val="both"/>
        <w:rPr>
          <w:rFonts w:asciiTheme="minorHAnsi" w:hAnsiTheme="minorHAnsi"/>
          <w:szCs w:val="24"/>
          <w:lang w:val="es-ES_tradnl"/>
        </w:rPr>
      </w:pPr>
    </w:p>
    <w:p w14:paraId="76C38E2B"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“Frecuentemente la teoría orgánica dice que el Estado es en realidad sino otra expresión que niega igualmente los fines objetivos del mismo. Pero aún más enérgica que la doctrina orgánica es la concepción mecánico-materialista del mundo y de la historia en lo qu e toca a la negación absoluta de la finalidad del Estado.”</w:t>
      </w:r>
      <w:r w:rsidRPr="000D3432">
        <w:rPr>
          <w:rStyle w:val="Refdenotaalpie"/>
          <w:rFonts w:asciiTheme="minorHAnsi" w:hAnsiTheme="minorHAnsi"/>
          <w:sz w:val="24"/>
          <w:szCs w:val="24"/>
          <w:lang w:val="es-ES_tradnl"/>
        </w:rPr>
        <w:footnoteReference w:id="848"/>
      </w:r>
    </w:p>
    <w:p w14:paraId="4732086C" w14:textId="77777777" w:rsidR="002105F7" w:rsidRPr="000D3432" w:rsidRDefault="002105F7" w:rsidP="009E6E2E">
      <w:pPr>
        <w:jc w:val="both"/>
        <w:rPr>
          <w:rFonts w:asciiTheme="minorHAnsi" w:hAnsiTheme="minorHAnsi"/>
          <w:szCs w:val="24"/>
          <w:lang w:val="es-ES_tradnl"/>
        </w:rPr>
      </w:pPr>
    </w:p>
    <w:p w14:paraId="6579FA5D" w14:textId="77777777" w:rsidR="002105F7" w:rsidRPr="000D3432" w:rsidRDefault="002105F7" w:rsidP="009E6E2E">
      <w:pPr>
        <w:jc w:val="both"/>
        <w:rPr>
          <w:rFonts w:asciiTheme="minorHAnsi" w:hAnsiTheme="minorHAnsi"/>
          <w:b/>
          <w:szCs w:val="24"/>
          <w:lang w:val="es-ES_tradnl"/>
        </w:rPr>
      </w:pPr>
    </w:p>
    <w:p w14:paraId="1386A78A" w14:textId="77777777" w:rsidR="002105F7" w:rsidRPr="000D3432" w:rsidRDefault="002105F7" w:rsidP="009E6E2E">
      <w:pPr>
        <w:jc w:val="both"/>
        <w:rPr>
          <w:rFonts w:asciiTheme="minorHAnsi" w:hAnsiTheme="minorHAnsi"/>
          <w:b/>
          <w:szCs w:val="24"/>
          <w:lang w:val="es-ES_tradnl"/>
        </w:rPr>
      </w:pPr>
    </w:p>
    <w:p w14:paraId="2FD6263C" w14:textId="77777777" w:rsidR="002105F7" w:rsidRPr="000D3432" w:rsidRDefault="002105F7" w:rsidP="009E6E2E">
      <w:pPr>
        <w:jc w:val="both"/>
        <w:rPr>
          <w:rFonts w:asciiTheme="minorHAnsi" w:hAnsiTheme="minorHAnsi"/>
          <w:b/>
          <w:szCs w:val="24"/>
          <w:lang w:val="es-ES_tradnl"/>
        </w:rPr>
      </w:pPr>
    </w:p>
    <w:p w14:paraId="4585A21D" w14:textId="77777777" w:rsidR="002105F7" w:rsidRPr="000D3432" w:rsidRDefault="002105F7" w:rsidP="009E6E2E">
      <w:pPr>
        <w:jc w:val="both"/>
        <w:rPr>
          <w:rFonts w:asciiTheme="minorHAnsi" w:hAnsiTheme="minorHAnsi"/>
          <w:b/>
          <w:szCs w:val="24"/>
          <w:lang w:val="es-ES_tradnl"/>
        </w:rPr>
      </w:pPr>
    </w:p>
    <w:p w14:paraId="32A915F7" w14:textId="77777777" w:rsidR="002105F7" w:rsidRPr="000D3432" w:rsidRDefault="002105F7" w:rsidP="009E6E2E">
      <w:pPr>
        <w:jc w:val="both"/>
        <w:rPr>
          <w:rFonts w:asciiTheme="minorHAnsi" w:hAnsiTheme="minorHAnsi"/>
          <w:b/>
          <w:szCs w:val="24"/>
          <w:lang w:val="es-ES_tradnl"/>
        </w:rPr>
      </w:pPr>
    </w:p>
    <w:p w14:paraId="1BBC7FFF" w14:textId="77777777" w:rsidR="002105F7" w:rsidRPr="000D3432" w:rsidRDefault="002105F7" w:rsidP="009E6E2E">
      <w:pPr>
        <w:jc w:val="both"/>
        <w:rPr>
          <w:rFonts w:asciiTheme="minorHAnsi" w:hAnsiTheme="minorHAnsi"/>
          <w:b/>
          <w:szCs w:val="24"/>
          <w:lang w:val="es-ES_tradnl"/>
        </w:rPr>
      </w:pPr>
    </w:p>
    <w:p w14:paraId="29871641" w14:textId="77777777" w:rsidR="002105F7" w:rsidRPr="000D3432" w:rsidRDefault="002105F7" w:rsidP="009E6E2E">
      <w:pPr>
        <w:pStyle w:val="Ttulo6"/>
        <w:rPr>
          <w:rFonts w:asciiTheme="minorHAnsi" w:hAnsiTheme="minorHAnsi"/>
          <w:sz w:val="24"/>
          <w:szCs w:val="24"/>
        </w:rPr>
      </w:pPr>
      <w:r w:rsidRPr="000D3432">
        <w:rPr>
          <w:rFonts w:asciiTheme="minorHAnsi" w:hAnsiTheme="minorHAnsi"/>
          <w:sz w:val="24"/>
          <w:szCs w:val="24"/>
        </w:rPr>
        <w:t>CAPÍTULO</w:t>
      </w:r>
    </w:p>
    <w:p w14:paraId="3E6D936E" w14:textId="77777777" w:rsidR="002105F7" w:rsidRPr="000D3432" w:rsidRDefault="002105F7" w:rsidP="009E6E2E">
      <w:pPr>
        <w:jc w:val="center"/>
        <w:rPr>
          <w:rFonts w:asciiTheme="minorHAnsi" w:hAnsiTheme="minorHAnsi"/>
          <w:szCs w:val="24"/>
          <w:lang w:val="es-ES_tradnl"/>
        </w:rPr>
      </w:pPr>
      <w:r w:rsidRPr="000D3432">
        <w:rPr>
          <w:rFonts w:asciiTheme="minorHAnsi" w:hAnsiTheme="minorHAnsi"/>
          <w:b/>
          <w:szCs w:val="24"/>
          <w:lang w:val="es-ES_tradnl"/>
        </w:rPr>
        <w:t>EL ESTADO EN SU CONTENIDO ORGÁNICO</w:t>
      </w:r>
    </w:p>
    <w:p w14:paraId="0CBDB84F" w14:textId="77777777" w:rsidR="002105F7" w:rsidRPr="000D3432" w:rsidRDefault="002105F7" w:rsidP="009E6E2E">
      <w:pPr>
        <w:jc w:val="both"/>
        <w:rPr>
          <w:rFonts w:asciiTheme="minorHAnsi" w:hAnsiTheme="minorHAnsi"/>
          <w:b/>
          <w:szCs w:val="24"/>
          <w:lang w:val="es-ES_tradnl"/>
        </w:rPr>
      </w:pPr>
    </w:p>
    <w:p w14:paraId="65545DE7" w14:textId="77777777" w:rsidR="002105F7" w:rsidRPr="000D3432" w:rsidRDefault="002105F7" w:rsidP="009E6E2E">
      <w:pPr>
        <w:jc w:val="both"/>
        <w:rPr>
          <w:rFonts w:asciiTheme="minorHAnsi" w:hAnsiTheme="minorHAnsi"/>
          <w:b/>
          <w:szCs w:val="24"/>
          <w:lang w:val="es-ES_tradnl"/>
        </w:rPr>
      </w:pPr>
    </w:p>
    <w:p w14:paraId="70A35163"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I. Estado en su contenido orgánico</w:t>
      </w:r>
    </w:p>
    <w:p w14:paraId="44764770" w14:textId="77777777" w:rsidR="002105F7" w:rsidRPr="000D3432" w:rsidRDefault="002105F7" w:rsidP="009E6E2E">
      <w:pPr>
        <w:jc w:val="both"/>
        <w:rPr>
          <w:rFonts w:asciiTheme="minorHAnsi" w:hAnsiTheme="minorHAnsi"/>
          <w:szCs w:val="24"/>
          <w:lang w:val="es-ES_tradnl"/>
        </w:rPr>
      </w:pPr>
    </w:p>
    <w:p w14:paraId="089F72E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1.- Gobierno Central</w:t>
      </w:r>
    </w:p>
    <w:p w14:paraId="68089C67"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2.- Gobierno Regional</w:t>
      </w:r>
    </w:p>
    <w:p w14:paraId="2D64FF0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3.- Gobierno Local</w:t>
      </w:r>
    </w:p>
    <w:p w14:paraId="169765D7" w14:textId="77777777" w:rsidR="002105F7" w:rsidRPr="000D3432" w:rsidRDefault="002105F7" w:rsidP="009E6E2E">
      <w:pPr>
        <w:jc w:val="both"/>
        <w:rPr>
          <w:rFonts w:asciiTheme="minorHAnsi" w:hAnsiTheme="minorHAnsi"/>
          <w:szCs w:val="24"/>
          <w:lang w:val="es-ES_tradnl"/>
        </w:rPr>
      </w:pPr>
    </w:p>
    <w:p w14:paraId="492A9D7B"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1.- GOBIERNO CENTRAL</w:t>
      </w:r>
    </w:p>
    <w:p w14:paraId="02E85041" w14:textId="77777777" w:rsidR="002105F7" w:rsidRPr="000D3432" w:rsidRDefault="002105F7" w:rsidP="009E6E2E">
      <w:pPr>
        <w:jc w:val="both"/>
        <w:rPr>
          <w:rFonts w:asciiTheme="minorHAnsi" w:hAnsiTheme="minorHAnsi"/>
          <w:szCs w:val="24"/>
          <w:lang w:val="es-ES_tradnl"/>
        </w:rPr>
      </w:pPr>
    </w:p>
    <w:p w14:paraId="255B758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Gobierno Central viene a ser aquel constituido por los tres grandes poderes del Estado, es decir el Poder Legislativo, el Poder Ejecutivo, y el Poder Judicial, que no hacen más que organizar en sus tres funciones básicas, a la sociedad, en referencia a la división de poderes, es decir como un límite al poder absoluto, y al abuso, en consecuencia de este poder absoluto.</w:t>
      </w:r>
    </w:p>
    <w:p w14:paraId="40B974F2" w14:textId="77777777" w:rsidR="002105F7" w:rsidRPr="000D3432" w:rsidRDefault="002105F7" w:rsidP="009E6E2E">
      <w:pPr>
        <w:jc w:val="both"/>
        <w:rPr>
          <w:rFonts w:asciiTheme="minorHAnsi" w:hAnsiTheme="minorHAnsi"/>
          <w:szCs w:val="24"/>
          <w:lang w:val="es-ES_tradnl"/>
        </w:rPr>
      </w:pPr>
    </w:p>
    <w:p w14:paraId="25C846C6"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Gobierno Central esta constituido como “órganos políticos y administrativos de nivel nacional” (Rubio. S.J. pp. 44).</w:t>
      </w:r>
    </w:p>
    <w:p w14:paraId="0F4FF220" w14:textId="77777777" w:rsidR="002105F7" w:rsidRPr="000D3432" w:rsidRDefault="002105F7" w:rsidP="009E6E2E">
      <w:pPr>
        <w:jc w:val="both"/>
        <w:rPr>
          <w:rFonts w:asciiTheme="minorHAnsi" w:hAnsiTheme="minorHAnsi"/>
          <w:szCs w:val="24"/>
          <w:lang w:val="es-ES_tradnl"/>
        </w:rPr>
      </w:pPr>
    </w:p>
    <w:p w14:paraId="09086116"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Esto indica que la administración es política; no es de pura gestión, sino eminentemente política, de gobierno y mandato.</w:t>
      </w:r>
    </w:p>
    <w:p w14:paraId="218149F5" w14:textId="77777777" w:rsidR="002105F7" w:rsidRPr="000D3432" w:rsidRDefault="002105F7" w:rsidP="009E6E2E">
      <w:pPr>
        <w:jc w:val="both"/>
        <w:rPr>
          <w:rFonts w:asciiTheme="minorHAnsi" w:hAnsiTheme="minorHAnsi"/>
          <w:szCs w:val="24"/>
          <w:lang w:val="es-ES_tradnl"/>
        </w:rPr>
      </w:pPr>
    </w:p>
    <w:p w14:paraId="77FF01FC"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Significados de la palabra “poderes”:</w:t>
      </w:r>
    </w:p>
    <w:p w14:paraId="0CFC136A" w14:textId="77777777" w:rsidR="002105F7" w:rsidRPr="000D3432" w:rsidRDefault="002105F7" w:rsidP="009E6E2E">
      <w:pPr>
        <w:jc w:val="both"/>
        <w:rPr>
          <w:rFonts w:asciiTheme="minorHAnsi" w:hAnsiTheme="minorHAnsi"/>
          <w:szCs w:val="24"/>
          <w:lang w:val="es-ES_tradnl"/>
        </w:rPr>
      </w:pPr>
    </w:p>
    <w:p w14:paraId="3D818E8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1. Los poderes del Estado como </w:t>
      </w:r>
      <w:r w:rsidRPr="000D3432">
        <w:rPr>
          <w:rFonts w:asciiTheme="minorHAnsi" w:hAnsiTheme="minorHAnsi"/>
          <w:b/>
          <w:szCs w:val="24"/>
          <w:lang w:val="es-ES_tradnl"/>
        </w:rPr>
        <w:t xml:space="preserve">conjunto Funciones </w:t>
      </w:r>
      <w:r w:rsidRPr="000D3432">
        <w:rPr>
          <w:rFonts w:asciiTheme="minorHAnsi" w:hAnsiTheme="minorHAnsi"/>
          <w:szCs w:val="24"/>
          <w:lang w:val="es-ES_tradnl"/>
        </w:rPr>
        <w:t>que realiza el Estado.</w:t>
      </w:r>
    </w:p>
    <w:p w14:paraId="2E4542F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2. Los poderes del Estado como un </w:t>
      </w:r>
      <w:r w:rsidRPr="000D3432">
        <w:rPr>
          <w:rFonts w:asciiTheme="minorHAnsi" w:hAnsiTheme="minorHAnsi"/>
          <w:b/>
          <w:szCs w:val="24"/>
          <w:lang w:val="es-ES_tradnl"/>
        </w:rPr>
        <w:t xml:space="preserve">conjunto de órganos </w:t>
      </w:r>
      <w:r w:rsidRPr="000D3432">
        <w:rPr>
          <w:rFonts w:asciiTheme="minorHAnsi" w:hAnsiTheme="minorHAnsi"/>
          <w:szCs w:val="24"/>
          <w:lang w:val="es-ES_tradnl"/>
        </w:rPr>
        <w:t>que ejecutan dichas funciones</w:t>
      </w:r>
    </w:p>
    <w:p w14:paraId="32268526" w14:textId="77777777" w:rsidR="002105F7" w:rsidRPr="000D3432" w:rsidRDefault="002105F7" w:rsidP="009E6E2E">
      <w:pPr>
        <w:jc w:val="both"/>
        <w:rPr>
          <w:rFonts w:asciiTheme="minorHAnsi" w:hAnsiTheme="minorHAnsi"/>
          <w:szCs w:val="24"/>
          <w:lang w:val="es-ES_tradnl"/>
        </w:rPr>
      </w:pPr>
    </w:p>
    <w:p w14:paraId="0ACEDBF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1.- </w:t>
      </w:r>
      <w:r w:rsidRPr="000D3432">
        <w:rPr>
          <w:rFonts w:asciiTheme="minorHAnsi" w:hAnsiTheme="minorHAnsi"/>
          <w:b/>
          <w:szCs w:val="24"/>
          <w:lang w:val="es-ES_tradnl"/>
        </w:rPr>
        <w:t>Poderes del Estado desde el punto de vista funcional:</w:t>
      </w:r>
      <w:r w:rsidRPr="000D3432">
        <w:rPr>
          <w:rFonts w:asciiTheme="minorHAnsi" w:hAnsiTheme="minorHAnsi"/>
          <w:szCs w:val="24"/>
          <w:lang w:val="es-ES_tradnl"/>
        </w:rPr>
        <w:t xml:space="preserve"> </w:t>
      </w:r>
    </w:p>
    <w:p w14:paraId="3CD998C7" w14:textId="77777777" w:rsidR="002105F7" w:rsidRPr="000D3432" w:rsidRDefault="002105F7" w:rsidP="009E6E2E">
      <w:pPr>
        <w:jc w:val="both"/>
        <w:rPr>
          <w:rFonts w:asciiTheme="minorHAnsi" w:hAnsiTheme="minorHAnsi"/>
          <w:szCs w:val="24"/>
          <w:lang w:val="es-ES_tradnl"/>
        </w:rPr>
      </w:pPr>
    </w:p>
    <w:p w14:paraId="02C6E26A"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t>a) Potestad legislativa: Emitir las leyes del Estado.</w:t>
      </w:r>
    </w:p>
    <w:p w14:paraId="22E8A10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t>b) Potestad ejecutiva: conducir la “política y administración” del Estado.</w:t>
      </w:r>
    </w:p>
    <w:p w14:paraId="51754216"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t>c) Potestad jurisdiccional: “resolver conflictos”, dar soluciones jurídicas.</w:t>
      </w:r>
    </w:p>
    <w:p w14:paraId="1A75229B" w14:textId="77777777" w:rsidR="002105F7" w:rsidRPr="000D3432" w:rsidRDefault="002105F7" w:rsidP="009E6E2E">
      <w:pPr>
        <w:jc w:val="both"/>
        <w:rPr>
          <w:rFonts w:asciiTheme="minorHAnsi" w:hAnsiTheme="minorHAnsi"/>
          <w:szCs w:val="24"/>
          <w:lang w:val="es-ES_tradnl"/>
        </w:rPr>
      </w:pPr>
    </w:p>
    <w:p w14:paraId="1ABD5B4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2.- </w:t>
      </w:r>
      <w:r w:rsidRPr="000D3432">
        <w:rPr>
          <w:rFonts w:asciiTheme="minorHAnsi" w:hAnsiTheme="minorHAnsi"/>
          <w:b/>
          <w:szCs w:val="24"/>
          <w:lang w:val="es-ES_tradnl"/>
        </w:rPr>
        <w:t>Poderes del Estado desde el punto de vista Orgánico:</w:t>
      </w:r>
    </w:p>
    <w:p w14:paraId="6D631A10" w14:textId="77777777" w:rsidR="002105F7" w:rsidRPr="000D3432" w:rsidRDefault="002105F7" w:rsidP="009E6E2E">
      <w:pPr>
        <w:jc w:val="both"/>
        <w:rPr>
          <w:rFonts w:asciiTheme="minorHAnsi" w:hAnsiTheme="minorHAnsi"/>
          <w:szCs w:val="24"/>
          <w:lang w:val="es-ES_tradnl"/>
        </w:rPr>
      </w:pPr>
    </w:p>
    <w:p w14:paraId="0DEBDA4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 Organo Legislativo: Congreso</w:t>
      </w:r>
    </w:p>
    <w:p w14:paraId="2C211F52"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b) Organo Ejecutivo: Poder Ejecutivo: Presidente y Ministros</w:t>
      </w:r>
    </w:p>
    <w:p w14:paraId="0DBB649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c) Organo Judicial: Poder Judicial.</w:t>
      </w:r>
    </w:p>
    <w:p w14:paraId="690F63A6" w14:textId="77777777" w:rsidR="002105F7" w:rsidRPr="000D3432" w:rsidRDefault="002105F7" w:rsidP="009E6E2E">
      <w:pPr>
        <w:jc w:val="both"/>
        <w:rPr>
          <w:rFonts w:asciiTheme="minorHAnsi" w:hAnsiTheme="minorHAnsi"/>
          <w:szCs w:val="24"/>
          <w:lang w:val="es-ES_tradnl"/>
        </w:rPr>
      </w:pPr>
    </w:p>
    <w:p w14:paraId="0E6ED33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a) Poder Legislativo:</w:t>
      </w:r>
      <w:r w:rsidRPr="000D3432">
        <w:rPr>
          <w:rFonts w:asciiTheme="minorHAnsi" w:hAnsiTheme="minorHAnsi"/>
          <w:szCs w:val="24"/>
          <w:lang w:val="es-ES_tradnl"/>
        </w:rPr>
        <w:t xml:space="preserve"> </w:t>
      </w:r>
    </w:p>
    <w:p w14:paraId="4CAA8F45" w14:textId="77777777" w:rsidR="002105F7" w:rsidRPr="000D3432" w:rsidRDefault="002105F7" w:rsidP="009E6E2E">
      <w:pPr>
        <w:jc w:val="both"/>
        <w:rPr>
          <w:rFonts w:asciiTheme="minorHAnsi" w:hAnsiTheme="minorHAnsi"/>
          <w:szCs w:val="24"/>
          <w:lang w:val="es-ES_tradnl"/>
        </w:rPr>
      </w:pPr>
    </w:p>
    <w:p w14:paraId="4647282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 el órgano legislativo. Está constituido por el Congreso de la República, que es “un órgano integral, con funciones propias” Rubio. 46. S.J.</w:t>
      </w:r>
    </w:p>
    <w:p w14:paraId="32DD2595" w14:textId="77777777" w:rsidR="002105F7" w:rsidRPr="000D3432" w:rsidRDefault="002105F7" w:rsidP="009E6E2E">
      <w:pPr>
        <w:jc w:val="both"/>
        <w:rPr>
          <w:rFonts w:asciiTheme="minorHAnsi" w:hAnsiTheme="minorHAnsi"/>
          <w:szCs w:val="24"/>
          <w:lang w:val="es-ES_tradnl"/>
        </w:rPr>
      </w:pPr>
    </w:p>
    <w:p w14:paraId="68F799CC" w14:textId="77777777" w:rsidR="002105F7" w:rsidRPr="000D3432" w:rsidRDefault="002105F7" w:rsidP="009E6E2E">
      <w:pPr>
        <w:jc w:val="both"/>
        <w:rPr>
          <w:rFonts w:asciiTheme="minorHAnsi" w:hAnsiTheme="minorHAnsi"/>
          <w:szCs w:val="24"/>
          <w:lang w:val="es-ES_tradnl"/>
        </w:rPr>
      </w:pPr>
    </w:p>
    <w:p w14:paraId="7DD40AB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El Congreso:</w:t>
      </w:r>
    </w:p>
    <w:p w14:paraId="4AAAEB23" w14:textId="77777777" w:rsidR="002105F7" w:rsidRPr="000D3432" w:rsidRDefault="002105F7" w:rsidP="009E6E2E">
      <w:pPr>
        <w:jc w:val="both"/>
        <w:rPr>
          <w:rFonts w:asciiTheme="minorHAnsi" w:hAnsiTheme="minorHAnsi"/>
          <w:szCs w:val="24"/>
          <w:lang w:val="es-ES_tradnl"/>
        </w:rPr>
      </w:pPr>
    </w:p>
    <w:p w14:paraId="1A0B787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congreso es de Cámara Única. El art. 90 de la Constitución de 1993, establece que El Poder Legislativo reside en el Congreso.</w:t>
      </w:r>
    </w:p>
    <w:p w14:paraId="4518D2B5" w14:textId="77777777" w:rsidR="002105F7" w:rsidRPr="000D3432" w:rsidRDefault="002105F7" w:rsidP="009E6E2E">
      <w:pPr>
        <w:jc w:val="both"/>
        <w:rPr>
          <w:rFonts w:asciiTheme="minorHAnsi" w:hAnsiTheme="minorHAnsi"/>
          <w:szCs w:val="24"/>
          <w:lang w:val="es-ES_tradnl"/>
        </w:rPr>
      </w:pPr>
    </w:p>
    <w:p w14:paraId="6458380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Atribuciones del Congreso:</w:t>
      </w:r>
    </w:p>
    <w:p w14:paraId="276B43CF" w14:textId="77777777" w:rsidR="002105F7" w:rsidRPr="000D3432" w:rsidRDefault="002105F7" w:rsidP="009E6E2E">
      <w:pPr>
        <w:jc w:val="both"/>
        <w:rPr>
          <w:rFonts w:asciiTheme="minorHAnsi" w:hAnsiTheme="minorHAnsi"/>
          <w:szCs w:val="24"/>
          <w:lang w:val="es-ES_tradnl"/>
        </w:rPr>
      </w:pPr>
    </w:p>
    <w:p w14:paraId="5915240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1. Dar leyes y resoluciones legislativas, así como interpretar, modificar o derogar las existentes.</w:t>
      </w:r>
    </w:p>
    <w:p w14:paraId="1B150E58"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2. Velar por el respeto de la Constitución y de las leyes y disponer lo conveniente para hacer efectiva la responsabilidad de los infractores.</w:t>
      </w:r>
    </w:p>
    <w:p w14:paraId="11D416F8"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3. Aprobar los tratados, de conformidad con la Constitución.</w:t>
      </w:r>
    </w:p>
    <w:p w14:paraId="1081E922"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4. Aprobar el Presupuesto y la Cuenta General.</w:t>
      </w:r>
    </w:p>
    <w:p w14:paraId="62D98A4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5. Autorizar empréstitos, conforme a la Constitución.</w:t>
      </w:r>
    </w:p>
    <w:p w14:paraId="4E9B9AB7"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6. Ejercer el derecho de amnistía.</w:t>
      </w:r>
    </w:p>
    <w:p w14:paraId="428B4A27"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7. Aprobar la demarcación territorial que proponga el Poder Ejecutivo.</w:t>
      </w:r>
    </w:p>
    <w:p w14:paraId="74A894A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8. Prestar consentimiento para el ingreso de tropas extranjeras en el territorio de  la República, siempre que no afecte, en forma alguna, la soberanía nacional.</w:t>
      </w:r>
    </w:p>
    <w:p w14:paraId="025CC13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9. Autorizar al Presidente de la República para salir del país .</w:t>
      </w:r>
    </w:p>
    <w:p w14:paraId="3B6DF58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10. Ejercer las demás atribuciones que le señale la Constitución y las que son propias de la función legislativa.</w:t>
      </w:r>
    </w:p>
    <w:p w14:paraId="04716157" w14:textId="77777777" w:rsidR="002105F7" w:rsidRPr="000D3432" w:rsidRDefault="002105F7" w:rsidP="009E6E2E">
      <w:pPr>
        <w:jc w:val="both"/>
        <w:rPr>
          <w:rFonts w:asciiTheme="minorHAnsi" w:hAnsiTheme="minorHAnsi"/>
          <w:szCs w:val="24"/>
          <w:lang w:val="es-ES_tradnl"/>
        </w:rPr>
      </w:pPr>
    </w:p>
    <w:p w14:paraId="0CB0058C" w14:textId="77777777" w:rsidR="002105F7" w:rsidRPr="000D3432" w:rsidRDefault="002105F7" w:rsidP="009E6E2E">
      <w:pPr>
        <w:jc w:val="both"/>
        <w:rPr>
          <w:rFonts w:asciiTheme="minorHAnsi" w:hAnsiTheme="minorHAnsi"/>
          <w:szCs w:val="24"/>
          <w:lang w:val="es-ES_tradnl"/>
        </w:rPr>
      </w:pPr>
    </w:p>
    <w:p w14:paraId="57D19583"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b) Poder Ejecutivo:</w:t>
      </w:r>
    </w:p>
    <w:p w14:paraId="1E61B1A3" w14:textId="77777777" w:rsidR="002105F7" w:rsidRPr="000D3432" w:rsidRDefault="002105F7" w:rsidP="009E6E2E">
      <w:pPr>
        <w:jc w:val="both"/>
        <w:rPr>
          <w:rFonts w:asciiTheme="minorHAnsi" w:hAnsiTheme="minorHAnsi"/>
          <w:b/>
          <w:szCs w:val="24"/>
          <w:lang w:val="es-ES_tradnl"/>
        </w:rPr>
      </w:pPr>
    </w:p>
    <w:p w14:paraId="24E8750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Órgano del Estado encargado de dirigir y ejecutar la marcha política del país.</w:t>
      </w:r>
    </w:p>
    <w:p w14:paraId="04DEA44D" w14:textId="77777777" w:rsidR="002105F7" w:rsidRPr="000D3432" w:rsidRDefault="002105F7" w:rsidP="009E6E2E">
      <w:pPr>
        <w:jc w:val="both"/>
        <w:rPr>
          <w:rFonts w:asciiTheme="minorHAnsi" w:hAnsiTheme="minorHAnsi"/>
          <w:szCs w:val="24"/>
          <w:lang w:val="es-ES_tradnl"/>
        </w:rPr>
      </w:pPr>
    </w:p>
    <w:p w14:paraId="6C51E321"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Composición:</w:t>
      </w:r>
    </w:p>
    <w:p w14:paraId="1C835BE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1. El Presidente de la República</w:t>
      </w:r>
    </w:p>
    <w:p w14:paraId="766A8583"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2. El Consejo de Ministros</w:t>
      </w:r>
    </w:p>
    <w:p w14:paraId="6F90DA70" w14:textId="77777777" w:rsidR="002105F7" w:rsidRPr="000D3432" w:rsidRDefault="002105F7" w:rsidP="009E6E2E">
      <w:pPr>
        <w:jc w:val="both"/>
        <w:rPr>
          <w:rFonts w:asciiTheme="minorHAnsi" w:hAnsiTheme="minorHAnsi"/>
          <w:b/>
          <w:szCs w:val="24"/>
          <w:lang w:val="es-ES_tradnl"/>
        </w:rPr>
      </w:pPr>
    </w:p>
    <w:p w14:paraId="2318F19A"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APORTE DEL PODER EJECUTIVO:</w:t>
      </w:r>
    </w:p>
    <w:p w14:paraId="0EF95E9D" w14:textId="77777777" w:rsidR="002105F7" w:rsidRPr="000D3432" w:rsidRDefault="002105F7" w:rsidP="009E6E2E">
      <w:pPr>
        <w:jc w:val="both"/>
        <w:rPr>
          <w:rFonts w:asciiTheme="minorHAnsi" w:hAnsiTheme="minorHAnsi"/>
          <w:szCs w:val="24"/>
          <w:lang w:val="es-ES_tradnl"/>
        </w:rPr>
      </w:pPr>
    </w:p>
    <w:p w14:paraId="0FAF7352"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Aprobar reglamentos,  decretos y resoluciones</w:t>
      </w:r>
    </w:p>
    <w:p w14:paraId="58E7D2C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Proponer proyectos de ley al congreso.</w:t>
      </w:r>
    </w:p>
    <w:p w14:paraId="508EDD4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Proponer modificaciones a la constitución</w:t>
      </w:r>
    </w:p>
    <w:p w14:paraId="13CC190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Promulgación de las leyes.</w:t>
      </w:r>
    </w:p>
    <w:p w14:paraId="17E9F84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Observar las leyes aprobadas por el Congreso</w:t>
      </w:r>
    </w:p>
    <w:p w14:paraId="05E61BC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Interponer acción de inconstitucionalidad de las leyes</w:t>
      </w:r>
    </w:p>
    <w:p w14:paraId="67C54BC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Recibir en delegación la potestad legislativa, para dictar Decretos Legislativos, con rango de ley.</w:t>
      </w:r>
    </w:p>
    <w:p w14:paraId="16FA10DB" w14:textId="77777777" w:rsidR="002105F7" w:rsidRPr="000D3432" w:rsidRDefault="002105F7" w:rsidP="009E6E2E">
      <w:pPr>
        <w:jc w:val="both"/>
        <w:rPr>
          <w:rFonts w:asciiTheme="minorHAnsi" w:hAnsiTheme="minorHAnsi"/>
          <w:szCs w:val="24"/>
          <w:lang w:val="es-ES_tradnl"/>
        </w:rPr>
      </w:pPr>
    </w:p>
    <w:p w14:paraId="12654E12"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c)  Poder Judicial:</w:t>
      </w:r>
    </w:p>
    <w:p w14:paraId="5370B7F8" w14:textId="77777777" w:rsidR="002105F7" w:rsidRPr="000D3432" w:rsidRDefault="002105F7" w:rsidP="009E6E2E">
      <w:pPr>
        <w:jc w:val="both"/>
        <w:rPr>
          <w:rFonts w:asciiTheme="minorHAnsi" w:hAnsiTheme="minorHAnsi"/>
          <w:szCs w:val="24"/>
          <w:lang w:val="es-ES_tradnl"/>
        </w:rPr>
      </w:pPr>
    </w:p>
    <w:p w14:paraId="264E7E1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Es el órgano encargado  de administrar justicia en el país, </w:t>
      </w:r>
    </w:p>
    <w:p w14:paraId="2C48C9E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Estructurado en dos principios:</w:t>
      </w:r>
    </w:p>
    <w:p w14:paraId="7F771CBA" w14:textId="77777777" w:rsidR="002105F7" w:rsidRPr="000D3432" w:rsidRDefault="002105F7" w:rsidP="009E6E2E">
      <w:pPr>
        <w:numPr>
          <w:ilvl w:val="0"/>
          <w:numId w:val="53"/>
        </w:numPr>
        <w:tabs>
          <w:tab w:val="left" w:pos="2484"/>
        </w:tabs>
        <w:jc w:val="both"/>
        <w:rPr>
          <w:rFonts w:asciiTheme="minorHAnsi" w:hAnsiTheme="minorHAnsi"/>
          <w:szCs w:val="24"/>
          <w:lang w:val="es-ES_tradnl"/>
        </w:rPr>
      </w:pPr>
      <w:r w:rsidRPr="000D3432">
        <w:rPr>
          <w:rFonts w:asciiTheme="minorHAnsi" w:hAnsiTheme="minorHAnsi"/>
          <w:szCs w:val="24"/>
          <w:lang w:val="es-ES_tradnl"/>
        </w:rPr>
        <w:t>La potestad de administrar justicia emana del pueblo.</w:t>
      </w:r>
    </w:p>
    <w:p w14:paraId="1795FC0A" w14:textId="77777777" w:rsidR="002105F7" w:rsidRPr="000D3432" w:rsidRDefault="002105F7" w:rsidP="009E6E2E">
      <w:pPr>
        <w:numPr>
          <w:ilvl w:val="0"/>
          <w:numId w:val="53"/>
        </w:numPr>
        <w:tabs>
          <w:tab w:val="left" w:pos="2484"/>
        </w:tabs>
        <w:jc w:val="both"/>
        <w:rPr>
          <w:rFonts w:asciiTheme="minorHAnsi" w:hAnsiTheme="minorHAnsi"/>
          <w:szCs w:val="24"/>
          <w:lang w:val="es-ES_tradnl"/>
        </w:rPr>
      </w:pPr>
      <w:r w:rsidRPr="000D3432">
        <w:rPr>
          <w:rFonts w:asciiTheme="minorHAnsi" w:hAnsiTheme="minorHAnsi"/>
          <w:szCs w:val="24"/>
          <w:lang w:val="es-ES_tradnl"/>
        </w:rPr>
        <w:t>Se ejerce por los tribunales y juzgados jerárquicamente integrados en un cuerpo unitario.</w:t>
      </w:r>
    </w:p>
    <w:p w14:paraId="6FF2D7D5" w14:textId="77777777" w:rsidR="002105F7" w:rsidRPr="000D3432" w:rsidRDefault="002105F7" w:rsidP="009E6E2E">
      <w:pPr>
        <w:numPr>
          <w:ilvl w:val="12"/>
          <w:numId w:val="0"/>
        </w:numPr>
        <w:jc w:val="both"/>
        <w:rPr>
          <w:rFonts w:asciiTheme="minorHAnsi" w:hAnsiTheme="minorHAnsi"/>
          <w:szCs w:val="24"/>
          <w:lang w:val="es-ES_tradnl"/>
        </w:rPr>
      </w:pPr>
    </w:p>
    <w:p w14:paraId="524EFC2A" w14:textId="77777777" w:rsidR="002105F7" w:rsidRPr="000D3432" w:rsidRDefault="002105F7" w:rsidP="009E6E2E">
      <w:pPr>
        <w:numPr>
          <w:ilvl w:val="12"/>
          <w:numId w:val="0"/>
        </w:numPr>
        <w:jc w:val="both"/>
        <w:rPr>
          <w:rFonts w:asciiTheme="minorHAnsi" w:hAnsiTheme="minorHAnsi"/>
          <w:b/>
          <w:szCs w:val="24"/>
          <w:lang w:val="es-ES_tradnl"/>
        </w:rPr>
      </w:pPr>
      <w:r w:rsidRPr="000D3432">
        <w:rPr>
          <w:rFonts w:asciiTheme="minorHAnsi" w:hAnsiTheme="minorHAnsi"/>
          <w:b/>
          <w:szCs w:val="24"/>
          <w:lang w:val="es-ES_tradnl"/>
        </w:rPr>
        <w:t>Órganos de la Función Jurisdiccional:</w:t>
      </w:r>
    </w:p>
    <w:p w14:paraId="3B2CC5C7" w14:textId="77777777" w:rsidR="002105F7" w:rsidRPr="000D3432" w:rsidRDefault="002105F7" w:rsidP="009E6E2E">
      <w:pPr>
        <w:numPr>
          <w:ilvl w:val="12"/>
          <w:numId w:val="0"/>
        </w:numPr>
        <w:jc w:val="both"/>
        <w:rPr>
          <w:rFonts w:asciiTheme="minorHAnsi" w:hAnsiTheme="minorHAnsi"/>
          <w:szCs w:val="24"/>
          <w:lang w:val="es-ES_tradnl"/>
        </w:rPr>
      </w:pPr>
    </w:p>
    <w:p w14:paraId="3FAC3A0F" w14:textId="77777777" w:rsidR="002105F7" w:rsidRPr="000D3432" w:rsidRDefault="002105F7" w:rsidP="009E6E2E">
      <w:pPr>
        <w:numPr>
          <w:ilvl w:val="0"/>
          <w:numId w:val="53"/>
        </w:numPr>
        <w:tabs>
          <w:tab w:val="left" w:pos="1776"/>
        </w:tabs>
        <w:jc w:val="both"/>
        <w:rPr>
          <w:rFonts w:asciiTheme="minorHAnsi" w:hAnsiTheme="minorHAnsi"/>
          <w:szCs w:val="24"/>
          <w:lang w:val="es-ES_tradnl"/>
        </w:rPr>
      </w:pPr>
      <w:r w:rsidRPr="000D3432">
        <w:rPr>
          <w:rFonts w:asciiTheme="minorHAnsi" w:hAnsiTheme="minorHAnsi"/>
          <w:szCs w:val="24"/>
          <w:lang w:val="es-ES_tradnl"/>
        </w:rPr>
        <w:t>Corte Suprema de Justicia</w:t>
      </w:r>
    </w:p>
    <w:p w14:paraId="4D3C3853" w14:textId="77777777" w:rsidR="002105F7" w:rsidRPr="000D3432" w:rsidRDefault="002105F7" w:rsidP="009E6E2E">
      <w:pPr>
        <w:numPr>
          <w:ilvl w:val="0"/>
          <w:numId w:val="53"/>
        </w:numPr>
        <w:tabs>
          <w:tab w:val="left" w:pos="1776"/>
        </w:tabs>
        <w:jc w:val="both"/>
        <w:rPr>
          <w:rFonts w:asciiTheme="minorHAnsi" w:hAnsiTheme="minorHAnsi"/>
          <w:szCs w:val="24"/>
          <w:lang w:val="es-ES_tradnl"/>
        </w:rPr>
      </w:pPr>
      <w:r w:rsidRPr="000D3432">
        <w:rPr>
          <w:rFonts w:asciiTheme="minorHAnsi" w:hAnsiTheme="minorHAnsi"/>
          <w:szCs w:val="24"/>
          <w:lang w:val="es-ES_tradnl"/>
        </w:rPr>
        <w:t>Cortes Superiores</w:t>
      </w:r>
    </w:p>
    <w:p w14:paraId="1A49B10E" w14:textId="77777777" w:rsidR="002105F7" w:rsidRPr="000D3432" w:rsidRDefault="002105F7" w:rsidP="009E6E2E">
      <w:pPr>
        <w:numPr>
          <w:ilvl w:val="0"/>
          <w:numId w:val="53"/>
        </w:numPr>
        <w:tabs>
          <w:tab w:val="left" w:pos="1776"/>
        </w:tabs>
        <w:jc w:val="both"/>
        <w:rPr>
          <w:rFonts w:asciiTheme="minorHAnsi" w:hAnsiTheme="minorHAnsi"/>
          <w:szCs w:val="24"/>
          <w:lang w:val="es-ES_tradnl"/>
        </w:rPr>
      </w:pPr>
      <w:r w:rsidRPr="000D3432">
        <w:rPr>
          <w:rFonts w:asciiTheme="minorHAnsi" w:hAnsiTheme="minorHAnsi"/>
          <w:szCs w:val="24"/>
          <w:lang w:val="es-ES_tradnl"/>
        </w:rPr>
        <w:t>Los Juzgados Civiles, Penales, Laborales, Juzgados de Paz Letrado, Juzgados especiales.</w:t>
      </w:r>
    </w:p>
    <w:p w14:paraId="181A24F4" w14:textId="77777777" w:rsidR="002105F7" w:rsidRPr="000D3432" w:rsidRDefault="002105F7" w:rsidP="009E6E2E">
      <w:pPr>
        <w:numPr>
          <w:ilvl w:val="0"/>
          <w:numId w:val="53"/>
        </w:numPr>
        <w:tabs>
          <w:tab w:val="left" w:pos="1776"/>
        </w:tabs>
        <w:jc w:val="both"/>
        <w:rPr>
          <w:rFonts w:asciiTheme="minorHAnsi" w:hAnsiTheme="minorHAnsi"/>
          <w:szCs w:val="24"/>
          <w:lang w:val="es-ES_tradnl"/>
        </w:rPr>
      </w:pPr>
      <w:r w:rsidRPr="000D3432">
        <w:rPr>
          <w:rFonts w:asciiTheme="minorHAnsi" w:hAnsiTheme="minorHAnsi"/>
          <w:szCs w:val="24"/>
          <w:lang w:val="es-ES_tradnl"/>
        </w:rPr>
        <w:t>Los Juzgados de Paz</w:t>
      </w:r>
    </w:p>
    <w:p w14:paraId="3E086754" w14:textId="77777777" w:rsidR="002105F7" w:rsidRPr="000D3432" w:rsidRDefault="002105F7" w:rsidP="009E6E2E">
      <w:pPr>
        <w:jc w:val="both"/>
        <w:rPr>
          <w:rFonts w:asciiTheme="minorHAnsi" w:hAnsiTheme="minorHAnsi"/>
          <w:szCs w:val="24"/>
          <w:lang w:val="es-ES_tradnl"/>
        </w:rPr>
      </w:pPr>
    </w:p>
    <w:p w14:paraId="6370CE51"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Estos órganos son autónomos en el ejercicio de sus funciones.</w:t>
      </w:r>
    </w:p>
    <w:p w14:paraId="79A7DA3B" w14:textId="77777777" w:rsidR="002105F7" w:rsidRPr="000D3432" w:rsidRDefault="002105F7" w:rsidP="009E6E2E">
      <w:pPr>
        <w:jc w:val="both"/>
        <w:rPr>
          <w:rFonts w:asciiTheme="minorHAnsi" w:hAnsiTheme="minorHAnsi"/>
          <w:szCs w:val="24"/>
          <w:lang w:val="es-ES_tradnl"/>
        </w:rPr>
      </w:pPr>
    </w:p>
    <w:p w14:paraId="376BFD59" w14:textId="77777777" w:rsidR="002105F7" w:rsidRPr="000D3432" w:rsidRDefault="002105F7" w:rsidP="009E6E2E">
      <w:pPr>
        <w:jc w:val="both"/>
        <w:rPr>
          <w:rFonts w:asciiTheme="minorHAnsi" w:hAnsiTheme="minorHAnsi"/>
          <w:szCs w:val="24"/>
          <w:lang w:val="es-ES_tradnl"/>
        </w:rPr>
      </w:pPr>
    </w:p>
    <w:p w14:paraId="44E3192C"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 xml:space="preserve">2. GOBIERNOS REGIONALES </w:t>
      </w:r>
    </w:p>
    <w:p w14:paraId="57497EA8" w14:textId="77777777" w:rsidR="002105F7" w:rsidRPr="000D3432" w:rsidRDefault="002105F7" w:rsidP="009E6E2E">
      <w:pPr>
        <w:jc w:val="both"/>
        <w:rPr>
          <w:rFonts w:asciiTheme="minorHAnsi" w:hAnsiTheme="minorHAnsi"/>
          <w:szCs w:val="24"/>
          <w:lang w:val="es-ES_tradnl"/>
        </w:rPr>
      </w:pPr>
    </w:p>
    <w:p w14:paraId="398CCC6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Los Gobiernos Regionales tiene como “atribución general la de ocuparse del desarrollo económico y social de su propio ámbito territorial.” Rubio S.J. 53.</w:t>
      </w:r>
    </w:p>
    <w:p w14:paraId="698B1975" w14:textId="77777777" w:rsidR="002105F7" w:rsidRPr="000D3432" w:rsidRDefault="002105F7" w:rsidP="009E6E2E">
      <w:pPr>
        <w:jc w:val="both"/>
        <w:rPr>
          <w:rFonts w:asciiTheme="minorHAnsi" w:hAnsiTheme="minorHAnsi"/>
          <w:szCs w:val="24"/>
          <w:lang w:val="es-ES_tradnl"/>
        </w:rPr>
      </w:pPr>
    </w:p>
    <w:p w14:paraId="185C8F9F"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Estos gobiernos regionales tienen autonomía política, económica y administrativa. Según el art. 197 de la Constitución.</w:t>
      </w:r>
    </w:p>
    <w:p w14:paraId="31FE92BD" w14:textId="77777777" w:rsidR="002105F7" w:rsidRPr="000D3432" w:rsidRDefault="002105F7" w:rsidP="009E6E2E">
      <w:pPr>
        <w:jc w:val="both"/>
        <w:rPr>
          <w:rFonts w:asciiTheme="minorHAnsi" w:hAnsiTheme="minorHAnsi"/>
          <w:szCs w:val="24"/>
          <w:lang w:val="es-ES_tradnl"/>
        </w:rPr>
      </w:pPr>
    </w:p>
    <w:p w14:paraId="0E503D8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 xml:space="preserve">3.- GOBIERNO LOCAL </w:t>
      </w:r>
    </w:p>
    <w:p w14:paraId="3755D204" w14:textId="77777777" w:rsidR="002105F7" w:rsidRPr="000D3432" w:rsidRDefault="002105F7" w:rsidP="009E6E2E">
      <w:pPr>
        <w:jc w:val="both"/>
        <w:rPr>
          <w:rFonts w:asciiTheme="minorHAnsi" w:hAnsiTheme="minorHAnsi"/>
          <w:szCs w:val="24"/>
          <w:lang w:val="es-ES_tradnl"/>
        </w:rPr>
      </w:pPr>
    </w:p>
    <w:p w14:paraId="7266B918"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Los Gobiernos locales están constituidos por los Municipios Provinciales y Distritales.</w:t>
      </w:r>
    </w:p>
    <w:p w14:paraId="69D7BF28" w14:textId="77777777" w:rsidR="002105F7" w:rsidRPr="000D3432" w:rsidRDefault="002105F7" w:rsidP="009E6E2E">
      <w:pPr>
        <w:jc w:val="both"/>
        <w:rPr>
          <w:rFonts w:asciiTheme="minorHAnsi" w:hAnsiTheme="minorHAnsi"/>
          <w:szCs w:val="24"/>
          <w:lang w:val="es-ES_tradnl"/>
        </w:rPr>
      </w:pPr>
    </w:p>
    <w:p w14:paraId="14CD620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Consta de un Alcalde y de Regidores.</w:t>
      </w:r>
    </w:p>
    <w:p w14:paraId="2636BA74" w14:textId="77777777" w:rsidR="002105F7" w:rsidRPr="000D3432" w:rsidRDefault="002105F7" w:rsidP="009E6E2E">
      <w:pPr>
        <w:jc w:val="both"/>
        <w:rPr>
          <w:rFonts w:asciiTheme="minorHAnsi" w:hAnsiTheme="minorHAnsi"/>
          <w:szCs w:val="24"/>
          <w:lang w:val="es-ES_tradnl"/>
        </w:rPr>
      </w:pPr>
    </w:p>
    <w:p w14:paraId="1C9BBD0C"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Funciones y atribuciones:</w:t>
      </w:r>
    </w:p>
    <w:p w14:paraId="1DB04516" w14:textId="77777777" w:rsidR="002105F7" w:rsidRPr="000D3432" w:rsidRDefault="002105F7" w:rsidP="009E6E2E">
      <w:pPr>
        <w:jc w:val="both"/>
        <w:rPr>
          <w:rFonts w:asciiTheme="minorHAnsi" w:hAnsiTheme="minorHAnsi"/>
          <w:szCs w:val="24"/>
          <w:lang w:val="es-ES_tradnl"/>
        </w:rPr>
      </w:pPr>
    </w:p>
    <w:p w14:paraId="0E571AA9"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Planificación del desarrollo físico de sus territorios</w:t>
      </w:r>
    </w:p>
    <w:p w14:paraId="3EA68BAD"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Prestación de servicios públicos esenciles.</w:t>
      </w:r>
    </w:p>
    <w:p w14:paraId="1649543A" w14:textId="77777777" w:rsidR="002105F7" w:rsidRPr="000D3432" w:rsidRDefault="002105F7" w:rsidP="009E6E2E">
      <w:pPr>
        <w:numPr>
          <w:ilvl w:val="12"/>
          <w:numId w:val="0"/>
        </w:numPr>
        <w:jc w:val="both"/>
        <w:rPr>
          <w:rFonts w:asciiTheme="minorHAnsi" w:hAnsiTheme="minorHAnsi"/>
          <w:szCs w:val="24"/>
          <w:lang w:val="es-ES_tradnl"/>
        </w:rPr>
      </w:pPr>
    </w:p>
    <w:p w14:paraId="1630E986" w14:textId="77777777" w:rsidR="002105F7" w:rsidRPr="000D3432" w:rsidRDefault="002105F7" w:rsidP="009E6E2E">
      <w:pPr>
        <w:numPr>
          <w:ilvl w:val="12"/>
          <w:numId w:val="0"/>
        </w:numPr>
        <w:jc w:val="both"/>
        <w:rPr>
          <w:rFonts w:asciiTheme="minorHAnsi" w:hAnsiTheme="minorHAnsi"/>
          <w:b/>
          <w:szCs w:val="24"/>
          <w:lang w:val="es-ES_tradnl"/>
        </w:rPr>
      </w:pPr>
      <w:r w:rsidRPr="000D3432">
        <w:rPr>
          <w:rFonts w:asciiTheme="minorHAnsi" w:hAnsiTheme="minorHAnsi"/>
          <w:b/>
          <w:szCs w:val="24"/>
          <w:lang w:val="es-ES_tradnl"/>
        </w:rPr>
        <w:t>Funciones concretas:</w:t>
      </w:r>
    </w:p>
    <w:p w14:paraId="6D7B72D9"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Regular el transporte colectivo, la circulación y el tránsito</w:t>
      </w:r>
    </w:p>
    <w:p w14:paraId="33F1DF60"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Prestar los servicios públicos de alumbrado y baja policía,</w:t>
      </w:r>
    </w:p>
    <w:p w14:paraId="6113391E"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Elaborar las normas sobre zonificación y urbanismo e implementar su cumplimiento,</w:t>
      </w:r>
    </w:p>
    <w:p w14:paraId="39832C89"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Ocuparse de desarrollar la cultura, recreación y actividades deportivas de los vecinos,</w:t>
      </w:r>
    </w:p>
    <w:p w14:paraId="7850482D"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Promover el turismo así como la conservación de monumentos arqueológicos e históricos</w:t>
      </w:r>
    </w:p>
    <w:p w14:paraId="3AEDE055"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Mantenimientos del cementerio</w:t>
      </w:r>
    </w:p>
    <w:p w14:paraId="52C3EBA1" w14:textId="77777777" w:rsidR="002105F7" w:rsidRPr="000D3432" w:rsidRDefault="002105F7" w:rsidP="009E6E2E">
      <w:pPr>
        <w:numPr>
          <w:ilvl w:val="0"/>
          <w:numId w:val="52"/>
        </w:numPr>
        <w:ind w:left="0"/>
        <w:jc w:val="both"/>
        <w:rPr>
          <w:rFonts w:asciiTheme="minorHAnsi" w:hAnsiTheme="minorHAnsi"/>
          <w:szCs w:val="24"/>
          <w:lang w:val="es-ES_tradnl"/>
        </w:rPr>
      </w:pPr>
      <w:r w:rsidRPr="000D3432">
        <w:rPr>
          <w:rFonts w:asciiTheme="minorHAnsi" w:hAnsiTheme="minorHAnsi"/>
          <w:szCs w:val="24"/>
          <w:lang w:val="es-ES_tradnl"/>
        </w:rPr>
        <w:t>Establecimiento de comedores populares al servicio de los vecinos.</w:t>
      </w:r>
    </w:p>
    <w:p w14:paraId="413355A8" w14:textId="77777777" w:rsidR="002105F7" w:rsidRPr="000D3432" w:rsidRDefault="002105F7" w:rsidP="009E6E2E">
      <w:pPr>
        <w:jc w:val="both"/>
        <w:rPr>
          <w:rFonts w:asciiTheme="minorHAnsi" w:hAnsiTheme="minorHAnsi"/>
          <w:szCs w:val="24"/>
          <w:lang w:val="es-ES_tradnl"/>
        </w:rPr>
      </w:pPr>
    </w:p>
    <w:p w14:paraId="6969E386"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Normas jurídicas municipales</w:t>
      </w:r>
    </w:p>
    <w:p w14:paraId="1E4A6F30" w14:textId="77777777" w:rsidR="002105F7" w:rsidRPr="000D3432" w:rsidRDefault="002105F7" w:rsidP="009E6E2E">
      <w:pPr>
        <w:jc w:val="both"/>
        <w:rPr>
          <w:rFonts w:asciiTheme="minorHAnsi" w:hAnsiTheme="minorHAnsi"/>
          <w:szCs w:val="24"/>
          <w:lang w:val="es-ES_tradnl"/>
        </w:rPr>
      </w:pPr>
    </w:p>
    <w:p w14:paraId="2898404F" w14:textId="77777777" w:rsidR="002105F7" w:rsidRPr="000D3432" w:rsidRDefault="002105F7" w:rsidP="009E6E2E">
      <w:pPr>
        <w:numPr>
          <w:ilvl w:val="0"/>
          <w:numId w:val="54"/>
        </w:numPr>
        <w:tabs>
          <w:tab w:val="left" w:pos="1068"/>
        </w:tabs>
        <w:jc w:val="both"/>
        <w:rPr>
          <w:rFonts w:asciiTheme="minorHAnsi" w:hAnsiTheme="minorHAnsi"/>
          <w:b/>
          <w:szCs w:val="24"/>
          <w:lang w:val="es-ES_tradnl"/>
        </w:rPr>
      </w:pPr>
      <w:r w:rsidRPr="000D3432">
        <w:rPr>
          <w:rFonts w:asciiTheme="minorHAnsi" w:hAnsiTheme="minorHAnsi"/>
          <w:b/>
          <w:szCs w:val="24"/>
          <w:lang w:val="es-ES_tradnl"/>
        </w:rPr>
        <w:t>Ordenanzas Municipales:</w:t>
      </w:r>
    </w:p>
    <w:p w14:paraId="73E7CF31" w14:textId="77777777" w:rsidR="002105F7" w:rsidRPr="000D3432" w:rsidRDefault="002105F7" w:rsidP="009E6E2E">
      <w:pPr>
        <w:numPr>
          <w:ilvl w:val="12"/>
          <w:numId w:val="0"/>
        </w:numPr>
        <w:jc w:val="both"/>
        <w:rPr>
          <w:rFonts w:asciiTheme="minorHAnsi" w:hAnsiTheme="minorHAnsi"/>
          <w:szCs w:val="24"/>
          <w:lang w:val="es-ES_tradnl"/>
        </w:rPr>
      </w:pPr>
      <w:r w:rsidRPr="000D3432">
        <w:rPr>
          <w:rFonts w:asciiTheme="minorHAnsi" w:hAnsiTheme="minorHAnsi"/>
          <w:szCs w:val="24"/>
          <w:lang w:val="es-ES_tradnl"/>
        </w:rPr>
        <w:t>“Normas jurídicas que la Constitución trata con rango equivalente al de las leyes aunque subordinándolas a ellas.</w:t>
      </w:r>
    </w:p>
    <w:p w14:paraId="1F04895B" w14:textId="77777777" w:rsidR="002105F7" w:rsidRPr="000D3432" w:rsidRDefault="002105F7" w:rsidP="009E6E2E">
      <w:pPr>
        <w:numPr>
          <w:ilvl w:val="12"/>
          <w:numId w:val="0"/>
        </w:numPr>
        <w:jc w:val="both"/>
        <w:rPr>
          <w:rFonts w:asciiTheme="minorHAnsi" w:hAnsiTheme="minorHAnsi"/>
          <w:szCs w:val="24"/>
          <w:lang w:val="es-ES_tradnl"/>
        </w:rPr>
      </w:pPr>
    </w:p>
    <w:p w14:paraId="0C1639F5" w14:textId="77777777" w:rsidR="002105F7" w:rsidRPr="000D3432" w:rsidRDefault="002105F7" w:rsidP="009E6E2E">
      <w:pPr>
        <w:numPr>
          <w:ilvl w:val="0"/>
          <w:numId w:val="54"/>
        </w:numPr>
        <w:tabs>
          <w:tab w:val="left" w:pos="1068"/>
        </w:tabs>
        <w:jc w:val="both"/>
        <w:rPr>
          <w:rFonts w:asciiTheme="minorHAnsi" w:hAnsiTheme="minorHAnsi"/>
          <w:b/>
          <w:szCs w:val="24"/>
          <w:lang w:val="es-ES_tradnl"/>
        </w:rPr>
      </w:pPr>
      <w:r w:rsidRPr="000D3432">
        <w:rPr>
          <w:rFonts w:asciiTheme="minorHAnsi" w:hAnsiTheme="minorHAnsi"/>
          <w:b/>
          <w:szCs w:val="24"/>
          <w:lang w:val="es-ES_tradnl"/>
        </w:rPr>
        <w:t>Decretos de Alcaldía</w:t>
      </w:r>
    </w:p>
    <w:p w14:paraId="4BBA33EF"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“Son equivalentes a los decretos que produce el Poder Ejecutivo en el ámbito nacional. </w:t>
      </w:r>
    </w:p>
    <w:p w14:paraId="4167400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Sometidos a las disposiciones nacionales, regionales, y a las ordenanzas de su Concejo.</w:t>
      </w:r>
    </w:p>
    <w:p w14:paraId="3110FF9A" w14:textId="77777777" w:rsidR="002105F7" w:rsidRPr="000D3432" w:rsidRDefault="002105F7" w:rsidP="009E6E2E">
      <w:pPr>
        <w:jc w:val="both"/>
        <w:rPr>
          <w:rFonts w:asciiTheme="minorHAnsi" w:hAnsiTheme="minorHAnsi"/>
          <w:szCs w:val="24"/>
          <w:lang w:val="es-ES_tradnl"/>
        </w:rPr>
      </w:pPr>
    </w:p>
    <w:p w14:paraId="742A785B" w14:textId="77777777" w:rsidR="002105F7" w:rsidRPr="000D3432" w:rsidRDefault="002105F7" w:rsidP="009E6E2E">
      <w:pPr>
        <w:jc w:val="both"/>
        <w:rPr>
          <w:rFonts w:asciiTheme="minorHAnsi" w:hAnsiTheme="minorHAnsi"/>
          <w:szCs w:val="24"/>
          <w:lang w:val="es-ES_tradnl"/>
        </w:rPr>
      </w:pPr>
    </w:p>
    <w:p w14:paraId="1C582ADB" w14:textId="77777777" w:rsidR="002105F7" w:rsidRPr="000D3432" w:rsidRDefault="002105F7" w:rsidP="009E6E2E">
      <w:pPr>
        <w:jc w:val="both"/>
        <w:rPr>
          <w:rFonts w:asciiTheme="minorHAnsi" w:hAnsiTheme="minorHAnsi"/>
          <w:szCs w:val="24"/>
          <w:lang w:val="es-ES_tradnl"/>
        </w:rPr>
      </w:pPr>
    </w:p>
    <w:p w14:paraId="7D70C755" w14:textId="77777777" w:rsidR="002105F7" w:rsidRPr="000D3432" w:rsidRDefault="002105F7" w:rsidP="009E6E2E">
      <w:pPr>
        <w:jc w:val="both"/>
        <w:rPr>
          <w:rFonts w:asciiTheme="minorHAnsi" w:hAnsiTheme="minorHAnsi"/>
          <w:szCs w:val="24"/>
          <w:lang w:val="es-ES_tradnl"/>
        </w:rPr>
      </w:pPr>
    </w:p>
    <w:p w14:paraId="6A9BF56C" w14:textId="77777777" w:rsidR="002105F7" w:rsidRPr="000D3432" w:rsidRDefault="002105F7" w:rsidP="009E6E2E">
      <w:pPr>
        <w:jc w:val="both"/>
        <w:rPr>
          <w:rFonts w:asciiTheme="minorHAnsi" w:hAnsiTheme="minorHAnsi"/>
          <w:szCs w:val="24"/>
          <w:lang w:val="es-ES_tradnl"/>
        </w:rPr>
      </w:pPr>
    </w:p>
    <w:p w14:paraId="7C231FA6" w14:textId="77777777" w:rsidR="002105F7" w:rsidRPr="000D3432" w:rsidRDefault="002105F7" w:rsidP="009E6E2E">
      <w:pPr>
        <w:pStyle w:val="Ttulo6"/>
        <w:rPr>
          <w:rFonts w:asciiTheme="minorHAnsi" w:hAnsiTheme="minorHAnsi"/>
          <w:sz w:val="24"/>
          <w:szCs w:val="24"/>
        </w:rPr>
      </w:pPr>
      <w:r w:rsidRPr="000D3432">
        <w:rPr>
          <w:rFonts w:asciiTheme="minorHAnsi" w:hAnsiTheme="minorHAnsi"/>
          <w:sz w:val="24"/>
          <w:szCs w:val="24"/>
        </w:rPr>
        <w:t>CAPÍTULO</w:t>
      </w:r>
    </w:p>
    <w:p w14:paraId="6A822753" w14:textId="77777777" w:rsidR="002105F7" w:rsidRPr="000D3432" w:rsidRDefault="002105F7" w:rsidP="009E6E2E">
      <w:pPr>
        <w:jc w:val="center"/>
        <w:rPr>
          <w:rFonts w:asciiTheme="minorHAnsi" w:hAnsiTheme="minorHAnsi"/>
          <w:szCs w:val="24"/>
          <w:lang w:val="es-ES_tradnl"/>
        </w:rPr>
      </w:pPr>
      <w:r w:rsidRPr="000D3432">
        <w:rPr>
          <w:rFonts w:asciiTheme="minorHAnsi" w:hAnsiTheme="minorHAnsi"/>
          <w:b/>
          <w:szCs w:val="24"/>
          <w:lang w:val="es-ES_tradnl"/>
        </w:rPr>
        <w:t>ORGANISMOS CONSTITUCIONALES CON FUNCIONES ESPECÍFICAS</w:t>
      </w:r>
    </w:p>
    <w:p w14:paraId="1E2B9D74" w14:textId="77777777" w:rsidR="002105F7" w:rsidRPr="000D3432" w:rsidRDefault="002105F7" w:rsidP="009E6E2E">
      <w:pPr>
        <w:jc w:val="both"/>
        <w:rPr>
          <w:rFonts w:asciiTheme="minorHAnsi" w:hAnsiTheme="minorHAnsi"/>
          <w:szCs w:val="24"/>
          <w:lang w:val="es-ES_tradnl"/>
        </w:rPr>
      </w:pPr>
    </w:p>
    <w:p w14:paraId="0A44401D" w14:textId="77777777" w:rsidR="002105F7" w:rsidRPr="000D3432" w:rsidRDefault="002105F7" w:rsidP="009E6E2E">
      <w:pPr>
        <w:jc w:val="both"/>
        <w:rPr>
          <w:rFonts w:asciiTheme="minorHAnsi" w:hAnsiTheme="minorHAnsi"/>
          <w:szCs w:val="24"/>
          <w:lang w:val="es-ES_tradnl"/>
        </w:rPr>
      </w:pPr>
    </w:p>
    <w:p w14:paraId="775C4B42"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ORGANISMOS CONSTITUCIONALES CON FUNCIONES ESPECÍFICAS</w:t>
      </w:r>
    </w:p>
    <w:p w14:paraId="2AC0220E" w14:textId="77777777" w:rsidR="002105F7" w:rsidRPr="000D3432" w:rsidRDefault="002105F7" w:rsidP="009E6E2E">
      <w:pPr>
        <w:jc w:val="both"/>
        <w:rPr>
          <w:rFonts w:asciiTheme="minorHAnsi" w:hAnsiTheme="minorHAnsi"/>
          <w:szCs w:val="24"/>
          <w:lang w:val="es-ES_tradnl"/>
        </w:rPr>
      </w:pPr>
    </w:p>
    <w:p w14:paraId="27E74F53"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Son “organismos de rango constitucional con funciones específicas en las que tienen autonomía formal de los órganos del Gobierno Central” (Rubio. S.J. 56).</w:t>
      </w:r>
    </w:p>
    <w:p w14:paraId="6FDAEDA1" w14:textId="77777777" w:rsidR="002105F7" w:rsidRPr="000D3432" w:rsidRDefault="002105F7" w:rsidP="009E6E2E">
      <w:pPr>
        <w:jc w:val="both"/>
        <w:rPr>
          <w:rFonts w:asciiTheme="minorHAnsi" w:hAnsiTheme="minorHAnsi"/>
          <w:szCs w:val="24"/>
          <w:lang w:val="es-ES_tradnl"/>
        </w:rPr>
      </w:pPr>
    </w:p>
    <w:p w14:paraId="3CDB287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La autonomía alude al hecho que estas instituciones no responden de sus decisiones ante órdenes superiores de ninguna clase.</w:t>
      </w:r>
    </w:p>
    <w:p w14:paraId="3EABEACB" w14:textId="77777777" w:rsidR="002105F7" w:rsidRPr="000D3432" w:rsidRDefault="002105F7" w:rsidP="009E6E2E">
      <w:pPr>
        <w:jc w:val="both"/>
        <w:rPr>
          <w:rFonts w:asciiTheme="minorHAnsi" w:hAnsiTheme="minorHAnsi"/>
          <w:szCs w:val="24"/>
          <w:lang w:val="es-ES_tradnl"/>
        </w:rPr>
      </w:pPr>
    </w:p>
    <w:p w14:paraId="645B42D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Rubio aclara que la existencia de estos organismos puede revelarnos una nueva disposición de división de los poderes del Estado. La distribución del poder no estaría solamente en el Ejecutivo, Legislativo, Judicial.</w:t>
      </w:r>
    </w:p>
    <w:p w14:paraId="1C20FF50" w14:textId="77777777" w:rsidR="002105F7" w:rsidRPr="000D3432" w:rsidRDefault="002105F7" w:rsidP="009E6E2E">
      <w:pPr>
        <w:jc w:val="both"/>
        <w:rPr>
          <w:rFonts w:asciiTheme="minorHAnsi" w:hAnsiTheme="minorHAnsi"/>
          <w:szCs w:val="24"/>
          <w:lang w:val="es-ES_tradnl"/>
        </w:rPr>
      </w:pPr>
    </w:p>
    <w:p w14:paraId="38EF708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 Estos organismos son:</w:t>
      </w:r>
    </w:p>
    <w:p w14:paraId="54BD14C1" w14:textId="77777777" w:rsidR="002105F7" w:rsidRPr="000D3432" w:rsidRDefault="002105F7" w:rsidP="009E6E2E">
      <w:pPr>
        <w:jc w:val="both"/>
        <w:rPr>
          <w:rFonts w:asciiTheme="minorHAnsi" w:hAnsiTheme="minorHAnsi"/>
          <w:szCs w:val="24"/>
          <w:lang w:val="es-ES_tradnl"/>
        </w:rPr>
      </w:pPr>
    </w:p>
    <w:p w14:paraId="74D219E9"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ab/>
      </w:r>
      <w:r w:rsidRPr="000D3432">
        <w:rPr>
          <w:rFonts w:asciiTheme="minorHAnsi" w:hAnsiTheme="minorHAnsi"/>
          <w:szCs w:val="24"/>
          <w:lang w:val="es-ES_tradnl"/>
        </w:rPr>
        <w:tab/>
        <w:t>I. El Tribunal Constitucional</w:t>
      </w:r>
    </w:p>
    <w:p w14:paraId="3B38EBC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II. El Jurado Nacional de Elecciones</w:t>
      </w:r>
    </w:p>
    <w:p w14:paraId="11B99C3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III. La contraloría General de la República</w:t>
      </w:r>
    </w:p>
    <w:p w14:paraId="18ABA86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IV. El Banco Central de Reserva del Perú</w:t>
      </w:r>
    </w:p>
    <w:p w14:paraId="0C69366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V. La Superintendencia de Banca y Seguros</w:t>
      </w:r>
    </w:p>
    <w:p w14:paraId="3B58572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VI. El Ministerio Público.</w:t>
      </w:r>
    </w:p>
    <w:p w14:paraId="4714F958"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VII. El Consejo Nacional de la Magistratura.</w:t>
      </w:r>
    </w:p>
    <w:p w14:paraId="0AAE6DF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b/>
      </w:r>
      <w:r w:rsidRPr="000D3432">
        <w:rPr>
          <w:rFonts w:asciiTheme="minorHAnsi" w:hAnsiTheme="minorHAnsi"/>
          <w:szCs w:val="24"/>
          <w:lang w:val="es-ES_tradnl"/>
        </w:rPr>
        <w:tab/>
        <w:t>VIII. El Instituto Peruano de Seguridad Social</w:t>
      </w:r>
    </w:p>
    <w:p w14:paraId="60BCD9F8" w14:textId="77777777" w:rsidR="002105F7" w:rsidRPr="000D3432" w:rsidRDefault="002105F7" w:rsidP="009E6E2E">
      <w:pPr>
        <w:jc w:val="both"/>
        <w:rPr>
          <w:rFonts w:asciiTheme="minorHAnsi" w:hAnsiTheme="minorHAnsi"/>
          <w:szCs w:val="24"/>
          <w:lang w:val="es-ES_tradnl"/>
        </w:rPr>
      </w:pPr>
    </w:p>
    <w:p w14:paraId="4802DF0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Podemos describirlos y analizarlos individualmente de la siguiente manera:</w:t>
      </w:r>
    </w:p>
    <w:p w14:paraId="3131F006" w14:textId="77777777" w:rsidR="002105F7" w:rsidRPr="000D3432" w:rsidRDefault="002105F7" w:rsidP="009E6E2E">
      <w:pPr>
        <w:jc w:val="both"/>
        <w:rPr>
          <w:rFonts w:asciiTheme="minorHAnsi" w:hAnsiTheme="minorHAnsi"/>
          <w:szCs w:val="24"/>
          <w:lang w:val="es-ES_tradnl"/>
        </w:rPr>
      </w:pPr>
    </w:p>
    <w:p w14:paraId="63D1D4AB" w14:textId="77777777" w:rsidR="002105F7" w:rsidRPr="000D3432" w:rsidRDefault="002105F7" w:rsidP="009E6E2E">
      <w:pPr>
        <w:jc w:val="both"/>
        <w:rPr>
          <w:rFonts w:asciiTheme="minorHAnsi" w:hAnsiTheme="minorHAnsi"/>
          <w:szCs w:val="24"/>
          <w:lang w:val="es-ES_tradnl"/>
        </w:rPr>
      </w:pPr>
    </w:p>
    <w:p w14:paraId="03D890B2" w14:textId="77777777" w:rsidR="002105F7" w:rsidRPr="000D3432" w:rsidRDefault="002105F7" w:rsidP="009E6E2E">
      <w:pPr>
        <w:jc w:val="both"/>
        <w:rPr>
          <w:rFonts w:asciiTheme="minorHAnsi" w:hAnsiTheme="minorHAnsi"/>
          <w:szCs w:val="24"/>
          <w:lang w:val="es-ES_tradnl"/>
        </w:rPr>
      </w:pPr>
    </w:p>
    <w:p w14:paraId="2633B7B6" w14:textId="77777777" w:rsidR="002105F7" w:rsidRPr="000D3432" w:rsidRDefault="002105F7" w:rsidP="009E6E2E">
      <w:pPr>
        <w:jc w:val="both"/>
        <w:rPr>
          <w:rFonts w:asciiTheme="minorHAnsi" w:hAnsiTheme="minorHAnsi"/>
          <w:b/>
          <w:szCs w:val="24"/>
          <w:lang w:val="es-ES_tradnl"/>
        </w:rPr>
      </w:pPr>
      <w:r w:rsidRPr="000D3432">
        <w:rPr>
          <w:rFonts w:asciiTheme="minorHAnsi" w:hAnsiTheme="minorHAnsi"/>
          <w:b/>
          <w:szCs w:val="24"/>
          <w:lang w:val="es-ES_tradnl"/>
        </w:rPr>
        <w:t>I.  EL TRIBUNAL CONSTITUCIONAL</w:t>
      </w:r>
    </w:p>
    <w:p w14:paraId="291B79B1" w14:textId="77777777" w:rsidR="002105F7" w:rsidRPr="000D3432" w:rsidRDefault="002105F7" w:rsidP="009E6E2E">
      <w:pPr>
        <w:jc w:val="both"/>
        <w:rPr>
          <w:rFonts w:asciiTheme="minorHAnsi" w:hAnsiTheme="minorHAnsi"/>
          <w:szCs w:val="24"/>
          <w:lang w:val="es-ES_tradnl"/>
        </w:rPr>
      </w:pPr>
    </w:p>
    <w:p w14:paraId="1E18341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Anteriormente denominado Tribunal de Garantías Constitucionales. </w:t>
      </w:r>
    </w:p>
    <w:p w14:paraId="219370C9" w14:textId="77777777" w:rsidR="002105F7" w:rsidRPr="000D3432" w:rsidRDefault="002105F7" w:rsidP="009E6E2E">
      <w:pPr>
        <w:jc w:val="both"/>
        <w:rPr>
          <w:rFonts w:asciiTheme="minorHAnsi" w:hAnsiTheme="minorHAnsi"/>
          <w:szCs w:val="24"/>
          <w:lang w:val="es-ES_tradnl"/>
        </w:rPr>
      </w:pPr>
    </w:p>
    <w:p w14:paraId="305A905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1.- Concepto:</w:t>
      </w:r>
    </w:p>
    <w:p w14:paraId="1D60DBE3" w14:textId="77777777" w:rsidR="002105F7" w:rsidRPr="000D3432" w:rsidRDefault="002105F7" w:rsidP="009E6E2E">
      <w:pPr>
        <w:jc w:val="both"/>
        <w:rPr>
          <w:rFonts w:asciiTheme="minorHAnsi" w:hAnsiTheme="minorHAnsi"/>
          <w:szCs w:val="24"/>
          <w:lang w:val="es-ES_tradnl"/>
        </w:rPr>
      </w:pPr>
    </w:p>
    <w:p w14:paraId="27E04B5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 el organismo constitucional encargado de tramitar diversos procedimientos que tienen por finalidad garantizar la vigencia de los derechos constitucionales y la constitucionalidad de las normas jurídicas con rango de ley.” Rubio. SJ. Pp.58.</w:t>
      </w:r>
    </w:p>
    <w:p w14:paraId="62B7F597" w14:textId="77777777" w:rsidR="002105F7" w:rsidRPr="000D3432" w:rsidRDefault="002105F7" w:rsidP="009E6E2E">
      <w:pPr>
        <w:jc w:val="both"/>
        <w:rPr>
          <w:rFonts w:asciiTheme="minorHAnsi" w:hAnsiTheme="minorHAnsi"/>
          <w:szCs w:val="24"/>
          <w:lang w:val="es-ES_tradnl"/>
        </w:rPr>
      </w:pPr>
    </w:p>
    <w:p w14:paraId="465594A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Tribunal Constitucional es el órgano de control de la Constitución. Es autónomo e independiente.” (Art. 201. Const.)</w:t>
      </w:r>
    </w:p>
    <w:p w14:paraId="5C346245" w14:textId="77777777" w:rsidR="002105F7" w:rsidRPr="000D3432" w:rsidRDefault="002105F7" w:rsidP="009E6E2E">
      <w:pPr>
        <w:jc w:val="both"/>
        <w:rPr>
          <w:rFonts w:asciiTheme="minorHAnsi" w:hAnsiTheme="minorHAnsi"/>
          <w:szCs w:val="24"/>
          <w:lang w:val="es-ES_tradnl"/>
        </w:rPr>
      </w:pPr>
    </w:p>
    <w:p w14:paraId="60AAD339" w14:textId="77777777" w:rsidR="002105F7" w:rsidRPr="000D3432" w:rsidRDefault="002105F7" w:rsidP="009E6E2E">
      <w:pPr>
        <w:jc w:val="both"/>
        <w:rPr>
          <w:rFonts w:asciiTheme="minorHAnsi" w:hAnsiTheme="minorHAnsi"/>
          <w:szCs w:val="24"/>
          <w:lang w:val="es-ES_tradnl"/>
        </w:rPr>
      </w:pPr>
    </w:p>
    <w:p w14:paraId="1476099A"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Aparece, en el Perú recién con la Constitución de 1979. Eso indica que es una nueva institución quien asume “el control de la constitucionalidad del sistema legal, y de los actos de autoridad”; función que cumplía anteriormente la Corte Suprema. Con lo que se ve que el poder se descentraliza aún más. (Dice Rubio. Quítate la venda para mirarme mejor.  pp108.)</w:t>
      </w:r>
    </w:p>
    <w:p w14:paraId="0F5B0EE6" w14:textId="77777777" w:rsidR="002105F7" w:rsidRPr="000D3432" w:rsidRDefault="002105F7" w:rsidP="009E6E2E">
      <w:pPr>
        <w:jc w:val="both"/>
        <w:rPr>
          <w:rFonts w:asciiTheme="minorHAnsi" w:hAnsiTheme="minorHAnsi"/>
          <w:szCs w:val="24"/>
          <w:lang w:val="es-ES_tradnl"/>
        </w:rPr>
      </w:pPr>
    </w:p>
    <w:p w14:paraId="335738A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2.- El Tribunal Constitucional como órgano de control de la Constitución:</w:t>
      </w:r>
    </w:p>
    <w:p w14:paraId="3424B01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“Eso quiere decir que si muchos que si muchos otros órganos del Estado pueden aplicar y aún interpretar la Constitución, lo que diga el Tribunal Constitucional respecto de ella es la palabra definitiva”. (Dice Rubio. Quítate la venda para mirarme mejor.  pp108.). Hay sin embargo excepciones, como las decisiones del Jurado Nacional de Elecciones.</w:t>
      </w:r>
    </w:p>
    <w:p w14:paraId="7E833066" w14:textId="77777777" w:rsidR="002105F7" w:rsidRPr="000D3432" w:rsidRDefault="002105F7" w:rsidP="009E6E2E">
      <w:pPr>
        <w:jc w:val="both"/>
        <w:rPr>
          <w:rFonts w:asciiTheme="minorHAnsi" w:hAnsiTheme="minorHAnsi"/>
          <w:szCs w:val="24"/>
          <w:lang w:val="es-ES_tradnl"/>
        </w:rPr>
      </w:pPr>
    </w:p>
    <w:p w14:paraId="09E4AA0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3.- Composición del Tribunal Constitucional:</w:t>
      </w:r>
    </w:p>
    <w:p w14:paraId="245C64E7" w14:textId="77777777" w:rsidR="002105F7" w:rsidRPr="000D3432" w:rsidRDefault="002105F7" w:rsidP="009E6E2E">
      <w:pPr>
        <w:jc w:val="both"/>
        <w:rPr>
          <w:rFonts w:asciiTheme="minorHAnsi" w:hAnsiTheme="minorHAnsi"/>
          <w:szCs w:val="24"/>
          <w:lang w:val="es-ES_tradnl"/>
        </w:rPr>
      </w:pPr>
    </w:p>
    <w:p w14:paraId="0797C3E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Está constituido por siete miembros(</w:t>
      </w:r>
      <w:r w:rsidRPr="000D3432">
        <w:rPr>
          <w:rStyle w:val="Refdenotaalpie"/>
          <w:rFonts w:asciiTheme="minorHAnsi" w:hAnsiTheme="minorHAnsi"/>
          <w:sz w:val="24"/>
          <w:szCs w:val="24"/>
          <w:lang w:val="es-ES_tradnl"/>
        </w:rPr>
        <w:footnoteReference w:id="849"/>
      </w:r>
      <w:r w:rsidRPr="000D3432">
        <w:rPr>
          <w:rFonts w:asciiTheme="minorHAnsi" w:hAnsiTheme="minorHAnsi"/>
          <w:szCs w:val="24"/>
          <w:lang w:val="es-ES_tradnl"/>
        </w:rPr>
        <w:t>) elegidos por cinco años.</w:t>
      </w:r>
    </w:p>
    <w:p w14:paraId="6442D0BA" w14:textId="77777777" w:rsidR="002105F7" w:rsidRPr="000D3432" w:rsidRDefault="002105F7" w:rsidP="009E6E2E">
      <w:pPr>
        <w:jc w:val="both"/>
        <w:rPr>
          <w:rFonts w:asciiTheme="minorHAnsi" w:hAnsiTheme="minorHAnsi"/>
          <w:szCs w:val="24"/>
          <w:lang w:val="es-ES_tradnl"/>
        </w:rPr>
      </w:pPr>
    </w:p>
    <w:p w14:paraId="724E53A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Son elegidos por el Congreso, con el voto favorable de los dos tercios del número legal de sus miembros. (80 congresistas), pues son 120.</w:t>
      </w:r>
    </w:p>
    <w:p w14:paraId="41ECE119" w14:textId="77777777" w:rsidR="002105F7" w:rsidRPr="000D3432" w:rsidRDefault="002105F7" w:rsidP="009E6E2E">
      <w:pPr>
        <w:jc w:val="both"/>
        <w:rPr>
          <w:rFonts w:asciiTheme="minorHAnsi" w:hAnsiTheme="minorHAnsi"/>
          <w:szCs w:val="24"/>
          <w:lang w:val="es-ES_tradnl"/>
        </w:rPr>
      </w:pPr>
    </w:p>
    <w:p w14:paraId="3784606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xml:space="preserve">Tienen las misma inmunidad y prerrogativas de los congresistas y les alcanzan las mismas incompatibilidades. </w:t>
      </w:r>
    </w:p>
    <w:p w14:paraId="6C737E4C" w14:textId="77777777" w:rsidR="002105F7" w:rsidRPr="000D3432" w:rsidRDefault="002105F7" w:rsidP="009E6E2E">
      <w:pPr>
        <w:jc w:val="both"/>
        <w:rPr>
          <w:rFonts w:asciiTheme="minorHAnsi" w:hAnsiTheme="minorHAnsi"/>
          <w:szCs w:val="24"/>
          <w:lang w:val="es-ES_tradnl"/>
        </w:rPr>
      </w:pPr>
    </w:p>
    <w:p w14:paraId="25C127D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No pueden ser reelegidos inmediatamente.</w:t>
      </w:r>
    </w:p>
    <w:p w14:paraId="7E2325AB" w14:textId="77777777" w:rsidR="002105F7" w:rsidRPr="000D3432" w:rsidRDefault="002105F7" w:rsidP="009E6E2E">
      <w:pPr>
        <w:jc w:val="both"/>
        <w:rPr>
          <w:rFonts w:asciiTheme="minorHAnsi" w:hAnsiTheme="minorHAnsi"/>
          <w:szCs w:val="24"/>
          <w:lang w:val="es-ES_tradnl"/>
        </w:rPr>
      </w:pPr>
    </w:p>
    <w:p w14:paraId="25690FE7"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Lo trascendental está en el nuevo esquema de elección. Si antes, con la Constitución del 79 (revisar) los miembros del Tribunal eran elegidos por los tres poderes, el Legislativo, el Ejecutivo, el Judicial, hoy, se ha desequilibrado esa elección, puesto que sólo el Congreso es quien elige.</w:t>
      </w:r>
    </w:p>
    <w:p w14:paraId="4A93D148" w14:textId="77777777" w:rsidR="002105F7" w:rsidRPr="000D3432" w:rsidRDefault="002105F7" w:rsidP="009E6E2E">
      <w:pPr>
        <w:jc w:val="both"/>
        <w:rPr>
          <w:rFonts w:asciiTheme="minorHAnsi" w:hAnsiTheme="minorHAnsi"/>
          <w:szCs w:val="24"/>
          <w:lang w:val="es-ES_tradnl"/>
        </w:rPr>
      </w:pPr>
    </w:p>
    <w:p w14:paraId="23D0921F"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4.- Facultades y Atribuciones del Tribunal Constitucional:</w:t>
      </w:r>
    </w:p>
    <w:p w14:paraId="1382765F" w14:textId="77777777" w:rsidR="002105F7" w:rsidRPr="000D3432" w:rsidRDefault="002105F7" w:rsidP="009E6E2E">
      <w:pPr>
        <w:jc w:val="both"/>
        <w:rPr>
          <w:rFonts w:asciiTheme="minorHAnsi" w:hAnsiTheme="minorHAnsi"/>
          <w:szCs w:val="24"/>
          <w:lang w:val="es-ES_tradnl"/>
        </w:rPr>
      </w:pPr>
    </w:p>
    <w:p w14:paraId="0F03DC7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Son facultades y atribuciones del Tribunal constitucional (art. 202, Const.):</w:t>
      </w:r>
    </w:p>
    <w:p w14:paraId="222CFBA0" w14:textId="77777777" w:rsidR="002105F7" w:rsidRPr="000D3432" w:rsidRDefault="002105F7" w:rsidP="009E6E2E">
      <w:pPr>
        <w:jc w:val="both"/>
        <w:rPr>
          <w:rFonts w:asciiTheme="minorHAnsi" w:hAnsiTheme="minorHAnsi"/>
          <w:szCs w:val="24"/>
          <w:lang w:val="es-ES_tradnl"/>
        </w:rPr>
      </w:pPr>
    </w:p>
    <w:p w14:paraId="32BDE66B"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1. Conocer, en instancia única, la acción de inconstitucionalidad.</w:t>
      </w:r>
    </w:p>
    <w:p w14:paraId="3A3D60AD"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2. Conocer en última y definitiva instancia, las resoluciones denegatorias de hábeas copus, amparo, habeas data, y acción de cumplimiento.</w:t>
      </w:r>
    </w:p>
    <w:p w14:paraId="5FB2A377"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3. Conocer los  conflictos de competencia, o de atribuciones asignadas por la Constitución, conforme a ley.</w:t>
      </w:r>
    </w:p>
    <w:p w14:paraId="6335E52B" w14:textId="77777777" w:rsidR="002105F7" w:rsidRPr="000D3432" w:rsidRDefault="002105F7" w:rsidP="009E6E2E">
      <w:pPr>
        <w:jc w:val="both"/>
        <w:rPr>
          <w:rFonts w:asciiTheme="minorHAnsi" w:hAnsiTheme="minorHAnsi"/>
          <w:szCs w:val="24"/>
          <w:lang w:val="es-ES_tradnl"/>
        </w:rPr>
      </w:pPr>
    </w:p>
    <w:p w14:paraId="25A593C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5.- Facultados para interponer acción de Inconstitucionalidad:</w:t>
      </w:r>
    </w:p>
    <w:p w14:paraId="5C228451" w14:textId="77777777" w:rsidR="002105F7" w:rsidRPr="000D3432" w:rsidRDefault="002105F7" w:rsidP="009E6E2E">
      <w:pPr>
        <w:jc w:val="both"/>
        <w:rPr>
          <w:rFonts w:asciiTheme="minorHAnsi" w:hAnsiTheme="minorHAnsi"/>
          <w:szCs w:val="24"/>
          <w:lang w:val="es-ES_tradnl"/>
        </w:rPr>
      </w:pPr>
    </w:p>
    <w:p w14:paraId="333B0785"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Según el art. 203 de la Const.</w:t>
      </w:r>
    </w:p>
    <w:p w14:paraId="7A9C48F6" w14:textId="77777777" w:rsidR="002105F7" w:rsidRPr="000D3432" w:rsidRDefault="002105F7" w:rsidP="009E6E2E">
      <w:pPr>
        <w:jc w:val="both"/>
        <w:rPr>
          <w:rFonts w:asciiTheme="minorHAnsi" w:hAnsiTheme="minorHAnsi"/>
          <w:szCs w:val="24"/>
          <w:lang w:val="es-ES_tradnl"/>
        </w:rPr>
      </w:pPr>
    </w:p>
    <w:p w14:paraId="58A808CA"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1. El Presidente de la República,</w:t>
      </w:r>
    </w:p>
    <w:p w14:paraId="41661E4D"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2. El Fiscal de la Nación,</w:t>
      </w:r>
    </w:p>
    <w:p w14:paraId="05A53F8D"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3. El Defensor del Pueblo,</w:t>
      </w:r>
    </w:p>
    <w:p w14:paraId="2F83B3F4"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4. El veinticinco por ciento del número legal de congresistas.</w:t>
      </w:r>
    </w:p>
    <w:p w14:paraId="6A9B662A"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5. Cinco mil ciudadanos con firmas comprobadas por el Jurado Nacional de Elecciones.</w:t>
      </w:r>
    </w:p>
    <w:p w14:paraId="66AB40E2"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En caso de ser la norma una ordenanza municipal, solo es necesario el uno por ciento de los ciudadanos del ámbito territorial respectivo.</w:t>
      </w:r>
    </w:p>
    <w:p w14:paraId="52E4FFF5"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6. Los presidentes de Región con acuerdo del Consejo de Coordinación Regional, o los alcaldes provinciales con acuerdo de su Concejo, en materias de su competencia.</w:t>
      </w:r>
    </w:p>
    <w:p w14:paraId="363C3C63" w14:textId="77777777" w:rsidR="002105F7" w:rsidRPr="000D3432" w:rsidRDefault="002105F7" w:rsidP="009E6E2E">
      <w:pPr>
        <w:ind w:hanging="285"/>
        <w:jc w:val="both"/>
        <w:rPr>
          <w:rFonts w:asciiTheme="minorHAnsi" w:hAnsiTheme="minorHAnsi"/>
          <w:szCs w:val="24"/>
          <w:lang w:val="es-ES_tradnl"/>
        </w:rPr>
      </w:pPr>
      <w:r w:rsidRPr="000D3432">
        <w:rPr>
          <w:rFonts w:asciiTheme="minorHAnsi" w:hAnsiTheme="minorHAnsi"/>
          <w:szCs w:val="24"/>
          <w:lang w:val="es-ES_tradnl"/>
        </w:rPr>
        <w:t>7. Los colegios profesionales, en materias de su especialidad.</w:t>
      </w:r>
    </w:p>
    <w:p w14:paraId="3FE56866" w14:textId="77777777" w:rsidR="002105F7" w:rsidRPr="000D3432" w:rsidRDefault="002105F7" w:rsidP="009E6E2E">
      <w:pPr>
        <w:jc w:val="both"/>
        <w:rPr>
          <w:rFonts w:asciiTheme="minorHAnsi" w:hAnsiTheme="minorHAnsi"/>
          <w:szCs w:val="24"/>
          <w:lang w:val="es-ES_tradnl"/>
        </w:rPr>
      </w:pPr>
    </w:p>
    <w:p w14:paraId="5EE2E100"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6.- Procedencia de la Acción de Inconstitucionalidad:</w:t>
      </w:r>
    </w:p>
    <w:p w14:paraId="40DEB5EF" w14:textId="77777777" w:rsidR="002105F7" w:rsidRPr="000D3432" w:rsidRDefault="002105F7" w:rsidP="009E6E2E">
      <w:pPr>
        <w:jc w:val="both"/>
        <w:rPr>
          <w:rFonts w:asciiTheme="minorHAnsi" w:hAnsiTheme="minorHAnsi"/>
          <w:szCs w:val="24"/>
          <w:lang w:val="es-ES_tradnl"/>
        </w:rPr>
      </w:pPr>
    </w:p>
    <w:p w14:paraId="3AF6721C"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Según el Artículo 200, inc. 4:</w:t>
      </w:r>
    </w:p>
    <w:p w14:paraId="1B845F4F" w14:textId="77777777" w:rsidR="002105F7" w:rsidRPr="000D3432" w:rsidRDefault="002105F7" w:rsidP="009E6E2E">
      <w:pPr>
        <w:jc w:val="both"/>
        <w:rPr>
          <w:rFonts w:asciiTheme="minorHAnsi" w:hAnsiTheme="minorHAnsi"/>
          <w:szCs w:val="24"/>
          <w:lang w:val="es-ES_tradnl"/>
        </w:rPr>
      </w:pPr>
    </w:p>
    <w:p w14:paraId="404929F3"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La acción de inconstitucionalidad “(…) procede contra las normas que tienen rango de ley; leyes, decretos legislativos, decretos de urgencia, tratados, reglamentos del Congreso, normas regionales de carácter general y ordenanzas municipales que contravengan la Constitución en la forma o en el fondo.”</w:t>
      </w:r>
    </w:p>
    <w:p w14:paraId="51DB175C" w14:textId="77777777" w:rsidR="002105F7" w:rsidRPr="000D3432" w:rsidRDefault="002105F7" w:rsidP="009E6E2E">
      <w:pPr>
        <w:jc w:val="both"/>
        <w:rPr>
          <w:rFonts w:asciiTheme="minorHAnsi" w:hAnsiTheme="minorHAnsi"/>
          <w:szCs w:val="24"/>
          <w:lang w:val="es-ES_tradnl"/>
        </w:rPr>
      </w:pPr>
    </w:p>
    <w:p w14:paraId="5D1BF438"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efecto de que el Tribunal declare fundada la acción de inconstitucionalidad consiste en que la ley impugnada pierde validez: es el mismo efecto que si hubiera sido derogada. El Tribunal tiene la calidad de ‘instancia única’ en esta materia, lo que quiere decir que su sentencia en esta acción no puede ser revisada por nadie, ni siquiera por él mismo.”</w:t>
      </w:r>
      <w:r w:rsidRPr="000D3432">
        <w:rPr>
          <w:rStyle w:val="Refdenotaalpie"/>
          <w:rFonts w:asciiTheme="minorHAnsi" w:hAnsiTheme="minorHAnsi"/>
          <w:sz w:val="24"/>
          <w:szCs w:val="24"/>
          <w:lang w:val="es-ES_tradnl"/>
        </w:rPr>
        <w:footnoteReference w:id="850"/>
      </w:r>
    </w:p>
    <w:p w14:paraId="1474F358" w14:textId="77777777" w:rsidR="002105F7" w:rsidRPr="000D3432" w:rsidRDefault="002105F7" w:rsidP="009E6E2E">
      <w:pPr>
        <w:jc w:val="both"/>
        <w:rPr>
          <w:rFonts w:asciiTheme="minorHAnsi" w:hAnsiTheme="minorHAnsi"/>
          <w:szCs w:val="24"/>
          <w:lang w:val="es-ES_tradnl"/>
        </w:rPr>
      </w:pPr>
    </w:p>
    <w:p w14:paraId="65A83921" w14:textId="77777777" w:rsidR="002105F7" w:rsidRPr="000D3432" w:rsidRDefault="002105F7" w:rsidP="009E6E2E">
      <w:pPr>
        <w:jc w:val="both"/>
        <w:rPr>
          <w:rFonts w:asciiTheme="minorHAnsi" w:hAnsiTheme="minorHAnsi"/>
          <w:szCs w:val="24"/>
          <w:lang w:val="es-ES_tradnl"/>
        </w:rPr>
      </w:pPr>
    </w:p>
    <w:p w14:paraId="01A48FBE"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w:t>
      </w:r>
    </w:p>
    <w:p w14:paraId="212B1CF4"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Tribunal conoce en última y definitiva instancia, según el art. 202 de la Constitución, eso indica que “El Tribunal Constitucional recibe las resoluciones denegatorias que hayan sido impugnadas ante él, las estudia y juzga el caso emitiendo la última sentencia que puede darse. Esa sentencia pasa en calidad de cosa juzgada, lo que quiere decir que es inmodificable y debe ser cumplida. Esta atribución es ejercitada por el Tribunal sobre las acciones constitucionales que defienden los derechos humanos, lo que quiere decir que dicho Tribunal es la última voz que puede escucharse en materia de protección de derechos dentro del Perú.”</w:t>
      </w:r>
      <w:r w:rsidRPr="000D3432">
        <w:rPr>
          <w:rStyle w:val="Refdenotaalpie"/>
          <w:rFonts w:asciiTheme="minorHAnsi" w:hAnsiTheme="minorHAnsi"/>
          <w:sz w:val="24"/>
          <w:szCs w:val="24"/>
          <w:lang w:val="es-ES_tradnl"/>
        </w:rPr>
        <w:footnoteReference w:id="851"/>
      </w:r>
    </w:p>
    <w:p w14:paraId="0E028793" w14:textId="77777777" w:rsidR="002105F7" w:rsidRPr="000D3432" w:rsidRDefault="002105F7" w:rsidP="009E6E2E">
      <w:pPr>
        <w:jc w:val="both"/>
        <w:rPr>
          <w:rFonts w:asciiTheme="minorHAnsi" w:hAnsiTheme="minorHAnsi"/>
          <w:szCs w:val="24"/>
          <w:lang w:val="es-ES_tradnl"/>
        </w:rPr>
      </w:pPr>
    </w:p>
    <w:p w14:paraId="1217C399"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El Tribunal Constitucional tiene “la atribución de resolver conflictos de atribuciones asignadas por la Constitución.”, Es decir, puede decidir quien tiene competencia sobre la ejecución de una obra, por ejemplo, Dice Rubio, cuando hay conflicto entre quien realiza la obra el Poder Ejecutivo o el Municipio.</w:t>
      </w:r>
    </w:p>
    <w:p w14:paraId="34B76E5B" w14:textId="77777777" w:rsidR="002105F7" w:rsidRPr="000D3432" w:rsidRDefault="002105F7" w:rsidP="009E6E2E">
      <w:pPr>
        <w:jc w:val="both"/>
        <w:rPr>
          <w:rFonts w:asciiTheme="minorHAnsi" w:hAnsiTheme="minorHAnsi"/>
          <w:szCs w:val="24"/>
          <w:lang w:val="es-ES_tradnl"/>
        </w:rPr>
      </w:pPr>
    </w:p>
    <w:p w14:paraId="7C1169DE" w14:textId="77777777" w:rsidR="002105F7" w:rsidRPr="000D3432" w:rsidRDefault="002105F7" w:rsidP="009E6E2E">
      <w:pPr>
        <w:jc w:val="both"/>
        <w:rPr>
          <w:rFonts w:asciiTheme="minorHAnsi" w:hAnsiTheme="minorHAnsi"/>
          <w:szCs w:val="24"/>
          <w:lang w:val="es-ES_tradnl"/>
        </w:rPr>
      </w:pPr>
    </w:p>
    <w:p w14:paraId="431752CF" w14:textId="77777777" w:rsidR="002105F7" w:rsidRPr="000D3432" w:rsidRDefault="002105F7" w:rsidP="009E6E2E">
      <w:pPr>
        <w:jc w:val="both"/>
        <w:rPr>
          <w:rFonts w:asciiTheme="minorHAnsi" w:hAnsiTheme="minorHAnsi"/>
          <w:szCs w:val="24"/>
          <w:lang w:val="es-ES_tradnl"/>
        </w:rPr>
      </w:pPr>
      <w:r w:rsidRPr="000D3432">
        <w:rPr>
          <w:rFonts w:asciiTheme="minorHAnsi" w:hAnsiTheme="minorHAnsi"/>
          <w:b/>
          <w:szCs w:val="24"/>
          <w:lang w:val="es-ES_tradnl"/>
        </w:rPr>
        <w:t>7.- SÍNTESIS:</w:t>
      </w:r>
    </w:p>
    <w:p w14:paraId="70D0B9AB" w14:textId="77777777" w:rsidR="002105F7" w:rsidRPr="000D3432" w:rsidRDefault="002105F7" w:rsidP="009E6E2E">
      <w:pPr>
        <w:jc w:val="both"/>
        <w:rPr>
          <w:rFonts w:asciiTheme="minorHAnsi" w:hAnsiTheme="minorHAnsi"/>
          <w:szCs w:val="24"/>
          <w:lang w:val="es-ES_tradnl"/>
        </w:rPr>
      </w:pPr>
    </w:p>
    <w:p w14:paraId="126FD999" w14:textId="77777777" w:rsidR="009E6E2E" w:rsidRPr="000D3432" w:rsidRDefault="002105F7" w:rsidP="009E6E2E">
      <w:pPr>
        <w:jc w:val="both"/>
        <w:rPr>
          <w:rFonts w:asciiTheme="minorHAnsi" w:hAnsiTheme="minorHAnsi"/>
          <w:szCs w:val="24"/>
          <w:lang w:val="es-ES_tradnl"/>
        </w:rPr>
      </w:pPr>
      <w:r w:rsidRPr="000D3432">
        <w:rPr>
          <w:rFonts w:asciiTheme="minorHAnsi" w:hAnsiTheme="minorHAnsi"/>
          <w:szCs w:val="24"/>
          <w:lang w:val="es-ES_tradnl"/>
        </w:rPr>
        <w:t>“(…) El Tribunal Constitucional es un órgano de gran importancia en el país porque, al ejercer el control de la Jurisdicción, vigila el uso del poder que tienen los demás órganos del Estado y, además, puede corregir los errores y abusos que ocurran en la realidad, bien por actuación del Estado, bien por la de los mismos particulares.”(</w:t>
      </w:r>
      <w:r w:rsidRPr="000D3432">
        <w:rPr>
          <w:rStyle w:val="Refdenotaalpie"/>
          <w:rFonts w:asciiTheme="minorHAnsi" w:hAnsiTheme="minorHAnsi"/>
          <w:sz w:val="24"/>
          <w:szCs w:val="24"/>
          <w:lang w:val="es-ES_tradnl"/>
        </w:rPr>
        <w:footnoteReference w:id="852"/>
      </w:r>
      <w:r w:rsidRPr="000D3432">
        <w:rPr>
          <w:rFonts w:asciiTheme="minorHAnsi" w:hAnsiTheme="minorHAnsi"/>
          <w:szCs w:val="24"/>
          <w:lang w:val="es-ES_tradnl"/>
        </w:rPr>
        <w:t>)</w:t>
      </w:r>
    </w:p>
    <w:p w14:paraId="67FB7B73" w14:textId="77777777" w:rsidR="009E6E2E" w:rsidRPr="000D3432" w:rsidRDefault="009E6E2E" w:rsidP="009E6E2E">
      <w:pPr>
        <w:jc w:val="both"/>
        <w:rPr>
          <w:rFonts w:asciiTheme="minorHAnsi" w:hAnsiTheme="minorHAnsi"/>
          <w:szCs w:val="24"/>
          <w:lang w:val="es-ES_tradnl"/>
        </w:rPr>
      </w:pPr>
    </w:p>
    <w:p w14:paraId="35BBE5D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Ejerce el control de la Jurisdicción,</w:t>
      </w:r>
    </w:p>
    <w:p w14:paraId="046C19C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Vigila el uso del poder que tienen los demás órganos del Estado,</w:t>
      </w:r>
    </w:p>
    <w:p w14:paraId="4225D07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Puede corregir los errores y abusos que ocurran en la realidad</w:t>
      </w:r>
    </w:p>
    <w:p w14:paraId="3FBC4C83" w14:textId="77777777" w:rsidR="009E6E2E" w:rsidRPr="000D3432" w:rsidRDefault="009E6E2E" w:rsidP="009E6E2E">
      <w:pPr>
        <w:jc w:val="both"/>
        <w:rPr>
          <w:rFonts w:asciiTheme="minorHAnsi" w:hAnsiTheme="minorHAnsi"/>
          <w:szCs w:val="24"/>
          <w:lang w:val="es-ES_tradnl"/>
        </w:rPr>
      </w:pPr>
    </w:p>
    <w:p w14:paraId="35D01628" w14:textId="77777777" w:rsidR="009E6E2E" w:rsidRPr="000D3432" w:rsidRDefault="009E6E2E" w:rsidP="009E6E2E">
      <w:pPr>
        <w:jc w:val="both"/>
        <w:rPr>
          <w:rFonts w:asciiTheme="minorHAnsi" w:hAnsiTheme="minorHAnsi"/>
          <w:szCs w:val="24"/>
          <w:lang w:val="es-ES_tradnl"/>
        </w:rPr>
      </w:pPr>
    </w:p>
    <w:p w14:paraId="0AEECAD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II. EL JURADO NACIONAL DE ELECCIONES</w:t>
      </w:r>
    </w:p>
    <w:p w14:paraId="05E8201B" w14:textId="77777777" w:rsidR="009E6E2E" w:rsidRPr="000D3432" w:rsidRDefault="009E6E2E" w:rsidP="009E6E2E">
      <w:pPr>
        <w:jc w:val="both"/>
        <w:rPr>
          <w:rFonts w:asciiTheme="minorHAnsi" w:hAnsiTheme="minorHAnsi"/>
          <w:szCs w:val="24"/>
          <w:lang w:val="es-ES_tradnl"/>
        </w:rPr>
      </w:pPr>
    </w:p>
    <w:p w14:paraId="35244D4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 un organismo constitucional encargado de dirigir, ejecutar, y resolver con autonomía, todo lo referente a los procesos electorales y sus secuelas.” Rubio. El S.J.</w:t>
      </w:r>
    </w:p>
    <w:p w14:paraId="4CB6643B" w14:textId="77777777" w:rsidR="009E6E2E" w:rsidRPr="000D3432" w:rsidRDefault="009E6E2E" w:rsidP="009E6E2E">
      <w:pPr>
        <w:jc w:val="both"/>
        <w:rPr>
          <w:rFonts w:asciiTheme="minorHAnsi" w:hAnsiTheme="minorHAnsi"/>
          <w:szCs w:val="24"/>
          <w:lang w:val="es-ES_tradnl"/>
        </w:rPr>
      </w:pPr>
    </w:p>
    <w:p w14:paraId="0C2FFC6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Jurado Nacional de Elecciones está comprendido dentro del Capítulo XIII Del Sistema Electoral, de la Constitución, en el artículo 177. En el que se Establece como un elemento, factor, institución, dentro de un trío, con autonomía: “El Sistema Electoral está conformado por el Jurado nacional de Elecciones; la Oficina nacional de Procesos Electorales; y el Registro Nacional de Identificación y Estado Civil.”</w:t>
      </w:r>
    </w:p>
    <w:p w14:paraId="27F3EF5D" w14:textId="77777777" w:rsidR="009E6E2E" w:rsidRPr="000D3432" w:rsidRDefault="009E6E2E" w:rsidP="009E6E2E">
      <w:pPr>
        <w:jc w:val="both"/>
        <w:rPr>
          <w:rFonts w:asciiTheme="minorHAnsi" w:hAnsiTheme="minorHAnsi"/>
          <w:szCs w:val="24"/>
          <w:lang w:val="es-ES_tradnl"/>
        </w:rPr>
      </w:pPr>
    </w:p>
    <w:p w14:paraId="54328FB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1.- Atribuciones del Jurado Nacional de Elecciones:</w:t>
      </w:r>
    </w:p>
    <w:p w14:paraId="32C10E0B" w14:textId="77777777" w:rsidR="009E6E2E" w:rsidRPr="000D3432" w:rsidRDefault="009E6E2E" w:rsidP="009E6E2E">
      <w:pPr>
        <w:jc w:val="both"/>
        <w:rPr>
          <w:rFonts w:asciiTheme="minorHAnsi" w:hAnsiTheme="minorHAnsi"/>
          <w:szCs w:val="24"/>
          <w:lang w:val="es-ES_tradnl"/>
        </w:rPr>
      </w:pPr>
    </w:p>
    <w:p w14:paraId="3344814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 acuerdo al artículo 178 de la Constitución:</w:t>
      </w:r>
    </w:p>
    <w:p w14:paraId="662167D9" w14:textId="77777777" w:rsidR="009E6E2E" w:rsidRPr="000D3432" w:rsidRDefault="009E6E2E" w:rsidP="009E6E2E">
      <w:pPr>
        <w:jc w:val="both"/>
        <w:rPr>
          <w:rFonts w:asciiTheme="minorHAnsi" w:hAnsiTheme="minorHAnsi"/>
          <w:szCs w:val="24"/>
          <w:lang w:val="es-ES_tradnl"/>
        </w:rPr>
      </w:pPr>
    </w:p>
    <w:p w14:paraId="2A99D9D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Compete al Jurado Nacional de Elecciones:</w:t>
      </w:r>
    </w:p>
    <w:p w14:paraId="6B47813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Fiscalizar la legalidad del ejercicio del derecho de sufragio y de la realización de los procesos electorales, del referendum y de otras consultas populares, así como también la elaboración de los padrones electorales.</w:t>
      </w:r>
    </w:p>
    <w:p w14:paraId="3135394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Mantener y custodiar el registro de organizaciones políticas.</w:t>
      </w:r>
    </w:p>
    <w:p w14:paraId="61E437D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Velar por el cumplimiento de las normas sobre organizaciones políticas y demás disposiciones referidas a materia electoral.</w:t>
      </w:r>
    </w:p>
    <w:p w14:paraId="0B3EBFB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Administrar justicia en materia electoral.</w:t>
      </w:r>
    </w:p>
    <w:p w14:paraId="014CD6E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5. Proclamar a los candidatos elegidos; el resultado del referéndeum o el de otros tipos de consulta popular, y expedir las credenciales correspondientes.</w:t>
      </w:r>
    </w:p>
    <w:p w14:paraId="7BDDEB9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6. Las demás que la ley señala.</w:t>
      </w:r>
    </w:p>
    <w:p w14:paraId="0BA48B47" w14:textId="77777777" w:rsidR="009E6E2E" w:rsidRPr="000D3432" w:rsidRDefault="009E6E2E" w:rsidP="009E6E2E">
      <w:pPr>
        <w:ind w:firstLine="707"/>
        <w:jc w:val="both"/>
        <w:rPr>
          <w:rFonts w:asciiTheme="minorHAnsi" w:hAnsiTheme="minorHAnsi"/>
          <w:szCs w:val="24"/>
          <w:lang w:val="es-ES_tradnl"/>
        </w:rPr>
      </w:pPr>
      <w:r w:rsidRPr="000D3432">
        <w:rPr>
          <w:rFonts w:asciiTheme="minorHAnsi" w:hAnsiTheme="minorHAnsi"/>
          <w:szCs w:val="24"/>
          <w:lang w:val="es-ES_tradnl"/>
        </w:rPr>
        <w:t>En materia electoral, el Jurado Nacional de Elecciones tienen iniciativa en la formación de las leyes.</w:t>
      </w:r>
    </w:p>
    <w:p w14:paraId="427FEC73" w14:textId="77777777" w:rsidR="009E6E2E" w:rsidRPr="000D3432" w:rsidRDefault="009E6E2E" w:rsidP="009E6E2E">
      <w:pPr>
        <w:ind w:firstLine="707"/>
        <w:jc w:val="both"/>
        <w:rPr>
          <w:rFonts w:asciiTheme="minorHAnsi" w:hAnsiTheme="minorHAnsi"/>
          <w:szCs w:val="24"/>
          <w:lang w:val="es-ES_tradnl"/>
        </w:rPr>
      </w:pPr>
      <w:r w:rsidRPr="000D3432">
        <w:rPr>
          <w:rFonts w:asciiTheme="minorHAnsi" w:hAnsiTheme="minorHAnsi"/>
          <w:b/>
          <w:szCs w:val="24"/>
          <w:lang w:val="es-ES_tradnl"/>
        </w:rPr>
        <w:t>Presenta al Poder Ejecutivo el proyecto de Presupuesto del Sistema Electoral que incluye por separado las partidas propuestas por cada entidad del sistema. Lo sustenta en esa instancia y ante el Congreso.</w:t>
      </w:r>
    </w:p>
    <w:p w14:paraId="409EC075" w14:textId="77777777" w:rsidR="009E6E2E" w:rsidRPr="000D3432" w:rsidRDefault="009E6E2E" w:rsidP="009E6E2E">
      <w:pPr>
        <w:jc w:val="both"/>
        <w:rPr>
          <w:rFonts w:asciiTheme="minorHAnsi" w:hAnsiTheme="minorHAnsi"/>
          <w:szCs w:val="24"/>
          <w:lang w:val="es-ES_tradnl"/>
        </w:rPr>
      </w:pPr>
    </w:p>
    <w:p w14:paraId="254A29B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2.- Conformación del Jurado Nacional de Elecciones:</w:t>
      </w:r>
    </w:p>
    <w:p w14:paraId="292E0EF8" w14:textId="77777777" w:rsidR="009E6E2E" w:rsidRPr="000D3432" w:rsidRDefault="009E6E2E" w:rsidP="009E6E2E">
      <w:pPr>
        <w:jc w:val="both"/>
        <w:rPr>
          <w:rFonts w:asciiTheme="minorHAnsi" w:hAnsiTheme="minorHAnsi"/>
          <w:szCs w:val="24"/>
          <w:lang w:val="es-ES_tradnl"/>
        </w:rPr>
      </w:pPr>
    </w:p>
    <w:p w14:paraId="6701054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Existe un Pleno, que está conformado por cinco miembros, de acuerdo al art. 179 de la Constitución. Todos elegidos en votación secreta:</w:t>
      </w:r>
    </w:p>
    <w:p w14:paraId="2D335B31" w14:textId="77777777" w:rsidR="009E6E2E" w:rsidRPr="000D3432" w:rsidRDefault="009E6E2E" w:rsidP="009E6E2E">
      <w:pPr>
        <w:jc w:val="both"/>
        <w:rPr>
          <w:rFonts w:asciiTheme="minorHAnsi" w:hAnsiTheme="minorHAnsi"/>
          <w:szCs w:val="24"/>
          <w:lang w:val="es-ES_tradnl"/>
        </w:rPr>
      </w:pPr>
    </w:p>
    <w:p w14:paraId="263E32B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Uno elegido por la Corte Suprema, entre sus magistrados jubilados o en actividad. Este preside el Jurado Nacional de Elecciones.</w:t>
      </w:r>
    </w:p>
    <w:p w14:paraId="3B2BFD4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Uno elegido por la Junta de Fiscales Supremos, entre los Fiscales Supremos en actividad o jubilados.</w:t>
      </w:r>
    </w:p>
    <w:p w14:paraId="21A171F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Uno elegido por los decanos de las Facultades de Derecho de las universidades públicas, entre sus ex decanos.</w:t>
      </w:r>
    </w:p>
    <w:p w14:paraId="499E591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Uno elegido por los decanos de las Facultades de Derecho de las universidades privadas, entre sus ex decanos.</w:t>
      </w:r>
    </w:p>
    <w:p w14:paraId="5ACC95F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 </w:t>
      </w:r>
    </w:p>
    <w:p w14:paraId="75A1A03B" w14:textId="77777777" w:rsidR="009E6E2E" w:rsidRPr="000D3432" w:rsidRDefault="009E6E2E" w:rsidP="009E6E2E">
      <w:pPr>
        <w:jc w:val="both"/>
        <w:rPr>
          <w:rFonts w:asciiTheme="minorHAnsi" w:hAnsiTheme="minorHAnsi"/>
          <w:szCs w:val="24"/>
          <w:lang w:val="es-ES_tradnl"/>
        </w:rPr>
      </w:pPr>
    </w:p>
    <w:p w14:paraId="548CFB8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III</w:t>
      </w:r>
      <w:r w:rsidRPr="000D3432">
        <w:rPr>
          <w:rFonts w:asciiTheme="minorHAnsi" w:hAnsiTheme="minorHAnsi"/>
          <w:szCs w:val="24"/>
          <w:lang w:val="es-ES_tradnl"/>
        </w:rPr>
        <w:t xml:space="preserve">. </w:t>
      </w:r>
      <w:r w:rsidRPr="000D3432">
        <w:rPr>
          <w:rFonts w:asciiTheme="minorHAnsi" w:hAnsiTheme="minorHAnsi"/>
          <w:b/>
          <w:szCs w:val="24"/>
          <w:lang w:val="es-ES_tradnl"/>
        </w:rPr>
        <w:t>LA CONTRALORÍA GENERAL DE LA REPÚBLICA</w:t>
      </w:r>
    </w:p>
    <w:p w14:paraId="3F9A733D" w14:textId="77777777" w:rsidR="009E6E2E" w:rsidRPr="000D3432" w:rsidRDefault="009E6E2E" w:rsidP="009E6E2E">
      <w:pPr>
        <w:jc w:val="both"/>
        <w:rPr>
          <w:rFonts w:asciiTheme="minorHAnsi" w:hAnsiTheme="minorHAnsi"/>
          <w:szCs w:val="24"/>
          <w:lang w:val="es-ES_tradnl"/>
        </w:rPr>
      </w:pPr>
    </w:p>
    <w:p w14:paraId="2343B50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1.- Concepto:</w:t>
      </w:r>
    </w:p>
    <w:p w14:paraId="77851E37" w14:textId="77777777" w:rsidR="009E6E2E" w:rsidRPr="000D3432" w:rsidRDefault="009E6E2E" w:rsidP="009E6E2E">
      <w:pPr>
        <w:jc w:val="both"/>
        <w:rPr>
          <w:rFonts w:asciiTheme="minorHAnsi" w:hAnsiTheme="minorHAnsi"/>
          <w:szCs w:val="24"/>
          <w:lang w:val="es-ES_tradnl"/>
        </w:rPr>
      </w:pPr>
    </w:p>
    <w:p w14:paraId="48E51F2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Contraloría General de la República es un organismo autónomo y central dentro del Sistema Nacional de Control, cuya misión consiste en velar por el manejo legal y honrado de los recursos del Estado, conforme a Ley.” (Rubio. El S.J.  pp.61.)</w:t>
      </w:r>
    </w:p>
    <w:p w14:paraId="18E9596A" w14:textId="77777777" w:rsidR="009E6E2E" w:rsidRPr="000D3432" w:rsidRDefault="009E6E2E" w:rsidP="009E6E2E">
      <w:pPr>
        <w:jc w:val="both"/>
        <w:rPr>
          <w:rFonts w:asciiTheme="minorHAnsi" w:hAnsiTheme="minorHAnsi"/>
          <w:szCs w:val="24"/>
          <w:lang w:val="es-ES_tradnl"/>
        </w:rPr>
      </w:pPr>
    </w:p>
    <w:p w14:paraId="4B17F21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Art. 82 de la Constitución:</w:t>
      </w:r>
    </w:p>
    <w:p w14:paraId="70AFAAEE" w14:textId="77777777" w:rsidR="009E6E2E" w:rsidRPr="000D3432" w:rsidRDefault="009E6E2E" w:rsidP="009E6E2E">
      <w:pPr>
        <w:jc w:val="both"/>
        <w:rPr>
          <w:rFonts w:asciiTheme="minorHAnsi" w:hAnsiTheme="minorHAnsi"/>
          <w:szCs w:val="24"/>
          <w:lang w:val="es-ES_tradnl"/>
        </w:rPr>
      </w:pPr>
    </w:p>
    <w:p w14:paraId="1E3D645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Contraloría General de la República es una entidad descentralizada de Derecho Público que goza de autonomía conforme a su ley orgánica. Es el órgano superior del Sistema Nacional de Control. Supervisa la legalidad de la ejecución del Presupuesto del Estado, de las operaciones de la deuda pública y de los actos de las instituciones sujetas a control.”</w:t>
      </w:r>
    </w:p>
    <w:p w14:paraId="343F75C9" w14:textId="77777777" w:rsidR="009E6E2E" w:rsidRPr="000D3432" w:rsidRDefault="009E6E2E" w:rsidP="009E6E2E">
      <w:pPr>
        <w:jc w:val="both"/>
        <w:rPr>
          <w:rFonts w:asciiTheme="minorHAnsi" w:hAnsiTheme="minorHAnsi"/>
          <w:szCs w:val="24"/>
          <w:lang w:val="es-ES_tradnl"/>
        </w:rPr>
      </w:pPr>
    </w:p>
    <w:p w14:paraId="0196767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2.- Designación del Contralor General de la República:</w:t>
      </w:r>
    </w:p>
    <w:p w14:paraId="044C646B" w14:textId="77777777" w:rsidR="009E6E2E" w:rsidRPr="000D3432" w:rsidRDefault="009E6E2E" w:rsidP="009E6E2E">
      <w:pPr>
        <w:jc w:val="both"/>
        <w:rPr>
          <w:rFonts w:asciiTheme="minorHAnsi" w:hAnsiTheme="minorHAnsi"/>
          <w:szCs w:val="24"/>
          <w:lang w:val="es-ES_tradnl"/>
        </w:rPr>
      </w:pPr>
    </w:p>
    <w:p w14:paraId="01B5098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Jefe de la Contraloría General de la República es elegido por un periodo de siete años, por el Congreso, pero a propuesta del Poder Ejecutivo. Puede ser removido por falta grave.</w:t>
      </w:r>
    </w:p>
    <w:p w14:paraId="193B6F46" w14:textId="77777777" w:rsidR="009E6E2E" w:rsidRPr="000D3432" w:rsidRDefault="009E6E2E" w:rsidP="009E6E2E">
      <w:pPr>
        <w:jc w:val="both"/>
        <w:rPr>
          <w:rFonts w:asciiTheme="minorHAnsi" w:hAnsiTheme="minorHAnsi"/>
          <w:szCs w:val="24"/>
          <w:lang w:val="es-ES_tradnl"/>
        </w:rPr>
      </w:pPr>
    </w:p>
    <w:p w14:paraId="182881D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3.- Funciones de la Contraloría General de la República:</w:t>
      </w:r>
    </w:p>
    <w:p w14:paraId="650AC179" w14:textId="77777777" w:rsidR="009E6E2E" w:rsidRPr="000D3432" w:rsidRDefault="009E6E2E" w:rsidP="009E6E2E">
      <w:pPr>
        <w:jc w:val="both"/>
        <w:rPr>
          <w:rFonts w:asciiTheme="minorHAnsi" w:hAnsiTheme="minorHAnsi"/>
          <w:szCs w:val="24"/>
          <w:lang w:val="es-ES_tradnl"/>
        </w:rPr>
      </w:pPr>
    </w:p>
    <w:p w14:paraId="68AD283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a)</w:t>
      </w:r>
      <w:r w:rsidRPr="000D3432">
        <w:rPr>
          <w:rFonts w:asciiTheme="minorHAnsi" w:hAnsiTheme="minorHAnsi"/>
          <w:szCs w:val="24"/>
          <w:lang w:val="es-ES_tradnl"/>
        </w:rPr>
        <w:t xml:space="preserve"> Supervisa la legalidad de la ejecución del Presupuesto del Estado,</w:t>
      </w:r>
    </w:p>
    <w:p w14:paraId="55EC893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b)</w:t>
      </w:r>
      <w:r w:rsidRPr="000D3432">
        <w:rPr>
          <w:rFonts w:asciiTheme="minorHAnsi" w:hAnsiTheme="minorHAnsi"/>
          <w:szCs w:val="24"/>
          <w:lang w:val="es-ES_tradnl"/>
        </w:rPr>
        <w:t xml:space="preserve"> Supervisa la legalidad de la ejecución de las operaciones de la deuda pública,</w:t>
      </w:r>
    </w:p>
    <w:p w14:paraId="6E57F40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c)</w:t>
      </w:r>
      <w:r w:rsidRPr="000D3432">
        <w:rPr>
          <w:rFonts w:asciiTheme="minorHAnsi" w:hAnsiTheme="minorHAnsi"/>
          <w:szCs w:val="24"/>
          <w:lang w:val="es-ES_tradnl"/>
        </w:rPr>
        <w:t xml:space="preserve"> Supervisa la legalidad de la ejecución de los actos de las instituciones sujetas a control.</w:t>
      </w:r>
    </w:p>
    <w:p w14:paraId="3F3927C7" w14:textId="77777777" w:rsidR="009E6E2E" w:rsidRPr="000D3432" w:rsidRDefault="009E6E2E" w:rsidP="009E6E2E">
      <w:pPr>
        <w:jc w:val="both"/>
        <w:rPr>
          <w:rFonts w:asciiTheme="minorHAnsi" w:hAnsiTheme="minorHAnsi"/>
          <w:szCs w:val="24"/>
          <w:lang w:val="es-ES_tradnl"/>
        </w:rPr>
      </w:pPr>
    </w:p>
    <w:p w14:paraId="0EB7CD8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Con la anterior Constitución, la del 79, las funciones eran las mismas, dichas en forma distinta, así Rubio, usando la Constitución del 79, en su art. 146° define sus funciones, las cuales eran:</w:t>
      </w:r>
    </w:p>
    <w:p w14:paraId="3C551594" w14:textId="77777777" w:rsidR="009E6E2E" w:rsidRPr="000D3432" w:rsidRDefault="009E6E2E" w:rsidP="009E6E2E">
      <w:pPr>
        <w:jc w:val="both"/>
        <w:rPr>
          <w:rFonts w:asciiTheme="minorHAnsi" w:hAnsiTheme="minorHAnsi"/>
          <w:szCs w:val="24"/>
          <w:lang w:val="es-ES_tradnl"/>
        </w:rPr>
      </w:pPr>
    </w:p>
    <w:p w14:paraId="27299E9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Supervigilar la ejecución de los presupuestos del Sector Público,</w:t>
      </w:r>
    </w:p>
    <w:p w14:paraId="02B4E55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Supervigilar la ejecución de las operaciones de la deuda pública,</w:t>
      </w:r>
    </w:p>
    <w:p w14:paraId="70CDF03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Supervigilar la gestión y utilización de bienes y recursos públicos.</w:t>
      </w:r>
    </w:p>
    <w:p w14:paraId="2785A376" w14:textId="77777777" w:rsidR="009E6E2E" w:rsidRPr="000D3432" w:rsidRDefault="009E6E2E" w:rsidP="009E6E2E">
      <w:pPr>
        <w:jc w:val="both"/>
        <w:rPr>
          <w:rFonts w:asciiTheme="minorHAnsi" w:hAnsiTheme="minorHAnsi"/>
          <w:szCs w:val="24"/>
          <w:lang w:val="es-ES_tradnl"/>
        </w:rPr>
      </w:pPr>
    </w:p>
    <w:p w14:paraId="4CDCADD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Como podemos apreciar, los términos han enfatizado más la acción realizada por la Contraloría General de la República. Así, ya no se dice “supervigila” sino “supervisa”; que al parecer es un término más apto a las funciones de la Contraloría. Supervisar indica que ya no sólo observa, sino que tiene un poder, para verificar si se cumple con la legalidad de la actividad encargada. Un Huachimán vigila, pero un Inspector, supervisa. </w:t>
      </w:r>
    </w:p>
    <w:p w14:paraId="49073334" w14:textId="77777777" w:rsidR="009E6E2E" w:rsidRPr="000D3432" w:rsidRDefault="009E6E2E" w:rsidP="009E6E2E">
      <w:pPr>
        <w:jc w:val="both"/>
        <w:rPr>
          <w:rFonts w:asciiTheme="minorHAnsi" w:hAnsiTheme="minorHAnsi"/>
          <w:szCs w:val="24"/>
          <w:lang w:val="es-ES_tradnl"/>
        </w:rPr>
      </w:pPr>
    </w:p>
    <w:p w14:paraId="3444410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Contraloría produce -dice Rubio- diversos procedimientos administrativos de supervisión y observación al uso de los recursos públicos”, y también jurisprudencia administrativa.</w:t>
      </w:r>
    </w:p>
    <w:p w14:paraId="397ED1E1" w14:textId="77777777" w:rsidR="009E6E2E" w:rsidRPr="000D3432" w:rsidRDefault="009E6E2E" w:rsidP="009E6E2E">
      <w:pPr>
        <w:jc w:val="both"/>
        <w:rPr>
          <w:rFonts w:asciiTheme="minorHAnsi" w:hAnsiTheme="minorHAnsi"/>
          <w:szCs w:val="24"/>
          <w:lang w:val="es-ES_tradnl"/>
        </w:rPr>
      </w:pPr>
    </w:p>
    <w:p w14:paraId="51466AA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Pero no tiene “competencia  para procesar los delitos que se cometan en agravio del patrimonio del Estado debiendo, en este caso, tramitar la denuncia correspondiente ante el Ministerio Público.” (Rubio, El S.J. pp. 61,62.)</w:t>
      </w:r>
    </w:p>
    <w:p w14:paraId="157627D7" w14:textId="77777777" w:rsidR="009E6E2E" w:rsidRPr="000D3432" w:rsidRDefault="009E6E2E" w:rsidP="009E6E2E">
      <w:pPr>
        <w:jc w:val="both"/>
        <w:rPr>
          <w:rFonts w:asciiTheme="minorHAnsi" w:hAnsiTheme="minorHAnsi"/>
          <w:szCs w:val="24"/>
          <w:lang w:val="es-ES_tradnl"/>
        </w:rPr>
      </w:pPr>
    </w:p>
    <w:p w14:paraId="70E32C28" w14:textId="77777777" w:rsidR="009E6E2E" w:rsidRPr="000D3432" w:rsidRDefault="009E6E2E" w:rsidP="009E6E2E">
      <w:pPr>
        <w:jc w:val="both"/>
        <w:rPr>
          <w:rFonts w:asciiTheme="minorHAnsi" w:hAnsiTheme="minorHAnsi"/>
          <w:szCs w:val="24"/>
          <w:lang w:val="es-ES_tradnl"/>
        </w:rPr>
      </w:pPr>
    </w:p>
    <w:p w14:paraId="5621FE8E" w14:textId="77777777" w:rsidR="009E6E2E" w:rsidRPr="000D3432" w:rsidRDefault="009E6E2E" w:rsidP="009E6E2E">
      <w:pPr>
        <w:jc w:val="both"/>
        <w:rPr>
          <w:rFonts w:asciiTheme="minorHAnsi" w:hAnsiTheme="minorHAnsi"/>
          <w:szCs w:val="24"/>
          <w:lang w:val="es-ES_tradnl"/>
        </w:rPr>
      </w:pPr>
    </w:p>
    <w:p w14:paraId="712F6985" w14:textId="77777777" w:rsidR="009E6E2E" w:rsidRPr="000D3432" w:rsidRDefault="009E6E2E" w:rsidP="009E6E2E">
      <w:pPr>
        <w:jc w:val="both"/>
        <w:rPr>
          <w:rFonts w:asciiTheme="minorHAnsi" w:hAnsiTheme="minorHAnsi"/>
          <w:szCs w:val="24"/>
          <w:lang w:val="es-ES_tradnl"/>
        </w:rPr>
      </w:pPr>
    </w:p>
    <w:p w14:paraId="42F00EA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IV. EL BANCO CENTRAL DE RESERVA DEL PERÚ</w:t>
      </w:r>
    </w:p>
    <w:p w14:paraId="0E6ECF8C" w14:textId="77777777" w:rsidR="009E6E2E" w:rsidRPr="000D3432" w:rsidRDefault="009E6E2E" w:rsidP="009E6E2E">
      <w:pPr>
        <w:jc w:val="both"/>
        <w:rPr>
          <w:rFonts w:asciiTheme="minorHAnsi" w:hAnsiTheme="minorHAnsi"/>
          <w:szCs w:val="24"/>
          <w:lang w:val="es-ES_tradnl"/>
        </w:rPr>
      </w:pPr>
    </w:p>
    <w:p w14:paraId="4C1CEE2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1.- Concepto:</w:t>
      </w:r>
    </w:p>
    <w:p w14:paraId="0CE8FBCE" w14:textId="77777777" w:rsidR="009E6E2E" w:rsidRPr="000D3432" w:rsidRDefault="009E6E2E" w:rsidP="009E6E2E">
      <w:pPr>
        <w:jc w:val="both"/>
        <w:rPr>
          <w:rFonts w:asciiTheme="minorHAnsi" w:hAnsiTheme="minorHAnsi"/>
          <w:szCs w:val="24"/>
          <w:lang w:val="es-ES_tradnl"/>
        </w:rPr>
      </w:pPr>
    </w:p>
    <w:p w14:paraId="6110B2B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Banco Central de Reserva del Perú es una institución establecida por la Constitución del Estado, cuyas principales funciones son regular la moneda y el crédito del sistema financiero, defender la estabilidad monetaria de la economía nacional y administrar las reservas internacionales del país.”  (Rubio. El S.J. pp. 62.</w:t>
      </w:r>
    </w:p>
    <w:p w14:paraId="58A464F4" w14:textId="77777777" w:rsidR="009E6E2E" w:rsidRPr="000D3432" w:rsidRDefault="009E6E2E" w:rsidP="009E6E2E">
      <w:pPr>
        <w:jc w:val="both"/>
        <w:rPr>
          <w:rFonts w:asciiTheme="minorHAnsi" w:hAnsiTheme="minorHAnsi"/>
          <w:szCs w:val="24"/>
          <w:lang w:val="es-ES_tradnl"/>
        </w:rPr>
      </w:pPr>
    </w:p>
    <w:p w14:paraId="35C1BC0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Banco Central de Reserva del Perú está definido por el Artículo 84 de la Constitución:</w:t>
      </w:r>
    </w:p>
    <w:p w14:paraId="64566A9F" w14:textId="77777777" w:rsidR="009E6E2E" w:rsidRPr="000D3432" w:rsidRDefault="009E6E2E" w:rsidP="009E6E2E">
      <w:pPr>
        <w:jc w:val="both"/>
        <w:rPr>
          <w:rFonts w:asciiTheme="minorHAnsi" w:hAnsiTheme="minorHAnsi"/>
          <w:szCs w:val="24"/>
          <w:lang w:val="es-ES_tradnl"/>
        </w:rPr>
      </w:pPr>
    </w:p>
    <w:p w14:paraId="6245440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Banco Central es persona jurídico de derecho público. Tiene autonomía dentro del marco de su Ley Orgánica. “</w:t>
      </w:r>
    </w:p>
    <w:p w14:paraId="1650B550" w14:textId="77777777" w:rsidR="009E6E2E" w:rsidRPr="000D3432" w:rsidRDefault="009E6E2E" w:rsidP="009E6E2E">
      <w:pPr>
        <w:jc w:val="both"/>
        <w:rPr>
          <w:rFonts w:asciiTheme="minorHAnsi" w:hAnsiTheme="minorHAnsi"/>
          <w:szCs w:val="24"/>
          <w:lang w:val="es-ES_tradnl"/>
        </w:rPr>
      </w:pPr>
    </w:p>
    <w:p w14:paraId="31488AF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Fu finalidad es “preservar la estabilidad monetaria”.</w:t>
      </w:r>
    </w:p>
    <w:p w14:paraId="470700F7" w14:textId="77777777" w:rsidR="009E6E2E" w:rsidRPr="000D3432" w:rsidRDefault="009E6E2E" w:rsidP="009E6E2E">
      <w:pPr>
        <w:jc w:val="both"/>
        <w:rPr>
          <w:rFonts w:asciiTheme="minorHAnsi" w:hAnsiTheme="minorHAnsi"/>
          <w:szCs w:val="24"/>
          <w:lang w:val="es-ES_tradnl"/>
        </w:rPr>
      </w:pPr>
    </w:p>
    <w:p w14:paraId="72BCCD2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2.- Funciones del Banco Central de Reserva del Perú:</w:t>
      </w:r>
    </w:p>
    <w:p w14:paraId="50177808" w14:textId="77777777" w:rsidR="009E6E2E" w:rsidRPr="000D3432" w:rsidRDefault="009E6E2E" w:rsidP="009E6E2E">
      <w:pPr>
        <w:jc w:val="both"/>
        <w:rPr>
          <w:rFonts w:asciiTheme="minorHAnsi" w:hAnsiTheme="minorHAnsi"/>
          <w:szCs w:val="24"/>
          <w:lang w:val="es-ES_tradnl"/>
        </w:rPr>
      </w:pPr>
    </w:p>
    <w:p w14:paraId="2F64B88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Regular la moneda y el crédito del sistema financiero,</w:t>
      </w:r>
    </w:p>
    <w:p w14:paraId="4607E2E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Administrar las reservas internacionales a su cargo, y</w:t>
      </w:r>
    </w:p>
    <w:p w14:paraId="37991CF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Cumplir las demás funciones que señala su ley orgánica.</w:t>
      </w:r>
    </w:p>
    <w:p w14:paraId="07F960DD" w14:textId="77777777" w:rsidR="009E6E2E" w:rsidRPr="000D3432" w:rsidRDefault="009E6E2E" w:rsidP="009E6E2E">
      <w:pPr>
        <w:jc w:val="both"/>
        <w:rPr>
          <w:rFonts w:asciiTheme="minorHAnsi" w:hAnsiTheme="minorHAnsi"/>
          <w:szCs w:val="24"/>
          <w:lang w:val="es-ES_tradnl"/>
        </w:rPr>
      </w:pPr>
    </w:p>
    <w:p w14:paraId="0505C10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3.- Conformación del Banco Central de Reserva del Perú:</w:t>
      </w:r>
    </w:p>
    <w:p w14:paraId="48CBBD21" w14:textId="77777777" w:rsidR="009E6E2E" w:rsidRPr="000D3432" w:rsidRDefault="009E6E2E" w:rsidP="009E6E2E">
      <w:pPr>
        <w:jc w:val="both"/>
        <w:rPr>
          <w:rFonts w:asciiTheme="minorHAnsi" w:hAnsiTheme="minorHAnsi"/>
          <w:szCs w:val="24"/>
          <w:lang w:val="es-ES_tradnl"/>
        </w:rPr>
      </w:pPr>
    </w:p>
    <w:p w14:paraId="4B2377A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Está gobernado por un Directorio de siete (07) miembros.</w:t>
      </w:r>
    </w:p>
    <w:p w14:paraId="2AB2F5C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 El Poder Ejecutivo designa a cuatro (04) miembros. Entre ellos al presidente. </w:t>
      </w:r>
    </w:p>
    <w:p w14:paraId="2E8B832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El Congreso elige a tres miembros.</w:t>
      </w:r>
    </w:p>
    <w:p w14:paraId="39340B72" w14:textId="77777777" w:rsidR="009E6E2E" w:rsidRPr="000D3432" w:rsidRDefault="009E6E2E" w:rsidP="009E6E2E">
      <w:pPr>
        <w:jc w:val="both"/>
        <w:rPr>
          <w:rFonts w:asciiTheme="minorHAnsi" w:hAnsiTheme="minorHAnsi"/>
          <w:szCs w:val="24"/>
          <w:lang w:val="es-ES_tradnl"/>
        </w:rPr>
      </w:pPr>
    </w:p>
    <w:p w14:paraId="1CA7F3C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4.- El Banco Central de Reserva y su capacidad normativa:</w:t>
      </w:r>
    </w:p>
    <w:p w14:paraId="7240BBB6" w14:textId="77777777" w:rsidR="009E6E2E" w:rsidRPr="000D3432" w:rsidRDefault="009E6E2E" w:rsidP="009E6E2E">
      <w:pPr>
        <w:jc w:val="both"/>
        <w:rPr>
          <w:rFonts w:asciiTheme="minorHAnsi" w:hAnsiTheme="minorHAnsi"/>
          <w:szCs w:val="24"/>
          <w:lang w:val="es-ES_tradnl"/>
        </w:rPr>
      </w:pPr>
    </w:p>
    <w:p w14:paraId="386E36D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Rubio escribía: “Para el ejercicio de sus competencias el Banco realiza diversos actos, destacando la emisión de resoluciones que asumen carácter de normas jurídicas generales regulando el tipo de cambio del Sol con las divisas exteriores; dando disposiciones sobre asuntos cambiarios, tasas de interés, encajes bancarios, etc. En todo ello actúa como productor de normas legales, con independencia de otros organismos del estado (aún cuando se considera que debe coordinar con los encargados del aparato económico y financiero, sobre todo con el Ministerio de Economía.” (Rubio. El S.J. pp. 62.)</w:t>
      </w:r>
    </w:p>
    <w:p w14:paraId="7739D9F2" w14:textId="77777777" w:rsidR="009E6E2E" w:rsidRPr="000D3432" w:rsidRDefault="009E6E2E" w:rsidP="009E6E2E">
      <w:pPr>
        <w:jc w:val="both"/>
        <w:rPr>
          <w:rFonts w:asciiTheme="minorHAnsi" w:hAnsiTheme="minorHAnsi"/>
          <w:szCs w:val="24"/>
          <w:lang w:val="es-ES_tradnl"/>
        </w:rPr>
      </w:pPr>
    </w:p>
    <w:p w14:paraId="016B19F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Por lo visto esta institución también emite resoluciones, con carácter de normas jurídicas generales.</w:t>
      </w:r>
    </w:p>
    <w:p w14:paraId="04CF044D" w14:textId="77777777" w:rsidR="009E6E2E" w:rsidRPr="000D3432" w:rsidRDefault="009E6E2E" w:rsidP="009E6E2E">
      <w:pPr>
        <w:jc w:val="both"/>
        <w:rPr>
          <w:rFonts w:asciiTheme="minorHAnsi" w:hAnsiTheme="minorHAnsi"/>
          <w:szCs w:val="24"/>
          <w:lang w:val="es-ES_tradnl"/>
        </w:rPr>
      </w:pPr>
    </w:p>
    <w:p w14:paraId="14E4B7F9" w14:textId="77777777" w:rsidR="009E6E2E" w:rsidRPr="000D3432" w:rsidRDefault="009E6E2E" w:rsidP="009E6E2E">
      <w:pPr>
        <w:jc w:val="both"/>
        <w:rPr>
          <w:rFonts w:asciiTheme="minorHAnsi" w:hAnsiTheme="minorHAnsi"/>
          <w:szCs w:val="24"/>
          <w:lang w:val="es-ES_tradnl"/>
        </w:rPr>
      </w:pPr>
    </w:p>
    <w:p w14:paraId="25727AB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V.</w:t>
      </w:r>
      <w:r w:rsidRPr="000D3432">
        <w:rPr>
          <w:rFonts w:asciiTheme="minorHAnsi" w:hAnsiTheme="minorHAnsi"/>
          <w:szCs w:val="24"/>
          <w:lang w:val="es-ES_tradnl"/>
        </w:rPr>
        <w:t xml:space="preserve"> </w:t>
      </w:r>
      <w:r w:rsidRPr="000D3432">
        <w:rPr>
          <w:rFonts w:asciiTheme="minorHAnsi" w:hAnsiTheme="minorHAnsi"/>
          <w:b/>
          <w:szCs w:val="24"/>
          <w:lang w:val="es-ES_tradnl"/>
        </w:rPr>
        <w:t>LA SUPERINTENDENCIA DE BANCA Y SEGUROS</w:t>
      </w:r>
    </w:p>
    <w:p w14:paraId="33D9D1D1" w14:textId="77777777" w:rsidR="009E6E2E" w:rsidRPr="000D3432" w:rsidRDefault="009E6E2E" w:rsidP="009E6E2E">
      <w:pPr>
        <w:jc w:val="both"/>
        <w:rPr>
          <w:rFonts w:asciiTheme="minorHAnsi" w:hAnsiTheme="minorHAnsi"/>
          <w:szCs w:val="24"/>
          <w:lang w:val="es-ES_tradnl"/>
        </w:rPr>
      </w:pPr>
    </w:p>
    <w:p w14:paraId="4653121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1.- Concepto:</w:t>
      </w:r>
    </w:p>
    <w:p w14:paraId="7BEA1462" w14:textId="77777777" w:rsidR="009E6E2E" w:rsidRPr="000D3432" w:rsidRDefault="009E6E2E" w:rsidP="009E6E2E">
      <w:pPr>
        <w:jc w:val="both"/>
        <w:rPr>
          <w:rFonts w:asciiTheme="minorHAnsi" w:hAnsiTheme="minorHAnsi"/>
          <w:szCs w:val="24"/>
          <w:lang w:val="es-ES_tradnl"/>
        </w:rPr>
      </w:pPr>
    </w:p>
    <w:p w14:paraId="5E1CE27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Superintendencia de Banca y Seguros es un organismo previsto constitucionalmente que ejerce en representación del Estado el control de las empresas bancarias, financieras, de seguros y las demás que operan con fondos del público” (Rubio. El S.J. pp. 62, 63)</w:t>
      </w:r>
    </w:p>
    <w:p w14:paraId="1529F563" w14:textId="77777777" w:rsidR="009E6E2E" w:rsidRPr="000D3432" w:rsidRDefault="009E6E2E" w:rsidP="009E6E2E">
      <w:pPr>
        <w:jc w:val="both"/>
        <w:rPr>
          <w:rFonts w:asciiTheme="minorHAnsi" w:hAnsiTheme="minorHAnsi"/>
          <w:szCs w:val="24"/>
          <w:lang w:val="es-ES_tradnl"/>
        </w:rPr>
      </w:pPr>
    </w:p>
    <w:p w14:paraId="05B782E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Dentro de la Constitución actual, la Superintendencia de Banca y Seguros, realiza, en representación del Estado, el deber de fomentar y garantizar el ahorro.</w:t>
      </w:r>
    </w:p>
    <w:p w14:paraId="6C248FC8" w14:textId="77777777" w:rsidR="009E6E2E" w:rsidRPr="000D3432" w:rsidRDefault="009E6E2E" w:rsidP="009E6E2E">
      <w:pPr>
        <w:jc w:val="both"/>
        <w:rPr>
          <w:rFonts w:asciiTheme="minorHAnsi" w:hAnsiTheme="minorHAnsi"/>
          <w:szCs w:val="24"/>
          <w:lang w:val="es-ES_tradnl"/>
        </w:rPr>
      </w:pPr>
    </w:p>
    <w:p w14:paraId="51ACE5A4" w14:textId="77777777" w:rsidR="009E6E2E" w:rsidRPr="000D3432" w:rsidRDefault="009E6E2E" w:rsidP="009E6E2E">
      <w:pPr>
        <w:jc w:val="both"/>
        <w:rPr>
          <w:rFonts w:asciiTheme="minorHAnsi" w:hAnsiTheme="minorHAnsi"/>
          <w:szCs w:val="24"/>
          <w:lang w:val="es-ES_tradnl"/>
        </w:rPr>
      </w:pPr>
    </w:p>
    <w:p w14:paraId="70F2935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Art. 87: El Estado fomenta y garantiza el ahorro. La ley establece las obligaciones y los límites de las empresas  que reciben ahorros del público, así como el modo y los alcances de dicha garantía.</w:t>
      </w:r>
    </w:p>
    <w:p w14:paraId="250AD3A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Superintendencia de Banca y Seguros ejerce el control de las empresas bancarias y de seguros, de las demás que reciben depósitos del público y de aquellas otras que, por realizar operaciones conexas o similares, determine la ley.</w:t>
      </w:r>
    </w:p>
    <w:p w14:paraId="2B67B638" w14:textId="77777777" w:rsidR="009E6E2E" w:rsidRPr="000D3432" w:rsidRDefault="009E6E2E" w:rsidP="009E6E2E">
      <w:pPr>
        <w:jc w:val="both"/>
        <w:rPr>
          <w:rFonts w:asciiTheme="minorHAnsi" w:hAnsiTheme="minorHAnsi"/>
          <w:szCs w:val="24"/>
          <w:lang w:val="es-ES_tradnl"/>
        </w:rPr>
      </w:pPr>
    </w:p>
    <w:p w14:paraId="44C64D6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Esta entidad tiene “autonomía funcional”.</w:t>
      </w:r>
    </w:p>
    <w:p w14:paraId="0695023A" w14:textId="77777777" w:rsidR="009E6E2E" w:rsidRPr="000D3432" w:rsidRDefault="009E6E2E" w:rsidP="009E6E2E">
      <w:pPr>
        <w:jc w:val="both"/>
        <w:rPr>
          <w:rFonts w:asciiTheme="minorHAnsi" w:hAnsiTheme="minorHAnsi"/>
          <w:szCs w:val="24"/>
          <w:lang w:val="es-ES_tradnl"/>
        </w:rPr>
      </w:pPr>
    </w:p>
    <w:p w14:paraId="1D83245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2.- Designación del Superintendente de Banca y Seguros:</w:t>
      </w:r>
    </w:p>
    <w:p w14:paraId="4B150893" w14:textId="77777777" w:rsidR="009E6E2E" w:rsidRPr="000D3432" w:rsidRDefault="009E6E2E" w:rsidP="009E6E2E">
      <w:pPr>
        <w:jc w:val="both"/>
        <w:rPr>
          <w:rFonts w:asciiTheme="minorHAnsi" w:hAnsiTheme="minorHAnsi"/>
          <w:szCs w:val="24"/>
          <w:lang w:val="es-ES_tradnl"/>
        </w:rPr>
      </w:pPr>
    </w:p>
    <w:p w14:paraId="00F6BE6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 el Poder Ejecutivo quien designa a éste, y el Congreso lo ratifica.</w:t>
      </w:r>
    </w:p>
    <w:p w14:paraId="14F253F3" w14:textId="77777777" w:rsidR="009E6E2E" w:rsidRPr="000D3432" w:rsidRDefault="009E6E2E" w:rsidP="009E6E2E">
      <w:pPr>
        <w:jc w:val="both"/>
        <w:rPr>
          <w:rFonts w:asciiTheme="minorHAnsi" w:hAnsiTheme="minorHAnsi"/>
          <w:szCs w:val="24"/>
          <w:lang w:val="es-ES_tradnl"/>
        </w:rPr>
      </w:pPr>
    </w:p>
    <w:p w14:paraId="2F8B5A6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3.- La Superintendencia de Banca y Seguros como creadora de normas:</w:t>
      </w:r>
    </w:p>
    <w:p w14:paraId="101837EA" w14:textId="77777777" w:rsidR="009E6E2E" w:rsidRPr="000D3432" w:rsidRDefault="009E6E2E" w:rsidP="009E6E2E">
      <w:pPr>
        <w:jc w:val="both"/>
        <w:rPr>
          <w:rFonts w:asciiTheme="minorHAnsi" w:hAnsiTheme="minorHAnsi"/>
          <w:szCs w:val="24"/>
          <w:lang w:val="es-ES_tradnl"/>
        </w:rPr>
      </w:pPr>
    </w:p>
    <w:p w14:paraId="0C25CBF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 el ejercicio de su función de control, la Superintendencia realiza diversos procesos administrativos que aportan a la generación de resoluciones administrativas, puede intervenir con amplios poderes las empresas financieras, y presenta ante el Ministerio Público las denuncias a que haya lugar por manejos irregulares en dichas empresas.</w:t>
      </w:r>
    </w:p>
    <w:p w14:paraId="210E6430" w14:textId="77777777" w:rsidR="009E6E2E" w:rsidRPr="000D3432" w:rsidRDefault="009E6E2E" w:rsidP="009E6E2E">
      <w:pPr>
        <w:jc w:val="both"/>
        <w:rPr>
          <w:rFonts w:asciiTheme="minorHAnsi" w:hAnsiTheme="minorHAnsi"/>
          <w:szCs w:val="24"/>
          <w:lang w:val="es-ES_tradnl"/>
        </w:rPr>
      </w:pPr>
    </w:p>
    <w:p w14:paraId="40265007" w14:textId="77777777" w:rsidR="009E6E2E" w:rsidRPr="000D3432" w:rsidRDefault="009E6E2E" w:rsidP="009E6E2E">
      <w:pPr>
        <w:jc w:val="both"/>
        <w:rPr>
          <w:rFonts w:asciiTheme="minorHAnsi" w:hAnsiTheme="minorHAnsi"/>
          <w:szCs w:val="24"/>
          <w:lang w:val="es-ES_tradnl"/>
        </w:rPr>
      </w:pPr>
    </w:p>
    <w:p w14:paraId="18D902C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VI.</w:t>
      </w:r>
      <w:r w:rsidRPr="000D3432">
        <w:rPr>
          <w:rFonts w:asciiTheme="minorHAnsi" w:hAnsiTheme="minorHAnsi"/>
          <w:szCs w:val="24"/>
          <w:lang w:val="es-ES_tradnl"/>
        </w:rPr>
        <w:t xml:space="preserve"> </w:t>
      </w:r>
      <w:r w:rsidRPr="000D3432">
        <w:rPr>
          <w:rFonts w:asciiTheme="minorHAnsi" w:hAnsiTheme="minorHAnsi"/>
          <w:b/>
          <w:szCs w:val="24"/>
          <w:lang w:val="es-ES_tradnl"/>
        </w:rPr>
        <w:t>EL MINISTERIO PÚBLICO</w:t>
      </w:r>
    </w:p>
    <w:p w14:paraId="584C99E8" w14:textId="77777777" w:rsidR="009E6E2E" w:rsidRPr="000D3432" w:rsidRDefault="009E6E2E" w:rsidP="009E6E2E">
      <w:pPr>
        <w:jc w:val="both"/>
        <w:rPr>
          <w:rFonts w:asciiTheme="minorHAnsi" w:hAnsiTheme="minorHAnsi"/>
          <w:szCs w:val="24"/>
          <w:lang w:val="es-ES_tradnl"/>
        </w:rPr>
      </w:pPr>
    </w:p>
    <w:p w14:paraId="0DB93EAA"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1.- CONCEPTO</w:t>
      </w:r>
    </w:p>
    <w:p w14:paraId="16A5AA05" w14:textId="77777777" w:rsidR="009E6E2E" w:rsidRPr="000D3432" w:rsidRDefault="009E6E2E" w:rsidP="009E6E2E">
      <w:pPr>
        <w:jc w:val="both"/>
        <w:rPr>
          <w:rFonts w:asciiTheme="minorHAnsi" w:hAnsiTheme="minorHAnsi"/>
          <w:szCs w:val="24"/>
          <w:lang w:val="es-ES_tradnl"/>
        </w:rPr>
      </w:pPr>
    </w:p>
    <w:p w14:paraId="6C78466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Rubio explica que “El Ministerio Público es un organismo de rango constitucional cuya función es defender a la sociedad y al pueblo, velando por la más amplia vigencia de las normas jurídicas dentro del Estado y el todo social.” El S.J. pp. 63.</w:t>
      </w:r>
    </w:p>
    <w:p w14:paraId="5D30B26E" w14:textId="77777777" w:rsidR="009E6E2E" w:rsidRPr="000D3432" w:rsidRDefault="009E6E2E" w:rsidP="009E6E2E">
      <w:pPr>
        <w:jc w:val="both"/>
        <w:rPr>
          <w:rFonts w:asciiTheme="minorHAnsi" w:hAnsiTheme="minorHAnsi"/>
          <w:szCs w:val="24"/>
          <w:lang w:val="es-ES_tradnl"/>
        </w:rPr>
      </w:pPr>
    </w:p>
    <w:p w14:paraId="303A12F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artículo 158, le atribuye “autonomía. El Ministerio Público es presidido por el Fiscal de la Nación, que es elegido por Junta de Fiscales Supremos. El cargo dura tres años.</w:t>
      </w:r>
    </w:p>
    <w:p w14:paraId="3EF70C0A" w14:textId="77777777" w:rsidR="009E6E2E" w:rsidRPr="000D3432" w:rsidRDefault="009E6E2E" w:rsidP="009E6E2E">
      <w:pPr>
        <w:jc w:val="both"/>
        <w:rPr>
          <w:rFonts w:asciiTheme="minorHAnsi" w:hAnsiTheme="minorHAnsi"/>
          <w:szCs w:val="24"/>
          <w:lang w:val="es-ES_tradnl"/>
        </w:rPr>
      </w:pPr>
    </w:p>
    <w:p w14:paraId="2695A1D8"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2.- ORGANIZACIÓN DEL MINISTERIO PÚBLICO</w:t>
      </w:r>
    </w:p>
    <w:p w14:paraId="556E9683" w14:textId="77777777" w:rsidR="009E6E2E" w:rsidRPr="000D3432" w:rsidRDefault="009E6E2E" w:rsidP="009E6E2E">
      <w:pPr>
        <w:jc w:val="both"/>
        <w:rPr>
          <w:rFonts w:asciiTheme="minorHAnsi" w:hAnsiTheme="minorHAnsi"/>
          <w:szCs w:val="24"/>
          <w:lang w:val="es-ES_tradnl"/>
        </w:rPr>
      </w:pPr>
    </w:p>
    <w:p w14:paraId="0E90FE8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Su organización estaba contemplada en el artículo 251 de la Constitución de 1979, donde explicaba cuales eran sus órganos jerárquicamente organizados:</w:t>
      </w:r>
    </w:p>
    <w:p w14:paraId="6B8139D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El Fiscal de la Nación</w:t>
      </w:r>
    </w:p>
    <w:p w14:paraId="5794BAC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Los Fiscales ante la Corte Suprema</w:t>
      </w:r>
    </w:p>
    <w:p w14:paraId="7FCF589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Los Fiscales ante las Cortes Superiores</w:t>
      </w:r>
    </w:p>
    <w:p w14:paraId="5087487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Los Fiscales ante juzgados de Primera Instancia</w:t>
      </w:r>
    </w:p>
    <w:p w14:paraId="70F3D75E" w14:textId="77777777" w:rsidR="009E6E2E" w:rsidRPr="000D3432" w:rsidRDefault="009E6E2E" w:rsidP="009E6E2E">
      <w:pPr>
        <w:jc w:val="both"/>
        <w:rPr>
          <w:rFonts w:asciiTheme="minorHAnsi" w:hAnsiTheme="minorHAnsi"/>
          <w:szCs w:val="24"/>
          <w:lang w:val="es-ES_tradnl"/>
        </w:rPr>
      </w:pPr>
    </w:p>
    <w:p w14:paraId="559A1EB1"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2.- FUNCIONES DEL MINISTERIO PÚBLICO</w:t>
      </w:r>
    </w:p>
    <w:p w14:paraId="14985BB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Dentro de sus funciones, le corresponde al Ministerio Público, de acuerdo al art. 158 de la Constitución:</w:t>
      </w:r>
    </w:p>
    <w:p w14:paraId="34037F81" w14:textId="77777777" w:rsidR="009E6E2E" w:rsidRPr="000D3432" w:rsidRDefault="009E6E2E" w:rsidP="009E6E2E">
      <w:pPr>
        <w:jc w:val="both"/>
        <w:rPr>
          <w:rFonts w:asciiTheme="minorHAnsi" w:hAnsiTheme="minorHAnsi"/>
          <w:szCs w:val="24"/>
          <w:lang w:val="es-ES_tradnl"/>
        </w:rPr>
      </w:pPr>
    </w:p>
    <w:p w14:paraId="053F53A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Promover de oficio, o a petición de parte, la acción judicial en defensa de la legalidad y de los intereses públicos tutelados por el derecho.</w:t>
      </w:r>
    </w:p>
    <w:p w14:paraId="6978F4B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Velar por la independencia de los órganos jurisdiccionales y por la recta administración de justicia.</w:t>
      </w:r>
    </w:p>
    <w:p w14:paraId="6050585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Representar en los procesos judiciales a la sociedad.</w:t>
      </w:r>
    </w:p>
    <w:p w14:paraId="055A996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Conducir desde su inicio la investigación del delito. Con tal propósito, la Policía Nacional está obligada a cumplir los mandatos del Ministerio Público en el ámbito de su función.</w:t>
      </w:r>
    </w:p>
    <w:p w14:paraId="7FBB4E3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5. Ejercitar la acción penal de oficio o a petición de parte.</w:t>
      </w:r>
    </w:p>
    <w:p w14:paraId="4FB5943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6. Emitir dictamen previo a las resoluciones judiciales en los casos que la ley contempla.</w:t>
      </w:r>
    </w:p>
    <w:p w14:paraId="0403C6D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7. Ejercer iniciativa en la formación de las leyes; y dar cuenta al Congreso, o al Presidente de la República, de  los vacíos o defectos de la legislación.</w:t>
      </w:r>
    </w:p>
    <w:p w14:paraId="1FEFFD2D" w14:textId="77777777" w:rsidR="009E6E2E" w:rsidRPr="000D3432" w:rsidRDefault="009E6E2E" w:rsidP="009E6E2E">
      <w:pPr>
        <w:jc w:val="both"/>
        <w:rPr>
          <w:rFonts w:asciiTheme="minorHAnsi" w:hAnsiTheme="minorHAnsi"/>
          <w:szCs w:val="24"/>
          <w:lang w:val="es-ES_tradnl"/>
        </w:rPr>
      </w:pPr>
    </w:p>
    <w:p w14:paraId="54D05D5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4.- DEL PRESUPUESTO DEL MINISTERIO PÚBLICO</w:t>
      </w:r>
    </w:p>
    <w:p w14:paraId="589ADDED" w14:textId="77777777" w:rsidR="009E6E2E" w:rsidRPr="000D3432" w:rsidRDefault="009E6E2E" w:rsidP="009E6E2E">
      <w:pPr>
        <w:jc w:val="both"/>
        <w:rPr>
          <w:rFonts w:asciiTheme="minorHAnsi" w:hAnsiTheme="minorHAnsi"/>
          <w:szCs w:val="24"/>
          <w:lang w:val="es-ES_tradnl"/>
        </w:rPr>
      </w:pPr>
    </w:p>
    <w:p w14:paraId="4840B3D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artículo 160° de la Constitución expresa “El Proyecto de presupuesto del Ministerio Público se aprueba por la Junta de Fiscales Supremos. Se presenta ante el Poder Ejecutivo y se sustenta en esa instancia y en el Congreso.”</w:t>
      </w:r>
    </w:p>
    <w:p w14:paraId="753F809D" w14:textId="77777777" w:rsidR="009E6E2E" w:rsidRPr="000D3432" w:rsidRDefault="009E6E2E" w:rsidP="009E6E2E">
      <w:pPr>
        <w:jc w:val="both"/>
        <w:rPr>
          <w:rFonts w:asciiTheme="minorHAnsi" w:hAnsiTheme="minorHAnsi"/>
          <w:szCs w:val="24"/>
          <w:lang w:val="es-ES_tradnl"/>
        </w:rPr>
      </w:pPr>
    </w:p>
    <w:p w14:paraId="2035F48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5.- APORTES CENTRALES:</w:t>
      </w:r>
    </w:p>
    <w:p w14:paraId="50F1E13D" w14:textId="77777777" w:rsidR="009E6E2E" w:rsidRPr="000D3432" w:rsidRDefault="009E6E2E" w:rsidP="009E6E2E">
      <w:pPr>
        <w:jc w:val="both"/>
        <w:rPr>
          <w:rFonts w:asciiTheme="minorHAnsi" w:hAnsiTheme="minorHAnsi"/>
          <w:szCs w:val="24"/>
          <w:lang w:val="es-ES_tradnl"/>
        </w:rPr>
      </w:pPr>
    </w:p>
    <w:p w14:paraId="6A5ABBF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Según explica Marcial Rubio los aportes centrales del Ministerio Público son:</w:t>
      </w:r>
    </w:p>
    <w:p w14:paraId="35EA1EFE" w14:textId="77777777" w:rsidR="009E6E2E" w:rsidRPr="000D3432" w:rsidRDefault="009E6E2E" w:rsidP="009E6E2E">
      <w:pPr>
        <w:jc w:val="both"/>
        <w:rPr>
          <w:rFonts w:asciiTheme="minorHAnsi" w:hAnsiTheme="minorHAnsi"/>
          <w:szCs w:val="24"/>
          <w:lang w:val="es-ES_tradnl"/>
        </w:rPr>
      </w:pPr>
    </w:p>
    <w:p w14:paraId="71B3C07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Promover la actuación de la justicia en defensa de la legalida en sentido amplio, defendiendo al pueblo y la sociedad tanto ante el Poder Judicial como ante la administración Pública.</w:t>
      </w:r>
    </w:p>
    <w:p w14:paraId="17EAF53D" w14:textId="77777777" w:rsidR="009E6E2E" w:rsidRPr="000D3432" w:rsidRDefault="009E6E2E" w:rsidP="009E6E2E">
      <w:pPr>
        <w:jc w:val="both"/>
        <w:rPr>
          <w:rFonts w:asciiTheme="minorHAnsi" w:hAnsiTheme="minorHAnsi"/>
          <w:szCs w:val="24"/>
          <w:lang w:val="es-ES_tradnl"/>
        </w:rPr>
      </w:pPr>
    </w:p>
    <w:p w14:paraId="2BCEE99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Determinar los casos en que procede iniciar la acción penal pública, dándole trámite de denuncia oficial y exclusiva ante los Tribunales.</w:t>
      </w:r>
    </w:p>
    <w:p w14:paraId="3BE359A9" w14:textId="77777777" w:rsidR="009E6E2E" w:rsidRPr="000D3432" w:rsidRDefault="009E6E2E" w:rsidP="009E6E2E">
      <w:pPr>
        <w:jc w:val="both"/>
        <w:rPr>
          <w:rFonts w:asciiTheme="minorHAnsi" w:hAnsiTheme="minorHAnsi"/>
          <w:szCs w:val="24"/>
          <w:lang w:val="es-ES_tradnl"/>
        </w:rPr>
      </w:pPr>
    </w:p>
    <w:p w14:paraId="1BF3772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Dictaminar en los procesos que se establece según ley, ilustrando el criterio de los Tribunales antes que emitan sus resoluciones.</w:t>
      </w:r>
    </w:p>
    <w:p w14:paraId="662E9C9B" w14:textId="77777777" w:rsidR="009E6E2E" w:rsidRPr="000D3432" w:rsidRDefault="009E6E2E" w:rsidP="009E6E2E">
      <w:pPr>
        <w:jc w:val="both"/>
        <w:rPr>
          <w:rFonts w:asciiTheme="minorHAnsi" w:hAnsiTheme="minorHAnsi"/>
          <w:szCs w:val="24"/>
          <w:lang w:val="es-ES_tradnl"/>
        </w:rPr>
      </w:pPr>
    </w:p>
    <w:p w14:paraId="253AE22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Una acotación interesante es la siguiente:</w:t>
      </w:r>
    </w:p>
    <w:p w14:paraId="5F0348C3" w14:textId="77777777" w:rsidR="009E6E2E" w:rsidRPr="000D3432" w:rsidRDefault="009E6E2E" w:rsidP="009E6E2E">
      <w:pPr>
        <w:jc w:val="both"/>
        <w:rPr>
          <w:rFonts w:asciiTheme="minorHAnsi" w:hAnsiTheme="minorHAnsi"/>
          <w:szCs w:val="24"/>
          <w:lang w:val="es-ES_tradnl"/>
        </w:rPr>
      </w:pPr>
    </w:p>
    <w:p w14:paraId="1C0B431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Ministerio Público, por tanto, no produce normas jurídicas de ningún tipo, ni tampoco emite resoluciones. Sin embargo, colabora en la administración de justicia y a la más plena vigencia del orden jurídico, pudiendo hacerlo tanto por denuncia de parte, como de oficio, es decir, atónomamente de toda denuncia pública o privada.” El S.J. Marcial Rubio Correa. Pp. 64.</w:t>
      </w:r>
    </w:p>
    <w:p w14:paraId="7718E865" w14:textId="77777777" w:rsidR="009E6E2E" w:rsidRPr="000D3432" w:rsidRDefault="009E6E2E" w:rsidP="009E6E2E">
      <w:pPr>
        <w:jc w:val="both"/>
        <w:rPr>
          <w:rFonts w:asciiTheme="minorHAnsi" w:hAnsiTheme="minorHAnsi"/>
          <w:szCs w:val="24"/>
          <w:lang w:val="es-ES_tradnl"/>
        </w:rPr>
      </w:pPr>
    </w:p>
    <w:p w14:paraId="11986940" w14:textId="77777777" w:rsidR="009E6E2E" w:rsidRPr="000D3432" w:rsidRDefault="009E6E2E" w:rsidP="009E6E2E">
      <w:pPr>
        <w:jc w:val="both"/>
        <w:rPr>
          <w:rFonts w:asciiTheme="minorHAnsi" w:hAnsiTheme="minorHAnsi"/>
          <w:szCs w:val="24"/>
          <w:lang w:val="es-ES_tradnl"/>
        </w:rPr>
      </w:pPr>
    </w:p>
    <w:p w14:paraId="1F0A67C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VII.</w:t>
      </w:r>
      <w:r w:rsidRPr="000D3432">
        <w:rPr>
          <w:rFonts w:asciiTheme="minorHAnsi" w:hAnsiTheme="minorHAnsi"/>
          <w:szCs w:val="24"/>
          <w:lang w:val="es-ES_tradnl"/>
        </w:rPr>
        <w:t xml:space="preserve"> </w:t>
      </w:r>
      <w:r w:rsidRPr="000D3432">
        <w:rPr>
          <w:rFonts w:asciiTheme="minorHAnsi" w:hAnsiTheme="minorHAnsi"/>
          <w:b/>
          <w:szCs w:val="24"/>
          <w:lang w:val="es-ES_tradnl"/>
        </w:rPr>
        <w:t>EL CONSEJO NACIONAL DE LA MAGISTRATURA</w:t>
      </w:r>
    </w:p>
    <w:p w14:paraId="6D3C51F3" w14:textId="77777777" w:rsidR="009E6E2E" w:rsidRPr="000D3432" w:rsidRDefault="009E6E2E" w:rsidP="009E6E2E">
      <w:pPr>
        <w:jc w:val="both"/>
        <w:rPr>
          <w:rFonts w:asciiTheme="minorHAnsi" w:hAnsiTheme="minorHAnsi"/>
          <w:szCs w:val="24"/>
          <w:lang w:val="es-ES_tradnl"/>
        </w:rPr>
      </w:pPr>
    </w:p>
    <w:p w14:paraId="3E20BF8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Según el art. 150° de la Constitución el Consejo Nacional de la Magistratura se encarga de la selección y el nombramiento de los jueces y fiscales, salvo cando éstos provengan de elección popular.</w:t>
      </w:r>
    </w:p>
    <w:p w14:paraId="095F84D1" w14:textId="77777777" w:rsidR="009E6E2E" w:rsidRPr="000D3432" w:rsidRDefault="009E6E2E" w:rsidP="009E6E2E">
      <w:pPr>
        <w:jc w:val="both"/>
        <w:rPr>
          <w:rFonts w:asciiTheme="minorHAnsi" w:hAnsiTheme="minorHAnsi"/>
          <w:szCs w:val="24"/>
          <w:lang w:val="es-ES_tradnl"/>
        </w:rPr>
      </w:pPr>
    </w:p>
    <w:p w14:paraId="30770E4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Consejo Nacional de la Magistratura es independiente y se rige por su Ley Orgánica.</w:t>
      </w:r>
    </w:p>
    <w:p w14:paraId="626CB202" w14:textId="77777777" w:rsidR="009E6E2E" w:rsidRPr="000D3432" w:rsidRDefault="009E6E2E" w:rsidP="009E6E2E">
      <w:pPr>
        <w:jc w:val="both"/>
        <w:rPr>
          <w:rFonts w:asciiTheme="minorHAnsi" w:hAnsiTheme="minorHAnsi"/>
          <w:szCs w:val="24"/>
          <w:lang w:val="es-ES_tradnl"/>
        </w:rPr>
      </w:pPr>
    </w:p>
    <w:p w14:paraId="7EF5D13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formación y capacitación de los jueces y fiscales está a cargo de la Academia de la Magistratura, que forma parte del Poder Judicial</w:t>
      </w:r>
    </w:p>
    <w:p w14:paraId="3768FB2F" w14:textId="77777777" w:rsidR="009E6E2E" w:rsidRPr="000D3432" w:rsidRDefault="009E6E2E" w:rsidP="009E6E2E">
      <w:pPr>
        <w:jc w:val="both"/>
        <w:rPr>
          <w:rFonts w:asciiTheme="minorHAnsi" w:hAnsiTheme="minorHAnsi"/>
          <w:szCs w:val="24"/>
          <w:lang w:val="es-ES_tradnl"/>
        </w:rPr>
      </w:pPr>
    </w:p>
    <w:p w14:paraId="517914D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Los Jueces de Paz provienen de elección pouplar</w:t>
      </w:r>
    </w:p>
    <w:p w14:paraId="2D204821" w14:textId="77777777" w:rsidR="009E6E2E" w:rsidRPr="000D3432" w:rsidRDefault="009E6E2E" w:rsidP="009E6E2E">
      <w:pPr>
        <w:jc w:val="both"/>
        <w:rPr>
          <w:rFonts w:asciiTheme="minorHAnsi" w:hAnsiTheme="minorHAnsi"/>
          <w:szCs w:val="24"/>
          <w:lang w:val="es-ES_tradnl"/>
        </w:rPr>
      </w:pPr>
    </w:p>
    <w:p w14:paraId="4A7BE84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1.- FUNCIONES DEL CONSEJO NACIONAL DE L A MAGISTRATURA</w:t>
      </w:r>
    </w:p>
    <w:p w14:paraId="0E8B319B" w14:textId="77777777" w:rsidR="009E6E2E" w:rsidRPr="000D3432" w:rsidRDefault="009E6E2E" w:rsidP="009E6E2E">
      <w:pPr>
        <w:jc w:val="both"/>
        <w:rPr>
          <w:rFonts w:asciiTheme="minorHAnsi" w:hAnsiTheme="minorHAnsi"/>
          <w:szCs w:val="24"/>
          <w:lang w:val="es-ES_tradnl"/>
        </w:rPr>
      </w:pPr>
    </w:p>
    <w:p w14:paraId="0CFACF2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 acuerdo al art. 153°:</w:t>
      </w:r>
    </w:p>
    <w:p w14:paraId="0CEA5F8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Nombrar, previo concurso público de méritos y evaluación persoal, a los jueces y fiscales de todos los niveles. Dichos nombramientos requieren el voto conforme de los dos tercios del número legal de us miembros.</w:t>
      </w:r>
    </w:p>
    <w:p w14:paraId="165F1BF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Ratificar a los jueces y fiscales de todos los niveles cada siete años. Los no ratificados no pueden reingresar al Poder Judicial ni al Ministerio Público. El proceso de ratificación es independiente de las medidas disciplinarias.</w:t>
      </w:r>
    </w:p>
    <w:p w14:paraId="59C020A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Aplicar la sanción de destitución a los vocales de la Corte Suprema y Fiscales Superiores y a solicitud de la Corte Suprema o de la unta de Fiscales Supremos, respectivamente, a los jueces y fiscales de todas las instancias. La resolución final, motivada y con previa audiencia del interesado, es inimpugnable.</w:t>
      </w:r>
    </w:p>
    <w:p w14:paraId="3AB2802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Extender a los jueces y fiscales el título oficial que los acredite.</w:t>
      </w:r>
    </w:p>
    <w:p w14:paraId="6CEB93A3" w14:textId="77777777" w:rsidR="009E6E2E" w:rsidRPr="000D3432" w:rsidRDefault="009E6E2E" w:rsidP="009E6E2E">
      <w:pPr>
        <w:jc w:val="both"/>
        <w:rPr>
          <w:rFonts w:asciiTheme="minorHAnsi" w:hAnsiTheme="minorHAnsi"/>
          <w:szCs w:val="24"/>
          <w:lang w:val="es-ES_tradnl"/>
        </w:rPr>
      </w:pPr>
    </w:p>
    <w:p w14:paraId="248BBFE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2.- COMPOSICIÓN DEL CONSEJO NACIONAL DE LA MAGISTRATURA</w:t>
      </w:r>
    </w:p>
    <w:p w14:paraId="204D420E" w14:textId="77777777" w:rsidR="009E6E2E" w:rsidRPr="000D3432" w:rsidRDefault="009E6E2E" w:rsidP="009E6E2E">
      <w:pPr>
        <w:jc w:val="both"/>
        <w:rPr>
          <w:rFonts w:asciiTheme="minorHAnsi" w:hAnsiTheme="minorHAnsi"/>
          <w:szCs w:val="24"/>
          <w:lang w:val="es-ES_tradnl"/>
        </w:rPr>
      </w:pPr>
    </w:p>
    <w:p w14:paraId="4EEBDDB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Son miembros del Consejo Nacional de la Magistratura:</w:t>
      </w:r>
    </w:p>
    <w:p w14:paraId="49A58C06" w14:textId="77777777" w:rsidR="009E6E2E" w:rsidRPr="000D3432" w:rsidRDefault="009E6E2E" w:rsidP="009E6E2E">
      <w:pPr>
        <w:jc w:val="both"/>
        <w:rPr>
          <w:rFonts w:asciiTheme="minorHAnsi" w:hAnsiTheme="minorHAnsi"/>
          <w:szCs w:val="24"/>
          <w:lang w:val="es-ES_tradnl"/>
        </w:rPr>
      </w:pPr>
    </w:p>
    <w:p w14:paraId="6EF9942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Uno elegido por la Corte Suprema, en votación secreta en Sala Plena.</w:t>
      </w:r>
    </w:p>
    <w:p w14:paraId="77B56B1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Uno elegido, en votación secreta, por la Junta de Fiscales Supremos.</w:t>
      </w:r>
    </w:p>
    <w:p w14:paraId="05D94F5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Uno elegido por los miembros de los Colegios de Abogados del país, en votación secreta.</w:t>
      </w:r>
    </w:p>
    <w:p w14:paraId="7CC62A5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Dos elegidos, en votación secreta, por os miembros de los demás Colegios Profesionales del país, conforme a ley.</w:t>
      </w:r>
    </w:p>
    <w:p w14:paraId="5953A5C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5. Uno elegido, en votación secreta, por los rectores de las universidades nacionales.</w:t>
      </w:r>
    </w:p>
    <w:p w14:paraId="790C5A8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6. Uno elegido, en votación secreta, por los rectores de las universidades particulares.</w:t>
      </w:r>
    </w:p>
    <w:p w14:paraId="69FAAC16" w14:textId="77777777" w:rsidR="009E6E2E" w:rsidRPr="000D3432" w:rsidRDefault="009E6E2E" w:rsidP="009E6E2E">
      <w:pPr>
        <w:jc w:val="both"/>
        <w:rPr>
          <w:rFonts w:asciiTheme="minorHAnsi" w:hAnsiTheme="minorHAnsi"/>
          <w:szCs w:val="24"/>
          <w:lang w:val="es-ES_tradnl"/>
        </w:rPr>
      </w:pPr>
    </w:p>
    <w:p w14:paraId="50A8B251" w14:textId="77777777" w:rsidR="009E6E2E" w:rsidRPr="000D3432" w:rsidRDefault="009E6E2E" w:rsidP="009E6E2E">
      <w:pPr>
        <w:jc w:val="both"/>
        <w:rPr>
          <w:rFonts w:asciiTheme="minorHAnsi" w:hAnsiTheme="minorHAnsi"/>
          <w:szCs w:val="24"/>
          <w:lang w:val="es-ES_tradnl"/>
        </w:rPr>
      </w:pPr>
    </w:p>
    <w:p w14:paraId="72CD9D9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3.- Capacidad normativa:</w:t>
      </w:r>
    </w:p>
    <w:p w14:paraId="5523DE0F" w14:textId="77777777" w:rsidR="009E6E2E" w:rsidRPr="000D3432" w:rsidRDefault="009E6E2E" w:rsidP="009E6E2E">
      <w:pPr>
        <w:jc w:val="both"/>
        <w:rPr>
          <w:rFonts w:asciiTheme="minorHAnsi" w:hAnsiTheme="minorHAnsi"/>
          <w:szCs w:val="24"/>
          <w:lang w:val="es-ES_tradnl"/>
        </w:rPr>
      </w:pPr>
    </w:p>
    <w:p w14:paraId="5C0AB97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Según explicaba Rubio El Consejo Nacional de la Magistratura, “Al cumplir estas funciones, el Consejo no tienen participación efectiva en la producción normativa ni en la generación de procedimientos administrativos, lo que naturalmente no desmerece en lo más mínimo su importante función.” Rubio. El S.J. pp. 66.</w:t>
      </w:r>
    </w:p>
    <w:p w14:paraId="227915A5" w14:textId="77777777" w:rsidR="009E6E2E" w:rsidRPr="000D3432" w:rsidRDefault="009E6E2E" w:rsidP="009E6E2E">
      <w:pPr>
        <w:jc w:val="both"/>
        <w:rPr>
          <w:rFonts w:asciiTheme="minorHAnsi" w:hAnsiTheme="minorHAnsi"/>
          <w:szCs w:val="24"/>
          <w:lang w:val="es-ES_tradnl"/>
        </w:rPr>
      </w:pPr>
    </w:p>
    <w:p w14:paraId="1A401C82" w14:textId="77777777" w:rsidR="009E6E2E" w:rsidRPr="000D3432" w:rsidRDefault="009E6E2E" w:rsidP="009E6E2E">
      <w:pPr>
        <w:jc w:val="both"/>
        <w:rPr>
          <w:rFonts w:asciiTheme="minorHAnsi" w:hAnsiTheme="minorHAnsi"/>
          <w:szCs w:val="24"/>
          <w:lang w:val="es-ES_tradnl"/>
        </w:rPr>
      </w:pPr>
    </w:p>
    <w:p w14:paraId="2892583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VIII.</w:t>
      </w:r>
      <w:r w:rsidRPr="000D3432">
        <w:rPr>
          <w:rFonts w:asciiTheme="minorHAnsi" w:hAnsiTheme="minorHAnsi"/>
          <w:szCs w:val="24"/>
          <w:lang w:val="es-ES_tradnl"/>
        </w:rPr>
        <w:t xml:space="preserve"> </w:t>
      </w:r>
      <w:r w:rsidRPr="000D3432">
        <w:rPr>
          <w:rFonts w:asciiTheme="minorHAnsi" w:hAnsiTheme="minorHAnsi"/>
          <w:b/>
          <w:szCs w:val="24"/>
          <w:lang w:val="es-ES_tradnl"/>
        </w:rPr>
        <w:t>EL INSTITUTO PERUANO DE SEGURIDAD SOCIAL</w:t>
      </w:r>
    </w:p>
    <w:p w14:paraId="114FA155" w14:textId="77777777" w:rsidR="009E6E2E" w:rsidRPr="000D3432" w:rsidRDefault="009E6E2E" w:rsidP="009E6E2E">
      <w:pPr>
        <w:jc w:val="both"/>
        <w:rPr>
          <w:rFonts w:asciiTheme="minorHAnsi" w:hAnsiTheme="minorHAnsi"/>
          <w:szCs w:val="24"/>
          <w:lang w:val="es-ES_tradnl"/>
        </w:rPr>
      </w:pPr>
    </w:p>
    <w:p w14:paraId="36ED01D0" w14:textId="77777777" w:rsidR="009E6E2E" w:rsidRPr="000D3432" w:rsidRDefault="009E6E2E" w:rsidP="009E6E2E">
      <w:pPr>
        <w:jc w:val="both"/>
        <w:rPr>
          <w:rFonts w:asciiTheme="minorHAnsi" w:hAnsiTheme="minorHAnsi"/>
          <w:szCs w:val="24"/>
          <w:lang w:val="es-ES_tradnl"/>
        </w:rPr>
      </w:pPr>
    </w:p>
    <w:p w14:paraId="3D6B4A6D" w14:textId="77777777" w:rsidR="009E6E2E" w:rsidRPr="000D3432" w:rsidRDefault="009E6E2E" w:rsidP="009E6E2E">
      <w:pPr>
        <w:jc w:val="both"/>
        <w:rPr>
          <w:rFonts w:asciiTheme="minorHAnsi" w:hAnsiTheme="minorHAnsi"/>
          <w:szCs w:val="24"/>
          <w:lang w:val="es-ES_tradnl"/>
        </w:rPr>
      </w:pPr>
    </w:p>
    <w:p w14:paraId="58130479" w14:textId="77777777" w:rsidR="009E6E2E" w:rsidRPr="000D3432" w:rsidRDefault="009E6E2E" w:rsidP="009E6E2E">
      <w:pPr>
        <w:pStyle w:val="Ttulo6"/>
        <w:rPr>
          <w:rFonts w:asciiTheme="minorHAnsi" w:hAnsiTheme="minorHAnsi"/>
          <w:sz w:val="24"/>
          <w:szCs w:val="24"/>
        </w:rPr>
      </w:pPr>
      <w:r w:rsidRPr="000D3432">
        <w:rPr>
          <w:rFonts w:asciiTheme="minorHAnsi" w:hAnsiTheme="minorHAnsi"/>
          <w:sz w:val="24"/>
          <w:szCs w:val="24"/>
        </w:rPr>
        <w:t>CAPÍTULO</w:t>
      </w:r>
    </w:p>
    <w:p w14:paraId="6C9F7DBB" w14:textId="77777777" w:rsidR="009E6E2E" w:rsidRPr="000D3432" w:rsidRDefault="009E6E2E" w:rsidP="009E6E2E">
      <w:pPr>
        <w:jc w:val="center"/>
        <w:rPr>
          <w:rFonts w:asciiTheme="minorHAnsi" w:hAnsiTheme="minorHAnsi"/>
          <w:szCs w:val="24"/>
          <w:lang w:val="es-ES_tradnl"/>
        </w:rPr>
      </w:pPr>
      <w:r w:rsidRPr="000D3432">
        <w:rPr>
          <w:rFonts w:asciiTheme="minorHAnsi" w:hAnsiTheme="minorHAnsi"/>
          <w:b/>
          <w:szCs w:val="24"/>
          <w:lang w:val="es-ES_tradnl"/>
        </w:rPr>
        <w:t>LA ADMINISTRACIÓN PÚBLICA</w:t>
      </w:r>
    </w:p>
    <w:p w14:paraId="3DA75EBA" w14:textId="77777777" w:rsidR="009E6E2E" w:rsidRPr="000D3432" w:rsidRDefault="009E6E2E" w:rsidP="009E6E2E">
      <w:pPr>
        <w:jc w:val="both"/>
        <w:rPr>
          <w:rFonts w:asciiTheme="minorHAnsi" w:hAnsiTheme="minorHAnsi"/>
          <w:szCs w:val="24"/>
          <w:lang w:val="es-ES_tradnl"/>
        </w:rPr>
      </w:pPr>
    </w:p>
    <w:p w14:paraId="58E9DFB5" w14:textId="77777777" w:rsidR="009E6E2E" w:rsidRPr="000D3432" w:rsidRDefault="009E6E2E" w:rsidP="009E6E2E">
      <w:pPr>
        <w:jc w:val="both"/>
        <w:rPr>
          <w:rFonts w:asciiTheme="minorHAnsi" w:hAnsiTheme="minorHAnsi"/>
          <w:szCs w:val="24"/>
          <w:lang w:val="es-ES_tradnl"/>
        </w:rPr>
      </w:pPr>
    </w:p>
    <w:p w14:paraId="1F38104D" w14:textId="77777777" w:rsidR="009E6E2E" w:rsidRPr="000D3432" w:rsidRDefault="009E6E2E" w:rsidP="009E6E2E">
      <w:pPr>
        <w:jc w:val="both"/>
        <w:rPr>
          <w:rFonts w:asciiTheme="minorHAnsi" w:hAnsiTheme="minorHAnsi"/>
          <w:szCs w:val="24"/>
          <w:lang w:val="es-ES_tradnl"/>
        </w:rPr>
      </w:pPr>
    </w:p>
    <w:p w14:paraId="44D622E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1.- </w:t>
      </w:r>
      <w:r w:rsidRPr="000D3432">
        <w:rPr>
          <w:rFonts w:asciiTheme="minorHAnsi" w:hAnsiTheme="minorHAnsi"/>
          <w:b/>
          <w:szCs w:val="24"/>
          <w:lang w:val="es-ES_tradnl"/>
        </w:rPr>
        <w:t>LA ADMINISTRACIÓN PÚBLICA</w:t>
      </w:r>
    </w:p>
    <w:p w14:paraId="6604E176" w14:textId="77777777" w:rsidR="009E6E2E" w:rsidRPr="000D3432" w:rsidRDefault="009E6E2E" w:rsidP="009E6E2E">
      <w:pPr>
        <w:jc w:val="both"/>
        <w:rPr>
          <w:rFonts w:asciiTheme="minorHAnsi" w:hAnsiTheme="minorHAnsi"/>
          <w:szCs w:val="24"/>
          <w:lang w:val="es-ES_tradnl"/>
        </w:rPr>
      </w:pPr>
    </w:p>
    <w:p w14:paraId="644A4FE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La visión de lo que constituye La Administración Pública la da Rubio en las siguientes líneas: “Los órganos del Gobierno Central, los Consejos Municipales, varios organismos constitucionales con funciones específicas, y (…) las regiones, tienen por debajo de us jefes o sus organismos internos rectores, un conjunto más o menos amplio de funcinarios, según los casos, organizados en distintas reparticiones, y que son los que ejecutan, supervisan y evalúan las acciones propias del Etado constituyendo la </w:t>
      </w:r>
      <w:r w:rsidRPr="000D3432">
        <w:rPr>
          <w:rFonts w:asciiTheme="minorHAnsi" w:hAnsiTheme="minorHAnsi"/>
          <w:i/>
          <w:szCs w:val="24"/>
          <w:lang w:val="es-ES_tradnl"/>
        </w:rPr>
        <w:t>Administración Pública</w:t>
      </w:r>
      <w:r w:rsidRPr="000D3432">
        <w:rPr>
          <w:rFonts w:asciiTheme="minorHAnsi" w:hAnsiTheme="minorHAnsi"/>
          <w:szCs w:val="24"/>
          <w:lang w:val="es-ES_tradnl"/>
        </w:rPr>
        <w:t>. (Rubio. El S.J. pp. 66.)</w:t>
      </w:r>
    </w:p>
    <w:p w14:paraId="11E7F0D7" w14:textId="77777777" w:rsidR="009E6E2E" w:rsidRPr="000D3432" w:rsidRDefault="009E6E2E" w:rsidP="009E6E2E">
      <w:pPr>
        <w:jc w:val="both"/>
        <w:rPr>
          <w:rFonts w:asciiTheme="minorHAnsi" w:hAnsiTheme="minorHAnsi"/>
          <w:szCs w:val="24"/>
          <w:lang w:val="es-ES_tradnl"/>
        </w:rPr>
      </w:pPr>
    </w:p>
    <w:p w14:paraId="0A0F2A1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Administración pública más importante en cantidad y en variedad es la que depende del Poder Ejecutivo. Luego las Municipalidades.</w:t>
      </w:r>
    </w:p>
    <w:p w14:paraId="02CF9BB7" w14:textId="77777777" w:rsidR="009E6E2E" w:rsidRPr="000D3432" w:rsidRDefault="009E6E2E" w:rsidP="009E6E2E">
      <w:pPr>
        <w:jc w:val="both"/>
        <w:rPr>
          <w:rFonts w:asciiTheme="minorHAnsi" w:hAnsiTheme="minorHAnsi"/>
          <w:szCs w:val="24"/>
          <w:lang w:val="es-ES_tradnl"/>
        </w:rPr>
      </w:pPr>
    </w:p>
    <w:p w14:paraId="719574A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Líneas importantes -dice Rubio(Rubio. El S.J. pp. 66.):</w:t>
      </w:r>
    </w:p>
    <w:p w14:paraId="0DA8F4DA" w14:textId="77777777" w:rsidR="009E6E2E" w:rsidRPr="000D3432" w:rsidRDefault="009E6E2E" w:rsidP="009E6E2E">
      <w:pPr>
        <w:jc w:val="both"/>
        <w:rPr>
          <w:rFonts w:asciiTheme="minorHAnsi" w:hAnsiTheme="minorHAnsi"/>
          <w:szCs w:val="24"/>
          <w:lang w:val="es-ES_tradnl"/>
        </w:rPr>
      </w:pPr>
    </w:p>
    <w:p w14:paraId="25C6130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La producción de normas generales vía reglamentos, decretos y resoluciones; y,</w:t>
      </w:r>
    </w:p>
    <w:p w14:paraId="3AD3F5F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La resolución de problemas derivados del ejercicio de sus actividades a través de lo que se denomina procedimientos administrativos.</w:t>
      </w:r>
    </w:p>
    <w:p w14:paraId="708FCE15" w14:textId="77777777" w:rsidR="009E6E2E" w:rsidRPr="000D3432" w:rsidRDefault="009E6E2E" w:rsidP="009E6E2E">
      <w:pPr>
        <w:jc w:val="both"/>
        <w:rPr>
          <w:rFonts w:asciiTheme="minorHAnsi" w:hAnsiTheme="minorHAnsi"/>
          <w:szCs w:val="24"/>
          <w:lang w:val="es-ES_tradnl"/>
        </w:rPr>
      </w:pPr>
    </w:p>
    <w:p w14:paraId="57E1F52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Presidente puede emitir reglamentos, decretos y resoluciones “sin transgredir ni desnaturalizar las leyes. Pues bien, en la moderna vida del Estado, estas atribuciones son normalmente desconcentradas por el Presidente en los Ministros, y por éstos en funcionarios subordinados a ellos. Dicha situación produce el efecto de tener diversos cuerpos normativos no aprobados ni por el Congreso, no por la máxima instancia del Poder Ejecutivo (Presidente y ministros o Consejo de Ministros), sino por funcionarios inferiores que, así adquieren importantes funciones de creación normativa.” (Rubio. El S.J. pp. 68.)</w:t>
      </w:r>
    </w:p>
    <w:p w14:paraId="128717B7" w14:textId="77777777" w:rsidR="009E6E2E" w:rsidRPr="000D3432" w:rsidRDefault="009E6E2E" w:rsidP="009E6E2E">
      <w:pPr>
        <w:jc w:val="both"/>
        <w:rPr>
          <w:rFonts w:asciiTheme="minorHAnsi" w:hAnsiTheme="minorHAnsi"/>
          <w:szCs w:val="24"/>
          <w:lang w:val="es-ES_tradnl"/>
        </w:rPr>
      </w:pPr>
    </w:p>
    <w:p w14:paraId="63A57795"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I. LA ADMINISTRACIÓN DEL PODER EJECUTIVO</w:t>
      </w:r>
    </w:p>
    <w:p w14:paraId="5DE9807E" w14:textId="77777777" w:rsidR="009E6E2E" w:rsidRPr="000D3432" w:rsidRDefault="009E6E2E" w:rsidP="009E6E2E">
      <w:pPr>
        <w:jc w:val="both"/>
        <w:rPr>
          <w:rFonts w:asciiTheme="minorHAnsi" w:hAnsiTheme="minorHAnsi"/>
          <w:szCs w:val="24"/>
          <w:lang w:val="es-ES_tradnl"/>
        </w:rPr>
      </w:pPr>
    </w:p>
    <w:p w14:paraId="61F35B2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Esta conformado por tres elementos:</w:t>
      </w:r>
    </w:p>
    <w:p w14:paraId="4FFCF143" w14:textId="77777777" w:rsidR="009E6E2E" w:rsidRPr="000D3432" w:rsidRDefault="009E6E2E" w:rsidP="009E6E2E">
      <w:pPr>
        <w:jc w:val="both"/>
        <w:rPr>
          <w:rFonts w:asciiTheme="minorHAnsi" w:hAnsiTheme="minorHAnsi"/>
          <w:szCs w:val="24"/>
          <w:lang w:val="es-ES_tradnl"/>
        </w:rPr>
      </w:pPr>
    </w:p>
    <w:p w14:paraId="35C0681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1.- Los Sectores </w:t>
      </w:r>
    </w:p>
    <w:p w14:paraId="3166F30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Los Sistemas</w:t>
      </w:r>
    </w:p>
    <w:p w14:paraId="5586533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Las Instituciones Públicas</w:t>
      </w:r>
    </w:p>
    <w:p w14:paraId="1D3378F7" w14:textId="77777777" w:rsidR="009E6E2E" w:rsidRPr="000D3432" w:rsidRDefault="009E6E2E" w:rsidP="009E6E2E">
      <w:pPr>
        <w:jc w:val="both"/>
        <w:rPr>
          <w:rFonts w:asciiTheme="minorHAnsi" w:hAnsiTheme="minorHAnsi"/>
          <w:szCs w:val="24"/>
          <w:lang w:val="es-ES_tradnl"/>
        </w:rPr>
      </w:pPr>
    </w:p>
    <w:p w14:paraId="5AB46B9A" w14:textId="77777777" w:rsidR="009E6E2E" w:rsidRPr="000D3432" w:rsidRDefault="009E6E2E" w:rsidP="009E6E2E">
      <w:pPr>
        <w:jc w:val="both"/>
        <w:rPr>
          <w:rFonts w:asciiTheme="minorHAnsi" w:hAnsiTheme="minorHAnsi"/>
          <w:szCs w:val="24"/>
          <w:lang w:val="es-ES_tradnl"/>
        </w:rPr>
      </w:pPr>
    </w:p>
    <w:p w14:paraId="5690E4E9"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szCs w:val="24"/>
          <w:lang w:val="es-ES_tradnl"/>
        </w:rPr>
        <w:t xml:space="preserve">1.- </w:t>
      </w:r>
      <w:r w:rsidRPr="000D3432">
        <w:rPr>
          <w:rFonts w:asciiTheme="minorHAnsi" w:hAnsiTheme="minorHAnsi"/>
          <w:b/>
          <w:szCs w:val="24"/>
          <w:lang w:val="es-ES_tradnl"/>
        </w:rPr>
        <w:t>LOS SECTORES Y LOS MINISTERIOS.</w:t>
      </w:r>
    </w:p>
    <w:p w14:paraId="0FAAA30D" w14:textId="77777777" w:rsidR="009E6E2E" w:rsidRPr="000D3432" w:rsidRDefault="009E6E2E" w:rsidP="009E6E2E">
      <w:pPr>
        <w:jc w:val="both"/>
        <w:rPr>
          <w:rFonts w:asciiTheme="minorHAnsi" w:hAnsiTheme="minorHAnsi"/>
          <w:szCs w:val="24"/>
          <w:lang w:val="es-ES_tradnl"/>
        </w:rPr>
      </w:pPr>
    </w:p>
    <w:p w14:paraId="203DEC7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“Los sectores son la suma de las personas, instituciones y recursos de todo tipo, públicos y privados, que realizan las actividades sociales en el país. Cada sectos tiene un ministerio a la cabeza y, por lo tanto, hay tantos sectores como ministerios, seg{un las disposiciones establecidas en la Ley del poder Ejecutivo…” (Rubio. El S.J. pp. 69.)</w:t>
      </w:r>
    </w:p>
    <w:p w14:paraId="02A624D2" w14:textId="77777777" w:rsidR="009E6E2E" w:rsidRPr="000D3432" w:rsidRDefault="009E6E2E" w:rsidP="009E6E2E">
      <w:pPr>
        <w:jc w:val="both"/>
        <w:rPr>
          <w:rFonts w:asciiTheme="minorHAnsi" w:hAnsiTheme="minorHAnsi"/>
          <w:szCs w:val="24"/>
          <w:lang w:val="es-ES_tradnl"/>
        </w:rPr>
      </w:pPr>
    </w:p>
    <w:p w14:paraId="3ADF429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Son:</w:t>
      </w:r>
    </w:p>
    <w:p w14:paraId="220B4EF7" w14:textId="77777777" w:rsidR="009E6E2E" w:rsidRPr="000D3432" w:rsidRDefault="009E6E2E" w:rsidP="009E6E2E">
      <w:pPr>
        <w:jc w:val="both"/>
        <w:rPr>
          <w:rFonts w:asciiTheme="minorHAnsi" w:hAnsiTheme="minorHAnsi"/>
          <w:szCs w:val="24"/>
          <w:lang w:val="es-ES_tradnl"/>
        </w:rPr>
      </w:pPr>
    </w:p>
    <w:p w14:paraId="26E1209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Agricultura - MINAG</w:t>
      </w:r>
    </w:p>
    <w:p w14:paraId="25ACFA6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Economía y Finanzas - MEF</w:t>
      </w:r>
    </w:p>
    <w:p w14:paraId="78102E2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Educación - MED</w:t>
      </w:r>
    </w:p>
    <w:p w14:paraId="1FC80A2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Energía y minas - MEM</w:t>
      </w:r>
    </w:p>
    <w:p w14:paraId="583A4E9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Industria, Turismo, Integración y Negociaciones Comerciales Inernacionales - MITINCI</w:t>
      </w:r>
    </w:p>
    <w:p w14:paraId="4FE6ABB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Justicia - MJ</w:t>
      </w:r>
    </w:p>
    <w:p w14:paraId="5F56345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Pesquería - MIPE</w:t>
      </w:r>
    </w:p>
    <w:p w14:paraId="0921E10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Público - Fiscalía de la nación - mp - fn</w:t>
      </w:r>
    </w:p>
    <w:p w14:paraId="73C31FC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Promoción de la Mujer y del Desarrollo Humano - PROMUDEH</w:t>
      </w:r>
    </w:p>
    <w:p w14:paraId="1FA6619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la Pesidencia - MIPRE</w:t>
      </w:r>
    </w:p>
    <w:p w14:paraId="4CFAD17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Relaciones Exteriores - RR. EE</w:t>
      </w:r>
    </w:p>
    <w:p w14:paraId="4D42CCD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Salud - MINSA</w:t>
      </w:r>
    </w:p>
    <w:p w14:paraId="16B97C0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Trabajo y Promoción Social - MTPS</w:t>
      </w:r>
    </w:p>
    <w:p w14:paraId="64D7A7D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Ministerio de Transportes, Comunicaciones, Vivienda y Construcción - MTC</w:t>
      </w:r>
    </w:p>
    <w:p w14:paraId="404E4BF4" w14:textId="77777777" w:rsidR="009E6E2E" w:rsidRPr="000D3432" w:rsidRDefault="009E6E2E" w:rsidP="009E6E2E">
      <w:pPr>
        <w:jc w:val="both"/>
        <w:rPr>
          <w:rFonts w:asciiTheme="minorHAnsi" w:hAnsiTheme="minorHAnsi"/>
          <w:szCs w:val="24"/>
          <w:lang w:val="es-ES_tradnl"/>
        </w:rPr>
      </w:pPr>
    </w:p>
    <w:p w14:paraId="16C4A49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 Rubio explicaba que “El mismo Decreto legislativo estable que los ministerio son los organismos administrativos del Poder Ejecutivo que formulan, ejecutan y supervisan la política general del Estado, tienen a su cargo los servicios públicos y ejercen la supervisión y control de los organismos públicos descentralizados y de las empresas estatales del sector o sectores que les competen. Rubio. El S.J. pp. 70.</w:t>
      </w:r>
    </w:p>
    <w:p w14:paraId="10EBCDC4" w14:textId="77777777" w:rsidR="009E6E2E" w:rsidRPr="000D3432" w:rsidRDefault="009E6E2E" w:rsidP="009E6E2E">
      <w:pPr>
        <w:jc w:val="both"/>
        <w:rPr>
          <w:rFonts w:asciiTheme="minorHAnsi" w:hAnsiTheme="minorHAnsi"/>
          <w:szCs w:val="24"/>
          <w:lang w:val="es-ES_tradnl"/>
        </w:rPr>
      </w:pPr>
    </w:p>
    <w:p w14:paraId="41418A8E" w14:textId="77777777" w:rsidR="009E6E2E" w:rsidRPr="000D3432" w:rsidRDefault="009E6E2E" w:rsidP="009E6E2E">
      <w:pPr>
        <w:jc w:val="both"/>
        <w:rPr>
          <w:rFonts w:asciiTheme="minorHAnsi" w:hAnsiTheme="minorHAnsi"/>
          <w:szCs w:val="24"/>
          <w:lang w:val="es-ES_tradnl"/>
        </w:rPr>
      </w:pPr>
    </w:p>
    <w:p w14:paraId="0A6D45D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Los Ministerios y los Ministros de Estado:</w:t>
      </w:r>
      <w:r w:rsidRPr="000D3432">
        <w:rPr>
          <w:rFonts w:asciiTheme="minorHAnsi" w:hAnsiTheme="minorHAnsi"/>
          <w:szCs w:val="24"/>
          <w:lang w:val="es-ES_tradnl"/>
        </w:rPr>
        <w:t>“</w:t>
      </w:r>
    </w:p>
    <w:p w14:paraId="1D1C7A22" w14:textId="77777777" w:rsidR="009E6E2E" w:rsidRPr="000D3432" w:rsidRDefault="009E6E2E" w:rsidP="009E6E2E">
      <w:pPr>
        <w:jc w:val="both"/>
        <w:rPr>
          <w:rFonts w:asciiTheme="minorHAnsi" w:hAnsiTheme="minorHAnsi"/>
          <w:szCs w:val="24"/>
          <w:lang w:val="es-ES_tradnl"/>
        </w:rPr>
      </w:pPr>
    </w:p>
    <w:p w14:paraId="688632F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Los ministros tiene “la dirección y gestión de los servicios públicos  en los asuntos de su competencia” Rubio El S.J. pp. 70</w:t>
      </w:r>
    </w:p>
    <w:p w14:paraId="7F5DBB37" w14:textId="77777777" w:rsidR="009E6E2E" w:rsidRPr="000D3432" w:rsidRDefault="009E6E2E" w:rsidP="009E6E2E">
      <w:pPr>
        <w:jc w:val="both"/>
        <w:rPr>
          <w:rFonts w:asciiTheme="minorHAnsi" w:hAnsiTheme="minorHAnsi"/>
          <w:szCs w:val="24"/>
          <w:lang w:val="es-ES_tradnl"/>
        </w:rPr>
      </w:pPr>
    </w:p>
    <w:p w14:paraId="49E4217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Ministro reúnes dos calidades:</w:t>
      </w:r>
    </w:p>
    <w:p w14:paraId="4FE5C9FF" w14:textId="77777777" w:rsidR="009E6E2E" w:rsidRPr="000D3432" w:rsidRDefault="009E6E2E" w:rsidP="009E6E2E">
      <w:pPr>
        <w:jc w:val="both"/>
        <w:rPr>
          <w:rFonts w:asciiTheme="minorHAnsi" w:hAnsiTheme="minorHAnsi"/>
          <w:szCs w:val="24"/>
          <w:lang w:val="es-ES_tradnl"/>
        </w:rPr>
      </w:pPr>
    </w:p>
    <w:p w14:paraId="3D8312B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El Ministro como político, por ser cabeza del ministerio e integrante del Consejo de Ministros -dice Rubio.</w:t>
      </w:r>
    </w:p>
    <w:p w14:paraId="68715FC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El Ministro como cabeza administrativa de su sector.</w:t>
      </w:r>
    </w:p>
    <w:p w14:paraId="60742DB5" w14:textId="77777777" w:rsidR="009E6E2E" w:rsidRPr="000D3432" w:rsidRDefault="009E6E2E" w:rsidP="009E6E2E">
      <w:pPr>
        <w:jc w:val="both"/>
        <w:rPr>
          <w:rFonts w:asciiTheme="minorHAnsi" w:hAnsiTheme="minorHAnsi"/>
          <w:szCs w:val="24"/>
          <w:lang w:val="es-ES_tradnl"/>
        </w:rPr>
      </w:pPr>
    </w:p>
    <w:p w14:paraId="640A5F7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 el Derecho esta situación se refleja claramente porque, a veces, el Ministro produce normas generales bajo la forma de Resoluciones Ministeriales, Resoluciones Supremas o Decretos Supremos, firmando al lado del Presidente y haciéndose responsable político de ellos.” (Rubio El S.J. pp. 70).</w:t>
      </w:r>
    </w:p>
    <w:p w14:paraId="7CFDCCA5" w14:textId="77777777" w:rsidR="009E6E2E" w:rsidRPr="000D3432" w:rsidRDefault="009E6E2E" w:rsidP="009E6E2E">
      <w:pPr>
        <w:jc w:val="both"/>
        <w:rPr>
          <w:rFonts w:asciiTheme="minorHAnsi" w:hAnsiTheme="minorHAnsi"/>
          <w:szCs w:val="24"/>
          <w:lang w:val="es-ES_tradnl"/>
        </w:rPr>
      </w:pPr>
    </w:p>
    <w:p w14:paraId="2FA0C36A" w14:textId="77777777" w:rsidR="009E6E2E" w:rsidRPr="000D3432" w:rsidRDefault="009E6E2E" w:rsidP="009E6E2E">
      <w:pPr>
        <w:jc w:val="both"/>
        <w:rPr>
          <w:rFonts w:asciiTheme="minorHAnsi" w:hAnsiTheme="minorHAnsi"/>
          <w:szCs w:val="24"/>
          <w:lang w:val="es-ES_tradnl"/>
        </w:rPr>
      </w:pPr>
    </w:p>
    <w:p w14:paraId="45757B8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2. </w:t>
      </w:r>
      <w:r w:rsidRPr="000D3432">
        <w:rPr>
          <w:rFonts w:asciiTheme="minorHAnsi" w:hAnsiTheme="minorHAnsi"/>
          <w:b/>
          <w:szCs w:val="24"/>
          <w:lang w:val="es-ES_tradnl"/>
        </w:rPr>
        <w:t>LOS SISTEMAS</w:t>
      </w:r>
    </w:p>
    <w:p w14:paraId="47107821" w14:textId="77777777" w:rsidR="009E6E2E" w:rsidRPr="000D3432" w:rsidRDefault="009E6E2E" w:rsidP="009E6E2E">
      <w:pPr>
        <w:jc w:val="both"/>
        <w:rPr>
          <w:rFonts w:asciiTheme="minorHAnsi" w:hAnsiTheme="minorHAnsi"/>
          <w:szCs w:val="24"/>
          <w:lang w:val="es-ES_tradnl"/>
        </w:rPr>
      </w:pPr>
    </w:p>
    <w:p w14:paraId="5DDD698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“Un sistema es la suma organizada de normas, órganos y procesos destinados a proveer a la Administración Pública de los insumos necesarios para cumplir eficientemente sus fines insti6tucionales. En esta medida, y como ocre con los sectores, no es un organismo sino un concepto en el que se comprende a varios elementos, entre los que se cuentan distintos organismos públicos.” Rubio El S.J. pp. 71.</w:t>
      </w:r>
    </w:p>
    <w:p w14:paraId="122603DD" w14:textId="77777777" w:rsidR="009E6E2E" w:rsidRPr="000D3432" w:rsidRDefault="009E6E2E" w:rsidP="009E6E2E">
      <w:pPr>
        <w:jc w:val="both"/>
        <w:rPr>
          <w:rFonts w:asciiTheme="minorHAnsi" w:hAnsiTheme="minorHAnsi"/>
          <w:szCs w:val="24"/>
          <w:lang w:val="es-ES_tradnl"/>
        </w:rPr>
      </w:pPr>
    </w:p>
    <w:p w14:paraId="576EE20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Sistema Nacional de Planificación</w:t>
      </w:r>
    </w:p>
    <w:p w14:paraId="53E19E26" w14:textId="77777777" w:rsidR="009E6E2E" w:rsidRPr="000D3432" w:rsidRDefault="009E6E2E" w:rsidP="009E6E2E">
      <w:pPr>
        <w:jc w:val="both"/>
        <w:rPr>
          <w:rFonts w:asciiTheme="minorHAnsi" w:hAnsiTheme="minorHAnsi"/>
          <w:szCs w:val="24"/>
          <w:lang w:val="es-ES_tradnl"/>
        </w:rPr>
      </w:pPr>
    </w:p>
    <w:p w14:paraId="117D0AD3" w14:textId="77777777" w:rsidR="009E6E2E" w:rsidRPr="000D3432" w:rsidRDefault="009E6E2E" w:rsidP="009E6E2E">
      <w:pPr>
        <w:jc w:val="both"/>
        <w:rPr>
          <w:rFonts w:asciiTheme="minorHAnsi" w:hAnsiTheme="minorHAnsi"/>
          <w:szCs w:val="24"/>
          <w:lang w:val="es-ES_tradnl"/>
        </w:rPr>
      </w:pPr>
    </w:p>
    <w:p w14:paraId="0514ED2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“Los organismos centrales d ellos sistemas producen normas generales, que regulan diversos aspectos específicos del trabajo y modo de operación de la Administración Pública, y también de la población;(…)” Rubio. El S.J. pp. 71. </w:t>
      </w:r>
    </w:p>
    <w:p w14:paraId="0EDB13B1" w14:textId="77777777" w:rsidR="009E6E2E" w:rsidRPr="000D3432" w:rsidRDefault="009E6E2E" w:rsidP="009E6E2E">
      <w:pPr>
        <w:jc w:val="both"/>
        <w:rPr>
          <w:rFonts w:asciiTheme="minorHAnsi" w:hAnsiTheme="minorHAnsi"/>
          <w:szCs w:val="24"/>
          <w:lang w:val="es-ES_tradnl"/>
        </w:rPr>
      </w:pPr>
    </w:p>
    <w:p w14:paraId="058F1FF5" w14:textId="77777777" w:rsidR="009E6E2E" w:rsidRPr="000D3432" w:rsidRDefault="009E6E2E" w:rsidP="009E6E2E">
      <w:pPr>
        <w:jc w:val="both"/>
        <w:rPr>
          <w:rFonts w:asciiTheme="minorHAnsi" w:hAnsiTheme="minorHAnsi"/>
          <w:szCs w:val="24"/>
          <w:lang w:val="es-ES_tradnl"/>
        </w:rPr>
      </w:pPr>
    </w:p>
    <w:p w14:paraId="5EC9A56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3. </w:t>
      </w:r>
      <w:r w:rsidRPr="000D3432">
        <w:rPr>
          <w:rFonts w:asciiTheme="minorHAnsi" w:hAnsiTheme="minorHAnsi"/>
          <w:b/>
          <w:szCs w:val="24"/>
          <w:lang w:val="es-ES_tradnl"/>
        </w:rPr>
        <w:t>LAS INSTITUCIONES PÚBLICAS</w:t>
      </w:r>
    </w:p>
    <w:p w14:paraId="78DAA752" w14:textId="77777777" w:rsidR="009E6E2E" w:rsidRPr="000D3432" w:rsidRDefault="009E6E2E" w:rsidP="009E6E2E">
      <w:pPr>
        <w:jc w:val="both"/>
        <w:rPr>
          <w:rFonts w:asciiTheme="minorHAnsi" w:hAnsiTheme="minorHAnsi"/>
          <w:szCs w:val="24"/>
          <w:lang w:val="es-ES_tradnl"/>
        </w:rPr>
      </w:pPr>
    </w:p>
    <w:p w14:paraId="7751E54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“Las Instituciones Públicas son organismos especializados en el cumplimiento de determinadas funciones que les son asignadas por sus leyes de creación, y que están subordinadas, según cada caso, a los organismos rectores de los distintos sectores (ministerios), o a la Presidencia del Consejo de Ministros.” Rubio. El S.J. pp. 71. </w:t>
      </w:r>
    </w:p>
    <w:p w14:paraId="1BD4E12E" w14:textId="77777777" w:rsidR="009E6E2E" w:rsidRPr="000D3432" w:rsidRDefault="009E6E2E" w:rsidP="009E6E2E">
      <w:pPr>
        <w:jc w:val="both"/>
        <w:rPr>
          <w:rFonts w:asciiTheme="minorHAnsi" w:hAnsiTheme="minorHAnsi"/>
          <w:szCs w:val="24"/>
          <w:lang w:val="es-ES_tradnl"/>
        </w:rPr>
      </w:pPr>
    </w:p>
    <w:p w14:paraId="50CF713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Consejo Nacional de Ciencia y Tecnología</w:t>
      </w:r>
    </w:p>
    <w:p w14:paraId="4136F3BE" w14:textId="77777777" w:rsidR="009E6E2E" w:rsidRPr="000D3432" w:rsidRDefault="009E6E2E" w:rsidP="009E6E2E">
      <w:pPr>
        <w:jc w:val="both"/>
        <w:rPr>
          <w:rFonts w:asciiTheme="minorHAnsi" w:hAnsiTheme="minorHAnsi"/>
          <w:szCs w:val="24"/>
          <w:lang w:val="es-ES_tradnl"/>
        </w:rPr>
      </w:pPr>
    </w:p>
    <w:p w14:paraId="743192A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II</w:t>
      </w:r>
      <w:r w:rsidRPr="000D3432">
        <w:rPr>
          <w:rFonts w:asciiTheme="minorHAnsi" w:hAnsiTheme="minorHAnsi"/>
          <w:szCs w:val="24"/>
          <w:lang w:val="es-ES_tradnl"/>
        </w:rPr>
        <w:t xml:space="preserve">. </w:t>
      </w:r>
      <w:r w:rsidRPr="000D3432">
        <w:rPr>
          <w:rFonts w:asciiTheme="minorHAnsi" w:hAnsiTheme="minorHAnsi"/>
          <w:b/>
          <w:szCs w:val="24"/>
          <w:lang w:val="es-ES_tradnl"/>
        </w:rPr>
        <w:t>LA ADMINISTRACIÓN MUNICIPAL</w:t>
      </w:r>
    </w:p>
    <w:p w14:paraId="2CD49160" w14:textId="77777777" w:rsidR="009E6E2E" w:rsidRPr="000D3432" w:rsidRDefault="009E6E2E" w:rsidP="009E6E2E">
      <w:pPr>
        <w:jc w:val="both"/>
        <w:rPr>
          <w:rFonts w:asciiTheme="minorHAnsi" w:hAnsiTheme="minorHAnsi"/>
          <w:szCs w:val="24"/>
          <w:lang w:val="es-ES_tradnl"/>
        </w:rPr>
      </w:pPr>
    </w:p>
    <w:p w14:paraId="71D9CF0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Se trata de las Municipalidades.</w:t>
      </w:r>
    </w:p>
    <w:p w14:paraId="4BE89131" w14:textId="77777777" w:rsidR="009E6E2E" w:rsidRPr="000D3432" w:rsidRDefault="009E6E2E" w:rsidP="009E6E2E">
      <w:pPr>
        <w:jc w:val="both"/>
        <w:rPr>
          <w:rFonts w:asciiTheme="minorHAnsi" w:hAnsiTheme="minorHAnsi"/>
          <w:szCs w:val="24"/>
          <w:lang w:val="es-ES_tradnl"/>
        </w:rPr>
      </w:pPr>
    </w:p>
    <w:p w14:paraId="3416E7A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Alcalde es el Jefe de la Administración Municipal</w:t>
      </w:r>
    </w:p>
    <w:p w14:paraId="6DC0FBB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Director Municipal es el inmediato colaborador del Alcalde</w:t>
      </w:r>
    </w:p>
    <w:p w14:paraId="1F86128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Por Debajo hay Direcciones Generales</w:t>
      </w:r>
    </w:p>
    <w:p w14:paraId="75814D35" w14:textId="77777777" w:rsidR="009E6E2E" w:rsidRPr="000D3432" w:rsidRDefault="009E6E2E" w:rsidP="009E6E2E">
      <w:pPr>
        <w:jc w:val="both"/>
        <w:rPr>
          <w:rFonts w:asciiTheme="minorHAnsi" w:hAnsiTheme="minorHAnsi"/>
          <w:szCs w:val="24"/>
          <w:lang w:val="es-ES_tradnl"/>
        </w:rPr>
      </w:pPr>
    </w:p>
    <w:p w14:paraId="7C7BE2B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“La Administración Municipal no aprueba normas generales (atribución que en este caso detentan el Concejo y el Alcalde (…)), pero sí realiza numerosos procedimientos administrativos vinculados a los servicios, acciones y controles que competen a cada municipalidad. (Rubio. El S.J. pp. 72). </w:t>
      </w:r>
    </w:p>
    <w:p w14:paraId="37B6497F" w14:textId="77777777" w:rsidR="009E6E2E" w:rsidRPr="000D3432" w:rsidRDefault="009E6E2E" w:rsidP="009E6E2E">
      <w:pPr>
        <w:jc w:val="both"/>
        <w:rPr>
          <w:rFonts w:asciiTheme="minorHAnsi" w:hAnsiTheme="minorHAnsi"/>
          <w:szCs w:val="24"/>
          <w:lang w:val="es-ES_tradnl"/>
        </w:rPr>
      </w:pPr>
    </w:p>
    <w:p w14:paraId="672E6912" w14:textId="77777777" w:rsidR="009E6E2E" w:rsidRPr="000D3432" w:rsidRDefault="009E6E2E" w:rsidP="009E6E2E">
      <w:pPr>
        <w:jc w:val="both"/>
        <w:rPr>
          <w:rFonts w:asciiTheme="minorHAnsi" w:hAnsiTheme="minorHAnsi"/>
          <w:szCs w:val="24"/>
          <w:lang w:val="es-ES_tradnl"/>
        </w:rPr>
      </w:pPr>
    </w:p>
    <w:p w14:paraId="7A81D2D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III.</w:t>
      </w:r>
      <w:r w:rsidRPr="000D3432">
        <w:rPr>
          <w:rFonts w:asciiTheme="minorHAnsi" w:hAnsiTheme="minorHAnsi"/>
          <w:szCs w:val="24"/>
          <w:lang w:val="es-ES_tradnl"/>
        </w:rPr>
        <w:t xml:space="preserve"> </w:t>
      </w:r>
      <w:r w:rsidRPr="000D3432">
        <w:rPr>
          <w:rFonts w:asciiTheme="minorHAnsi" w:hAnsiTheme="minorHAnsi"/>
          <w:b/>
          <w:szCs w:val="24"/>
          <w:lang w:val="es-ES_tradnl"/>
        </w:rPr>
        <w:t>LA ADMINISTRACIÓN DE LOS PODERES LEGISLATIVOS Y JUDICIAL</w:t>
      </w:r>
    </w:p>
    <w:p w14:paraId="61838E1A" w14:textId="77777777" w:rsidR="009E6E2E" w:rsidRPr="000D3432" w:rsidRDefault="009E6E2E" w:rsidP="009E6E2E">
      <w:pPr>
        <w:jc w:val="both"/>
        <w:rPr>
          <w:rFonts w:asciiTheme="minorHAnsi" w:hAnsiTheme="minorHAnsi"/>
          <w:szCs w:val="24"/>
          <w:lang w:val="es-ES_tradnl"/>
        </w:rPr>
      </w:pPr>
    </w:p>
    <w:p w14:paraId="0EEF543D" w14:textId="77777777" w:rsidR="009E6E2E" w:rsidRPr="000D3432" w:rsidRDefault="009E6E2E" w:rsidP="009E6E2E">
      <w:pPr>
        <w:jc w:val="both"/>
        <w:rPr>
          <w:rFonts w:asciiTheme="minorHAnsi" w:hAnsiTheme="minorHAnsi"/>
          <w:szCs w:val="24"/>
          <w:lang w:val="es-ES_tradnl"/>
        </w:rPr>
      </w:pPr>
    </w:p>
    <w:p w14:paraId="0E7F650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4.5. </w:t>
      </w:r>
      <w:r w:rsidRPr="000D3432">
        <w:rPr>
          <w:rFonts w:asciiTheme="minorHAnsi" w:hAnsiTheme="minorHAnsi"/>
          <w:b/>
          <w:szCs w:val="24"/>
          <w:lang w:val="es-ES_tradnl"/>
        </w:rPr>
        <w:t>LAS EMPRESAS DEL ESTADO</w:t>
      </w:r>
    </w:p>
    <w:p w14:paraId="48529DB9" w14:textId="77777777" w:rsidR="009E6E2E" w:rsidRPr="000D3432" w:rsidRDefault="009E6E2E" w:rsidP="009E6E2E">
      <w:pPr>
        <w:jc w:val="both"/>
        <w:rPr>
          <w:rFonts w:asciiTheme="minorHAnsi" w:hAnsiTheme="minorHAnsi"/>
          <w:szCs w:val="24"/>
          <w:lang w:val="es-ES_tradnl"/>
        </w:rPr>
      </w:pPr>
    </w:p>
    <w:p w14:paraId="24798B3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Marcial Rubio aludiendo a un Decreto Legislativo exponía las cuatro formas del ámbito empresarial del Estado:</w:t>
      </w:r>
    </w:p>
    <w:p w14:paraId="65DD8721" w14:textId="77777777" w:rsidR="009E6E2E" w:rsidRPr="000D3432" w:rsidRDefault="009E6E2E" w:rsidP="009E6E2E">
      <w:pPr>
        <w:jc w:val="both"/>
        <w:rPr>
          <w:rFonts w:asciiTheme="minorHAnsi" w:hAnsiTheme="minorHAnsi"/>
          <w:szCs w:val="24"/>
          <w:lang w:val="es-ES_tradnl"/>
        </w:rPr>
      </w:pPr>
    </w:p>
    <w:p w14:paraId="7E95DCE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1.- Empresas de derecho público</w:t>
      </w:r>
    </w:p>
    <w:p w14:paraId="56482A3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Empresas estatales de derecho privado</w:t>
      </w:r>
    </w:p>
    <w:p w14:paraId="29883E8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Empresas estatales de economía mixta</w:t>
      </w:r>
    </w:p>
    <w:p w14:paraId="6AD44E0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Accionariado del Estado</w:t>
      </w:r>
    </w:p>
    <w:p w14:paraId="6DC28C8E" w14:textId="77777777" w:rsidR="009E6E2E" w:rsidRPr="000D3432" w:rsidRDefault="009E6E2E" w:rsidP="009E6E2E">
      <w:pPr>
        <w:jc w:val="both"/>
        <w:rPr>
          <w:rFonts w:asciiTheme="minorHAnsi" w:hAnsiTheme="minorHAnsi"/>
          <w:szCs w:val="24"/>
          <w:lang w:val="es-ES_tradnl"/>
        </w:rPr>
      </w:pPr>
    </w:p>
    <w:p w14:paraId="5B9702F8" w14:textId="77777777" w:rsidR="009E6E2E" w:rsidRPr="000D3432" w:rsidRDefault="009E6E2E" w:rsidP="009E6E2E">
      <w:pPr>
        <w:jc w:val="both"/>
        <w:rPr>
          <w:rFonts w:asciiTheme="minorHAnsi" w:hAnsiTheme="minorHAnsi"/>
          <w:szCs w:val="24"/>
          <w:lang w:val="es-ES_tradnl"/>
        </w:rPr>
      </w:pPr>
    </w:p>
    <w:p w14:paraId="4B59C6C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1.- Empresas de derecho público:</w:t>
      </w:r>
    </w:p>
    <w:p w14:paraId="4E2B7C3C" w14:textId="77777777" w:rsidR="009E6E2E" w:rsidRPr="000D3432" w:rsidRDefault="009E6E2E" w:rsidP="009E6E2E">
      <w:pPr>
        <w:jc w:val="both"/>
        <w:rPr>
          <w:rFonts w:asciiTheme="minorHAnsi" w:hAnsiTheme="minorHAnsi"/>
          <w:szCs w:val="24"/>
          <w:lang w:val="es-ES_tradnl"/>
        </w:rPr>
      </w:pPr>
    </w:p>
    <w:p w14:paraId="7549EF9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“…son empresas creadas por ley que les asigna expresamente este status. Tienen la característica de actuar como organismos públicos, es decir, con poderes semejantes a los de la Administración Pública mencionada anteriormente. Esto es lo que se llama poder de imperio, o sea, capacidad de poder dictar normatividad general o de ejecutar actos administrativos especializados en su ramo, como arte de la política gubernativa nacional.” (Rubio. El S.J. pp. 73).</w:t>
      </w:r>
    </w:p>
    <w:p w14:paraId="307AA132" w14:textId="77777777" w:rsidR="009E6E2E" w:rsidRPr="000D3432" w:rsidRDefault="009E6E2E" w:rsidP="009E6E2E">
      <w:pPr>
        <w:jc w:val="both"/>
        <w:rPr>
          <w:rFonts w:asciiTheme="minorHAnsi" w:hAnsiTheme="minorHAnsi"/>
          <w:szCs w:val="24"/>
          <w:lang w:val="es-ES_tradnl"/>
        </w:rPr>
      </w:pPr>
    </w:p>
    <w:p w14:paraId="6B86CD82" w14:textId="77777777" w:rsidR="009E6E2E" w:rsidRPr="000D3432" w:rsidRDefault="009E6E2E" w:rsidP="009E6E2E">
      <w:pPr>
        <w:jc w:val="both"/>
        <w:rPr>
          <w:rFonts w:asciiTheme="minorHAnsi" w:hAnsiTheme="minorHAnsi"/>
          <w:szCs w:val="24"/>
          <w:lang w:val="es-ES_tradnl"/>
        </w:rPr>
      </w:pPr>
    </w:p>
    <w:p w14:paraId="2D86E5F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2.- </w:t>
      </w:r>
      <w:r w:rsidRPr="000D3432">
        <w:rPr>
          <w:rFonts w:asciiTheme="minorHAnsi" w:hAnsiTheme="minorHAnsi"/>
          <w:b/>
          <w:szCs w:val="24"/>
          <w:lang w:val="es-ES_tradnl"/>
        </w:rPr>
        <w:t>Empresas estatales de derecho privado</w:t>
      </w:r>
    </w:p>
    <w:p w14:paraId="2B312ABE" w14:textId="77777777" w:rsidR="009E6E2E" w:rsidRPr="000D3432" w:rsidRDefault="009E6E2E" w:rsidP="009E6E2E">
      <w:pPr>
        <w:jc w:val="both"/>
        <w:rPr>
          <w:rFonts w:asciiTheme="minorHAnsi" w:hAnsiTheme="minorHAnsi"/>
          <w:szCs w:val="24"/>
          <w:lang w:val="es-ES_tradnl"/>
        </w:rPr>
      </w:pPr>
    </w:p>
    <w:p w14:paraId="1841981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son personas jurídicas de derecho privado, cuyo capital pertenece totalmente al Estado. Sólo pueden adoptar la forma de sociedades anónimas, y sus órganos de dirección están conformados por representantes de diversos sectores de la Administración  Pública nombrados por los Ministros del caso, salvo el presidente, cuyo nombramiento requiere refrendación del Presidente de la República.” (Rubio. El S.J. pp. 73).</w:t>
      </w:r>
    </w:p>
    <w:p w14:paraId="27744E66" w14:textId="77777777" w:rsidR="009E6E2E" w:rsidRPr="000D3432" w:rsidRDefault="009E6E2E" w:rsidP="009E6E2E">
      <w:pPr>
        <w:jc w:val="both"/>
        <w:rPr>
          <w:rFonts w:asciiTheme="minorHAnsi" w:hAnsiTheme="minorHAnsi"/>
          <w:szCs w:val="24"/>
          <w:lang w:val="es-ES_tradnl"/>
        </w:rPr>
      </w:pPr>
    </w:p>
    <w:p w14:paraId="33F060B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3.- </w:t>
      </w:r>
      <w:r w:rsidRPr="000D3432">
        <w:rPr>
          <w:rFonts w:asciiTheme="minorHAnsi" w:hAnsiTheme="minorHAnsi"/>
          <w:b/>
          <w:szCs w:val="24"/>
          <w:lang w:val="es-ES_tradnl"/>
        </w:rPr>
        <w:t>Empresas estatales de economía mixta</w:t>
      </w:r>
    </w:p>
    <w:p w14:paraId="27BA44A3" w14:textId="77777777" w:rsidR="009E6E2E" w:rsidRPr="000D3432" w:rsidRDefault="009E6E2E" w:rsidP="009E6E2E">
      <w:pPr>
        <w:jc w:val="both"/>
        <w:rPr>
          <w:rFonts w:asciiTheme="minorHAnsi" w:hAnsiTheme="minorHAnsi"/>
          <w:szCs w:val="24"/>
          <w:lang w:val="es-ES_tradnl"/>
        </w:rPr>
      </w:pPr>
    </w:p>
    <w:p w14:paraId="2FE7EEF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“…son personas jurídicas de derecho privado que sólo pueden adoptar la forma de sociedades anónimas, en las que el Estado participa asociado con terceros en los capitales y en la dirección de la sociedad. En ellas el Estado tienen una participación accionaria mayoritaria que le garantiza el control del poder; o bien, tiene una participación accionaria menor, con un límite mínimo del 20% del capital social, pero goza de capacidad determinante de decisión, según lo que se establezca en los estatutos de la empresa.” (Rubio. El S.J. pp. 73).</w:t>
      </w:r>
    </w:p>
    <w:p w14:paraId="6FC84E94" w14:textId="77777777" w:rsidR="009E6E2E" w:rsidRPr="000D3432" w:rsidRDefault="009E6E2E" w:rsidP="009E6E2E">
      <w:pPr>
        <w:jc w:val="both"/>
        <w:rPr>
          <w:rFonts w:asciiTheme="minorHAnsi" w:hAnsiTheme="minorHAnsi"/>
          <w:szCs w:val="24"/>
          <w:lang w:val="es-ES_tradnl"/>
        </w:rPr>
      </w:pPr>
    </w:p>
    <w:p w14:paraId="727B687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4.- </w:t>
      </w:r>
      <w:r w:rsidRPr="000D3432">
        <w:rPr>
          <w:rFonts w:asciiTheme="minorHAnsi" w:hAnsiTheme="minorHAnsi"/>
          <w:b/>
          <w:szCs w:val="24"/>
          <w:lang w:val="es-ES_tradnl"/>
        </w:rPr>
        <w:t>Accionariado del Estado</w:t>
      </w:r>
    </w:p>
    <w:p w14:paraId="0363A23B" w14:textId="77777777" w:rsidR="009E6E2E" w:rsidRPr="000D3432" w:rsidRDefault="009E6E2E" w:rsidP="009E6E2E">
      <w:pPr>
        <w:jc w:val="both"/>
        <w:rPr>
          <w:rFonts w:asciiTheme="minorHAnsi" w:hAnsiTheme="minorHAnsi"/>
          <w:szCs w:val="24"/>
          <w:lang w:val="es-ES_tradnl"/>
        </w:rPr>
      </w:pPr>
    </w:p>
    <w:p w14:paraId="205374C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constituido por una participación del Estado en empresas de derecho privado que no reúnen las calidades para ser empresas de economía mixta, es decir, en las que la participación estatal ni es mayoritaria ni tienen capacidad necesariamente determinante de acuerdo a los estatutos.” (Rubio. El S.J. pp. 73).</w:t>
      </w:r>
    </w:p>
    <w:p w14:paraId="3CB474E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 </w:t>
      </w:r>
    </w:p>
    <w:p w14:paraId="71F57DA2" w14:textId="77777777" w:rsidR="009E6E2E" w:rsidRPr="000D3432" w:rsidRDefault="009E6E2E" w:rsidP="009E6E2E">
      <w:pPr>
        <w:jc w:val="both"/>
        <w:rPr>
          <w:rFonts w:asciiTheme="minorHAnsi" w:hAnsiTheme="minorHAnsi"/>
          <w:szCs w:val="24"/>
          <w:lang w:val="es-ES_tradnl"/>
        </w:rPr>
      </w:pPr>
    </w:p>
    <w:p w14:paraId="71E1A722" w14:textId="77777777" w:rsidR="009E6E2E" w:rsidRPr="000D3432" w:rsidRDefault="009E6E2E" w:rsidP="009E6E2E">
      <w:pPr>
        <w:jc w:val="both"/>
        <w:rPr>
          <w:rFonts w:asciiTheme="minorHAnsi" w:hAnsiTheme="minorHAnsi"/>
          <w:szCs w:val="24"/>
          <w:lang w:val="es-ES_tradnl"/>
        </w:rPr>
      </w:pPr>
    </w:p>
    <w:p w14:paraId="78D5CA2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5. </w:t>
      </w:r>
      <w:r w:rsidRPr="000D3432">
        <w:rPr>
          <w:rFonts w:asciiTheme="minorHAnsi" w:hAnsiTheme="minorHAnsi"/>
          <w:b/>
          <w:szCs w:val="24"/>
          <w:lang w:val="es-ES_tradnl"/>
        </w:rPr>
        <w:t>ESTADO Y EMPRESA</w:t>
      </w:r>
    </w:p>
    <w:p w14:paraId="3CB8E4F4" w14:textId="77777777" w:rsidR="009E6E2E" w:rsidRPr="000D3432" w:rsidRDefault="009E6E2E" w:rsidP="009E6E2E">
      <w:pPr>
        <w:jc w:val="both"/>
        <w:rPr>
          <w:rFonts w:asciiTheme="minorHAnsi" w:hAnsiTheme="minorHAnsi"/>
          <w:szCs w:val="24"/>
          <w:lang w:val="es-ES_tradnl"/>
        </w:rPr>
      </w:pPr>
    </w:p>
    <w:p w14:paraId="1C3433B1"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6. ESTADO Y RECAUDACIÓN FISCAL Y TRIBUTARIA</w:t>
      </w:r>
    </w:p>
    <w:p w14:paraId="19AFD8FB" w14:textId="77777777" w:rsidR="009E6E2E" w:rsidRPr="000D3432" w:rsidRDefault="009E6E2E" w:rsidP="009E6E2E">
      <w:pPr>
        <w:jc w:val="both"/>
        <w:rPr>
          <w:rFonts w:asciiTheme="minorHAnsi" w:hAnsiTheme="minorHAnsi"/>
          <w:b/>
          <w:szCs w:val="24"/>
          <w:lang w:val="es-ES_tradnl"/>
        </w:rPr>
      </w:pPr>
    </w:p>
    <w:p w14:paraId="0A23DA32" w14:textId="77777777" w:rsidR="009E6E2E" w:rsidRPr="000D3432" w:rsidRDefault="009E6E2E" w:rsidP="009E6E2E">
      <w:pPr>
        <w:jc w:val="both"/>
        <w:rPr>
          <w:rFonts w:asciiTheme="minorHAnsi" w:hAnsiTheme="minorHAnsi"/>
          <w:b/>
          <w:szCs w:val="24"/>
          <w:lang w:val="es-ES_tradnl"/>
        </w:rPr>
      </w:pPr>
    </w:p>
    <w:p w14:paraId="1C766ECE" w14:textId="77777777" w:rsidR="009E6E2E" w:rsidRPr="000D3432" w:rsidRDefault="009E6E2E" w:rsidP="009E6E2E">
      <w:pPr>
        <w:jc w:val="both"/>
        <w:rPr>
          <w:rFonts w:asciiTheme="minorHAnsi" w:hAnsiTheme="minorHAnsi"/>
          <w:b/>
          <w:szCs w:val="24"/>
          <w:lang w:val="es-ES_tradnl"/>
        </w:rPr>
      </w:pPr>
    </w:p>
    <w:p w14:paraId="0685A8FC" w14:textId="77777777" w:rsidR="009E6E2E" w:rsidRPr="000D3432" w:rsidRDefault="009E6E2E" w:rsidP="009E6E2E">
      <w:pPr>
        <w:jc w:val="both"/>
        <w:rPr>
          <w:rFonts w:asciiTheme="minorHAnsi" w:hAnsiTheme="minorHAnsi"/>
          <w:b/>
          <w:szCs w:val="24"/>
          <w:lang w:val="es-ES_tradnl"/>
        </w:rPr>
      </w:pPr>
    </w:p>
    <w:p w14:paraId="50B07E59" w14:textId="77777777" w:rsidR="009E6E2E" w:rsidRPr="000D3432" w:rsidRDefault="009E6E2E" w:rsidP="009E6E2E">
      <w:pPr>
        <w:jc w:val="both"/>
        <w:rPr>
          <w:rFonts w:asciiTheme="minorHAnsi" w:hAnsiTheme="minorHAnsi"/>
          <w:b/>
          <w:szCs w:val="24"/>
          <w:lang w:val="es-ES_tradnl"/>
        </w:rPr>
      </w:pPr>
    </w:p>
    <w:p w14:paraId="1DEBFC05" w14:textId="77777777" w:rsidR="009E6E2E" w:rsidRPr="000D3432" w:rsidRDefault="009E6E2E" w:rsidP="009E6E2E">
      <w:pPr>
        <w:jc w:val="both"/>
        <w:rPr>
          <w:rFonts w:asciiTheme="minorHAnsi" w:hAnsiTheme="minorHAnsi"/>
          <w:b/>
          <w:szCs w:val="24"/>
          <w:lang w:val="es-ES_tradnl"/>
        </w:rPr>
      </w:pPr>
    </w:p>
    <w:p w14:paraId="012FFD93" w14:textId="77777777" w:rsidR="009E6E2E" w:rsidRPr="000D3432" w:rsidRDefault="009E6E2E" w:rsidP="009E6E2E">
      <w:pPr>
        <w:jc w:val="both"/>
        <w:rPr>
          <w:rFonts w:asciiTheme="minorHAnsi" w:hAnsiTheme="minorHAnsi"/>
          <w:b/>
          <w:szCs w:val="24"/>
          <w:lang w:val="es-ES_tradnl"/>
        </w:rPr>
      </w:pPr>
    </w:p>
    <w:p w14:paraId="291F94E5" w14:textId="77777777" w:rsidR="009E6E2E" w:rsidRPr="000D3432" w:rsidRDefault="009E6E2E" w:rsidP="009E6E2E">
      <w:pPr>
        <w:jc w:val="both"/>
        <w:rPr>
          <w:rFonts w:asciiTheme="minorHAnsi" w:hAnsiTheme="minorHAnsi"/>
          <w:b/>
          <w:szCs w:val="24"/>
          <w:lang w:val="es-ES_tradnl"/>
        </w:rPr>
      </w:pPr>
    </w:p>
    <w:p w14:paraId="3B9FDA47" w14:textId="77777777" w:rsidR="009E6E2E" w:rsidRPr="000D3432" w:rsidRDefault="009E6E2E" w:rsidP="009E6E2E">
      <w:pPr>
        <w:jc w:val="both"/>
        <w:rPr>
          <w:rFonts w:asciiTheme="minorHAnsi" w:hAnsiTheme="minorHAnsi"/>
          <w:b/>
          <w:szCs w:val="24"/>
          <w:u w:val="single"/>
          <w:lang w:val="es-ES_tradnl"/>
        </w:rPr>
      </w:pPr>
      <w:r w:rsidRPr="000D3432">
        <w:rPr>
          <w:rFonts w:asciiTheme="minorHAnsi" w:hAnsiTheme="minorHAnsi"/>
          <w:b/>
          <w:szCs w:val="24"/>
          <w:u w:val="single"/>
          <w:lang w:val="es-ES_tradnl"/>
        </w:rPr>
        <w:t>TITULO III</w:t>
      </w:r>
    </w:p>
    <w:p w14:paraId="7E85A6E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DERECHO PENAL</w:t>
      </w:r>
    </w:p>
    <w:p w14:paraId="6860CAA0" w14:textId="77777777" w:rsidR="009E6E2E" w:rsidRPr="000D3432" w:rsidRDefault="009E6E2E" w:rsidP="009E6E2E">
      <w:pPr>
        <w:jc w:val="both"/>
        <w:rPr>
          <w:rFonts w:asciiTheme="minorHAnsi" w:hAnsiTheme="minorHAnsi"/>
          <w:b/>
          <w:szCs w:val="24"/>
          <w:lang w:val="es-ES_tradnl"/>
        </w:rPr>
      </w:pPr>
    </w:p>
    <w:p w14:paraId="644A4CBE"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I.- Generalidades</w:t>
      </w:r>
    </w:p>
    <w:p w14:paraId="116EEF17"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II.- El Derecho Penal</w:t>
      </w:r>
    </w:p>
    <w:p w14:paraId="67D70591"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III.- El  Delito</w:t>
      </w:r>
    </w:p>
    <w:p w14:paraId="3EFD7F11" w14:textId="77777777" w:rsidR="009E6E2E" w:rsidRPr="000D3432" w:rsidRDefault="009E6E2E" w:rsidP="009E6E2E">
      <w:pPr>
        <w:rPr>
          <w:rFonts w:asciiTheme="minorHAnsi" w:hAnsiTheme="minorHAnsi"/>
          <w:b/>
          <w:szCs w:val="24"/>
          <w:lang w:val="es-ES_tradnl"/>
        </w:rPr>
      </w:pPr>
    </w:p>
    <w:p w14:paraId="1E007E87" w14:textId="77777777" w:rsidR="009E6E2E" w:rsidRPr="000D3432" w:rsidRDefault="009E6E2E" w:rsidP="009E6E2E">
      <w:pPr>
        <w:rPr>
          <w:rFonts w:asciiTheme="minorHAnsi" w:hAnsiTheme="minorHAnsi"/>
          <w:b/>
          <w:szCs w:val="24"/>
          <w:lang w:val="es-ES_tradnl"/>
        </w:rPr>
      </w:pPr>
    </w:p>
    <w:p w14:paraId="1402C23C" w14:textId="77777777" w:rsidR="009E6E2E" w:rsidRPr="000D3432" w:rsidRDefault="009E6E2E" w:rsidP="009E6E2E">
      <w:pPr>
        <w:rPr>
          <w:rFonts w:asciiTheme="minorHAnsi" w:hAnsiTheme="minorHAnsi"/>
          <w:b/>
          <w:szCs w:val="24"/>
          <w:lang w:val="es-ES_tradnl"/>
        </w:rPr>
      </w:pPr>
    </w:p>
    <w:p w14:paraId="48E22C52" w14:textId="77777777" w:rsidR="009E6E2E" w:rsidRPr="000D3432" w:rsidRDefault="009E6E2E" w:rsidP="009E6E2E">
      <w:pPr>
        <w:rPr>
          <w:rFonts w:asciiTheme="minorHAnsi" w:hAnsiTheme="minorHAnsi"/>
          <w:b/>
          <w:szCs w:val="24"/>
          <w:lang w:val="es-ES_tradnl"/>
        </w:rPr>
      </w:pPr>
    </w:p>
    <w:p w14:paraId="27CB2C4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IV.- Exposición de motivos del Código Penal</w:t>
      </w:r>
    </w:p>
    <w:p w14:paraId="386EFF4E" w14:textId="77777777" w:rsidR="009E6E2E" w:rsidRPr="000D3432" w:rsidRDefault="009E6E2E" w:rsidP="009E6E2E">
      <w:pPr>
        <w:ind w:left="708"/>
        <w:rPr>
          <w:rFonts w:asciiTheme="minorHAnsi" w:hAnsiTheme="minorHAnsi"/>
          <w:szCs w:val="24"/>
          <w:lang w:val="es-ES_tradnl"/>
        </w:rPr>
      </w:pPr>
    </w:p>
    <w:p w14:paraId="154526CF"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V.- Principios del Código Penal</w:t>
      </w:r>
    </w:p>
    <w:p w14:paraId="18EE9404" w14:textId="77777777" w:rsidR="009E6E2E" w:rsidRPr="000D3432" w:rsidRDefault="009E6E2E" w:rsidP="009E6E2E">
      <w:pPr>
        <w:rPr>
          <w:rFonts w:asciiTheme="minorHAnsi" w:hAnsiTheme="minorHAnsi"/>
          <w:szCs w:val="24"/>
          <w:lang w:val="es-ES_tradnl"/>
        </w:rPr>
      </w:pPr>
    </w:p>
    <w:p w14:paraId="13B11581"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Los principios son conceptos o proposiciones que inspiran e informan la creación, modificación o extensión de las normas jurídicas dentro de un determinado sistema jurídico, y le dan a aquella unidad, coherencia, consistencia y legitimidad. </w:t>
      </w:r>
    </w:p>
    <w:p w14:paraId="0B92A43F" w14:textId="77777777" w:rsidR="009E6E2E" w:rsidRPr="000D3432" w:rsidRDefault="009E6E2E" w:rsidP="009E6E2E">
      <w:pPr>
        <w:rPr>
          <w:rFonts w:asciiTheme="minorHAnsi" w:hAnsiTheme="minorHAnsi"/>
          <w:szCs w:val="24"/>
          <w:lang w:val="es-ES_tradnl"/>
        </w:rPr>
      </w:pPr>
    </w:p>
    <w:p w14:paraId="13B3C913" w14:textId="77777777" w:rsidR="009E6E2E" w:rsidRPr="000D3432" w:rsidRDefault="009E6E2E" w:rsidP="009E6E2E">
      <w:pPr>
        <w:rPr>
          <w:rFonts w:asciiTheme="minorHAnsi" w:hAnsiTheme="minorHAnsi"/>
          <w:szCs w:val="24"/>
          <w:lang w:val="es-ES_tradnl"/>
        </w:rPr>
      </w:pPr>
    </w:p>
    <w:p w14:paraId="73359C9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 Principio de Finalidad Preventiva</w:t>
      </w:r>
    </w:p>
    <w:p w14:paraId="6AC63482" w14:textId="77777777" w:rsidR="009E6E2E" w:rsidRPr="000D3432" w:rsidRDefault="009E6E2E" w:rsidP="009E6E2E">
      <w:pPr>
        <w:rPr>
          <w:rFonts w:asciiTheme="minorHAnsi" w:hAnsiTheme="minorHAnsi"/>
          <w:szCs w:val="24"/>
          <w:lang w:val="es-ES_tradnl"/>
        </w:rPr>
      </w:pPr>
    </w:p>
    <w:p w14:paraId="50D95AA2"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3D76D8FC"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I, el Código Penal prescribe: </w:t>
      </w:r>
    </w:p>
    <w:p w14:paraId="136F171D" w14:textId="77777777" w:rsidR="009E6E2E" w:rsidRPr="000D3432" w:rsidRDefault="009E6E2E" w:rsidP="009E6E2E">
      <w:pPr>
        <w:ind w:left="708"/>
        <w:rPr>
          <w:rFonts w:asciiTheme="minorHAnsi" w:hAnsiTheme="minorHAnsi"/>
          <w:szCs w:val="24"/>
          <w:lang w:val="es-ES_tradnl"/>
        </w:rPr>
      </w:pPr>
    </w:p>
    <w:p w14:paraId="27D665AA"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Finalidad Preventiva</w:t>
      </w:r>
    </w:p>
    <w:p w14:paraId="6706F216"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I.- </w:t>
      </w:r>
      <w:r w:rsidRPr="000D3432">
        <w:rPr>
          <w:rFonts w:asciiTheme="minorHAnsi" w:hAnsiTheme="minorHAnsi" w:cs="Arial"/>
          <w:color w:val="000000"/>
          <w:szCs w:val="24"/>
          <w:lang w:val="es-ES_tradnl"/>
        </w:rPr>
        <w:t>Este Código tiene por objeto la prevención de delitos y faltas como medio protector de la persona humana y de la sociedad.</w:t>
      </w:r>
    </w:p>
    <w:p w14:paraId="10823333" w14:textId="77777777" w:rsidR="009E6E2E" w:rsidRPr="000D3432" w:rsidRDefault="009E6E2E" w:rsidP="009E6E2E">
      <w:pPr>
        <w:jc w:val="both"/>
        <w:rPr>
          <w:rFonts w:asciiTheme="minorHAnsi" w:hAnsiTheme="minorHAnsi" w:cs="Arial"/>
          <w:color w:val="000000"/>
          <w:szCs w:val="24"/>
          <w:lang w:val="es-ES_tradnl"/>
        </w:rPr>
      </w:pPr>
    </w:p>
    <w:p w14:paraId="6DF2F302" w14:textId="77777777" w:rsidR="009E6E2E" w:rsidRPr="000D3432" w:rsidRDefault="009E6E2E" w:rsidP="009E6E2E">
      <w:pPr>
        <w:jc w:val="both"/>
        <w:rPr>
          <w:rFonts w:asciiTheme="minorHAnsi" w:hAnsiTheme="minorHAnsi" w:cs="Arial"/>
          <w:color w:val="000000"/>
          <w:szCs w:val="24"/>
          <w:lang w:val="es-ES_tradnl"/>
        </w:rPr>
      </w:pPr>
    </w:p>
    <w:p w14:paraId="1C617882"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2.- Principio de Legalidad </w:t>
      </w:r>
    </w:p>
    <w:p w14:paraId="6258D28A" w14:textId="77777777" w:rsidR="009E6E2E" w:rsidRPr="000D3432" w:rsidRDefault="009E6E2E" w:rsidP="009E6E2E">
      <w:pPr>
        <w:rPr>
          <w:rFonts w:asciiTheme="minorHAnsi" w:hAnsiTheme="minorHAnsi"/>
          <w:szCs w:val="24"/>
          <w:lang w:val="es-ES_tradnl"/>
        </w:rPr>
      </w:pPr>
    </w:p>
    <w:p w14:paraId="0491E4A2"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6BFCCEED"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II, el Código Penal prescribe: </w:t>
      </w:r>
    </w:p>
    <w:p w14:paraId="5C9B3D27" w14:textId="77777777" w:rsidR="009E6E2E" w:rsidRPr="000D3432" w:rsidRDefault="009E6E2E" w:rsidP="009E6E2E">
      <w:pPr>
        <w:jc w:val="both"/>
        <w:rPr>
          <w:rFonts w:asciiTheme="minorHAnsi" w:hAnsiTheme="minorHAnsi" w:cs="Arial"/>
          <w:b/>
          <w:bCs/>
          <w:color w:val="000000"/>
          <w:szCs w:val="24"/>
          <w:lang w:val="es-ES_tradnl"/>
        </w:rPr>
      </w:pPr>
    </w:p>
    <w:p w14:paraId="4A85E01A"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Legalidad</w:t>
      </w:r>
    </w:p>
    <w:p w14:paraId="0CF3249C"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II.- </w:t>
      </w:r>
      <w:r w:rsidRPr="000D3432">
        <w:rPr>
          <w:rFonts w:asciiTheme="minorHAnsi" w:hAnsiTheme="minorHAnsi" w:cs="Arial"/>
          <w:color w:val="000000"/>
          <w:szCs w:val="24"/>
          <w:lang w:val="es-ES_tradnl"/>
        </w:rPr>
        <w:t>Nadie será sancionado por un acto no previsto como delito o falta por la ley vigente al momento de su comisión, ni sometido a pena o medida de seguridad que no se encuentren establecidas en ella.</w:t>
      </w:r>
    </w:p>
    <w:p w14:paraId="66D01C02" w14:textId="77777777" w:rsidR="009E6E2E" w:rsidRPr="000D3432" w:rsidRDefault="009E6E2E" w:rsidP="009E6E2E">
      <w:pPr>
        <w:jc w:val="both"/>
        <w:rPr>
          <w:rFonts w:asciiTheme="minorHAnsi" w:hAnsiTheme="minorHAnsi" w:cs="Arial"/>
          <w:color w:val="000000"/>
          <w:szCs w:val="24"/>
          <w:lang w:val="es-ES_tradnl"/>
        </w:rPr>
      </w:pPr>
    </w:p>
    <w:p w14:paraId="58CF606D" w14:textId="77777777" w:rsidR="009E6E2E" w:rsidRPr="000D3432" w:rsidRDefault="009E6E2E" w:rsidP="009E6E2E">
      <w:pPr>
        <w:jc w:val="both"/>
        <w:rPr>
          <w:rFonts w:asciiTheme="minorHAnsi" w:hAnsiTheme="minorHAnsi" w:cs="Arial"/>
          <w:b/>
          <w:bCs/>
          <w:color w:val="000000"/>
          <w:szCs w:val="24"/>
          <w:lang w:val="es-ES_tradnl"/>
        </w:rPr>
      </w:pPr>
    </w:p>
    <w:p w14:paraId="26B31E6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3.- Principio de Prohibición de la Analogía</w:t>
      </w:r>
    </w:p>
    <w:p w14:paraId="40A2F37F" w14:textId="77777777" w:rsidR="009E6E2E" w:rsidRPr="000D3432" w:rsidRDefault="009E6E2E" w:rsidP="009E6E2E">
      <w:pPr>
        <w:rPr>
          <w:rFonts w:asciiTheme="minorHAnsi" w:hAnsiTheme="minorHAnsi"/>
          <w:szCs w:val="24"/>
          <w:lang w:val="es-ES_tradnl"/>
        </w:rPr>
      </w:pPr>
    </w:p>
    <w:p w14:paraId="466415F2"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08AAB158"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III, el Código Penal prescribe: </w:t>
      </w:r>
    </w:p>
    <w:p w14:paraId="17623AF0" w14:textId="77777777" w:rsidR="009E6E2E" w:rsidRPr="000D3432" w:rsidRDefault="009E6E2E" w:rsidP="009E6E2E">
      <w:pPr>
        <w:jc w:val="both"/>
        <w:rPr>
          <w:rFonts w:asciiTheme="minorHAnsi" w:hAnsiTheme="minorHAnsi" w:cs="Arial"/>
          <w:b/>
          <w:bCs/>
          <w:color w:val="000000"/>
          <w:szCs w:val="24"/>
          <w:lang w:val="es-ES_tradnl"/>
        </w:rPr>
      </w:pPr>
      <w:r w:rsidRPr="000D3432">
        <w:rPr>
          <w:rFonts w:asciiTheme="minorHAnsi" w:hAnsiTheme="minorHAnsi" w:cs="Arial"/>
          <w:b/>
          <w:bCs/>
          <w:color w:val="000000"/>
          <w:szCs w:val="24"/>
          <w:lang w:val="es-ES_tradnl"/>
        </w:rPr>
        <w:t xml:space="preserve">  </w:t>
      </w:r>
    </w:p>
    <w:p w14:paraId="2E7BC4FB"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Prohibición de la Analogía</w:t>
      </w:r>
    </w:p>
    <w:p w14:paraId="5D40A913"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III.- </w:t>
      </w:r>
      <w:r w:rsidRPr="000D3432">
        <w:rPr>
          <w:rFonts w:asciiTheme="minorHAnsi" w:hAnsiTheme="minorHAnsi" w:cs="Arial"/>
          <w:color w:val="000000"/>
          <w:szCs w:val="24"/>
          <w:lang w:val="es-ES_tradnl"/>
        </w:rPr>
        <w:t>No es permitida la analogía para calificar el hecho como delito o falta, definir un estado de peligrosidad o determinar la pena o medida de seguridad que les corresponde.</w:t>
      </w:r>
    </w:p>
    <w:p w14:paraId="14A31A38" w14:textId="77777777" w:rsidR="009E6E2E" w:rsidRPr="000D3432" w:rsidRDefault="009E6E2E" w:rsidP="009E6E2E">
      <w:pPr>
        <w:jc w:val="both"/>
        <w:rPr>
          <w:rFonts w:asciiTheme="minorHAnsi" w:hAnsiTheme="minorHAnsi" w:cs="Arial"/>
          <w:color w:val="000000"/>
          <w:szCs w:val="24"/>
          <w:lang w:val="es-ES_tradnl"/>
        </w:rPr>
      </w:pPr>
    </w:p>
    <w:p w14:paraId="5031816D" w14:textId="77777777" w:rsidR="009E6E2E" w:rsidRPr="000D3432" w:rsidRDefault="009E6E2E" w:rsidP="009E6E2E">
      <w:pPr>
        <w:jc w:val="both"/>
        <w:rPr>
          <w:rFonts w:asciiTheme="minorHAnsi" w:hAnsiTheme="minorHAnsi" w:cs="Arial"/>
          <w:color w:val="000000"/>
          <w:szCs w:val="24"/>
          <w:lang w:val="es-ES_tradnl"/>
        </w:rPr>
      </w:pPr>
    </w:p>
    <w:p w14:paraId="163F1D73"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4.- Principio de Lesividad </w:t>
      </w:r>
    </w:p>
    <w:p w14:paraId="0E597901" w14:textId="77777777" w:rsidR="009E6E2E" w:rsidRPr="000D3432" w:rsidRDefault="009E6E2E" w:rsidP="009E6E2E">
      <w:pPr>
        <w:rPr>
          <w:rFonts w:asciiTheme="minorHAnsi" w:hAnsiTheme="minorHAnsi"/>
          <w:szCs w:val="24"/>
          <w:lang w:val="es-ES_tradnl"/>
        </w:rPr>
      </w:pPr>
    </w:p>
    <w:p w14:paraId="1983E5FF"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741B17D0"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IV, el Código Penal prescribe: </w:t>
      </w:r>
    </w:p>
    <w:p w14:paraId="4E6D7EE6" w14:textId="77777777" w:rsidR="009E6E2E" w:rsidRPr="000D3432" w:rsidRDefault="009E6E2E" w:rsidP="009E6E2E">
      <w:pPr>
        <w:jc w:val="both"/>
        <w:rPr>
          <w:rFonts w:asciiTheme="minorHAnsi" w:hAnsiTheme="minorHAnsi" w:cs="Arial"/>
          <w:b/>
          <w:bCs/>
          <w:color w:val="000000"/>
          <w:szCs w:val="24"/>
          <w:lang w:val="es-ES_tradnl"/>
        </w:rPr>
      </w:pPr>
    </w:p>
    <w:p w14:paraId="59AA0C9A"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Lesividad</w:t>
      </w:r>
    </w:p>
    <w:p w14:paraId="6BB261FC"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IV.- </w:t>
      </w:r>
      <w:r w:rsidRPr="000D3432">
        <w:rPr>
          <w:rFonts w:asciiTheme="minorHAnsi" w:hAnsiTheme="minorHAnsi" w:cs="Arial"/>
          <w:color w:val="000000"/>
          <w:szCs w:val="24"/>
          <w:lang w:val="es-ES_tradnl"/>
        </w:rPr>
        <w:t>La pena, necesariamente, precisa de la lesión o puesta en peligro de bienes jurídicos tutelados por la ley.</w:t>
      </w:r>
    </w:p>
    <w:p w14:paraId="3565EBEC" w14:textId="77777777" w:rsidR="009E6E2E" w:rsidRPr="000D3432" w:rsidRDefault="009E6E2E" w:rsidP="009E6E2E">
      <w:pPr>
        <w:jc w:val="both"/>
        <w:rPr>
          <w:rFonts w:asciiTheme="minorHAnsi" w:hAnsiTheme="minorHAnsi" w:cs="Arial"/>
          <w:b/>
          <w:bCs/>
          <w:color w:val="000000"/>
          <w:szCs w:val="24"/>
          <w:lang w:val="es-ES_tradnl"/>
        </w:rPr>
      </w:pPr>
    </w:p>
    <w:p w14:paraId="22187B74" w14:textId="77777777" w:rsidR="009E6E2E" w:rsidRPr="000D3432" w:rsidRDefault="009E6E2E" w:rsidP="009E6E2E">
      <w:pPr>
        <w:jc w:val="both"/>
        <w:rPr>
          <w:rFonts w:asciiTheme="minorHAnsi" w:hAnsiTheme="minorHAnsi" w:cs="Arial"/>
          <w:b/>
          <w:bCs/>
          <w:color w:val="000000"/>
          <w:szCs w:val="24"/>
          <w:lang w:val="es-ES_tradnl"/>
        </w:rPr>
      </w:pPr>
    </w:p>
    <w:p w14:paraId="2044C5E4"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5.- Principio de Garantía Jurisdiccional </w:t>
      </w:r>
    </w:p>
    <w:p w14:paraId="096890E0" w14:textId="77777777" w:rsidR="009E6E2E" w:rsidRPr="000D3432" w:rsidRDefault="009E6E2E" w:rsidP="009E6E2E">
      <w:pPr>
        <w:rPr>
          <w:rFonts w:asciiTheme="minorHAnsi" w:hAnsiTheme="minorHAnsi"/>
          <w:szCs w:val="24"/>
          <w:lang w:val="es-ES_tradnl"/>
        </w:rPr>
      </w:pPr>
    </w:p>
    <w:p w14:paraId="0B8A9B13"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5F6BD622"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V, el Código Penal prescribe: </w:t>
      </w:r>
    </w:p>
    <w:p w14:paraId="4702B2F6" w14:textId="77777777" w:rsidR="009E6E2E" w:rsidRPr="000D3432" w:rsidRDefault="009E6E2E" w:rsidP="009E6E2E">
      <w:pPr>
        <w:jc w:val="both"/>
        <w:rPr>
          <w:rFonts w:asciiTheme="minorHAnsi" w:hAnsiTheme="minorHAnsi" w:cs="Arial"/>
          <w:b/>
          <w:bCs/>
          <w:color w:val="000000"/>
          <w:szCs w:val="24"/>
          <w:lang w:val="es-ES_tradnl"/>
        </w:rPr>
      </w:pPr>
    </w:p>
    <w:p w14:paraId="4D9874B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Garantía Jurisdiccional</w:t>
      </w:r>
    </w:p>
    <w:p w14:paraId="6CC15E4C"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V.- </w:t>
      </w:r>
      <w:r w:rsidRPr="000D3432">
        <w:rPr>
          <w:rFonts w:asciiTheme="minorHAnsi" w:hAnsiTheme="minorHAnsi" w:cs="Arial"/>
          <w:color w:val="000000"/>
          <w:szCs w:val="24"/>
          <w:lang w:val="es-ES_tradnl"/>
        </w:rPr>
        <w:t>Sólo el Juez competente puede imponer penas o medidas de seguridad; y no puede hacerlo sino en la forma establecida en la ley.</w:t>
      </w:r>
    </w:p>
    <w:p w14:paraId="514B8C0F" w14:textId="77777777" w:rsidR="009E6E2E" w:rsidRPr="000D3432" w:rsidRDefault="009E6E2E" w:rsidP="009E6E2E">
      <w:pPr>
        <w:jc w:val="both"/>
        <w:rPr>
          <w:rFonts w:asciiTheme="minorHAnsi" w:hAnsiTheme="minorHAnsi" w:cs="Arial"/>
          <w:color w:val="000000"/>
          <w:szCs w:val="24"/>
          <w:lang w:val="es-ES_tradnl"/>
        </w:rPr>
      </w:pPr>
    </w:p>
    <w:p w14:paraId="5A48FE6E" w14:textId="77777777" w:rsidR="009E6E2E" w:rsidRPr="000D3432" w:rsidRDefault="009E6E2E" w:rsidP="009E6E2E">
      <w:pPr>
        <w:jc w:val="both"/>
        <w:rPr>
          <w:rFonts w:asciiTheme="minorHAnsi" w:hAnsiTheme="minorHAnsi" w:cs="Arial"/>
          <w:color w:val="000000"/>
          <w:szCs w:val="24"/>
          <w:lang w:val="es-ES_tradnl"/>
        </w:rPr>
      </w:pPr>
    </w:p>
    <w:p w14:paraId="3D5599C7"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6.- Principio de Garantía de Ejecución</w:t>
      </w:r>
    </w:p>
    <w:p w14:paraId="17F93CA4" w14:textId="77777777" w:rsidR="009E6E2E" w:rsidRPr="000D3432" w:rsidRDefault="009E6E2E" w:rsidP="009E6E2E">
      <w:pPr>
        <w:rPr>
          <w:rFonts w:asciiTheme="minorHAnsi" w:hAnsiTheme="minorHAnsi"/>
          <w:szCs w:val="24"/>
          <w:lang w:val="es-ES_tradnl"/>
        </w:rPr>
      </w:pPr>
    </w:p>
    <w:p w14:paraId="4F980EC8"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177BF922"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VI, el Código Penal prescribe: </w:t>
      </w:r>
    </w:p>
    <w:p w14:paraId="0A11451A" w14:textId="77777777" w:rsidR="009E6E2E" w:rsidRPr="000D3432" w:rsidRDefault="009E6E2E" w:rsidP="009E6E2E">
      <w:pPr>
        <w:jc w:val="both"/>
        <w:rPr>
          <w:rFonts w:asciiTheme="minorHAnsi" w:hAnsiTheme="minorHAnsi" w:cs="Arial"/>
          <w:b/>
          <w:bCs/>
          <w:color w:val="000000"/>
          <w:szCs w:val="24"/>
          <w:lang w:val="es-ES_tradnl"/>
        </w:rPr>
      </w:pPr>
    </w:p>
    <w:p w14:paraId="5394AF5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Garantía de Ejecución</w:t>
      </w:r>
    </w:p>
    <w:p w14:paraId="0A168B19"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VI.- </w:t>
      </w:r>
      <w:r w:rsidRPr="000D3432">
        <w:rPr>
          <w:rFonts w:asciiTheme="minorHAnsi" w:hAnsiTheme="minorHAnsi" w:cs="Arial"/>
          <w:color w:val="000000"/>
          <w:szCs w:val="24"/>
          <w:lang w:val="es-ES_tradnl"/>
        </w:rPr>
        <w:t>No puede ejecutarse pena alguna en otra forma que la prescrita por la ley y reglamentos que la desarrollen. En todo caso, la ejecución de la pena será intervenida judicialmente.</w:t>
      </w:r>
    </w:p>
    <w:p w14:paraId="1DE2FB4D" w14:textId="77777777" w:rsidR="009E6E2E" w:rsidRPr="000D3432" w:rsidRDefault="009E6E2E" w:rsidP="009E6E2E">
      <w:pPr>
        <w:jc w:val="both"/>
        <w:rPr>
          <w:rFonts w:asciiTheme="minorHAnsi" w:hAnsiTheme="minorHAnsi" w:cs="Arial"/>
          <w:color w:val="000000"/>
          <w:szCs w:val="24"/>
          <w:lang w:val="es-ES_tradnl"/>
        </w:rPr>
      </w:pPr>
    </w:p>
    <w:p w14:paraId="27CF7BCF" w14:textId="77777777" w:rsidR="009E6E2E" w:rsidRPr="000D3432" w:rsidRDefault="009E6E2E" w:rsidP="009E6E2E">
      <w:pPr>
        <w:jc w:val="both"/>
        <w:rPr>
          <w:rFonts w:asciiTheme="minorHAnsi" w:hAnsiTheme="minorHAnsi" w:cs="Arial"/>
          <w:color w:val="000000"/>
          <w:szCs w:val="24"/>
          <w:lang w:val="es-ES_tradnl"/>
        </w:rPr>
      </w:pPr>
    </w:p>
    <w:p w14:paraId="5DCD8EF0"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7.- Principio de Responsabilidad Penal</w:t>
      </w:r>
    </w:p>
    <w:p w14:paraId="31F165C1" w14:textId="77777777" w:rsidR="009E6E2E" w:rsidRPr="000D3432" w:rsidRDefault="009E6E2E" w:rsidP="009E6E2E">
      <w:pPr>
        <w:rPr>
          <w:rFonts w:asciiTheme="minorHAnsi" w:hAnsiTheme="minorHAnsi"/>
          <w:szCs w:val="24"/>
          <w:lang w:val="es-ES_tradnl"/>
        </w:rPr>
      </w:pPr>
    </w:p>
    <w:p w14:paraId="14D96B6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73FA943A"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VII, el Código Penal prescribe: </w:t>
      </w:r>
    </w:p>
    <w:p w14:paraId="6F15634A" w14:textId="77777777" w:rsidR="009E6E2E" w:rsidRPr="000D3432" w:rsidRDefault="009E6E2E" w:rsidP="009E6E2E">
      <w:pPr>
        <w:jc w:val="both"/>
        <w:rPr>
          <w:rFonts w:asciiTheme="minorHAnsi" w:hAnsiTheme="minorHAnsi" w:cs="Arial"/>
          <w:color w:val="000000"/>
          <w:szCs w:val="24"/>
          <w:lang w:val="es-ES_tradnl"/>
        </w:rPr>
      </w:pPr>
    </w:p>
    <w:p w14:paraId="228EEF37"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Responsabilidad Penal</w:t>
      </w:r>
    </w:p>
    <w:p w14:paraId="607BE90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VII.- </w:t>
      </w:r>
      <w:r w:rsidRPr="000D3432">
        <w:rPr>
          <w:rFonts w:asciiTheme="minorHAnsi" w:hAnsiTheme="minorHAnsi" w:cs="Arial"/>
          <w:color w:val="000000"/>
          <w:szCs w:val="24"/>
          <w:lang w:val="es-ES_tradnl"/>
        </w:rPr>
        <w:t>La pena requiere de la responsabilidad penal del autor. Queda proscrita toda forma de responsabilidad objetiva.</w:t>
      </w:r>
    </w:p>
    <w:p w14:paraId="0CA74F11" w14:textId="77777777" w:rsidR="009E6E2E" w:rsidRPr="000D3432" w:rsidRDefault="009E6E2E" w:rsidP="009E6E2E">
      <w:pPr>
        <w:jc w:val="both"/>
        <w:rPr>
          <w:rFonts w:asciiTheme="minorHAnsi" w:hAnsiTheme="minorHAnsi" w:cs="Arial"/>
          <w:color w:val="000000"/>
          <w:szCs w:val="24"/>
          <w:lang w:val="es-ES_tradnl"/>
        </w:rPr>
      </w:pPr>
    </w:p>
    <w:p w14:paraId="09910862" w14:textId="77777777" w:rsidR="009E6E2E" w:rsidRPr="000D3432" w:rsidRDefault="009E6E2E" w:rsidP="009E6E2E">
      <w:pPr>
        <w:jc w:val="both"/>
        <w:rPr>
          <w:rFonts w:asciiTheme="minorHAnsi" w:hAnsiTheme="minorHAnsi" w:cs="Arial"/>
          <w:color w:val="000000"/>
          <w:szCs w:val="24"/>
          <w:lang w:val="es-ES_tradnl"/>
        </w:rPr>
      </w:pPr>
    </w:p>
    <w:p w14:paraId="1BFB5CD6" w14:textId="77777777" w:rsidR="009E6E2E" w:rsidRPr="000D3432" w:rsidRDefault="009E6E2E" w:rsidP="009E6E2E">
      <w:pPr>
        <w:jc w:val="both"/>
        <w:rPr>
          <w:rFonts w:asciiTheme="minorHAnsi" w:hAnsiTheme="minorHAnsi" w:cs="Arial"/>
          <w:color w:val="000000"/>
          <w:szCs w:val="24"/>
          <w:lang w:val="es-ES_tradnl"/>
        </w:rPr>
      </w:pPr>
    </w:p>
    <w:p w14:paraId="1525514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8.- Principio de Proporcionalidad de las sanciones</w:t>
      </w:r>
    </w:p>
    <w:p w14:paraId="53AC4BAA" w14:textId="77777777" w:rsidR="009E6E2E" w:rsidRPr="000D3432" w:rsidRDefault="009E6E2E" w:rsidP="009E6E2E">
      <w:pPr>
        <w:rPr>
          <w:rFonts w:asciiTheme="minorHAnsi" w:hAnsiTheme="minorHAnsi"/>
          <w:szCs w:val="24"/>
          <w:lang w:val="es-ES_tradnl"/>
        </w:rPr>
      </w:pPr>
    </w:p>
    <w:p w14:paraId="13DF930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0319087B"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VIII, el Código Penal prescribe: </w:t>
      </w:r>
    </w:p>
    <w:p w14:paraId="72671758" w14:textId="77777777" w:rsidR="009E6E2E" w:rsidRPr="000D3432" w:rsidRDefault="009E6E2E" w:rsidP="009E6E2E">
      <w:pPr>
        <w:jc w:val="both"/>
        <w:rPr>
          <w:rFonts w:asciiTheme="minorHAnsi" w:hAnsiTheme="minorHAnsi" w:cs="Arial"/>
          <w:color w:val="000000"/>
          <w:szCs w:val="24"/>
          <w:lang w:val="es-ES_tradnl"/>
        </w:rPr>
      </w:pPr>
    </w:p>
    <w:p w14:paraId="77F781CE"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VIII.- Proporcionalidad de las sanciones</w:t>
      </w:r>
    </w:p>
    <w:p w14:paraId="6D3BAFE6"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La pena no puede sobrepasar la responsabilidad por el hecho. Esta norma no rige en caso de reincidencia ni de habitualidad del agente al delito. La medida de seguridad sólo puede ser ordenada por intereses públicos predominantes.</w:t>
      </w:r>
      <w:r w:rsidRPr="000D3432">
        <w:rPr>
          <w:rFonts w:asciiTheme="minorHAnsi" w:hAnsiTheme="minorHAnsi" w:cs="Arial"/>
          <w:b/>
          <w:bCs/>
          <w:color w:val="000000"/>
          <w:szCs w:val="24"/>
          <w:lang w:val="es-ES_tradnl"/>
        </w:rPr>
        <w:t>”</w:t>
      </w:r>
    </w:p>
    <w:p w14:paraId="25D7F255" w14:textId="77777777" w:rsidR="009E6E2E" w:rsidRPr="000D3432" w:rsidRDefault="009E6E2E" w:rsidP="009E6E2E">
      <w:pPr>
        <w:jc w:val="both"/>
        <w:rPr>
          <w:rFonts w:asciiTheme="minorHAnsi" w:hAnsiTheme="minorHAnsi" w:cs="Arial"/>
          <w:color w:val="000000"/>
          <w:szCs w:val="24"/>
          <w:lang w:val="es-ES_tradnl"/>
        </w:rPr>
      </w:pPr>
    </w:p>
    <w:p w14:paraId="68787062" w14:textId="77777777" w:rsidR="009E6E2E" w:rsidRPr="000D3432" w:rsidRDefault="009E6E2E" w:rsidP="009E6E2E">
      <w:pPr>
        <w:jc w:val="both"/>
        <w:rPr>
          <w:rFonts w:asciiTheme="minorHAnsi" w:hAnsiTheme="minorHAnsi" w:cs="Arial"/>
          <w:color w:val="000000"/>
          <w:szCs w:val="24"/>
          <w:lang w:val="es-ES_tradnl"/>
        </w:rPr>
      </w:pPr>
    </w:p>
    <w:p w14:paraId="6F7C40B5"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9.- Principio de Fines de la Pena y Medida de Seguridad</w:t>
      </w:r>
    </w:p>
    <w:p w14:paraId="0CCB492E" w14:textId="77777777" w:rsidR="009E6E2E" w:rsidRPr="000D3432" w:rsidRDefault="009E6E2E" w:rsidP="009E6E2E">
      <w:pPr>
        <w:rPr>
          <w:rFonts w:asciiTheme="minorHAnsi" w:hAnsiTheme="minorHAnsi"/>
          <w:szCs w:val="24"/>
          <w:lang w:val="es-ES_tradnl"/>
        </w:rPr>
      </w:pPr>
    </w:p>
    <w:p w14:paraId="6DC33310"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748AE65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IX, el Código Penal prescribe: </w:t>
      </w:r>
    </w:p>
    <w:p w14:paraId="0FB3AFCA" w14:textId="77777777" w:rsidR="009E6E2E" w:rsidRPr="000D3432" w:rsidRDefault="009E6E2E" w:rsidP="009E6E2E">
      <w:pPr>
        <w:jc w:val="both"/>
        <w:rPr>
          <w:rFonts w:asciiTheme="minorHAnsi" w:hAnsiTheme="minorHAnsi" w:cs="Arial"/>
          <w:color w:val="000000"/>
          <w:szCs w:val="24"/>
          <w:lang w:val="es-ES_tradnl"/>
        </w:rPr>
      </w:pPr>
    </w:p>
    <w:p w14:paraId="7B6B888F"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Fines de la Pena y Medidas de Seguridad</w:t>
      </w:r>
    </w:p>
    <w:p w14:paraId="6762CE48"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IX.- </w:t>
      </w:r>
      <w:r w:rsidRPr="000D3432">
        <w:rPr>
          <w:rFonts w:asciiTheme="minorHAnsi" w:hAnsiTheme="minorHAnsi" w:cs="Arial"/>
          <w:color w:val="000000"/>
          <w:szCs w:val="24"/>
          <w:lang w:val="es-ES_tradnl"/>
        </w:rPr>
        <w:t>La pena tiene función preventiva, protectora y resocializadora. Las medidas de seguridad persiguen fines de curación, tutela y rehabilitación.</w:t>
      </w:r>
    </w:p>
    <w:p w14:paraId="54909591" w14:textId="77777777" w:rsidR="009E6E2E" w:rsidRPr="000D3432" w:rsidRDefault="009E6E2E" w:rsidP="009E6E2E">
      <w:pPr>
        <w:jc w:val="both"/>
        <w:rPr>
          <w:rFonts w:asciiTheme="minorHAnsi" w:hAnsiTheme="minorHAnsi" w:cs="Arial"/>
          <w:color w:val="000000"/>
          <w:szCs w:val="24"/>
          <w:lang w:val="es-ES_tradnl"/>
        </w:rPr>
      </w:pPr>
    </w:p>
    <w:p w14:paraId="49C6CDB7" w14:textId="77777777" w:rsidR="009E6E2E" w:rsidRPr="000D3432" w:rsidRDefault="009E6E2E" w:rsidP="009E6E2E">
      <w:pPr>
        <w:jc w:val="both"/>
        <w:rPr>
          <w:rFonts w:asciiTheme="minorHAnsi" w:hAnsiTheme="minorHAnsi" w:cs="Arial"/>
          <w:color w:val="000000"/>
          <w:szCs w:val="24"/>
          <w:lang w:val="es-ES_tradnl"/>
        </w:rPr>
      </w:pPr>
    </w:p>
    <w:p w14:paraId="6ACED0D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10.- Principio de Aplicación Supletoria de la Ley Penal</w:t>
      </w:r>
    </w:p>
    <w:p w14:paraId="1B2F2034" w14:textId="77777777" w:rsidR="009E6E2E" w:rsidRPr="000D3432" w:rsidRDefault="009E6E2E" w:rsidP="009E6E2E">
      <w:pPr>
        <w:rPr>
          <w:rFonts w:asciiTheme="minorHAnsi" w:hAnsiTheme="minorHAnsi"/>
          <w:szCs w:val="24"/>
          <w:lang w:val="es-ES_tradnl"/>
        </w:rPr>
      </w:pPr>
    </w:p>
    <w:p w14:paraId="79F318A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Código Penal – Decreto Legislativo Nº 635:</w:t>
      </w:r>
    </w:p>
    <w:p w14:paraId="7E0657A5"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en su artículo X, el Código Penal prescribe: </w:t>
      </w:r>
    </w:p>
    <w:p w14:paraId="545D5B23" w14:textId="77777777" w:rsidR="009E6E2E" w:rsidRPr="000D3432" w:rsidRDefault="009E6E2E" w:rsidP="009E6E2E">
      <w:pPr>
        <w:jc w:val="both"/>
        <w:rPr>
          <w:rFonts w:asciiTheme="minorHAnsi" w:hAnsiTheme="minorHAnsi" w:cs="Arial"/>
          <w:color w:val="000000"/>
          <w:szCs w:val="24"/>
          <w:lang w:val="es-ES_tradnl"/>
        </w:rPr>
      </w:pPr>
    </w:p>
    <w:p w14:paraId="1C7E33D8"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Aplicación Supletoria de la Ley Penal</w:t>
      </w:r>
    </w:p>
    <w:p w14:paraId="3097AF0D"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X.- </w:t>
      </w:r>
      <w:r w:rsidRPr="000D3432">
        <w:rPr>
          <w:rFonts w:asciiTheme="minorHAnsi" w:hAnsiTheme="minorHAnsi" w:cs="Arial"/>
          <w:color w:val="000000"/>
          <w:szCs w:val="24"/>
          <w:lang w:val="es-ES_tradnl"/>
        </w:rPr>
        <w:t>Las normas generales de este Código son aplicables a los hechos punibles previstos en leyes especiales.</w:t>
      </w:r>
    </w:p>
    <w:p w14:paraId="4623476F" w14:textId="77777777" w:rsidR="009E6E2E" w:rsidRPr="000D3432" w:rsidRDefault="009E6E2E" w:rsidP="009E6E2E">
      <w:pPr>
        <w:rPr>
          <w:rFonts w:asciiTheme="minorHAnsi" w:hAnsiTheme="minorHAnsi"/>
          <w:szCs w:val="24"/>
          <w:lang w:val="es-ES_tradnl"/>
        </w:rPr>
      </w:pPr>
    </w:p>
    <w:p w14:paraId="527852A0" w14:textId="77777777" w:rsidR="009E6E2E" w:rsidRPr="000D3432" w:rsidRDefault="009E6E2E" w:rsidP="009E6E2E">
      <w:pPr>
        <w:rPr>
          <w:rFonts w:asciiTheme="minorHAnsi" w:hAnsiTheme="minorHAnsi"/>
          <w:szCs w:val="24"/>
          <w:lang w:val="es-ES_tradnl"/>
        </w:rPr>
      </w:pPr>
    </w:p>
    <w:p w14:paraId="6D06B424" w14:textId="77777777" w:rsidR="009E6E2E" w:rsidRPr="000D3432" w:rsidRDefault="009E6E2E" w:rsidP="009E6E2E">
      <w:pPr>
        <w:rPr>
          <w:rFonts w:asciiTheme="minorHAnsi" w:hAnsiTheme="minorHAnsi"/>
          <w:szCs w:val="24"/>
          <w:lang w:val="es-ES_tradnl"/>
        </w:rPr>
      </w:pPr>
    </w:p>
    <w:p w14:paraId="3539B81F" w14:textId="77777777" w:rsidR="009E6E2E" w:rsidRPr="000D3432" w:rsidRDefault="009E6E2E" w:rsidP="009E6E2E">
      <w:pPr>
        <w:rPr>
          <w:rFonts w:asciiTheme="minorHAnsi" w:hAnsiTheme="minorHAnsi"/>
          <w:szCs w:val="24"/>
          <w:lang w:val="es-ES_tradnl"/>
        </w:rPr>
      </w:pPr>
    </w:p>
    <w:p w14:paraId="02595E99"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VI.- LA LEY PENAL</w:t>
      </w:r>
    </w:p>
    <w:p w14:paraId="398EC52F" w14:textId="77777777" w:rsidR="009E6E2E" w:rsidRPr="000D3432" w:rsidRDefault="009E6E2E" w:rsidP="009E6E2E">
      <w:pPr>
        <w:ind w:left="708"/>
        <w:rPr>
          <w:rFonts w:asciiTheme="minorHAnsi" w:hAnsiTheme="minorHAnsi"/>
          <w:szCs w:val="24"/>
          <w:lang w:val="es-ES_tradnl"/>
        </w:rPr>
      </w:pPr>
    </w:p>
    <w:p w14:paraId="352F7F5C" w14:textId="77777777" w:rsidR="009E6E2E" w:rsidRPr="000D3432" w:rsidRDefault="009E6E2E" w:rsidP="009E6E2E">
      <w:pPr>
        <w:ind w:left="708"/>
        <w:rPr>
          <w:rFonts w:asciiTheme="minorHAnsi" w:hAnsiTheme="minorHAnsi"/>
          <w:szCs w:val="24"/>
          <w:lang w:val="es-ES_tradnl"/>
        </w:rPr>
      </w:pPr>
    </w:p>
    <w:p w14:paraId="7A35AA62" w14:textId="77777777" w:rsidR="009E6E2E" w:rsidRPr="000D3432" w:rsidRDefault="009E6E2E" w:rsidP="009E6E2E">
      <w:pPr>
        <w:ind w:left="708"/>
        <w:rPr>
          <w:rFonts w:asciiTheme="minorHAnsi" w:hAnsiTheme="minorHAnsi"/>
          <w:szCs w:val="24"/>
          <w:lang w:val="es-ES_tradnl"/>
        </w:rPr>
      </w:pPr>
    </w:p>
    <w:p w14:paraId="77D67A1E" w14:textId="77777777" w:rsidR="009E6E2E" w:rsidRPr="000D3432" w:rsidRDefault="009E6E2E" w:rsidP="009E6E2E">
      <w:pPr>
        <w:ind w:left="708"/>
        <w:rPr>
          <w:rFonts w:asciiTheme="minorHAnsi" w:hAnsiTheme="minorHAnsi"/>
          <w:szCs w:val="24"/>
          <w:lang w:val="es-ES_tradnl"/>
        </w:rPr>
      </w:pPr>
    </w:p>
    <w:p w14:paraId="7A17CF4D" w14:textId="77777777" w:rsidR="009E6E2E" w:rsidRPr="000D3432" w:rsidRDefault="009E6E2E" w:rsidP="009E6E2E">
      <w:pPr>
        <w:ind w:left="708"/>
        <w:rPr>
          <w:rFonts w:asciiTheme="minorHAnsi" w:hAnsiTheme="minorHAnsi"/>
          <w:szCs w:val="24"/>
          <w:lang w:val="es-ES_tradnl"/>
        </w:rPr>
      </w:pPr>
    </w:p>
    <w:p w14:paraId="7E78A74B"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VII.- APLICACIÓN DE LA LEY PENAL</w:t>
      </w:r>
    </w:p>
    <w:p w14:paraId="75B6DEDB" w14:textId="77777777" w:rsidR="009E6E2E" w:rsidRPr="000D3432" w:rsidRDefault="009E6E2E" w:rsidP="009E6E2E">
      <w:pPr>
        <w:pStyle w:val="Prrafodelista"/>
        <w:ind w:left="0"/>
        <w:contextualSpacing w:val="0"/>
        <w:rPr>
          <w:sz w:val="24"/>
          <w:szCs w:val="24"/>
          <w:lang w:val="es-ES_tradnl"/>
        </w:rPr>
      </w:pPr>
    </w:p>
    <w:p w14:paraId="03906615"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Aplicación Espacial</w:t>
      </w:r>
    </w:p>
    <w:p w14:paraId="55A8E41B" w14:textId="77777777" w:rsidR="009E6E2E" w:rsidRPr="000D3432" w:rsidRDefault="009E6E2E" w:rsidP="009E6E2E">
      <w:pPr>
        <w:pStyle w:val="Prrafodelista"/>
        <w:ind w:left="0"/>
        <w:contextualSpacing w:val="0"/>
        <w:rPr>
          <w:sz w:val="24"/>
          <w:szCs w:val="24"/>
          <w:lang w:val="es-ES_tradnl"/>
        </w:rPr>
      </w:pPr>
    </w:p>
    <w:p w14:paraId="4B43CDA7"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1) Principios de Territorialidad</w:t>
      </w:r>
    </w:p>
    <w:p w14:paraId="03356473" w14:textId="77777777" w:rsidR="009E6E2E" w:rsidRPr="000D3432" w:rsidRDefault="009E6E2E" w:rsidP="009E6E2E">
      <w:pPr>
        <w:rPr>
          <w:rFonts w:asciiTheme="minorHAnsi" w:hAnsiTheme="minorHAnsi"/>
          <w:szCs w:val="24"/>
          <w:lang w:val="es-ES_tradnl"/>
        </w:rPr>
      </w:pPr>
    </w:p>
    <w:p w14:paraId="325B4F05"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a) Código Penal (Decreto Legislativo Nº 635): </w:t>
      </w:r>
    </w:p>
    <w:p w14:paraId="73F331FB"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Artículo 1º se prescribe: </w:t>
      </w:r>
    </w:p>
    <w:p w14:paraId="53D15FBF" w14:textId="77777777" w:rsidR="009E6E2E" w:rsidRPr="000D3432" w:rsidRDefault="009E6E2E" w:rsidP="009E6E2E">
      <w:pPr>
        <w:pStyle w:val="Prrafodelista"/>
        <w:ind w:left="0"/>
        <w:contextualSpacing w:val="0"/>
        <w:rPr>
          <w:sz w:val="24"/>
          <w:szCs w:val="24"/>
          <w:lang w:val="es-ES_tradnl"/>
        </w:rPr>
      </w:pPr>
    </w:p>
    <w:p w14:paraId="2252FC14"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Territorialidad</w:t>
      </w:r>
    </w:p>
    <w:p w14:paraId="649D4F0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1.- </w:t>
      </w:r>
      <w:r w:rsidRPr="000D3432">
        <w:rPr>
          <w:rFonts w:asciiTheme="minorHAnsi" w:hAnsiTheme="minorHAnsi" w:cs="Arial"/>
          <w:color w:val="000000"/>
          <w:szCs w:val="24"/>
          <w:lang w:val="es-ES_tradnl"/>
        </w:rPr>
        <w:t>La Ley Penal peruana se aplica a todo el que comete un hecho punible en el territorio de la República, salvo las excepciones contenidas en el Derecho Internacional.</w:t>
      </w:r>
    </w:p>
    <w:p w14:paraId="01EC94A3"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También se aplica a los hechos punibles cometidos en:</w:t>
      </w:r>
    </w:p>
    <w:p w14:paraId="6C0ED853"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1. Las naves o aeronaves nacionales públicas, en donde se encuentren; y,</w:t>
      </w:r>
    </w:p>
    <w:p w14:paraId="108DE15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2. Las naves o aeronaves nacionales privadas, que se encuentren en alta mar o en espacio aéreo donde ningún Estado ejerza soberanía.</w:t>
      </w:r>
    </w:p>
    <w:p w14:paraId="2E099FE4" w14:textId="77777777" w:rsidR="009E6E2E" w:rsidRPr="000D3432" w:rsidRDefault="009E6E2E" w:rsidP="009E6E2E">
      <w:pPr>
        <w:jc w:val="both"/>
        <w:rPr>
          <w:rFonts w:asciiTheme="minorHAnsi" w:hAnsiTheme="minorHAnsi" w:cs="Arial"/>
          <w:color w:val="000000"/>
          <w:szCs w:val="24"/>
          <w:lang w:val="es-ES_tradnl"/>
        </w:rPr>
      </w:pPr>
    </w:p>
    <w:p w14:paraId="4247C1E6"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2) Principios de Extraterritorialidad, Principio Real o de Defensa y Principio de Personalidad Activa y Pasiva</w:t>
      </w:r>
    </w:p>
    <w:p w14:paraId="55E666C0" w14:textId="77777777" w:rsidR="009E6E2E" w:rsidRPr="000D3432" w:rsidRDefault="009E6E2E" w:rsidP="009E6E2E">
      <w:pPr>
        <w:rPr>
          <w:rFonts w:asciiTheme="minorHAnsi" w:hAnsiTheme="minorHAnsi"/>
          <w:szCs w:val="24"/>
          <w:lang w:val="es-ES_tradnl"/>
        </w:rPr>
      </w:pPr>
    </w:p>
    <w:p w14:paraId="0300B78F"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a) Código Penal (Decreto Legislativo Nº 635): </w:t>
      </w:r>
    </w:p>
    <w:p w14:paraId="4D8E9A54"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aprobado por el  Decreto Legislativo Nº 635, Artículo 2º se prescribe: </w:t>
      </w:r>
    </w:p>
    <w:p w14:paraId="72C356E4" w14:textId="77777777" w:rsidR="009E6E2E" w:rsidRPr="000D3432" w:rsidRDefault="009E6E2E" w:rsidP="009E6E2E">
      <w:pPr>
        <w:ind w:left="708"/>
        <w:jc w:val="both"/>
        <w:rPr>
          <w:rFonts w:asciiTheme="minorHAnsi" w:hAnsiTheme="minorHAnsi" w:cs="Arial"/>
          <w:color w:val="000000"/>
          <w:szCs w:val="24"/>
          <w:lang w:val="es-ES_tradnl"/>
        </w:rPr>
      </w:pPr>
    </w:p>
    <w:p w14:paraId="4AE95985" w14:textId="77777777" w:rsidR="009E6E2E" w:rsidRPr="000D3432" w:rsidRDefault="009E6E2E" w:rsidP="009E6E2E">
      <w:pPr>
        <w:ind w:left="708"/>
        <w:jc w:val="both"/>
        <w:rPr>
          <w:rFonts w:asciiTheme="minorHAnsi" w:hAnsiTheme="minorHAnsi" w:cs="Arial"/>
          <w:b/>
          <w:bCs/>
          <w:color w:val="000000"/>
          <w:szCs w:val="24"/>
          <w:lang w:val="es-ES_tradnl"/>
        </w:rPr>
      </w:pPr>
      <w:r w:rsidRPr="000D3432">
        <w:rPr>
          <w:rFonts w:asciiTheme="minorHAnsi" w:hAnsiTheme="minorHAnsi" w:cs="Arial"/>
          <w:b/>
          <w:bCs/>
          <w:color w:val="000000"/>
          <w:szCs w:val="24"/>
          <w:lang w:val="es-ES_tradnl"/>
        </w:rPr>
        <w:t>Artículo 2.- Principio de Extraterritorialidad, Principio Real o de Defensa y Principio de Personalidad Activa y Pasiva:</w:t>
      </w:r>
    </w:p>
    <w:p w14:paraId="751C2458" w14:textId="77777777" w:rsidR="009E6E2E" w:rsidRPr="000D3432" w:rsidRDefault="009E6E2E" w:rsidP="009E6E2E">
      <w:pPr>
        <w:ind w:firstLine="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La Ley Penal peruana se aplica a todo delito cometido en el extranjero, cuando:</w:t>
      </w:r>
    </w:p>
    <w:p w14:paraId="53AB4CC9"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1. El agente es funcionario o servidor público en desempeño de su cargo;</w:t>
      </w:r>
    </w:p>
    <w:p w14:paraId="6DADAEEE"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2. Atenta contra la seguridad o la tranquilidad pública o se traten de conductas tipificadas como lavado de activos, siempre que produzcan sus efectos en el territorio de la República;</w:t>
      </w:r>
    </w:p>
    <w:p w14:paraId="3B1CE097"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3. Agravia al Estado y la defensa nacional; a los Poderes del Estado y el orden constitucional o al orden monetario;</w:t>
      </w:r>
    </w:p>
    <w:p w14:paraId="5DE0CBB5"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4. Es perpetrado contra peruano o por peruano y el delito esté previsto como susceptible de extradición según la Ley peruana, siempre que sea punible también en el Estado en que se cometió y el agente ingresa de cualquier manera al territorio de la República;</w:t>
      </w:r>
    </w:p>
    <w:p w14:paraId="13F3CA34"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5. El Perú está obligado a reprimir conforme a tratados internacionales.</w:t>
      </w:r>
      <w:r w:rsidRPr="000D3432">
        <w:rPr>
          <w:rFonts w:asciiTheme="minorHAnsi" w:hAnsiTheme="minorHAnsi" w:cs="Arial"/>
          <w:b/>
          <w:bCs/>
          <w:color w:val="000000"/>
          <w:szCs w:val="24"/>
          <w:lang w:val="es-ES_tradnl"/>
        </w:rPr>
        <w:t>”</w:t>
      </w:r>
      <w:r w:rsidRPr="000D3432">
        <w:rPr>
          <w:rFonts w:asciiTheme="minorHAnsi" w:hAnsiTheme="minorHAnsi" w:cs="Arial"/>
          <w:color w:val="000000"/>
          <w:szCs w:val="24"/>
          <w:lang w:val="es-ES_tradnl"/>
        </w:rPr>
        <w:t> </w:t>
      </w:r>
    </w:p>
    <w:p w14:paraId="0AA0F281" w14:textId="77777777" w:rsidR="009E6E2E" w:rsidRPr="000D3432" w:rsidRDefault="009E6E2E" w:rsidP="009E6E2E">
      <w:pPr>
        <w:jc w:val="both"/>
        <w:rPr>
          <w:rFonts w:asciiTheme="minorHAnsi" w:hAnsiTheme="minorHAnsi" w:cs="Arial"/>
          <w:b/>
          <w:bCs/>
          <w:color w:val="000000"/>
          <w:szCs w:val="24"/>
          <w:lang w:val="es-ES_tradnl"/>
        </w:rPr>
      </w:pPr>
    </w:p>
    <w:p w14:paraId="5B83E886" w14:textId="77777777" w:rsidR="009E6E2E" w:rsidRPr="000D3432" w:rsidRDefault="009E6E2E" w:rsidP="009E6E2E">
      <w:pPr>
        <w:jc w:val="both"/>
        <w:rPr>
          <w:rFonts w:asciiTheme="minorHAnsi" w:hAnsiTheme="minorHAnsi" w:cs="Arial"/>
          <w:b/>
          <w:bCs/>
          <w:color w:val="000000"/>
          <w:szCs w:val="24"/>
          <w:lang w:val="es-ES_tradnl"/>
        </w:rPr>
      </w:pPr>
    </w:p>
    <w:p w14:paraId="6E7C3637"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3) Principios de Representación</w:t>
      </w:r>
    </w:p>
    <w:p w14:paraId="2E38DE82" w14:textId="77777777" w:rsidR="009E6E2E" w:rsidRPr="000D3432" w:rsidRDefault="009E6E2E" w:rsidP="009E6E2E">
      <w:pPr>
        <w:jc w:val="both"/>
        <w:rPr>
          <w:rFonts w:asciiTheme="minorHAnsi" w:hAnsiTheme="minorHAnsi"/>
          <w:szCs w:val="24"/>
          <w:lang w:val="es-ES_tradnl"/>
        </w:rPr>
      </w:pPr>
    </w:p>
    <w:p w14:paraId="56BCE4E3"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a) Código Penal (Decreto Legislativo Nº 635): </w:t>
      </w:r>
    </w:p>
    <w:p w14:paraId="27A5B32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Artículo 3º del Código Penal aprobado por el  Decreto Legislativo Nº 635, se prescribe: </w:t>
      </w:r>
    </w:p>
    <w:p w14:paraId="1AD5CA96" w14:textId="77777777" w:rsidR="009E6E2E" w:rsidRPr="000D3432" w:rsidRDefault="009E6E2E" w:rsidP="009E6E2E">
      <w:pPr>
        <w:jc w:val="both"/>
        <w:rPr>
          <w:rFonts w:asciiTheme="minorHAnsi" w:hAnsiTheme="minorHAnsi" w:cs="Arial"/>
          <w:b/>
          <w:bCs/>
          <w:color w:val="000000"/>
          <w:szCs w:val="24"/>
          <w:lang w:val="es-ES_tradnl"/>
        </w:rPr>
      </w:pPr>
    </w:p>
    <w:p w14:paraId="16C9AEEB"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Representación</w:t>
      </w:r>
    </w:p>
    <w:p w14:paraId="5248195A"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3.- </w:t>
      </w:r>
      <w:r w:rsidRPr="000D3432">
        <w:rPr>
          <w:rFonts w:asciiTheme="minorHAnsi" w:hAnsiTheme="minorHAnsi" w:cs="Arial"/>
          <w:color w:val="000000"/>
          <w:szCs w:val="24"/>
          <w:lang w:val="es-ES_tradnl"/>
        </w:rPr>
        <w:t>La Ley Penal peruana podrá aplicarse cuando, solicitada la extradición, no se entregue al agente a la autoridad competente de un Estado extranjero.</w:t>
      </w:r>
    </w:p>
    <w:p w14:paraId="33018370" w14:textId="77777777" w:rsidR="009E6E2E" w:rsidRPr="000D3432" w:rsidRDefault="009E6E2E" w:rsidP="009E6E2E">
      <w:pPr>
        <w:jc w:val="both"/>
        <w:rPr>
          <w:rFonts w:asciiTheme="minorHAnsi" w:hAnsiTheme="minorHAnsi" w:cs="Arial"/>
          <w:b/>
          <w:bCs/>
          <w:color w:val="000000"/>
          <w:szCs w:val="24"/>
          <w:lang w:val="es-ES_tradnl"/>
        </w:rPr>
      </w:pPr>
      <w:r w:rsidRPr="000D3432">
        <w:rPr>
          <w:rFonts w:asciiTheme="minorHAnsi" w:hAnsiTheme="minorHAnsi" w:cs="Arial"/>
          <w:b/>
          <w:bCs/>
          <w:color w:val="000000"/>
          <w:szCs w:val="24"/>
          <w:lang w:val="es-ES_tradnl"/>
        </w:rPr>
        <w:t xml:space="preserve">    </w:t>
      </w:r>
    </w:p>
    <w:p w14:paraId="5C1C2F2F" w14:textId="77777777" w:rsidR="009E6E2E" w:rsidRPr="000D3432" w:rsidRDefault="009E6E2E" w:rsidP="009E6E2E">
      <w:pPr>
        <w:jc w:val="both"/>
        <w:rPr>
          <w:rFonts w:asciiTheme="minorHAnsi" w:hAnsiTheme="minorHAnsi" w:cs="Arial"/>
          <w:b/>
          <w:bCs/>
          <w:color w:val="000000"/>
          <w:szCs w:val="24"/>
          <w:lang w:val="es-ES_tradnl"/>
        </w:rPr>
      </w:pPr>
    </w:p>
    <w:p w14:paraId="404B1390"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4) Excepciones al Principio de Extraterritorialidad</w:t>
      </w:r>
    </w:p>
    <w:p w14:paraId="1B3A4DF6" w14:textId="77777777" w:rsidR="009E6E2E" w:rsidRPr="000D3432" w:rsidRDefault="009E6E2E" w:rsidP="009E6E2E">
      <w:pPr>
        <w:jc w:val="both"/>
        <w:rPr>
          <w:rFonts w:asciiTheme="minorHAnsi" w:hAnsiTheme="minorHAnsi"/>
          <w:szCs w:val="24"/>
          <w:lang w:val="es-ES_tradnl"/>
        </w:rPr>
      </w:pPr>
    </w:p>
    <w:p w14:paraId="26CD9742"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a) Código Penal (Decreto Legislativo Nº 635): </w:t>
      </w:r>
    </w:p>
    <w:p w14:paraId="38307DF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Artículo 4º del Código Penal aprobado por el  Decreto Legislativo Nº 635, se prescribe: </w:t>
      </w:r>
    </w:p>
    <w:p w14:paraId="375E49E6" w14:textId="77777777" w:rsidR="009E6E2E" w:rsidRPr="000D3432" w:rsidRDefault="009E6E2E" w:rsidP="009E6E2E">
      <w:pPr>
        <w:jc w:val="both"/>
        <w:rPr>
          <w:rFonts w:asciiTheme="minorHAnsi" w:hAnsiTheme="minorHAnsi" w:cs="Arial"/>
          <w:b/>
          <w:bCs/>
          <w:color w:val="000000"/>
          <w:szCs w:val="24"/>
          <w:lang w:val="es-ES_tradnl"/>
        </w:rPr>
      </w:pPr>
    </w:p>
    <w:p w14:paraId="3745C11D"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Excepciones al Principio de Extraterritorialidad</w:t>
      </w:r>
    </w:p>
    <w:p w14:paraId="0A0E5718"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4.- </w:t>
      </w:r>
      <w:r w:rsidRPr="000D3432">
        <w:rPr>
          <w:rFonts w:asciiTheme="minorHAnsi" w:hAnsiTheme="minorHAnsi" w:cs="Arial"/>
          <w:color w:val="000000"/>
          <w:szCs w:val="24"/>
          <w:lang w:val="es-ES_tradnl"/>
        </w:rPr>
        <w:t>Las disposiciones contenidas en el Artículo 2, incisos 2, 3, 4 y 5, no se aplican:</w:t>
      </w:r>
    </w:p>
    <w:p w14:paraId="632FFA39"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1. Cuando se ha extinguido la acción penal conforme a una u otra legislación;</w:t>
      </w:r>
    </w:p>
    <w:p w14:paraId="429F59FD"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2. Cuando se trata de delitos políticos o hechos conexos con ellos; y,</w:t>
      </w:r>
    </w:p>
    <w:p w14:paraId="764C0D5B"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3. Cuando el procesado ha sido absuelto en el extranjero o el condenado ha cumplido la pena o ésta se halla prescrita o remitida.</w:t>
      </w:r>
    </w:p>
    <w:p w14:paraId="5EA96314"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Si el agente no ha cumplido totalmente la pena impuesta, puede renovarse el proceso ante los tribunales de la República, pero se computará la parte de la pena cumplida.</w:t>
      </w:r>
    </w:p>
    <w:p w14:paraId="234ADC65" w14:textId="77777777" w:rsidR="009E6E2E" w:rsidRPr="000D3432" w:rsidRDefault="009E6E2E" w:rsidP="009E6E2E">
      <w:pPr>
        <w:jc w:val="both"/>
        <w:rPr>
          <w:rFonts w:asciiTheme="minorHAnsi" w:hAnsiTheme="minorHAnsi" w:cs="Arial"/>
          <w:b/>
          <w:bCs/>
          <w:color w:val="000000"/>
          <w:szCs w:val="24"/>
          <w:lang w:val="es-ES_tradnl"/>
        </w:rPr>
      </w:pPr>
    </w:p>
    <w:p w14:paraId="09F5D846"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5) Principios de Ubicuidad</w:t>
      </w:r>
    </w:p>
    <w:p w14:paraId="3776B725" w14:textId="77777777" w:rsidR="009E6E2E" w:rsidRPr="000D3432" w:rsidRDefault="009E6E2E" w:rsidP="009E6E2E">
      <w:pPr>
        <w:jc w:val="both"/>
        <w:rPr>
          <w:rFonts w:asciiTheme="minorHAnsi" w:hAnsiTheme="minorHAnsi"/>
          <w:szCs w:val="24"/>
          <w:lang w:val="es-ES_tradnl"/>
        </w:rPr>
      </w:pPr>
    </w:p>
    <w:p w14:paraId="605CC561"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a) Código Penal (Decreto Legislativo Nº 635): </w:t>
      </w:r>
    </w:p>
    <w:p w14:paraId="620D0A4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Artículo 5º del Código Penal aprobado por el  Decreto Legislativo Nº 635, se prescribe: </w:t>
      </w:r>
    </w:p>
    <w:p w14:paraId="294F4EA9" w14:textId="77777777" w:rsidR="009E6E2E" w:rsidRPr="000D3432" w:rsidRDefault="009E6E2E" w:rsidP="009E6E2E">
      <w:pPr>
        <w:jc w:val="both"/>
        <w:rPr>
          <w:rFonts w:asciiTheme="minorHAnsi" w:hAnsiTheme="minorHAnsi" w:cs="Arial"/>
          <w:b/>
          <w:bCs/>
          <w:color w:val="000000"/>
          <w:szCs w:val="24"/>
          <w:lang w:val="es-ES_tradnl"/>
        </w:rPr>
      </w:pPr>
    </w:p>
    <w:p w14:paraId="62896436"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Ubicuidad</w:t>
      </w:r>
    </w:p>
    <w:p w14:paraId="4BD65C02"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5.- </w:t>
      </w:r>
      <w:r w:rsidRPr="000D3432">
        <w:rPr>
          <w:rFonts w:asciiTheme="minorHAnsi" w:hAnsiTheme="minorHAnsi" w:cs="Arial"/>
          <w:color w:val="000000"/>
          <w:szCs w:val="24"/>
          <w:lang w:val="es-ES_tradnl"/>
        </w:rPr>
        <w:t>El lugar de comisión de un delito es aquél en el cual el autor o partícipe ha actuado u omitido la obligación de actuar o en el que se producen sus efectos.</w:t>
      </w:r>
    </w:p>
    <w:p w14:paraId="7994A43F" w14:textId="77777777" w:rsidR="009E6E2E" w:rsidRPr="000D3432" w:rsidRDefault="009E6E2E" w:rsidP="009E6E2E">
      <w:pPr>
        <w:pStyle w:val="Prrafodelista"/>
        <w:ind w:left="0"/>
        <w:contextualSpacing w:val="0"/>
        <w:rPr>
          <w:sz w:val="24"/>
          <w:szCs w:val="24"/>
          <w:lang w:val="es-ES_tradnl"/>
        </w:rPr>
      </w:pPr>
      <w:bookmarkStart w:id="163" w:name="JD_penal5c2"/>
      <w:bookmarkEnd w:id="163"/>
    </w:p>
    <w:p w14:paraId="566DF7D3" w14:textId="77777777" w:rsidR="009E6E2E" w:rsidRPr="000D3432" w:rsidRDefault="009E6E2E" w:rsidP="009E6E2E">
      <w:pPr>
        <w:pStyle w:val="Prrafodelista"/>
        <w:ind w:left="0"/>
        <w:contextualSpacing w:val="0"/>
        <w:rPr>
          <w:sz w:val="24"/>
          <w:szCs w:val="24"/>
          <w:lang w:val="es-ES_tradnl"/>
        </w:rPr>
      </w:pPr>
    </w:p>
    <w:p w14:paraId="53C94C11"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B.- Aplicación Temporal</w:t>
      </w:r>
    </w:p>
    <w:p w14:paraId="6C781006" w14:textId="77777777" w:rsidR="009E6E2E" w:rsidRPr="000D3432" w:rsidRDefault="009E6E2E" w:rsidP="009E6E2E">
      <w:pPr>
        <w:pStyle w:val="Prrafodelista"/>
        <w:ind w:left="0"/>
        <w:contextualSpacing w:val="0"/>
        <w:rPr>
          <w:sz w:val="24"/>
          <w:szCs w:val="24"/>
          <w:lang w:val="es-ES_tradnl"/>
        </w:rPr>
      </w:pPr>
    </w:p>
    <w:p w14:paraId="550BACF1"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1.- Principio de Combinación</w:t>
      </w:r>
    </w:p>
    <w:p w14:paraId="3BF66FA5" w14:textId="77777777" w:rsidR="009E6E2E" w:rsidRPr="000D3432" w:rsidRDefault="009E6E2E" w:rsidP="009E6E2E">
      <w:pPr>
        <w:pStyle w:val="Prrafodelista"/>
        <w:ind w:left="0"/>
        <w:contextualSpacing w:val="0"/>
        <w:rPr>
          <w:sz w:val="24"/>
          <w:szCs w:val="24"/>
          <w:lang w:val="es-ES_tradnl"/>
        </w:rPr>
      </w:pPr>
    </w:p>
    <w:p w14:paraId="7825DB77"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Código Penal – Decreto Legislativo Nº 635:</w:t>
      </w:r>
    </w:p>
    <w:p w14:paraId="5F614BDB"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 xml:space="preserve">De acuerdo con el artículo 6º del Código Penal – Decreto Legislativo Nº 635, se prescribe: </w:t>
      </w:r>
    </w:p>
    <w:p w14:paraId="32A7F27E"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00E8EC2"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Principio de Combinación</w:t>
      </w:r>
    </w:p>
    <w:p w14:paraId="79879126"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Artículo 6.-</w:t>
      </w:r>
      <w:r w:rsidRPr="000D3432">
        <w:rPr>
          <w:rStyle w:val="apple-converted-space"/>
          <w:rFonts w:asciiTheme="minorHAnsi" w:hAnsiTheme="minorHAnsi" w:cs="Arial"/>
          <w:b/>
          <w:bCs/>
          <w:color w:val="000000"/>
        </w:rPr>
        <w:t> </w:t>
      </w:r>
      <w:r w:rsidRPr="000D3432">
        <w:rPr>
          <w:rFonts w:asciiTheme="minorHAnsi" w:hAnsiTheme="minorHAnsi" w:cs="Arial"/>
          <w:color w:val="000000"/>
        </w:rPr>
        <w:t>La Ley Penal aplicable es la vigente en el momento de la comisión del hecho punible. No obstante, se aplicará la más favorable al reo, en caso de conflicto en el tiempo de leyes penales.</w:t>
      </w:r>
    </w:p>
    <w:p w14:paraId="60D85590"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color w:val="000000"/>
        </w:rPr>
        <w:t>     Si durante la ejecución de la sanción se dictare una ley más favorable al condenado, el Juez sustituirá la sanción impuesta por la que corresponda, conforme a la nueva ley.</w:t>
      </w:r>
    </w:p>
    <w:p w14:paraId="665771C4"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CONCORDANCIAS:      L. Nº 27454</w:t>
      </w:r>
    </w:p>
    <w:p w14:paraId="43B4611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79FD96FA" w14:textId="77777777" w:rsidR="009E6E2E" w:rsidRPr="000D3432" w:rsidRDefault="009E6E2E" w:rsidP="009E6E2E">
      <w:pPr>
        <w:pStyle w:val="Prrafodelista"/>
        <w:ind w:left="0"/>
        <w:contextualSpacing w:val="0"/>
        <w:rPr>
          <w:sz w:val="24"/>
          <w:szCs w:val="24"/>
          <w:lang w:val="es-ES_tradnl"/>
        </w:rPr>
      </w:pPr>
    </w:p>
    <w:p w14:paraId="1095FD0B"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2.- Retroactividad Benigna</w:t>
      </w:r>
    </w:p>
    <w:p w14:paraId="65194B29" w14:textId="77777777" w:rsidR="009E6E2E" w:rsidRPr="000D3432" w:rsidRDefault="009E6E2E" w:rsidP="009E6E2E">
      <w:pPr>
        <w:pStyle w:val="Prrafodelista"/>
        <w:ind w:left="0"/>
        <w:contextualSpacing w:val="0"/>
        <w:rPr>
          <w:sz w:val="24"/>
          <w:szCs w:val="24"/>
          <w:lang w:val="es-ES_tradnl"/>
        </w:rPr>
      </w:pPr>
    </w:p>
    <w:p w14:paraId="16655EA1"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Código Penal – Decreto Legislativo Nº 635:</w:t>
      </w:r>
    </w:p>
    <w:p w14:paraId="49EC0E32" w14:textId="77777777" w:rsidR="009E6E2E" w:rsidRPr="000D3432" w:rsidRDefault="009E6E2E" w:rsidP="009E6E2E">
      <w:pPr>
        <w:pStyle w:val="NormalWeb"/>
        <w:spacing w:before="0" w:beforeAutospacing="0" w:after="0" w:afterAutospacing="0"/>
        <w:jc w:val="both"/>
        <w:rPr>
          <w:rFonts w:asciiTheme="minorHAnsi" w:hAnsiTheme="minorHAnsi"/>
        </w:rPr>
      </w:pPr>
      <w:r w:rsidRPr="000D3432">
        <w:rPr>
          <w:rFonts w:asciiTheme="minorHAnsi" w:hAnsiTheme="minorHAnsi"/>
        </w:rPr>
        <w:t>De acuerdo con el artículo 7º del Código Penal – Decreto Legislativo Nº 635, se prescribe:</w:t>
      </w:r>
    </w:p>
    <w:p w14:paraId="7FE9677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3833D94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Retroactividad benigna</w:t>
      </w:r>
    </w:p>
    <w:p w14:paraId="3823AC3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7.-</w:t>
      </w:r>
      <w:r w:rsidRPr="000D3432">
        <w:rPr>
          <w:rStyle w:val="apple-converted-space"/>
          <w:rFonts w:asciiTheme="minorHAnsi" w:hAnsiTheme="minorHAnsi" w:cs="Arial"/>
          <w:b/>
          <w:bCs/>
          <w:color w:val="000000"/>
        </w:rPr>
        <w:t> </w:t>
      </w:r>
      <w:r w:rsidRPr="000D3432">
        <w:rPr>
          <w:rFonts w:asciiTheme="minorHAnsi" w:hAnsiTheme="minorHAnsi" w:cs="Arial"/>
          <w:color w:val="000000"/>
        </w:rPr>
        <w:t>Si, según la nueva ley, el hecho sancionado en una norma anterior deja de ser punible, la pena impuesta y sus efectos se extinguen de pleno derecho.</w:t>
      </w:r>
    </w:p>
    <w:p w14:paraId="4B93C7D9" w14:textId="77777777" w:rsidR="009E6E2E" w:rsidRPr="000D3432" w:rsidRDefault="009E6E2E" w:rsidP="009E6E2E">
      <w:pPr>
        <w:pStyle w:val="Prrafodelista"/>
        <w:ind w:left="0"/>
        <w:contextualSpacing w:val="0"/>
        <w:rPr>
          <w:sz w:val="24"/>
          <w:szCs w:val="24"/>
          <w:lang w:val="es-ES_tradnl"/>
        </w:rPr>
      </w:pPr>
    </w:p>
    <w:p w14:paraId="7F66BD4C"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3.- Leyes Temporales</w:t>
      </w:r>
    </w:p>
    <w:p w14:paraId="23791B46" w14:textId="77777777" w:rsidR="009E6E2E" w:rsidRPr="000D3432" w:rsidRDefault="009E6E2E" w:rsidP="009E6E2E">
      <w:pPr>
        <w:pStyle w:val="Prrafodelista"/>
        <w:ind w:left="0"/>
        <w:contextualSpacing w:val="0"/>
        <w:rPr>
          <w:sz w:val="24"/>
          <w:szCs w:val="24"/>
          <w:lang w:val="es-ES_tradnl"/>
        </w:rPr>
      </w:pPr>
    </w:p>
    <w:p w14:paraId="78182045"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Código Penal – Decreto Legislativo Nº 635:</w:t>
      </w:r>
    </w:p>
    <w:p w14:paraId="509B0115" w14:textId="77777777" w:rsidR="009E6E2E" w:rsidRPr="000D3432" w:rsidRDefault="009E6E2E" w:rsidP="009E6E2E">
      <w:pPr>
        <w:pStyle w:val="NormalWeb"/>
        <w:spacing w:before="0" w:beforeAutospacing="0" w:after="0" w:afterAutospacing="0"/>
        <w:jc w:val="both"/>
        <w:rPr>
          <w:rFonts w:asciiTheme="minorHAnsi" w:hAnsiTheme="minorHAnsi"/>
        </w:rPr>
      </w:pPr>
      <w:r w:rsidRPr="000D3432">
        <w:rPr>
          <w:rFonts w:asciiTheme="minorHAnsi" w:hAnsiTheme="minorHAnsi"/>
        </w:rPr>
        <w:t>De acuerdo con el artículo 8º del Código Penal – Decreto Legislativo Nº 635, se prescribe:</w:t>
      </w:r>
    </w:p>
    <w:p w14:paraId="658572F2" w14:textId="77777777" w:rsidR="009E6E2E" w:rsidRPr="000D3432" w:rsidRDefault="009E6E2E" w:rsidP="009E6E2E">
      <w:pPr>
        <w:pStyle w:val="NormalWeb"/>
        <w:spacing w:before="0" w:beforeAutospacing="0" w:after="0" w:afterAutospacing="0"/>
        <w:jc w:val="both"/>
        <w:rPr>
          <w:rFonts w:asciiTheme="minorHAnsi" w:hAnsiTheme="minorHAnsi"/>
        </w:rPr>
      </w:pPr>
    </w:p>
    <w:p w14:paraId="4B979278"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Leyes temporales</w:t>
      </w:r>
    </w:p>
    <w:p w14:paraId="10DAD64B"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Artículo 8.-</w:t>
      </w:r>
      <w:r w:rsidRPr="000D3432">
        <w:rPr>
          <w:rStyle w:val="apple-converted-space"/>
          <w:rFonts w:asciiTheme="minorHAnsi" w:hAnsiTheme="minorHAnsi" w:cs="Arial"/>
          <w:b/>
          <w:bCs/>
          <w:color w:val="000000"/>
        </w:rPr>
        <w:t> </w:t>
      </w:r>
      <w:r w:rsidRPr="000D3432">
        <w:rPr>
          <w:rFonts w:asciiTheme="minorHAnsi" w:hAnsiTheme="minorHAnsi" w:cs="Arial"/>
          <w:color w:val="000000"/>
        </w:rPr>
        <w:t>Las leyes destinadas a regir sólo durante un tiempo determinado se aplican a todos los hechos cometidos durante su vigencia, aunque ya no estuvieren en vigor, salvo disposición en contrario.</w:t>
      </w:r>
    </w:p>
    <w:p w14:paraId="365BC6C6"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9E5775D"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4.- Leyes Temporales</w:t>
      </w:r>
    </w:p>
    <w:p w14:paraId="73211807" w14:textId="77777777" w:rsidR="009E6E2E" w:rsidRPr="000D3432" w:rsidRDefault="009E6E2E" w:rsidP="009E6E2E">
      <w:pPr>
        <w:pStyle w:val="Prrafodelista"/>
        <w:ind w:left="0"/>
        <w:contextualSpacing w:val="0"/>
        <w:rPr>
          <w:sz w:val="24"/>
          <w:szCs w:val="24"/>
          <w:lang w:val="es-ES_tradnl"/>
        </w:rPr>
      </w:pPr>
    </w:p>
    <w:p w14:paraId="57A3BE73"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Código Penal – Decreto Legislativo Nº 635:</w:t>
      </w:r>
    </w:p>
    <w:p w14:paraId="3FCE2FFF" w14:textId="77777777" w:rsidR="009E6E2E" w:rsidRPr="000D3432" w:rsidRDefault="009E6E2E" w:rsidP="009E6E2E">
      <w:pPr>
        <w:pStyle w:val="NormalWeb"/>
        <w:spacing w:before="0" w:beforeAutospacing="0" w:after="0" w:afterAutospacing="0"/>
        <w:jc w:val="both"/>
        <w:rPr>
          <w:rFonts w:asciiTheme="minorHAnsi" w:hAnsiTheme="minorHAnsi"/>
        </w:rPr>
      </w:pPr>
      <w:r w:rsidRPr="000D3432">
        <w:rPr>
          <w:rFonts w:asciiTheme="minorHAnsi" w:hAnsiTheme="minorHAnsi"/>
        </w:rPr>
        <w:t>De acuerdo con el artículo 9º del Código Penal – Decreto Legislativo Nº 635, se prescribe:</w:t>
      </w:r>
    </w:p>
    <w:p w14:paraId="64142AE4"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4BE6430"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Momento de comisión del delito</w:t>
      </w:r>
    </w:p>
    <w:p w14:paraId="47166CD7" w14:textId="77777777" w:rsidR="009E6E2E" w:rsidRPr="000D3432" w:rsidRDefault="009E6E2E" w:rsidP="009E6E2E">
      <w:pPr>
        <w:pStyle w:val="NormalWeb"/>
        <w:spacing w:before="0" w:beforeAutospacing="0" w:after="0" w:afterAutospacing="0"/>
        <w:ind w:left="708"/>
        <w:jc w:val="both"/>
        <w:rPr>
          <w:rFonts w:asciiTheme="minorHAnsi" w:hAnsiTheme="minorHAnsi" w:cs="Arial"/>
          <w:color w:val="000000"/>
        </w:rPr>
      </w:pPr>
      <w:r w:rsidRPr="000D3432">
        <w:rPr>
          <w:rFonts w:asciiTheme="minorHAnsi" w:hAnsiTheme="minorHAnsi" w:cs="Arial"/>
          <w:b/>
          <w:bCs/>
          <w:color w:val="000000"/>
        </w:rPr>
        <w:t>Artículo 9.-</w:t>
      </w:r>
      <w:r w:rsidRPr="000D3432">
        <w:rPr>
          <w:rStyle w:val="apple-converted-space"/>
          <w:rFonts w:asciiTheme="minorHAnsi" w:hAnsiTheme="minorHAnsi" w:cs="Arial"/>
          <w:b/>
          <w:bCs/>
          <w:color w:val="000000"/>
        </w:rPr>
        <w:t> </w:t>
      </w:r>
      <w:r w:rsidRPr="000D3432">
        <w:rPr>
          <w:rFonts w:asciiTheme="minorHAnsi" w:hAnsiTheme="minorHAnsi" w:cs="Arial"/>
          <w:color w:val="000000"/>
        </w:rPr>
        <w:t>El momento de la comisión de un delito es aquél en el cual el autor o  partícipe ha actuado u omitido la obligación de actuar, independientemente del momento en que el resultado se produzca.</w:t>
      </w:r>
    </w:p>
    <w:p w14:paraId="425A410F" w14:textId="77777777" w:rsidR="009E6E2E" w:rsidRPr="000D3432" w:rsidRDefault="009E6E2E" w:rsidP="009E6E2E">
      <w:pPr>
        <w:pStyle w:val="Prrafodelista"/>
        <w:ind w:left="0"/>
        <w:contextualSpacing w:val="0"/>
        <w:rPr>
          <w:sz w:val="24"/>
          <w:szCs w:val="24"/>
          <w:lang w:val="es-ES_tradnl"/>
        </w:rPr>
      </w:pPr>
    </w:p>
    <w:p w14:paraId="1B7EA4D5" w14:textId="77777777" w:rsidR="009E6E2E" w:rsidRPr="000D3432" w:rsidRDefault="009E6E2E" w:rsidP="009E6E2E">
      <w:pPr>
        <w:pStyle w:val="Prrafodelista"/>
        <w:ind w:left="0"/>
        <w:contextualSpacing w:val="0"/>
        <w:rPr>
          <w:sz w:val="24"/>
          <w:szCs w:val="24"/>
          <w:lang w:val="es-ES_tradnl"/>
        </w:rPr>
      </w:pPr>
    </w:p>
    <w:p w14:paraId="648644B0"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C.- Aplicación Personal</w:t>
      </w:r>
    </w:p>
    <w:p w14:paraId="0E05EE74" w14:textId="77777777" w:rsidR="009E6E2E" w:rsidRPr="000D3432" w:rsidRDefault="009E6E2E" w:rsidP="009E6E2E">
      <w:pPr>
        <w:ind w:left="708"/>
        <w:rPr>
          <w:rFonts w:asciiTheme="minorHAnsi" w:hAnsiTheme="minorHAnsi"/>
          <w:szCs w:val="24"/>
          <w:lang w:val="es-ES_tradnl"/>
        </w:rPr>
      </w:pPr>
    </w:p>
    <w:p w14:paraId="14999BCE"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1.- Principio de Igualdad</w:t>
      </w:r>
    </w:p>
    <w:p w14:paraId="63FAE222" w14:textId="77777777" w:rsidR="009E6E2E" w:rsidRPr="000D3432" w:rsidRDefault="009E6E2E" w:rsidP="009E6E2E">
      <w:pPr>
        <w:pStyle w:val="Prrafodelista"/>
        <w:ind w:left="0"/>
        <w:contextualSpacing w:val="0"/>
        <w:rPr>
          <w:sz w:val="24"/>
          <w:szCs w:val="24"/>
          <w:lang w:val="es-ES_tradnl"/>
        </w:rPr>
      </w:pPr>
      <w:r w:rsidRPr="000D3432">
        <w:rPr>
          <w:b/>
          <w:sz w:val="24"/>
          <w:szCs w:val="24"/>
          <w:lang w:val="es-ES_tradnl"/>
        </w:rPr>
        <w:t xml:space="preserve"> </w:t>
      </w:r>
    </w:p>
    <w:p w14:paraId="2AC22A50"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Código Penal – Decreto Legislativo Nº 635:</w:t>
      </w:r>
    </w:p>
    <w:p w14:paraId="75DE117B" w14:textId="77777777" w:rsidR="009E6E2E" w:rsidRPr="000D3432" w:rsidRDefault="009E6E2E" w:rsidP="009E6E2E">
      <w:pPr>
        <w:pStyle w:val="NormalWeb"/>
        <w:spacing w:before="0" w:beforeAutospacing="0" w:after="0" w:afterAutospacing="0"/>
        <w:jc w:val="both"/>
        <w:rPr>
          <w:rFonts w:asciiTheme="minorHAnsi" w:hAnsiTheme="minorHAnsi"/>
        </w:rPr>
      </w:pPr>
      <w:r w:rsidRPr="000D3432">
        <w:rPr>
          <w:rFonts w:asciiTheme="minorHAnsi" w:hAnsiTheme="minorHAnsi"/>
        </w:rPr>
        <w:t>De acuerdo con el artículo 10º del Código Penal – Decreto Legislativo Nº 635, se prescribe:</w:t>
      </w:r>
    </w:p>
    <w:p w14:paraId="63519464" w14:textId="77777777" w:rsidR="009E6E2E" w:rsidRPr="000D3432" w:rsidRDefault="009E6E2E" w:rsidP="009E6E2E">
      <w:pPr>
        <w:rPr>
          <w:rFonts w:asciiTheme="minorHAnsi" w:hAnsiTheme="minorHAnsi"/>
          <w:szCs w:val="24"/>
          <w:lang w:val="es-ES_tradnl"/>
        </w:rPr>
      </w:pPr>
    </w:p>
    <w:p w14:paraId="4BB6B225"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Principio de Igualdad</w:t>
      </w:r>
    </w:p>
    <w:p w14:paraId="3ADD0BE9" w14:textId="77777777" w:rsidR="009E6E2E" w:rsidRPr="000D3432" w:rsidRDefault="009E6E2E" w:rsidP="009E6E2E">
      <w:pPr>
        <w:ind w:left="708"/>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10.- </w:t>
      </w:r>
      <w:r w:rsidRPr="000D3432">
        <w:rPr>
          <w:rFonts w:asciiTheme="minorHAnsi" w:hAnsiTheme="minorHAnsi" w:cs="Arial"/>
          <w:color w:val="000000"/>
          <w:szCs w:val="24"/>
          <w:lang w:val="es-ES_tradnl"/>
        </w:rPr>
        <w:t>La Ley Penal se aplica con igualdad. Las prerrogativas que por razón de la función o cargo se reconocen a ciertas personas habrán de estar taxativamente previstas en las leyes o tratados internacionales.</w:t>
      </w:r>
    </w:p>
    <w:p w14:paraId="4D1EB4A6" w14:textId="77777777" w:rsidR="009E6E2E" w:rsidRPr="000D3432" w:rsidRDefault="009E6E2E" w:rsidP="009E6E2E">
      <w:pPr>
        <w:rPr>
          <w:rFonts w:asciiTheme="minorHAnsi" w:hAnsiTheme="minorHAnsi"/>
          <w:szCs w:val="24"/>
          <w:lang w:val="es-ES_tradnl"/>
        </w:rPr>
      </w:pPr>
    </w:p>
    <w:p w14:paraId="2E051754" w14:textId="77777777" w:rsidR="009E6E2E" w:rsidRPr="000D3432" w:rsidRDefault="009E6E2E" w:rsidP="009E6E2E">
      <w:pPr>
        <w:rPr>
          <w:rFonts w:asciiTheme="minorHAnsi" w:hAnsiTheme="minorHAnsi"/>
          <w:szCs w:val="24"/>
          <w:lang w:val="es-ES_tradnl"/>
        </w:rPr>
      </w:pPr>
    </w:p>
    <w:p w14:paraId="145CAEE3"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VIII.- EL HECHO PUNIBLE</w:t>
      </w:r>
    </w:p>
    <w:p w14:paraId="42ADE4E0" w14:textId="77777777" w:rsidR="009E6E2E" w:rsidRPr="000D3432" w:rsidRDefault="009E6E2E" w:rsidP="009E6E2E">
      <w:pPr>
        <w:pStyle w:val="Prrafodelista"/>
        <w:ind w:left="0"/>
        <w:contextualSpacing w:val="0"/>
        <w:rPr>
          <w:sz w:val="24"/>
          <w:szCs w:val="24"/>
          <w:lang w:val="es-ES_tradnl"/>
        </w:rPr>
      </w:pPr>
    </w:p>
    <w:p w14:paraId="243237E0" w14:textId="77777777" w:rsidR="009E6E2E" w:rsidRPr="000D3432" w:rsidRDefault="009E6E2E" w:rsidP="009E6E2E">
      <w:pPr>
        <w:pStyle w:val="Prrafodelista"/>
        <w:ind w:left="0"/>
        <w:contextualSpacing w:val="0"/>
        <w:jc w:val="both"/>
        <w:rPr>
          <w:b/>
          <w:sz w:val="24"/>
          <w:szCs w:val="24"/>
          <w:lang w:val="es-ES_tradnl"/>
        </w:rPr>
      </w:pPr>
      <w:r w:rsidRPr="000D3432">
        <w:rPr>
          <w:b/>
          <w:sz w:val="24"/>
          <w:szCs w:val="24"/>
          <w:lang w:val="es-ES_tradnl"/>
        </w:rPr>
        <w:t>1.- Bases de la punibilidad</w:t>
      </w:r>
    </w:p>
    <w:p w14:paraId="35963F54" w14:textId="77777777" w:rsidR="009E6E2E" w:rsidRPr="000D3432" w:rsidRDefault="009E6E2E" w:rsidP="009E6E2E">
      <w:pPr>
        <w:pStyle w:val="Prrafodelista"/>
        <w:ind w:left="0"/>
        <w:contextualSpacing w:val="0"/>
        <w:jc w:val="both"/>
        <w:rPr>
          <w:sz w:val="24"/>
          <w:szCs w:val="24"/>
          <w:lang w:val="es-ES_tradnl"/>
        </w:rPr>
      </w:pPr>
    </w:p>
    <w:p w14:paraId="600840C5" w14:textId="77777777" w:rsidR="009E6E2E" w:rsidRPr="000D3432" w:rsidRDefault="009E6E2E" w:rsidP="009E6E2E">
      <w:pPr>
        <w:pStyle w:val="NormalWeb"/>
        <w:spacing w:before="0" w:beforeAutospacing="0" w:after="0" w:afterAutospacing="0"/>
        <w:jc w:val="both"/>
        <w:rPr>
          <w:rFonts w:asciiTheme="minorHAnsi" w:hAnsiTheme="minorHAnsi" w:cs="Arial"/>
          <w:b/>
          <w:bCs/>
          <w:color w:val="800000"/>
        </w:rPr>
      </w:pPr>
      <w:r w:rsidRPr="000D3432">
        <w:rPr>
          <w:rFonts w:asciiTheme="minorHAnsi" w:hAnsiTheme="minorHAnsi" w:cs="Arial"/>
          <w:b/>
          <w:bCs/>
          <w:color w:val="800000"/>
        </w:rPr>
        <w:t>a) Delitos y Faltas</w:t>
      </w:r>
    </w:p>
    <w:p w14:paraId="37A9BBCE"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 xml:space="preserve">De acuerdo con el Código Penal (Decreto Legislativo Nº 635): </w:t>
      </w:r>
    </w:p>
    <w:p w14:paraId="05969971"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D89421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11.-</w:t>
      </w:r>
      <w:r w:rsidRPr="000D3432">
        <w:rPr>
          <w:rStyle w:val="apple-converted-space"/>
          <w:rFonts w:asciiTheme="minorHAnsi" w:hAnsiTheme="minorHAnsi" w:cs="Arial"/>
          <w:b/>
          <w:bCs/>
          <w:color w:val="000000"/>
        </w:rPr>
        <w:t> </w:t>
      </w:r>
      <w:r w:rsidRPr="000D3432">
        <w:rPr>
          <w:rFonts w:asciiTheme="minorHAnsi" w:hAnsiTheme="minorHAnsi" w:cs="Arial"/>
          <w:color w:val="000000"/>
        </w:rPr>
        <w:t>Son delitos y faltas las acciones u omisiones dolosas o culposas penadas por la ley.</w:t>
      </w:r>
    </w:p>
    <w:p w14:paraId="15B9557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02112388"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color w:val="000000"/>
        </w:rPr>
        <w:t xml:space="preserve">b) </w:t>
      </w:r>
      <w:r w:rsidRPr="000D3432">
        <w:rPr>
          <w:rFonts w:asciiTheme="minorHAnsi" w:hAnsiTheme="minorHAnsi" w:cs="Arial"/>
          <w:b/>
          <w:bCs/>
          <w:color w:val="000000"/>
        </w:rPr>
        <w:t>Delito doloso y delito culposo</w:t>
      </w:r>
    </w:p>
    <w:p w14:paraId="668CD5B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Cs/>
          <w:color w:val="000000"/>
        </w:rPr>
        <w:t>De acuerdo con el Código Penal (Decreto Legislativo Nº 635):</w:t>
      </w:r>
    </w:p>
    <w:p w14:paraId="43EEFDD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428CC20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12.-</w:t>
      </w:r>
      <w:r w:rsidRPr="000D3432">
        <w:rPr>
          <w:rStyle w:val="apple-converted-space"/>
          <w:rFonts w:asciiTheme="minorHAnsi" w:hAnsiTheme="minorHAnsi" w:cs="Arial"/>
          <w:b/>
          <w:bCs/>
          <w:color w:val="000000"/>
        </w:rPr>
        <w:t> </w:t>
      </w:r>
      <w:r w:rsidRPr="000D3432">
        <w:rPr>
          <w:rFonts w:asciiTheme="minorHAnsi" w:hAnsiTheme="minorHAnsi" w:cs="Arial"/>
          <w:color w:val="000000"/>
        </w:rPr>
        <w:t xml:space="preserve">Las penas establecidas por la ley se aplican siempre al agente de infracción dolosa. </w:t>
      </w:r>
    </w:p>
    <w:p w14:paraId="2CFB49E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El agente de infracción culposa es punible en los casos expresamente establecidos por la ley.</w:t>
      </w:r>
    </w:p>
    <w:p w14:paraId="3F4DE1FA"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29E3183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 Omisión impropia</w:t>
      </w:r>
    </w:p>
    <w:p w14:paraId="08252BD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Cs/>
          <w:color w:val="000000"/>
        </w:rPr>
        <w:t>De acuerdo con el Código Penal (Decreto Legislativo Nº 635):</w:t>
      </w:r>
    </w:p>
    <w:p w14:paraId="150F5E27"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99BB47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13 .-</w:t>
      </w:r>
      <w:r w:rsidRPr="000D3432">
        <w:rPr>
          <w:rStyle w:val="apple-converted-space"/>
          <w:rFonts w:asciiTheme="minorHAnsi" w:hAnsiTheme="minorHAnsi" w:cs="Arial"/>
          <w:b/>
          <w:bCs/>
          <w:color w:val="000000"/>
        </w:rPr>
        <w:t> </w:t>
      </w:r>
      <w:r w:rsidRPr="000D3432">
        <w:rPr>
          <w:rFonts w:asciiTheme="minorHAnsi" w:hAnsiTheme="minorHAnsi" w:cs="Arial"/>
          <w:color w:val="000000"/>
        </w:rPr>
        <w:t>El que omite impedir la realización del hecho punible será sancionado:</w:t>
      </w:r>
    </w:p>
    <w:p w14:paraId="356813B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1. Si tiene el deber jurídico de impedirlo o si crea un peligro inminente que fuera propio para producirlo."</w:t>
      </w:r>
    </w:p>
    <w:p w14:paraId="74C8904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2. Si la omisión corresponde a la realización del tipo penal mediante un hacer.</w:t>
      </w:r>
    </w:p>
    <w:p w14:paraId="4D53838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La pena del omiso podrá ser atenuada.</w:t>
      </w:r>
    </w:p>
    <w:p w14:paraId="17E9B194"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B4E44F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d) Error de tipo y error de prohibición</w:t>
      </w:r>
    </w:p>
    <w:p w14:paraId="04B7CB0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Cs/>
          <w:color w:val="000000"/>
        </w:rPr>
        <w:t>De acuerdo con el Código Penal (Decreto Legislativo Nº 635):</w:t>
      </w:r>
    </w:p>
    <w:p w14:paraId="19F3F68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3F44601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14.-</w:t>
      </w:r>
      <w:r w:rsidRPr="000D3432">
        <w:rPr>
          <w:rStyle w:val="apple-converted-space"/>
          <w:rFonts w:asciiTheme="minorHAnsi" w:hAnsiTheme="minorHAnsi" w:cs="Arial"/>
          <w:b/>
          <w:bCs/>
          <w:color w:val="000000"/>
        </w:rPr>
        <w:t> </w:t>
      </w:r>
      <w:r w:rsidRPr="000D3432">
        <w:rPr>
          <w:rFonts w:asciiTheme="minorHAnsi" w:hAnsiTheme="minorHAnsi" w:cs="Arial"/>
          <w:color w:val="000000"/>
        </w:rPr>
        <w:t>El error sobre un elemento del tipo penal o respecto a una circunstancia que agrave la pena, si es invencible, excluye la responsabilidad o la agravación. Si fuere vencible, la infracción será castigada como culposa cuando se hallare prevista como tal en la ley.</w:t>
      </w:r>
    </w:p>
    <w:p w14:paraId="3D28540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El error invencible sobre la ilicitud del hecho constitutivo de la infracción penal, excluye la responsabilidad. Si el error fuere vencible se atenuará la pena.</w:t>
      </w:r>
    </w:p>
    <w:p w14:paraId="4F2BCD4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5E6E3278"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color w:val="000000"/>
        </w:rPr>
        <w:t xml:space="preserve">e) </w:t>
      </w:r>
      <w:r w:rsidRPr="000D3432">
        <w:rPr>
          <w:rFonts w:asciiTheme="minorHAnsi" w:hAnsiTheme="minorHAnsi" w:cs="Arial"/>
          <w:b/>
          <w:bCs/>
          <w:color w:val="000000"/>
        </w:rPr>
        <w:t>Error de comprensión culturalmente condicionado</w:t>
      </w:r>
    </w:p>
    <w:p w14:paraId="44930919"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Cs/>
          <w:color w:val="000000"/>
        </w:rPr>
        <w:t>De acuerdo con el Código Penal (Decreto Legislativo Nº 635):</w:t>
      </w:r>
    </w:p>
    <w:p w14:paraId="57D0E650"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42069E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15.-</w:t>
      </w:r>
      <w:r w:rsidRPr="000D3432">
        <w:rPr>
          <w:rStyle w:val="apple-converted-space"/>
          <w:rFonts w:asciiTheme="minorHAnsi" w:hAnsiTheme="minorHAnsi" w:cs="Arial"/>
          <w:b/>
          <w:bCs/>
          <w:color w:val="000000"/>
        </w:rPr>
        <w:t> </w:t>
      </w:r>
      <w:r w:rsidRPr="000D3432">
        <w:rPr>
          <w:rFonts w:asciiTheme="minorHAnsi" w:hAnsiTheme="minorHAnsi" w:cs="Arial"/>
          <w:color w:val="000000"/>
        </w:rPr>
        <w:t>El que por su cultura o costumbres comete un hecho punible sin poder comprender el carácter delictuoso de su acto o determinarse de acuerdo a esa comprensión, será eximido de responsabilidad. Cuando por igual razón, esa posibilidad se halla disminuida, se atenuará la pena.</w:t>
      </w:r>
    </w:p>
    <w:p w14:paraId="6A8C5AE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258907EC" w14:textId="77777777" w:rsidR="009E6E2E" w:rsidRPr="000D3432" w:rsidRDefault="009E6E2E" w:rsidP="009E6E2E">
      <w:pPr>
        <w:pStyle w:val="Prrafodelista"/>
        <w:ind w:left="0"/>
        <w:contextualSpacing w:val="0"/>
        <w:jc w:val="both"/>
        <w:rPr>
          <w:sz w:val="24"/>
          <w:szCs w:val="24"/>
          <w:lang w:val="es-ES_tradnl"/>
        </w:rPr>
      </w:pPr>
    </w:p>
    <w:p w14:paraId="1501A9B3" w14:textId="77777777" w:rsidR="009E6E2E" w:rsidRPr="000D3432" w:rsidRDefault="009E6E2E" w:rsidP="009E6E2E">
      <w:pPr>
        <w:pStyle w:val="Prrafodelista"/>
        <w:ind w:left="0"/>
        <w:contextualSpacing w:val="0"/>
        <w:jc w:val="both"/>
        <w:rPr>
          <w:sz w:val="24"/>
          <w:szCs w:val="24"/>
          <w:lang w:val="es-ES_tradnl"/>
        </w:rPr>
      </w:pPr>
    </w:p>
    <w:p w14:paraId="7BD7FE02" w14:textId="77777777" w:rsidR="009E6E2E" w:rsidRPr="000D3432" w:rsidRDefault="009E6E2E" w:rsidP="009E6E2E">
      <w:pPr>
        <w:pStyle w:val="Prrafodelista"/>
        <w:ind w:left="0"/>
        <w:contextualSpacing w:val="0"/>
        <w:rPr>
          <w:sz w:val="24"/>
          <w:szCs w:val="24"/>
          <w:lang w:val="es-ES_tradnl"/>
        </w:rPr>
      </w:pPr>
    </w:p>
    <w:p w14:paraId="28388598" w14:textId="77777777" w:rsidR="009E6E2E" w:rsidRPr="000D3432" w:rsidRDefault="009E6E2E" w:rsidP="009E6E2E">
      <w:pPr>
        <w:pStyle w:val="Prrafodelista"/>
        <w:ind w:left="0"/>
        <w:contextualSpacing w:val="0"/>
        <w:rPr>
          <w:sz w:val="24"/>
          <w:szCs w:val="24"/>
          <w:lang w:val="es-ES_tradnl"/>
        </w:rPr>
      </w:pPr>
    </w:p>
    <w:p w14:paraId="1B69DD3B" w14:textId="77777777" w:rsidR="009E6E2E" w:rsidRPr="000D3432" w:rsidRDefault="009E6E2E" w:rsidP="009E6E2E">
      <w:pPr>
        <w:pStyle w:val="Prrafodelista"/>
        <w:ind w:left="0"/>
        <w:contextualSpacing w:val="0"/>
        <w:rPr>
          <w:sz w:val="24"/>
          <w:szCs w:val="24"/>
          <w:lang w:val="es-ES_tradnl"/>
        </w:rPr>
      </w:pPr>
    </w:p>
    <w:p w14:paraId="4758DF13" w14:textId="77777777" w:rsidR="009E6E2E" w:rsidRPr="000D3432" w:rsidRDefault="009E6E2E" w:rsidP="009E6E2E">
      <w:pPr>
        <w:pStyle w:val="Prrafodelista"/>
        <w:ind w:left="0"/>
        <w:contextualSpacing w:val="0"/>
        <w:rPr>
          <w:sz w:val="24"/>
          <w:szCs w:val="24"/>
          <w:lang w:val="es-ES_tradnl"/>
        </w:rPr>
      </w:pPr>
    </w:p>
    <w:p w14:paraId="3772B00C" w14:textId="77777777" w:rsidR="009E6E2E" w:rsidRPr="000D3432" w:rsidRDefault="009E6E2E" w:rsidP="009E6E2E">
      <w:pPr>
        <w:pStyle w:val="Prrafodelista"/>
        <w:ind w:left="0"/>
        <w:contextualSpacing w:val="0"/>
        <w:rPr>
          <w:sz w:val="24"/>
          <w:szCs w:val="24"/>
          <w:lang w:val="es-ES_tradnl"/>
        </w:rPr>
      </w:pPr>
    </w:p>
    <w:p w14:paraId="45D89586" w14:textId="77777777" w:rsidR="009E6E2E" w:rsidRPr="000D3432" w:rsidRDefault="009E6E2E" w:rsidP="009E6E2E">
      <w:pPr>
        <w:pStyle w:val="Prrafodelista"/>
        <w:ind w:left="0"/>
        <w:contextualSpacing w:val="0"/>
        <w:rPr>
          <w:sz w:val="24"/>
          <w:szCs w:val="24"/>
          <w:lang w:val="es-ES_tradnl"/>
        </w:rPr>
      </w:pPr>
    </w:p>
    <w:p w14:paraId="20ED155E" w14:textId="77777777" w:rsidR="009E6E2E" w:rsidRPr="000D3432" w:rsidRDefault="009E6E2E" w:rsidP="009E6E2E">
      <w:pPr>
        <w:pStyle w:val="Prrafodelista"/>
        <w:ind w:left="0"/>
        <w:contextualSpacing w:val="0"/>
        <w:rPr>
          <w:sz w:val="24"/>
          <w:szCs w:val="24"/>
          <w:lang w:val="es-ES_tradnl"/>
        </w:rPr>
      </w:pPr>
    </w:p>
    <w:p w14:paraId="425968E7"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2.- Tentativa</w:t>
      </w:r>
    </w:p>
    <w:p w14:paraId="7B1A30C5" w14:textId="77777777" w:rsidR="009E6E2E" w:rsidRPr="000D3432" w:rsidRDefault="009E6E2E" w:rsidP="009E6E2E">
      <w:pPr>
        <w:pStyle w:val="Prrafodelista"/>
        <w:ind w:left="0"/>
        <w:contextualSpacing w:val="0"/>
        <w:rPr>
          <w:sz w:val="24"/>
          <w:szCs w:val="24"/>
          <w:lang w:val="es-ES_tradnl"/>
        </w:rPr>
      </w:pPr>
    </w:p>
    <w:p w14:paraId="36CDE104"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a) Tentativa:</w:t>
      </w:r>
    </w:p>
    <w:p w14:paraId="133E1C37" w14:textId="77777777" w:rsidR="009E6E2E" w:rsidRPr="000D3432" w:rsidRDefault="009E6E2E" w:rsidP="009E6E2E">
      <w:pPr>
        <w:pStyle w:val="Prrafodelista"/>
        <w:ind w:left="0"/>
        <w:contextualSpacing w:val="0"/>
        <w:rPr>
          <w:sz w:val="24"/>
          <w:szCs w:val="24"/>
          <w:lang w:val="es-ES_tradnl"/>
        </w:rPr>
      </w:pPr>
    </w:p>
    <w:p w14:paraId="50CD219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Cs/>
          <w:color w:val="000000"/>
        </w:rPr>
        <w:t>De acuerdo con el Código Penal (Decreto Legislativo Nº 635):</w:t>
      </w:r>
    </w:p>
    <w:p w14:paraId="688DFC1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Tentativa</w:t>
      </w:r>
    </w:p>
    <w:p w14:paraId="2A0BCEB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16.-</w:t>
      </w:r>
      <w:r w:rsidRPr="000D3432">
        <w:rPr>
          <w:rStyle w:val="apple-converted-space"/>
          <w:rFonts w:asciiTheme="minorHAnsi" w:hAnsiTheme="minorHAnsi" w:cs="Arial"/>
          <w:b/>
          <w:bCs/>
          <w:color w:val="000000"/>
        </w:rPr>
        <w:t> </w:t>
      </w:r>
      <w:r w:rsidRPr="000D3432">
        <w:rPr>
          <w:rFonts w:asciiTheme="minorHAnsi" w:hAnsiTheme="minorHAnsi" w:cs="Arial"/>
          <w:color w:val="000000"/>
        </w:rPr>
        <w:t>En la tentativa el agente comienza la ejecución de un delito, que decidió cometer, sin consumarlo. El Juez reprimirá la tentativa disminuyendo prudencialmente la pena.</w:t>
      </w:r>
    </w:p>
    <w:p w14:paraId="2206720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6C51B382"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color w:val="000000"/>
        </w:rPr>
        <w:t>b)</w:t>
      </w:r>
      <w:r w:rsidRPr="000D3432">
        <w:rPr>
          <w:rFonts w:asciiTheme="minorHAnsi" w:hAnsiTheme="minorHAnsi" w:cs="Arial"/>
          <w:b/>
          <w:bCs/>
          <w:color w:val="000000"/>
        </w:rPr>
        <w:t xml:space="preserve"> Tentativa impune</w:t>
      </w:r>
    </w:p>
    <w:p w14:paraId="1560862E" w14:textId="77777777" w:rsidR="009E6E2E" w:rsidRPr="000D3432" w:rsidRDefault="009E6E2E" w:rsidP="009E6E2E">
      <w:pPr>
        <w:pStyle w:val="NormalWeb"/>
        <w:spacing w:before="0" w:beforeAutospacing="0" w:after="0" w:afterAutospacing="0"/>
        <w:jc w:val="both"/>
        <w:rPr>
          <w:rFonts w:asciiTheme="minorHAnsi" w:hAnsiTheme="minorHAnsi" w:cs="Arial"/>
          <w:bCs/>
          <w:color w:val="000000"/>
        </w:rPr>
      </w:pPr>
      <w:r w:rsidRPr="000D3432">
        <w:rPr>
          <w:rFonts w:asciiTheme="minorHAnsi" w:hAnsiTheme="minorHAnsi" w:cs="Arial"/>
          <w:bCs/>
          <w:color w:val="000000"/>
        </w:rPr>
        <w:t>De acuerdo con el Código Penal (Decreto Legislativo Nº 635):</w:t>
      </w:r>
    </w:p>
    <w:p w14:paraId="3308413E"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5EBBB9A5" w14:textId="77777777" w:rsidR="009E6E2E" w:rsidRPr="000D3432" w:rsidRDefault="009E6E2E" w:rsidP="009E6E2E">
      <w:pPr>
        <w:pStyle w:val="NormalWeb"/>
        <w:spacing w:before="0" w:beforeAutospacing="0" w:after="0" w:afterAutospacing="0"/>
        <w:jc w:val="both"/>
        <w:rPr>
          <w:rFonts w:asciiTheme="minorHAnsi" w:hAnsiTheme="minorHAnsi" w:cs="Arial"/>
          <w:b/>
          <w:color w:val="000000"/>
        </w:rPr>
      </w:pPr>
      <w:r w:rsidRPr="000D3432">
        <w:rPr>
          <w:rFonts w:asciiTheme="minorHAnsi" w:hAnsiTheme="minorHAnsi" w:cs="Arial"/>
          <w:b/>
          <w:bCs/>
          <w:color w:val="000000"/>
        </w:rPr>
        <w:t xml:space="preserve">Tentativa Impune: </w:t>
      </w:r>
    </w:p>
    <w:p w14:paraId="62CDCBC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17.-</w:t>
      </w:r>
      <w:r w:rsidRPr="000D3432">
        <w:rPr>
          <w:rStyle w:val="apple-converted-space"/>
          <w:rFonts w:asciiTheme="minorHAnsi" w:hAnsiTheme="minorHAnsi" w:cs="Arial"/>
          <w:b/>
          <w:bCs/>
          <w:color w:val="000000"/>
        </w:rPr>
        <w:t> </w:t>
      </w:r>
      <w:r w:rsidRPr="000D3432">
        <w:rPr>
          <w:rFonts w:asciiTheme="minorHAnsi" w:hAnsiTheme="minorHAnsi" w:cs="Arial"/>
          <w:color w:val="000000"/>
        </w:rPr>
        <w:t>No es punible la tentativa cuando es imposible la consumación del delito, por la ineficacia absoluta del medio empleado o absoluta impropiedad del objeto.</w:t>
      </w:r>
    </w:p>
    <w:p w14:paraId="0C0F6D29"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46DB6588"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c) Desistimiento voluntario – Arrepentimiento activo</w:t>
      </w:r>
    </w:p>
    <w:p w14:paraId="69D2EF9D"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5C3F58BD"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53C2A6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Desistimiento voluntario - Arrepentimiento activo</w:t>
      </w:r>
    </w:p>
    <w:p w14:paraId="703429F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bookmarkStart w:id="164" w:name="JD_salas1651"/>
      <w:bookmarkEnd w:id="164"/>
      <w:r w:rsidRPr="000D3432">
        <w:rPr>
          <w:rFonts w:asciiTheme="minorHAnsi" w:hAnsiTheme="minorHAnsi" w:cs="Arial"/>
          <w:b/>
          <w:bCs/>
          <w:color w:val="000000"/>
        </w:rPr>
        <w:t>Artículo 18.-</w:t>
      </w:r>
      <w:r w:rsidRPr="000D3432">
        <w:rPr>
          <w:rStyle w:val="apple-converted-space"/>
          <w:rFonts w:asciiTheme="minorHAnsi" w:hAnsiTheme="minorHAnsi" w:cs="Arial"/>
          <w:b/>
          <w:bCs/>
          <w:color w:val="000000"/>
        </w:rPr>
        <w:t> </w:t>
      </w:r>
      <w:r w:rsidRPr="000D3432">
        <w:rPr>
          <w:rFonts w:asciiTheme="minorHAnsi" w:hAnsiTheme="minorHAnsi" w:cs="Arial"/>
          <w:color w:val="000000"/>
        </w:rPr>
        <w:t>Si el agente desiste voluntariamente de proseguir los actos de ejecución del delito o impide que se produzca el resultado, será penado sólo cuando los actos practicados constituyen por sí otros delitos.</w:t>
      </w:r>
    </w:p>
    <w:p w14:paraId="1C3A62BD"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6EAB21F"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d)  Participación de varios agentes en la tentativa</w:t>
      </w:r>
    </w:p>
    <w:p w14:paraId="74C01158"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0766651E"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E41E50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Participación de varios agentes en la tentativa</w:t>
      </w:r>
    </w:p>
    <w:p w14:paraId="40FBE8B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19.-</w:t>
      </w:r>
      <w:r w:rsidRPr="000D3432">
        <w:rPr>
          <w:rStyle w:val="apple-converted-space"/>
          <w:rFonts w:asciiTheme="minorHAnsi" w:hAnsiTheme="minorHAnsi" w:cs="Arial"/>
          <w:b/>
          <w:bCs/>
          <w:color w:val="000000"/>
        </w:rPr>
        <w:t> </w:t>
      </w:r>
      <w:r w:rsidRPr="000D3432">
        <w:rPr>
          <w:rFonts w:asciiTheme="minorHAnsi" w:hAnsiTheme="minorHAnsi" w:cs="Arial"/>
          <w:color w:val="000000"/>
        </w:rPr>
        <w:t>Si varios agentes participan en el hecho, no es punible la tentativa de aquél que voluntariamente impidiera el resultado, ni la de aquél que se esforzara seriamente por impedir la ejecución del delito aunque los otros partícipes prosigan en su ejecución o consumación.</w:t>
      </w:r>
    </w:p>
    <w:p w14:paraId="1B1B0CD9" w14:textId="77777777" w:rsidR="009E6E2E" w:rsidRPr="000D3432" w:rsidRDefault="009E6E2E" w:rsidP="009E6E2E">
      <w:pPr>
        <w:pStyle w:val="Prrafodelista"/>
        <w:ind w:left="0"/>
        <w:contextualSpacing w:val="0"/>
        <w:rPr>
          <w:sz w:val="24"/>
          <w:szCs w:val="24"/>
          <w:lang w:val="es-ES_tradnl"/>
        </w:rPr>
      </w:pPr>
    </w:p>
    <w:p w14:paraId="77C890EF" w14:textId="77777777" w:rsidR="009E6E2E" w:rsidRPr="000D3432" w:rsidRDefault="009E6E2E" w:rsidP="009E6E2E">
      <w:pPr>
        <w:pStyle w:val="Prrafodelista"/>
        <w:ind w:left="0"/>
        <w:contextualSpacing w:val="0"/>
        <w:rPr>
          <w:sz w:val="24"/>
          <w:szCs w:val="24"/>
          <w:lang w:val="es-ES_tradnl"/>
        </w:rPr>
      </w:pPr>
    </w:p>
    <w:p w14:paraId="646D1230"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3.- Causas que eximen o atenúan la responsabilidad penal</w:t>
      </w:r>
    </w:p>
    <w:p w14:paraId="475FB4E5" w14:textId="77777777" w:rsidR="009E6E2E" w:rsidRPr="000D3432" w:rsidRDefault="009E6E2E" w:rsidP="009E6E2E">
      <w:pPr>
        <w:pStyle w:val="Prrafodelista"/>
        <w:ind w:left="0"/>
        <w:contextualSpacing w:val="0"/>
        <w:rPr>
          <w:sz w:val="24"/>
          <w:szCs w:val="24"/>
          <w:lang w:val="es-ES_tradnl"/>
        </w:rPr>
      </w:pPr>
    </w:p>
    <w:p w14:paraId="3DAB9FE4"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a) Inimputabilidad</w:t>
      </w:r>
    </w:p>
    <w:p w14:paraId="7C21BA7A"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34FBD38E" w14:textId="77777777" w:rsidR="009E6E2E" w:rsidRPr="000D3432" w:rsidRDefault="009E6E2E" w:rsidP="009E6E2E">
      <w:pPr>
        <w:pStyle w:val="Prrafodelista"/>
        <w:ind w:left="0"/>
        <w:contextualSpacing w:val="0"/>
        <w:rPr>
          <w:sz w:val="24"/>
          <w:szCs w:val="24"/>
          <w:lang w:val="es-ES_tradnl"/>
        </w:rPr>
      </w:pPr>
    </w:p>
    <w:p w14:paraId="3BEFC48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Inimputabilidad</w:t>
      </w:r>
    </w:p>
    <w:p w14:paraId="785355F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20.-</w:t>
      </w:r>
      <w:r w:rsidRPr="000D3432">
        <w:rPr>
          <w:rStyle w:val="apple-converted-space"/>
          <w:rFonts w:asciiTheme="minorHAnsi" w:hAnsiTheme="minorHAnsi" w:cs="Arial"/>
          <w:b/>
          <w:bCs/>
          <w:color w:val="000000"/>
        </w:rPr>
        <w:t> </w:t>
      </w:r>
      <w:r w:rsidRPr="000D3432">
        <w:rPr>
          <w:rFonts w:asciiTheme="minorHAnsi" w:hAnsiTheme="minorHAnsi" w:cs="Arial"/>
          <w:color w:val="000000"/>
        </w:rPr>
        <w:t>Está exento de responsabilidad penal:</w:t>
      </w:r>
    </w:p>
    <w:p w14:paraId="3016E12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1. El que por anomalía psíquica, grave alteración de la conciencia o por sufrir alteraciones en la percepción, que afectan gravemente su concepto de la realidad, no posea la facultad de comprender el carácter delictuoso de su acto o para determinarse según esta comprensión;</w:t>
      </w:r>
    </w:p>
    <w:p w14:paraId="78C8034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2C31EB5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2. El menor de 18 años</w:t>
      </w:r>
      <w:r w:rsidRPr="000D3432">
        <w:rPr>
          <w:rFonts w:asciiTheme="minorHAnsi" w:hAnsiTheme="minorHAnsi" w:cs="Arial"/>
          <w:i/>
          <w:iCs/>
          <w:color w:val="000000"/>
        </w:rPr>
        <w:t>."</w:t>
      </w:r>
    </w:p>
    <w:p w14:paraId="121F60A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58CC730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3. El que obra en defensa de bienes jurídicos propios o de terceros, siempre que concurran las circunstancias siguientes:</w:t>
      </w:r>
    </w:p>
    <w:p w14:paraId="3666F8B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a) Agresión ilegítima;</w:t>
      </w:r>
    </w:p>
    <w:p w14:paraId="27605E6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w:t>
      </w:r>
      <w:r w:rsidRPr="000D3432">
        <w:rPr>
          <w:rFonts w:asciiTheme="minorHAnsi" w:hAnsiTheme="minorHAnsi" w:cs="Arial"/>
          <w:color w:val="000000"/>
        </w:rPr>
        <w:t>b) Necesidad racional del medio empleado para impedirla o repelerla. Se excluye para la valoración de este requisito el criterio de proporcionalidad de medios, considerándose en su lugar, entre otras circunstancias, la intensidad y peligrosidad de la agresión, la forma de proceder del agresor y los medios de que se disponga para la defensa.</w:t>
      </w:r>
      <w:r w:rsidRPr="000D3432">
        <w:rPr>
          <w:rFonts w:asciiTheme="minorHAnsi" w:hAnsiTheme="minorHAnsi" w:cs="Arial"/>
          <w:b/>
          <w:bCs/>
          <w:color w:val="000000"/>
        </w:rPr>
        <w:t>”</w:t>
      </w:r>
    </w:p>
    <w:p w14:paraId="3712215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c) Falta de provocación suficiente de quien hace la defensa;</w:t>
      </w:r>
    </w:p>
    <w:p w14:paraId="4D958F26" w14:textId="77777777" w:rsidR="009E6E2E" w:rsidRPr="000D3432" w:rsidRDefault="009E6E2E" w:rsidP="009E6E2E">
      <w:pPr>
        <w:pStyle w:val="NormalWeb"/>
        <w:spacing w:before="0" w:beforeAutospacing="0" w:after="0" w:afterAutospacing="0"/>
        <w:ind w:left="567"/>
        <w:jc w:val="both"/>
        <w:rPr>
          <w:rFonts w:asciiTheme="minorHAnsi" w:hAnsiTheme="minorHAnsi" w:cs="Arial"/>
          <w:color w:val="000000"/>
        </w:rPr>
      </w:pPr>
      <w:r w:rsidRPr="000D3432">
        <w:rPr>
          <w:rFonts w:asciiTheme="minorHAnsi" w:hAnsiTheme="minorHAnsi" w:cs="Arial"/>
          <w:b/>
          <w:bCs/>
          <w:color w:val="000000"/>
        </w:rPr>
        <w:t>CONCORDANCIAS:</w:t>
      </w:r>
      <w:r w:rsidRPr="000D3432">
        <w:rPr>
          <w:rFonts w:asciiTheme="minorHAnsi" w:hAnsiTheme="minorHAnsi" w:cs="Arial"/>
          <w:color w:val="000000"/>
        </w:rPr>
        <w:t> </w:t>
      </w:r>
      <w:r w:rsidRPr="000D3432">
        <w:rPr>
          <w:rFonts w:asciiTheme="minorHAnsi" w:hAnsiTheme="minorHAnsi" w:cs="Arial"/>
          <w:b/>
          <w:bCs/>
          <w:color w:val="000000"/>
        </w:rPr>
        <w:t>D.Leg. Nº 1095, Art. 30 (Decreto Legislativo que establece reglas de empleo y uso de la fuerza por parte de las Fuerzas Armadas en el territorio nacional)</w:t>
      </w:r>
    </w:p>
    <w:p w14:paraId="7DA1736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4. El que, ante un peligro actual e insuperable de otro modo, que amenace la vida, la integridad corporal, la libertad u otro bien jurídico, realiza un hecho destinado a conjurar dicho peligro de sí o de otro, siempre que concurran los siguientes requisitos:</w:t>
      </w:r>
    </w:p>
    <w:p w14:paraId="35D5250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4CF9C1D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a) Cuando de la apreciación de los bienes jurídicos en conflicto afectados y de la intensidad del peligro que amenaza, el bien protegido resulta predominante sobre el interés dañado; y</w:t>
      </w:r>
    </w:p>
    <w:p w14:paraId="248D9E69"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b) Cuando se emplee un medio adecuado para vencer el peligro;</w:t>
      </w:r>
    </w:p>
    <w:p w14:paraId="6802E50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521A2BC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5. El que, ante un peligro actual y no evitable de otro modo, que signifique una amenaza para la vida, la integridad corporal o la libertad, realiza un hecho antijurídico para alejar el peligro de sí mismo o de una persona con quien tiene estrecha vinculación.</w:t>
      </w:r>
    </w:p>
    <w:p w14:paraId="510EDF3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4295297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No procede esta exención si al agente pudo exigírsele que aceptase o soportase el peligro en atención a las circunstancias; especialmente, si causó el peligro o estuviese obligado por una particular relación jurídica;</w:t>
      </w:r>
    </w:p>
    <w:p w14:paraId="6F64FC8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103853E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6. El que obra por una fuerza física irresistible proveniente de un tercero o de la naturaleza;</w:t>
      </w:r>
    </w:p>
    <w:p w14:paraId="5BF8B49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7. El que obra compelido por miedo insuperable de un mal igual o mayor;</w:t>
      </w:r>
    </w:p>
    <w:p w14:paraId="6F34EA9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5C192FC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8. El que obra por disposición de la ley, en cumplimiento de un deber o en el ejercicio legítimo de un derecho, oficio o cargo;</w:t>
      </w:r>
      <w:r w:rsidRPr="000D3432">
        <w:rPr>
          <w:rStyle w:val="apple-converted-space"/>
          <w:rFonts w:asciiTheme="minorHAnsi" w:hAnsiTheme="minorHAnsi" w:cs="Arial"/>
          <w:color w:val="000000"/>
        </w:rPr>
        <w:t> </w:t>
      </w:r>
      <w:r w:rsidRPr="000D3432">
        <w:rPr>
          <w:rFonts w:asciiTheme="minorHAnsi" w:hAnsiTheme="minorHAnsi" w:cs="Arial"/>
          <w:b/>
          <w:bCs/>
          <w:color w:val="000000"/>
        </w:rPr>
        <w:t>(*)</w:t>
      </w:r>
    </w:p>
    <w:p w14:paraId="4D4A955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De conformidad con el Artículo 4 de la</w:t>
      </w:r>
      <w:r w:rsidRPr="000D3432">
        <w:rPr>
          <w:rStyle w:val="apple-converted-space"/>
          <w:rFonts w:asciiTheme="minorHAnsi" w:hAnsiTheme="minorHAnsi" w:cs="Arial"/>
          <w:color w:val="000000"/>
        </w:rPr>
        <w:t> </w:t>
      </w:r>
      <w:r w:rsidRPr="000D3432">
        <w:rPr>
          <w:rFonts w:asciiTheme="minorHAnsi" w:hAnsiTheme="minorHAnsi" w:cs="Arial"/>
          <w:b/>
          <w:bCs/>
          <w:color w:val="000000"/>
        </w:rPr>
        <w:t>Ley N° 27936, publicada el 12-02-2003, lo dispuesto en los Artículos 2 y 3 de la citada Ley, se aplicará para el presente inciso, dentro de lo que corresponda a este supuesto.</w:t>
      </w:r>
    </w:p>
    <w:p w14:paraId="414F553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w:t>
      </w:r>
      <w:r w:rsidRPr="000D3432">
        <w:rPr>
          <w:rFonts w:asciiTheme="minorHAnsi" w:hAnsiTheme="minorHAnsi" w:cs="Arial"/>
          <w:color w:val="000000"/>
        </w:rPr>
        <w:t>     </w:t>
      </w:r>
      <w:r w:rsidRPr="000D3432">
        <w:rPr>
          <w:rFonts w:asciiTheme="minorHAnsi" w:hAnsiTheme="minorHAnsi" w:cs="Arial"/>
          <w:b/>
          <w:bCs/>
          <w:color w:val="000000"/>
        </w:rPr>
        <w:t>D.Leg. Nº 1095, Art. 30 (Decreto Legislativo que establece reglas de empleo y uso de la fuerza por parte de las Fuerzas Armadas en el territorio</w:t>
      </w:r>
      <w:r w:rsidRPr="000D3432">
        <w:rPr>
          <w:rFonts w:asciiTheme="minorHAnsi" w:hAnsiTheme="minorHAnsi" w:cs="Arial"/>
          <w:b/>
          <w:bCs/>
          <w:color w:val="000000"/>
        </w:rPr>
        <w:br/>
        <w:t>               nacional)</w:t>
      </w:r>
    </w:p>
    <w:p w14:paraId="1B83E99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2EA4B61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9. El que obra por orden obligatoria de autoridad competente, expedida en ejercicio de sus funciones.</w:t>
      </w:r>
    </w:p>
    <w:p w14:paraId="7FEB978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0C2209B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10. El que actúa con el consentimiento válido del titular de un bien jurídico de libre disposición.</w:t>
      </w:r>
    </w:p>
    <w:p w14:paraId="10DA7C62"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bookmarkStart w:id="165" w:name="JD_DL635-A20-n11"/>
      <w:bookmarkEnd w:id="165"/>
    </w:p>
    <w:p w14:paraId="28E26E1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11. El personal de las Fuerzas Armadas y de la Policía Nacional del Perú que, en el cumplimiento de su deber y en uso de sus armas u otro medio de defensa, cause lesiones o muerte.</w:t>
      </w:r>
      <w:r w:rsidRPr="000D3432">
        <w:rPr>
          <w:rFonts w:asciiTheme="minorHAnsi" w:hAnsiTheme="minorHAnsi" w:cs="Arial"/>
          <w:b/>
          <w:bCs/>
          <w:color w:val="000000"/>
        </w:rPr>
        <w:t>”</w:t>
      </w:r>
    </w:p>
    <w:p w14:paraId="11A6C59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w:t>
      </w:r>
      <w:r w:rsidRPr="000D3432">
        <w:rPr>
          <w:rFonts w:asciiTheme="minorHAnsi" w:hAnsiTheme="minorHAnsi" w:cs="Arial"/>
          <w:color w:val="000000"/>
        </w:rPr>
        <w:t>     </w:t>
      </w:r>
      <w:r w:rsidRPr="000D3432">
        <w:rPr>
          <w:rFonts w:asciiTheme="minorHAnsi" w:hAnsiTheme="minorHAnsi" w:cs="Arial"/>
          <w:b/>
          <w:bCs/>
          <w:color w:val="000000"/>
        </w:rPr>
        <w:t>D.Leg. Nº 1095, Art. 30 (Decreto Legislativo que establece reglas de empleo y uso de la fuerza por parte de las Fuerzas Armadas en el territorio</w:t>
      </w:r>
      <w:r w:rsidRPr="000D3432">
        <w:rPr>
          <w:rFonts w:asciiTheme="minorHAnsi" w:hAnsiTheme="minorHAnsi" w:cs="Arial"/>
          <w:b/>
          <w:bCs/>
          <w:color w:val="000000"/>
        </w:rPr>
        <w:br/>
        <w:t>               nacional)</w:t>
      </w:r>
    </w:p>
    <w:p w14:paraId="45F82700"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5BFCF45A"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12371A3B"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b) Responsabilidad restringida</w:t>
      </w:r>
    </w:p>
    <w:p w14:paraId="66F614BC"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09865F32"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2FEAE0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Responsabilidad restringida</w:t>
      </w:r>
    </w:p>
    <w:p w14:paraId="7F67D4A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21.-</w:t>
      </w:r>
      <w:r w:rsidRPr="000D3432">
        <w:rPr>
          <w:rStyle w:val="apple-converted-space"/>
          <w:rFonts w:asciiTheme="minorHAnsi" w:hAnsiTheme="minorHAnsi" w:cs="Arial"/>
          <w:b/>
          <w:bCs/>
          <w:color w:val="000000"/>
        </w:rPr>
        <w:t> </w:t>
      </w:r>
      <w:r w:rsidRPr="000D3432">
        <w:rPr>
          <w:rFonts w:asciiTheme="minorHAnsi" w:hAnsiTheme="minorHAnsi" w:cs="Arial"/>
          <w:color w:val="000000"/>
        </w:rPr>
        <w:t>En los casos del artículo 20, cuando no concurra alguno de los requisitos necesarios para hacer desaparecer totalmente la responsabilidad, el Juez podrá disminuir prudencialmente la pena hasta límites inferiores al mínimo legal.</w:t>
      </w:r>
    </w:p>
    <w:p w14:paraId="4D550F4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533767F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bookmarkStart w:id="166" w:name="JD_Artculo22.Responsabi"/>
      <w:bookmarkEnd w:id="166"/>
      <w:r w:rsidRPr="000D3432">
        <w:rPr>
          <w:rFonts w:asciiTheme="minorHAnsi" w:hAnsiTheme="minorHAnsi" w:cs="Arial"/>
          <w:b/>
          <w:bCs/>
          <w:color w:val="000000"/>
        </w:rPr>
        <w:t>Artículo 22. Responsabilidad restringida por la edad</w:t>
      </w:r>
    </w:p>
    <w:p w14:paraId="0F9C346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Podrá reducirse prudencialmente la pena señalada para el hecho punible cometido cuando el agente tenga más de dieciocho y menos de veintiún años o más de sesenta y cinco años al momento de realizar la infracción, salvo que haya incurrido en forma reiterada en los delitos previstos en los artículos 111, tercer párrafo, y 124, cuarto párrafo.</w:t>
      </w:r>
    </w:p>
    <w:p w14:paraId="76939D7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180E0CE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Está excluido el agente integrante de una organización criminal o que haya incurrido en delito de violación de la libertad sexual, homicidio calificado, homicidio calificado por la condición oficial del agente, feminicidio,</w:t>
      </w:r>
      <w:r w:rsidRPr="000D3432">
        <w:rPr>
          <w:rStyle w:val="apple-converted-space"/>
          <w:rFonts w:asciiTheme="minorHAnsi" w:hAnsiTheme="minorHAnsi" w:cs="Arial"/>
          <w:color w:val="000000"/>
        </w:rPr>
        <w:t> </w:t>
      </w:r>
      <w:r w:rsidRPr="000D3432">
        <w:rPr>
          <w:rFonts w:asciiTheme="minorHAnsi" w:hAnsiTheme="minorHAnsi" w:cs="Arial"/>
          <w:b/>
          <w:bCs/>
          <w:color w:val="000000"/>
        </w:rPr>
        <w:t>sicariato, conspiración para el delito de sicariato y ofrecimiento para el delito de sicariato,</w:t>
      </w:r>
      <w:r w:rsidRPr="000D3432">
        <w:rPr>
          <w:rStyle w:val="apple-converted-space"/>
          <w:rFonts w:asciiTheme="minorHAnsi" w:hAnsiTheme="minorHAnsi" w:cs="Arial"/>
          <w:b/>
          <w:bCs/>
          <w:color w:val="000000"/>
        </w:rPr>
        <w:t> </w:t>
      </w:r>
      <w:r w:rsidRPr="000D3432">
        <w:rPr>
          <w:rFonts w:asciiTheme="minorHAnsi" w:hAnsiTheme="minorHAnsi" w:cs="Arial"/>
          <w:color w:val="000000"/>
        </w:rPr>
        <w:t>extorsión, secuestro, robo agravado, tráfico ilícito de drogas, terrorismo, terrorismo agravado, apología,</w:t>
      </w:r>
      <w:r w:rsidRPr="000D3432">
        <w:rPr>
          <w:rStyle w:val="apple-converted-space"/>
          <w:rFonts w:asciiTheme="minorHAnsi" w:hAnsiTheme="minorHAnsi" w:cs="Arial"/>
          <w:color w:val="000000"/>
        </w:rPr>
        <w:t> </w:t>
      </w:r>
      <w:r w:rsidRPr="000D3432">
        <w:rPr>
          <w:rFonts w:asciiTheme="minorHAnsi" w:hAnsiTheme="minorHAnsi" w:cs="Arial"/>
          <w:b/>
          <w:bCs/>
          <w:color w:val="000000"/>
        </w:rPr>
        <w:t>genocidio, desaparición forzada, tortura,</w:t>
      </w:r>
      <w:r w:rsidRPr="000D3432">
        <w:rPr>
          <w:rStyle w:val="apple-converted-space"/>
          <w:rFonts w:asciiTheme="minorHAnsi" w:hAnsiTheme="minorHAnsi" w:cs="Arial"/>
          <w:b/>
          <w:bCs/>
          <w:color w:val="000000"/>
        </w:rPr>
        <w:t> </w:t>
      </w:r>
      <w:r w:rsidRPr="000D3432">
        <w:rPr>
          <w:rFonts w:asciiTheme="minorHAnsi" w:hAnsiTheme="minorHAnsi" w:cs="Arial"/>
          <w:color w:val="000000"/>
        </w:rPr>
        <w:t>atentado contra la seguridad nacional, traición a la Patria u otro delito sancionado con pena privativa de libertad no menor de veinticinco años o cadena perpetua.</w:t>
      </w:r>
      <w:r w:rsidRPr="000D3432">
        <w:rPr>
          <w:rFonts w:asciiTheme="minorHAnsi" w:hAnsiTheme="minorHAnsi" w:cs="Arial"/>
          <w:b/>
          <w:bCs/>
          <w:color w:val="000000"/>
        </w:rPr>
        <w:t>"</w:t>
      </w:r>
    </w:p>
    <w:p w14:paraId="6E126FE8" w14:textId="77777777" w:rsidR="009E6E2E" w:rsidRPr="000D3432" w:rsidRDefault="009E6E2E" w:rsidP="009E6E2E">
      <w:pPr>
        <w:pStyle w:val="Prrafodelista"/>
        <w:ind w:left="0"/>
        <w:contextualSpacing w:val="0"/>
        <w:rPr>
          <w:sz w:val="24"/>
          <w:szCs w:val="24"/>
          <w:lang w:val="es-ES_tradnl"/>
        </w:rPr>
      </w:pPr>
    </w:p>
    <w:p w14:paraId="545BFDA2" w14:textId="77777777" w:rsidR="009E6E2E" w:rsidRPr="000D3432" w:rsidRDefault="009E6E2E" w:rsidP="009E6E2E">
      <w:pPr>
        <w:pStyle w:val="Prrafodelista"/>
        <w:ind w:left="0"/>
        <w:contextualSpacing w:val="0"/>
        <w:rPr>
          <w:sz w:val="24"/>
          <w:szCs w:val="24"/>
          <w:lang w:val="es-ES_tradnl"/>
        </w:rPr>
      </w:pPr>
    </w:p>
    <w:p w14:paraId="681E0E7C"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4.- Autoría y Participación</w:t>
      </w:r>
    </w:p>
    <w:p w14:paraId="641E94B2" w14:textId="77777777" w:rsidR="009E6E2E" w:rsidRPr="000D3432" w:rsidRDefault="009E6E2E" w:rsidP="009E6E2E">
      <w:pPr>
        <w:rPr>
          <w:rFonts w:asciiTheme="minorHAnsi" w:hAnsiTheme="minorHAnsi"/>
          <w:szCs w:val="24"/>
          <w:lang w:val="es-ES_tradnl"/>
        </w:rPr>
      </w:pPr>
    </w:p>
    <w:p w14:paraId="043B4ED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a) Autoría, autoría mediata y coatoría</w:t>
      </w:r>
    </w:p>
    <w:p w14:paraId="724CC108"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059646D2"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127A3F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Autoría, autoría mediata y coautoría</w:t>
      </w:r>
    </w:p>
    <w:p w14:paraId="18C9B44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23.-</w:t>
      </w:r>
      <w:r w:rsidRPr="000D3432">
        <w:rPr>
          <w:rStyle w:val="apple-converted-space"/>
          <w:rFonts w:asciiTheme="minorHAnsi" w:hAnsiTheme="minorHAnsi" w:cs="Arial"/>
          <w:b/>
          <w:bCs/>
          <w:color w:val="000000"/>
        </w:rPr>
        <w:t> </w:t>
      </w:r>
      <w:r w:rsidRPr="000D3432">
        <w:rPr>
          <w:rFonts w:asciiTheme="minorHAnsi" w:hAnsiTheme="minorHAnsi" w:cs="Arial"/>
          <w:color w:val="000000"/>
        </w:rPr>
        <w:t>El que realiza por sí o por medio de otro el hecho punible y los que lo cometan conjuntamente serán reprimidos con la pena establecida para esta infracción.</w:t>
      </w:r>
    </w:p>
    <w:p w14:paraId="0D163D0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2930B7BF" w14:textId="77777777" w:rsidR="009E6E2E" w:rsidRPr="000D3432" w:rsidRDefault="009E6E2E" w:rsidP="009E6E2E">
      <w:pPr>
        <w:pStyle w:val="NormalWeb"/>
        <w:spacing w:before="0" w:beforeAutospacing="0" w:after="0" w:afterAutospacing="0"/>
        <w:jc w:val="both"/>
        <w:rPr>
          <w:rFonts w:asciiTheme="minorHAnsi" w:hAnsiTheme="minorHAnsi" w:cs="Arial"/>
          <w:b/>
          <w:color w:val="000000"/>
        </w:rPr>
      </w:pPr>
      <w:r w:rsidRPr="000D3432">
        <w:rPr>
          <w:rFonts w:asciiTheme="minorHAnsi" w:hAnsiTheme="minorHAnsi" w:cs="Arial"/>
          <w:b/>
          <w:color w:val="000000"/>
        </w:rPr>
        <w:t>b)  Instigación</w:t>
      </w:r>
    </w:p>
    <w:p w14:paraId="4D05F1AD"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78156B2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68BC102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Instigación</w:t>
      </w:r>
    </w:p>
    <w:p w14:paraId="11C3A9E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24.-</w:t>
      </w:r>
      <w:r w:rsidRPr="000D3432">
        <w:rPr>
          <w:rStyle w:val="apple-converted-space"/>
          <w:rFonts w:asciiTheme="minorHAnsi" w:hAnsiTheme="minorHAnsi" w:cs="Arial"/>
          <w:b/>
          <w:bCs/>
          <w:color w:val="000000"/>
        </w:rPr>
        <w:t> </w:t>
      </w:r>
      <w:r w:rsidRPr="000D3432">
        <w:rPr>
          <w:rFonts w:asciiTheme="minorHAnsi" w:hAnsiTheme="minorHAnsi" w:cs="Arial"/>
          <w:color w:val="000000"/>
        </w:rPr>
        <w:t>El que, dolosamente, determina a otro a cometer el hecho punible será reprimido con la pena que corresponde al autor.</w:t>
      </w:r>
    </w:p>
    <w:p w14:paraId="1A5A4D6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15572DC6"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c) Complicidad primaria y complicidad secundaria</w:t>
      </w:r>
    </w:p>
    <w:p w14:paraId="4C83CCDC"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7756FC25"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5F140AA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Complicidad primaria y complicidad secundaria</w:t>
      </w:r>
    </w:p>
    <w:p w14:paraId="1EEA9D2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25.-</w:t>
      </w:r>
      <w:r w:rsidRPr="000D3432">
        <w:rPr>
          <w:rStyle w:val="apple-converted-space"/>
          <w:rFonts w:asciiTheme="minorHAnsi" w:hAnsiTheme="minorHAnsi" w:cs="Arial"/>
          <w:b/>
          <w:bCs/>
          <w:color w:val="000000"/>
        </w:rPr>
        <w:t> </w:t>
      </w:r>
      <w:r w:rsidRPr="000D3432">
        <w:rPr>
          <w:rFonts w:asciiTheme="minorHAnsi" w:hAnsiTheme="minorHAnsi" w:cs="Arial"/>
          <w:color w:val="000000"/>
        </w:rPr>
        <w:t>El que, dolosamente, preste auxilio para la realización del hecho punible, sin el cual no se hubiere perpetrado, será reprimido con la pena prevista para el autor.</w:t>
      </w:r>
    </w:p>
    <w:p w14:paraId="299B1F1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3F043A8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A los que, de cualquier otro modo, hubieran dolosamente prestado asistencia se les disminuirá prudencialmente la pena.</w:t>
      </w:r>
    </w:p>
    <w:p w14:paraId="204614FA"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3B9F7CAF"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d) Incomunicabilidad en las circunstancias de participación</w:t>
      </w:r>
    </w:p>
    <w:p w14:paraId="707F1273"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55F3AD8D"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055EA18"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Incomunicabilidad en las circunstancias de participación</w:t>
      </w:r>
    </w:p>
    <w:p w14:paraId="7B02557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26.-</w:t>
      </w:r>
      <w:r w:rsidRPr="000D3432">
        <w:rPr>
          <w:rStyle w:val="apple-converted-space"/>
          <w:rFonts w:asciiTheme="minorHAnsi" w:hAnsiTheme="minorHAnsi" w:cs="Arial"/>
          <w:b/>
          <w:bCs/>
          <w:color w:val="000000"/>
        </w:rPr>
        <w:t> </w:t>
      </w:r>
      <w:r w:rsidRPr="000D3432">
        <w:rPr>
          <w:rFonts w:asciiTheme="minorHAnsi" w:hAnsiTheme="minorHAnsi" w:cs="Arial"/>
          <w:color w:val="000000"/>
        </w:rPr>
        <w:t>Las circunstancias y cualidades que afecten la responsabilidad de algunos de los autores y partícipes no modifican las de los otros autores o partícipes del mismo hecho punible.</w:t>
      </w:r>
    </w:p>
    <w:p w14:paraId="2395794B"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385B09FD"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
          <w:bCs/>
          <w:color w:val="000000"/>
        </w:rPr>
        <w:t>e) Actuación en nombre de otro</w:t>
      </w:r>
    </w:p>
    <w:p w14:paraId="179AFD4A"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bCs/>
          <w:color w:val="000000"/>
        </w:rPr>
        <w:t>De acuerdo con el Código Penal (Decreto Legislativo Nº 635):</w:t>
      </w:r>
    </w:p>
    <w:p w14:paraId="2FF3B336"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332EE25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Actuación en nombre de otro</w:t>
      </w:r>
    </w:p>
    <w:p w14:paraId="28AE785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27.-</w:t>
      </w:r>
      <w:r w:rsidRPr="000D3432">
        <w:rPr>
          <w:rStyle w:val="apple-converted-space"/>
          <w:rFonts w:asciiTheme="minorHAnsi" w:hAnsiTheme="minorHAnsi" w:cs="Arial"/>
          <w:b/>
          <w:bCs/>
          <w:color w:val="000000"/>
        </w:rPr>
        <w:t> </w:t>
      </w:r>
      <w:r w:rsidRPr="000D3432">
        <w:rPr>
          <w:rFonts w:asciiTheme="minorHAnsi" w:hAnsiTheme="minorHAnsi" w:cs="Arial"/>
          <w:color w:val="000000"/>
        </w:rPr>
        <w:t>El que actúa como órgano de representación autorizado de una persona jurídica o como socio representante autorizado de una sociedad y realiza el tipo legal de un delito es responsable como autor, aunque los elementos especiales que fundamentan la penalidad de este tipo no concurran en él, pero sí en la representada.</w:t>
      </w:r>
    </w:p>
    <w:p w14:paraId="484AFBFE" w14:textId="77777777" w:rsidR="009E6E2E" w:rsidRPr="000D3432" w:rsidRDefault="009E6E2E" w:rsidP="009E6E2E">
      <w:pPr>
        <w:rPr>
          <w:rFonts w:asciiTheme="minorHAnsi" w:hAnsiTheme="minorHAnsi"/>
          <w:szCs w:val="24"/>
          <w:lang w:val="es-ES_tradnl"/>
        </w:rPr>
      </w:pPr>
      <w:bookmarkStart w:id="167" w:name="JD_penal7"/>
      <w:bookmarkEnd w:id="167"/>
    </w:p>
    <w:p w14:paraId="7FB21211" w14:textId="77777777" w:rsidR="009E6E2E" w:rsidRPr="000D3432" w:rsidRDefault="009E6E2E" w:rsidP="009E6E2E">
      <w:pPr>
        <w:rPr>
          <w:rFonts w:asciiTheme="minorHAnsi" w:hAnsiTheme="minorHAnsi"/>
          <w:szCs w:val="24"/>
          <w:lang w:val="es-ES_tradnl"/>
        </w:rPr>
      </w:pPr>
    </w:p>
    <w:p w14:paraId="6D6C0B5C"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IX.- LAS PENAS</w:t>
      </w:r>
    </w:p>
    <w:p w14:paraId="64FCCBEB" w14:textId="77777777" w:rsidR="009E6E2E" w:rsidRPr="000D3432" w:rsidRDefault="009E6E2E" w:rsidP="009E6E2E">
      <w:pPr>
        <w:pStyle w:val="Prrafodelista"/>
        <w:ind w:left="0"/>
        <w:contextualSpacing w:val="0"/>
        <w:rPr>
          <w:sz w:val="24"/>
          <w:szCs w:val="24"/>
          <w:lang w:val="es-ES_tradnl"/>
        </w:rPr>
      </w:pPr>
    </w:p>
    <w:p w14:paraId="5127EE2E" w14:textId="77777777" w:rsidR="009E6E2E" w:rsidRPr="000D3432" w:rsidRDefault="009E6E2E" w:rsidP="009E6E2E">
      <w:pPr>
        <w:pStyle w:val="Prrafodelista"/>
        <w:ind w:left="0"/>
        <w:contextualSpacing w:val="0"/>
        <w:rPr>
          <w:b/>
          <w:sz w:val="24"/>
          <w:szCs w:val="24"/>
          <w:lang w:val="es-ES_tradnl"/>
        </w:rPr>
      </w:pPr>
      <w:r w:rsidRPr="000D3432">
        <w:rPr>
          <w:b/>
          <w:sz w:val="24"/>
          <w:szCs w:val="24"/>
          <w:lang w:val="es-ES_tradnl"/>
        </w:rPr>
        <w:t>1.- Clases de Penas</w:t>
      </w:r>
    </w:p>
    <w:p w14:paraId="03E94590" w14:textId="77777777" w:rsidR="009E6E2E" w:rsidRPr="000D3432" w:rsidRDefault="009E6E2E" w:rsidP="009E6E2E">
      <w:pPr>
        <w:pStyle w:val="Prrafodelista"/>
        <w:ind w:left="0"/>
        <w:contextualSpacing w:val="0"/>
        <w:rPr>
          <w:sz w:val="24"/>
          <w:szCs w:val="24"/>
          <w:lang w:val="es-ES_tradnl"/>
        </w:rPr>
      </w:pPr>
    </w:p>
    <w:p w14:paraId="271E598A"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a) Privativa de la libertad</w:t>
      </w:r>
    </w:p>
    <w:p w14:paraId="525DCDC3"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b) Restrictivas de libertad (Expulsión del país)</w:t>
      </w:r>
    </w:p>
    <w:p w14:paraId="73AB8861"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 xml:space="preserve">c) Limitativas de derechos: </w:t>
      </w:r>
    </w:p>
    <w:p w14:paraId="169BE993" w14:textId="77777777" w:rsidR="009E6E2E" w:rsidRPr="000D3432" w:rsidRDefault="009E6E2E" w:rsidP="009E6E2E">
      <w:pPr>
        <w:pStyle w:val="Prrafodelista"/>
        <w:ind w:left="708"/>
        <w:contextualSpacing w:val="0"/>
        <w:rPr>
          <w:sz w:val="24"/>
          <w:szCs w:val="24"/>
          <w:lang w:val="es-ES_tradnl"/>
        </w:rPr>
      </w:pPr>
      <w:r w:rsidRPr="000D3432">
        <w:rPr>
          <w:sz w:val="24"/>
          <w:szCs w:val="24"/>
          <w:lang w:val="es-ES_tradnl"/>
        </w:rPr>
        <w:t>- Pena de prestación de servicios a la comunidad</w:t>
      </w:r>
    </w:p>
    <w:p w14:paraId="765C7B73" w14:textId="77777777" w:rsidR="009E6E2E" w:rsidRPr="000D3432" w:rsidRDefault="009E6E2E" w:rsidP="009E6E2E">
      <w:pPr>
        <w:pStyle w:val="Prrafodelista"/>
        <w:ind w:left="708"/>
        <w:contextualSpacing w:val="0"/>
        <w:rPr>
          <w:sz w:val="24"/>
          <w:szCs w:val="24"/>
          <w:lang w:val="es-ES_tradnl"/>
        </w:rPr>
      </w:pPr>
      <w:r w:rsidRPr="000D3432">
        <w:rPr>
          <w:sz w:val="24"/>
          <w:szCs w:val="24"/>
          <w:lang w:val="es-ES_tradnl"/>
        </w:rPr>
        <w:t>- Limitación de días libres</w:t>
      </w:r>
    </w:p>
    <w:p w14:paraId="54F8DCD1" w14:textId="77777777" w:rsidR="009E6E2E" w:rsidRPr="000D3432" w:rsidRDefault="009E6E2E" w:rsidP="009E6E2E">
      <w:pPr>
        <w:pStyle w:val="Prrafodelista"/>
        <w:ind w:left="708"/>
        <w:contextualSpacing w:val="0"/>
        <w:rPr>
          <w:sz w:val="24"/>
          <w:szCs w:val="24"/>
          <w:lang w:val="es-ES_tradnl"/>
        </w:rPr>
      </w:pPr>
      <w:r w:rsidRPr="000D3432">
        <w:rPr>
          <w:sz w:val="24"/>
          <w:szCs w:val="24"/>
          <w:lang w:val="es-ES_tradnl"/>
        </w:rPr>
        <w:t>- Inhabilitación</w:t>
      </w:r>
    </w:p>
    <w:p w14:paraId="6A3C2972"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 xml:space="preserve"> </w:t>
      </w:r>
    </w:p>
    <w:p w14:paraId="210EED5B"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d) Multa</w:t>
      </w:r>
    </w:p>
    <w:p w14:paraId="54B487F6" w14:textId="77777777" w:rsidR="009E6E2E" w:rsidRPr="000D3432" w:rsidRDefault="009E6E2E" w:rsidP="009E6E2E">
      <w:pPr>
        <w:pStyle w:val="Prrafodelista"/>
        <w:ind w:left="0"/>
        <w:contextualSpacing w:val="0"/>
        <w:rPr>
          <w:sz w:val="24"/>
          <w:szCs w:val="24"/>
          <w:lang w:val="es-ES_tradnl"/>
        </w:rPr>
      </w:pPr>
    </w:p>
    <w:p w14:paraId="2CD0C248" w14:textId="77777777" w:rsidR="009E6E2E" w:rsidRPr="000D3432" w:rsidRDefault="009E6E2E" w:rsidP="009E6E2E">
      <w:pPr>
        <w:rPr>
          <w:rFonts w:asciiTheme="minorHAnsi" w:hAnsiTheme="minorHAnsi"/>
          <w:szCs w:val="24"/>
          <w:lang w:val="es-ES_tradnl"/>
        </w:rPr>
      </w:pPr>
      <w:r w:rsidRPr="000D3432">
        <w:rPr>
          <w:rFonts w:asciiTheme="minorHAnsi" w:hAnsiTheme="minorHAnsi" w:cs="Arial"/>
          <w:bCs/>
          <w:color w:val="000000"/>
          <w:szCs w:val="24"/>
          <w:shd w:val="clear" w:color="auto" w:fill="FFFFFF"/>
          <w:lang w:val="es-ES_tradnl"/>
        </w:rPr>
        <w:t>e) pena de vigilancia electrónica personal</w:t>
      </w:r>
    </w:p>
    <w:p w14:paraId="5FBA1CCB" w14:textId="77777777" w:rsidR="009E6E2E" w:rsidRPr="000D3432" w:rsidRDefault="009E6E2E" w:rsidP="009E6E2E">
      <w:pPr>
        <w:pStyle w:val="Prrafodelista"/>
        <w:ind w:left="0"/>
        <w:contextualSpacing w:val="0"/>
        <w:rPr>
          <w:sz w:val="24"/>
          <w:szCs w:val="24"/>
          <w:lang w:val="es-ES_tradnl"/>
        </w:rPr>
      </w:pPr>
    </w:p>
    <w:p w14:paraId="01EF9362" w14:textId="77777777" w:rsidR="009E6E2E" w:rsidRPr="000D3432" w:rsidRDefault="009E6E2E" w:rsidP="009E6E2E">
      <w:pPr>
        <w:pStyle w:val="Prrafodelista"/>
        <w:ind w:left="0"/>
        <w:contextualSpacing w:val="0"/>
        <w:rPr>
          <w:sz w:val="24"/>
          <w:szCs w:val="24"/>
          <w:lang w:val="es-ES_tradnl"/>
        </w:rPr>
      </w:pPr>
    </w:p>
    <w:p w14:paraId="5EF5BED6" w14:textId="77777777" w:rsidR="009E6E2E" w:rsidRPr="000D3432" w:rsidRDefault="009E6E2E" w:rsidP="009E6E2E">
      <w:pPr>
        <w:pStyle w:val="Prrafodelista"/>
        <w:ind w:left="0"/>
        <w:contextualSpacing w:val="0"/>
        <w:rPr>
          <w:sz w:val="24"/>
          <w:szCs w:val="24"/>
          <w:lang w:val="es-ES_tradnl"/>
        </w:rPr>
      </w:pPr>
    </w:p>
    <w:p w14:paraId="14A70657" w14:textId="77777777" w:rsidR="009E6E2E" w:rsidRPr="000D3432" w:rsidRDefault="009E6E2E" w:rsidP="009E6E2E">
      <w:pPr>
        <w:pStyle w:val="Prrafodelista"/>
        <w:ind w:left="0"/>
        <w:contextualSpacing w:val="0"/>
        <w:rPr>
          <w:sz w:val="24"/>
          <w:szCs w:val="24"/>
          <w:lang w:val="es-ES_tradnl"/>
        </w:rPr>
      </w:pPr>
    </w:p>
    <w:p w14:paraId="66AB05FA" w14:textId="77777777" w:rsidR="009E6E2E" w:rsidRPr="000D3432" w:rsidRDefault="009E6E2E" w:rsidP="009E6E2E">
      <w:pPr>
        <w:pStyle w:val="Prrafodelista"/>
        <w:ind w:left="0"/>
        <w:contextualSpacing w:val="0"/>
        <w:rPr>
          <w:b/>
          <w:sz w:val="24"/>
          <w:szCs w:val="24"/>
          <w:u w:val="single"/>
          <w:lang w:val="es-ES_tradnl"/>
        </w:rPr>
      </w:pPr>
      <w:r w:rsidRPr="000D3432">
        <w:rPr>
          <w:b/>
          <w:sz w:val="24"/>
          <w:szCs w:val="24"/>
          <w:u w:val="single"/>
          <w:lang w:val="es-ES_tradnl"/>
        </w:rPr>
        <w:t>2.- Aplicación de la Pena</w:t>
      </w:r>
    </w:p>
    <w:p w14:paraId="4A1147DF" w14:textId="77777777" w:rsidR="009E6E2E" w:rsidRPr="000D3432" w:rsidRDefault="009E6E2E" w:rsidP="009E6E2E">
      <w:pPr>
        <w:pStyle w:val="Prrafodelista"/>
        <w:ind w:left="0"/>
        <w:contextualSpacing w:val="0"/>
        <w:rPr>
          <w:sz w:val="24"/>
          <w:szCs w:val="24"/>
          <w:lang w:val="es-ES_tradnl"/>
        </w:rPr>
      </w:pPr>
    </w:p>
    <w:p w14:paraId="13FF201D" w14:textId="77777777" w:rsidR="009E6E2E" w:rsidRPr="000D3432" w:rsidRDefault="009E6E2E" w:rsidP="009E6E2E">
      <w:pPr>
        <w:pStyle w:val="Prrafodelista"/>
        <w:ind w:left="0"/>
        <w:contextualSpacing w:val="0"/>
        <w:rPr>
          <w:rFonts w:eastAsia="Times New Roman" w:cs="Arial"/>
          <w:color w:val="000000"/>
          <w:sz w:val="24"/>
          <w:szCs w:val="24"/>
          <w:lang w:val="es-ES_tradnl" w:eastAsia="es-ES"/>
        </w:rPr>
      </w:pPr>
      <w:r w:rsidRPr="000D3432">
        <w:rPr>
          <w:sz w:val="24"/>
          <w:szCs w:val="24"/>
          <w:lang w:val="es-ES_tradnl"/>
        </w:rPr>
        <w:t xml:space="preserve">a) </w:t>
      </w:r>
      <w:r w:rsidRPr="000D3432">
        <w:rPr>
          <w:rFonts w:eastAsia="Times New Roman" w:cs="Arial"/>
          <w:b/>
          <w:bCs/>
          <w:i/>
          <w:iCs/>
          <w:color w:val="000000"/>
          <w:sz w:val="24"/>
          <w:szCs w:val="24"/>
          <w:lang w:val="es-ES_tradnl" w:eastAsia="es-ES"/>
        </w:rPr>
        <w:t>Presupuestos para fundamentar y determinar la pena</w:t>
      </w:r>
    </w:p>
    <w:p w14:paraId="3D7FB3CE"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Decreto Legislativo Nº 635º, se prescribe: </w:t>
      </w:r>
    </w:p>
    <w:p w14:paraId="6721B34F" w14:textId="77777777" w:rsidR="009E6E2E" w:rsidRPr="000D3432" w:rsidRDefault="009E6E2E" w:rsidP="009E6E2E">
      <w:pPr>
        <w:rPr>
          <w:rFonts w:asciiTheme="minorHAnsi" w:hAnsiTheme="minorHAnsi"/>
          <w:szCs w:val="24"/>
          <w:lang w:val="es-ES_tradnl"/>
        </w:rPr>
      </w:pPr>
    </w:p>
    <w:p w14:paraId="12E8D6D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w:t>
      </w:r>
      <w:bookmarkStart w:id="168" w:name="JD_tculo45.Presupuestospara"/>
      <w:bookmarkEnd w:id="168"/>
      <w:r w:rsidRPr="000D3432">
        <w:rPr>
          <w:rFonts w:asciiTheme="minorHAnsi" w:hAnsiTheme="minorHAnsi" w:cs="Arial"/>
          <w:b/>
          <w:bCs/>
          <w:color w:val="000000"/>
        </w:rPr>
        <w:t>Artículo 45. Presupuestos para fundamentar y determinar la pena</w:t>
      </w:r>
    </w:p>
    <w:p w14:paraId="098784C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El juez, al momento de fundamentar y determinar la pena, tiene en cuenta:</w:t>
      </w:r>
    </w:p>
    <w:p w14:paraId="2EFC708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2575960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a. Las carencias sociales que hubiese sufrido el agente o el abuso de su cargo, posición económica, formación, poder, oficio, profesión o la función que ocupe en la sociedad.</w:t>
      </w:r>
    </w:p>
    <w:p w14:paraId="2B0A549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465C76A8"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b. Su cultura y sus costumbres.</w:t>
      </w:r>
    </w:p>
    <w:p w14:paraId="6440D549"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p>
    <w:p w14:paraId="26432B9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c. Los intereses de la víctima, de su familia o de las personas que de ella dependan, así como la afectación de sus derechos y considerando especialmente su situación de vulnerabilidad.</w:t>
      </w:r>
      <w:r w:rsidRPr="000D3432">
        <w:rPr>
          <w:rFonts w:asciiTheme="minorHAnsi" w:hAnsiTheme="minorHAnsi" w:cs="Arial"/>
          <w:b/>
          <w:bCs/>
          <w:color w:val="000000"/>
        </w:rPr>
        <w:t>"</w:t>
      </w:r>
    </w:p>
    <w:p w14:paraId="79EBD9B4" w14:textId="77777777" w:rsidR="009E6E2E" w:rsidRPr="000D3432" w:rsidRDefault="009E6E2E" w:rsidP="009E6E2E">
      <w:pPr>
        <w:rPr>
          <w:rFonts w:asciiTheme="minorHAnsi" w:hAnsiTheme="minorHAnsi"/>
          <w:szCs w:val="24"/>
          <w:lang w:val="es-ES_tradnl"/>
        </w:rPr>
      </w:pPr>
    </w:p>
    <w:p w14:paraId="680BC1C7"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 xml:space="preserve">b).- Individualización de la pena: </w:t>
      </w:r>
    </w:p>
    <w:p w14:paraId="2615E502"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Decreto Legislativo Nº 635º, se prescribe: </w:t>
      </w:r>
    </w:p>
    <w:p w14:paraId="30FF3EEA" w14:textId="77777777" w:rsidR="009E6E2E" w:rsidRPr="000D3432" w:rsidRDefault="009E6E2E" w:rsidP="009E6E2E">
      <w:pPr>
        <w:rPr>
          <w:rFonts w:asciiTheme="minorHAnsi" w:hAnsiTheme="minorHAnsi"/>
          <w:szCs w:val="24"/>
          <w:lang w:val="es-ES_tradnl"/>
        </w:rPr>
      </w:pPr>
    </w:p>
    <w:p w14:paraId="4B1D71E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45-A. Individualización de la pena</w:t>
      </w:r>
    </w:p>
    <w:p w14:paraId="43A744B2"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Toda condena contiene fundamentación explícita y suficiente sobre los motivos de la determinación cualitativa y cuantitativa de la pena.</w:t>
      </w:r>
    </w:p>
    <w:p w14:paraId="030326BA" w14:textId="77777777" w:rsidR="009E6E2E" w:rsidRPr="000D3432" w:rsidRDefault="009E6E2E" w:rsidP="009E6E2E">
      <w:pPr>
        <w:jc w:val="both"/>
        <w:rPr>
          <w:rFonts w:asciiTheme="minorHAnsi" w:hAnsiTheme="minorHAnsi" w:cs="Arial"/>
          <w:color w:val="000000"/>
          <w:szCs w:val="24"/>
          <w:lang w:val="es-ES_tradnl"/>
        </w:rPr>
      </w:pPr>
    </w:p>
    <w:p w14:paraId="2AF15AAE"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Para determinar la pena dentro de los límites fijados por ley, el juez atiende la responsabilidad y gravedad del hecho punible cometido, en cuanto no sean específicamente constitutivas del delito o modificatorias de la responsabilidad.</w:t>
      </w:r>
    </w:p>
    <w:p w14:paraId="08308608" w14:textId="77777777" w:rsidR="009E6E2E" w:rsidRPr="000D3432" w:rsidRDefault="009E6E2E" w:rsidP="009E6E2E">
      <w:pPr>
        <w:jc w:val="both"/>
        <w:rPr>
          <w:rFonts w:asciiTheme="minorHAnsi" w:hAnsiTheme="minorHAnsi" w:cs="Arial"/>
          <w:color w:val="000000"/>
          <w:szCs w:val="24"/>
          <w:lang w:val="es-ES_tradnl"/>
        </w:rPr>
      </w:pPr>
    </w:p>
    <w:p w14:paraId="48928998"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El juez determina la pena aplicable desarrollando las siguientes etapas:</w:t>
      </w:r>
    </w:p>
    <w:p w14:paraId="38B557E6" w14:textId="77777777" w:rsidR="009E6E2E" w:rsidRPr="000D3432" w:rsidRDefault="009E6E2E" w:rsidP="009E6E2E">
      <w:pPr>
        <w:jc w:val="both"/>
        <w:rPr>
          <w:rFonts w:asciiTheme="minorHAnsi" w:hAnsiTheme="minorHAnsi" w:cs="Arial"/>
          <w:color w:val="000000"/>
          <w:szCs w:val="24"/>
          <w:lang w:val="es-ES_tradnl"/>
        </w:rPr>
      </w:pPr>
    </w:p>
    <w:p w14:paraId="1FF9D79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1. Identifica el espacio punitivo de determinación a partir de la pena prevista en la ley para el delito y la divide en tres partes.</w:t>
      </w:r>
    </w:p>
    <w:p w14:paraId="4ECF945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2. Determina la pena concreta aplicable al condenado evaluando la concurrencia de circunstancias agravantes o atenuantes observando las siguientes reglas:</w:t>
      </w:r>
    </w:p>
    <w:p w14:paraId="0C79BB93"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a) Cuando no existan atenuantes ni agravantes o concurran únicamente circunstancias atenuantes, la pena concreta se determina dentro del tercio inferior.</w:t>
      </w:r>
    </w:p>
    <w:p w14:paraId="351DA934"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b) Cuando concurran circunstancias de agravación y de atenuación, la pena concreta se determina dentro del tercio intermedio.</w:t>
      </w:r>
    </w:p>
    <w:p w14:paraId="4DF10F93"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c) Cuando concurran únicamente circunstancias agravantes, la pena concreta se determina dentro del tercio superior.</w:t>
      </w:r>
    </w:p>
    <w:p w14:paraId="33EF528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3. Cuando concurran circunstancias atenuantes privilegiadas o agravantes cualificadas, la pena concreta se determina de la siguiente manera:</w:t>
      </w:r>
    </w:p>
    <w:p w14:paraId="7F3D832B"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a) Tratándose de circunstancias atenuantes, la pena concreta se determina por debajo del tercio inferior;</w:t>
      </w:r>
    </w:p>
    <w:p w14:paraId="75DDF41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b) Tratándose de circunstancias agravantes, la pena concreta se determina por encima del tercio superior; y</w:t>
      </w:r>
    </w:p>
    <w:p w14:paraId="5EE91C4C"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c) En los casos de concurrencia de circunstancias atenuantes y agravantes, la pena concreta se determina dentro de los límites de la pena básica correspondiente al delito.</w:t>
      </w:r>
      <w:r w:rsidRPr="000D3432">
        <w:rPr>
          <w:rFonts w:asciiTheme="minorHAnsi" w:hAnsiTheme="minorHAnsi" w:cs="Arial"/>
          <w:b/>
          <w:bCs/>
          <w:color w:val="000000"/>
          <w:szCs w:val="24"/>
          <w:lang w:val="es-ES_tradnl"/>
        </w:rPr>
        <w:t>"(*)</w:t>
      </w:r>
    </w:p>
    <w:p w14:paraId="2FEF6DA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 Artículo incorporado por el Artículo 2 de la Ley Nº 30076, publicada el 19 agosto 2013.</w:t>
      </w:r>
    </w:p>
    <w:p w14:paraId="0F4E2B36" w14:textId="77777777" w:rsidR="009E6E2E" w:rsidRPr="000D3432" w:rsidRDefault="009E6E2E" w:rsidP="009E6E2E">
      <w:pPr>
        <w:rPr>
          <w:rFonts w:asciiTheme="minorHAnsi" w:hAnsiTheme="minorHAnsi"/>
          <w:szCs w:val="24"/>
          <w:lang w:val="es-ES_tradnl"/>
        </w:rPr>
      </w:pPr>
    </w:p>
    <w:p w14:paraId="44DC690B" w14:textId="77777777" w:rsidR="009E6E2E" w:rsidRPr="000D3432" w:rsidRDefault="009E6E2E" w:rsidP="009E6E2E">
      <w:pPr>
        <w:rPr>
          <w:rFonts w:asciiTheme="minorHAnsi" w:hAnsiTheme="minorHAnsi"/>
          <w:szCs w:val="24"/>
          <w:lang w:val="es-ES_tradnl"/>
        </w:rPr>
      </w:pPr>
    </w:p>
    <w:p w14:paraId="56B6AE33"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c) Circunstancias de atenuación y agravación de la pena</w:t>
      </w:r>
    </w:p>
    <w:p w14:paraId="3945C740"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Decreto Legislativo Nº 635º, se prescribe: </w:t>
      </w:r>
    </w:p>
    <w:p w14:paraId="44F9AB3B" w14:textId="77777777" w:rsidR="009E6E2E" w:rsidRPr="000D3432" w:rsidRDefault="009E6E2E" w:rsidP="009E6E2E">
      <w:pPr>
        <w:rPr>
          <w:rFonts w:asciiTheme="minorHAnsi" w:hAnsiTheme="minorHAnsi"/>
          <w:szCs w:val="24"/>
          <w:lang w:val="es-ES_tradnl"/>
        </w:rPr>
      </w:pPr>
    </w:p>
    <w:p w14:paraId="392ACD2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w:t>
      </w:r>
      <w:r w:rsidRPr="000D3432">
        <w:rPr>
          <w:rFonts w:asciiTheme="minorHAnsi" w:hAnsiTheme="minorHAnsi" w:cs="Arial"/>
          <w:b/>
          <w:bCs/>
          <w:color w:val="000000"/>
          <w:szCs w:val="24"/>
          <w:lang w:val="es-ES_tradnl"/>
        </w:rPr>
        <w:t>“</w:t>
      </w:r>
      <w:bookmarkStart w:id="169" w:name="JD_Artculo46.Circunstancias"/>
      <w:bookmarkEnd w:id="169"/>
      <w:r w:rsidRPr="000D3432">
        <w:rPr>
          <w:rFonts w:asciiTheme="minorHAnsi" w:hAnsiTheme="minorHAnsi" w:cs="Arial"/>
          <w:b/>
          <w:bCs/>
          <w:color w:val="000000"/>
          <w:szCs w:val="24"/>
          <w:lang w:val="es-ES_tradnl"/>
        </w:rPr>
        <w:t>Artículo 46. Circunstancias de atenuación y agravación</w:t>
      </w:r>
    </w:p>
    <w:p w14:paraId="3A0C2489"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1. Constituyen circunstancias de atenuación, siempre que no estén previstas específicamente para sancionar el delito y no sean elementos constitutivos del hecho punible, las siguientes:</w:t>
      </w:r>
    </w:p>
    <w:p w14:paraId="7EE2626C"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a) La carencia de antecedentes penales;</w:t>
      </w:r>
    </w:p>
    <w:p w14:paraId="4DE6D473"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b) El obrar por móviles nobles o altruistas;</w:t>
      </w:r>
    </w:p>
    <w:p w14:paraId="2B712C8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c) El obrar en estado de emoción o de temor excusables;</w:t>
      </w:r>
    </w:p>
    <w:p w14:paraId="2FC4F37B"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d) La influencia de apremiantes circunstancias personales o familiares en la ejecución de la conducta punible;</w:t>
      </w:r>
    </w:p>
    <w:p w14:paraId="31BD8C6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e) Procurar voluntariamente, después de consumado el delito, la disminución de sus consecuencias;</w:t>
      </w:r>
    </w:p>
    <w:p w14:paraId="4FBF1EC8"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f) Reparar voluntariamente el daño ocasionado o las consecuencias derivadas del peligro generado;</w:t>
      </w:r>
    </w:p>
    <w:p w14:paraId="720CCBAD"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g) Presentarse voluntariamente a las autoridades después de haber cometido la conducta punible, para admitir su responsabilidad;</w:t>
      </w:r>
    </w:p>
    <w:p w14:paraId="6FEE90B3"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h) La edad del imputado en tanto que ella hubiere influido en la conducta punible.</w:t>
      </w:r>
    </w:p>
    <w:p w14:paraId="2E320FC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2. Constituyen circunstancias agravantes, siempre que no estén previstas específicamente para sancionar el delito y no sean elementos constitutivos del hecho punible, las siguientes:</w:t>
      </w:r>
    </w:p>
    <w:p w14:paraId="519301CE"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a) Ejecutar la conducta punible sobre bienes o recursos destinados a actividades de utilidad común o a la satisfacción de necesidades básicas de una colectividad;</w:t>
      </w:r>
    </w:p>
    <w:p w14:paraId="0FB9198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b) Ejecutar la conducta punible sobre bienes o recursos públicos;</w:t>
      </w:r>
    </w:p>
    <w:p w14:paraId="4B13F8EC"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c) Ejecutar la conducta punible por motivo abyecto, fútil o mediante precio, recompensa o promesa remuneratoria;</w:t>
      </w:r>
    </w:p>
    <w:p w14:paraId="5841632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d) Ejecutar el delito bajo móviles de intolerancia o discriminación de cualquier índole;</w:t>
      </w:r>
    </w:p>
    <w:p w14:paraId="5F84CA52"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e) Emplear en la ejecución de la conducta punible medios de cuyo uso pueda resultar peligro común;</w:t>
      </w:r>
    </w:p>
    <w:p w14:paraId="045283C2"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f) Ejecutar la conducta punible mediante ocultamiento, con abuso de la condición de superioridad sobre la víctima o aprovechando circunstancias de tiempo, modo o lugar, que dificulten la defensa del ofendido o la identificación del autor o partícipe;</w:t>
      </w:r>
    </w:p>
    <w:p w14:paraId="6C956664"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g) Hacer más nocivas las consecuencias de la conducta punible, que las necesarias para consumar el delito;</w:t>
      </w:r>
    </w:p>
    <w:p w14:paraId="3A85FE0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h) Realizar la conducta punible abusando el agente de su cargo, posición económica, formación, poder, oficio, profesión o función;</w:t>
      </w:r>
    </w:p>
    <w:p w14:paraId="416ECAAD"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i) La pluralidad de agentes que intervienen en la ejecución del delito;</w:t>
      </w:r>
    </w:p>
    <w:p w14:paraId="526225EA"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j) Ejecutar la conducta punible valiéndose de un inimputable;</w:t>
      </w:r>
    </w:p>
    <w:p w14:paraId="1A555E66"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k) Cuando la conducta punible es dirigida o cometida total o parcialmente desde el interior de un lugar de reclusión por quien está privado de su libertad o se encuentra fuera del territorio nacional;</w:t>
      </w:r>
    </w:p>
    <w:p w14:paraId="5813211B"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l) Cuando se produce un daño grave al equilibrio de los ecosistemas naturales;</w:t>
      </w:r>
    </w:p>
    <w:p w14:paraId="70E9EF88"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m) Cuando para la realización de la conducta punible se han utilizado armas, explosivos o venenos, u otros instrumentos o procedimientos de similar eficacia destructiva.</w:t>
      </w:r>
    </w:p>
    <w:p w14:paraId="599735BB"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n) Si la víctima es un niño o niña, adolescente, mujer en situación de especial vulnerabilidad, adulto mayor conforme al ordenamiento vigente en la materia o tuviere deficiencias físicas, sensoriales, mentales o intelectuales de carácter permanente o si padeciera de enfermedad en estado terminal, o persona perteneciente a un pueblo indígena en situación de aislamiento y contacto inicial.</w:t>
      </w:r>
      <w:r w:rsidRPr="000D3432">
        <w:rPr>
          <w:rFonts w:asciiTheme="minorHAnsi" w:hAnsiTheme="minorHAnsi" w:cs="Arial"/>
          <w:b/>
          <w:bCs/>
          <w:color w:val="000000"/>
          <w:szCs w:val="24"/>
          <w:lang w:val="es-ES_tradnl"/>
        </w:rPr>
        <w:t>"</w:t>
      </w:r>
    </w:p>
    <w:p w14:paraId="18F5348E" w14:textId="77777777" w:rsidR="009E6E2E" w:rsidRPr="000D3432" w:rsidRDefault="009E6E2E" w:rsidP="009E6E2E">
      <w:pPr>
        <w:rPr>
          <w:rFonts w:asciiTheme="minorHAnsi" w:hAnsiTheme="minorHAnsi"/>
          <w:szCs w:val="24"/>
          <w:lang w:val="es-ES_tradnl"/>
        </w:rPr>
      </w:pPr>
    </w:p>
    <w:p w14:paraId="11EDFB76"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d) Circunstancias agravantes por la condición del sujeto activo</w:t>
      </w:r>
    </w:p>
    <w:p w14:paraId="71D4A978"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Decreto Legislativo Nº 635º, se prescribe: </w:t>
      </w:r>
    </w:p>
    <w:p w14:paraId="06764500" w14:textId="77777777" w:rsidR="009E6E2E" w:rsidRPr="000D3432" w:rsidRDefault="009E6E2E" w:rsidP="009E6E2E">
      <w:pPr>
        <w:rPr>
          <w:rFonts w:asciiTheme="minorHAnsi" w:hAnsiTheme="minorHAnsi"/>
          <w:szCs w:val="24"/>
          <w:lang w:val="es-ES_tradnl"/>
        </w:rPr>
      </w:pPr>
    </w:p>
    <w:p w14:paraId="0241D3C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46-A.- Circunstancia agravante por condición del sujeto activo</w:t>
      </w:r>
    </w:p>
    <w:p w14:paraId="3265B39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Constituye circunstancia agravante de la responsabilidad penal si el sujeto activo se aprovecha de su condición de miembro de las Fuerzas Armadas, Policía Nacional, autoridad, funcionario o servidor público, para cometer un hecho punible o utiliza para ello armas proporcionadas por el Estado o cuyo uso le sea autorizado por su condición de funcionario público.</w:t>
      </w:r>
    </w:p>
    <w:p w14:paraId="02A8445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En estos casos el Juez aumenta la pena hasta la mitad por encima del máximo legal fijado para el delito cometido, no pudiendo ésta exceder de treinta y cinco años de pena privativa de libertad.</w:t>
      </w:r>
    </w:p>
    <w:p w14:paraId="0C53625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La misma pena se aplicará al agente que haya desempeñado los cargos señalados en el primer párrafo y aprovecha los conocimientos adquiridos en el ejercicio de su función para cometer el hecho punible.</w:t>
      </w:r>
    </w:p>
    <w:p w14:paraId="75F0E3D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Constituye circunstancia agravante, cuando el sujeto activo, desde un establecimiento penitenciario donde se encuentre privado de su libertad, comete en calidad de autor o partícipe el delito de tráfico ilícito de drogas, lavado de activos, trata de personas, terrorismo, extorsión o secuestro. En tal caso, el Juez podrá aumentar la pena hasta en un tercio por encima del máximo legal fijado para el delito cometido, no pudiendo exceder de treinta y cinco años de pena privativa de libertad.</w:t>
      </w:r>
    </w:p>
    <w:p w14:paraId="3562D64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No será aplicable lo dispuesto en el presente artículo cuando la circunstancia agravante esté prevista al sancionar el tipo penal o cuando ésta sea elemento constitutivo del hecho punible.</w:t>
      </w:r>
      <w:r w:rsidRPr="000D3432">
        <w:rPr>
          <w:rFonts w:asciiTheme="minorHAnsi" w:hAnsiTheme="minorHAnsi" w:cs="Arial"/>
          <w:b/>
          <w:bCs/>
          <w:color w:val="000000"/>
        </w:rPr>
        <w:t>"</w:t>
      </w:r>
    </w:p>
    <w:p w14:paraId="2BC3C25B" w14:textId="77777777" w:rsidR="009E6E2E" w:rsidRPr="000D3432" w:rsidRDefault="009E6E2E" w:rsidP="009E6E2E">
      <w:pPr>
        <w:rPr>
          <w:rFonts w:asciiTheme="minorHAnsi" w:hAnsiTheme="minorHAnsi"/>
          <w:szCs w:val="24"/>
          <w:lang w:val="es-ES_tradnl"/>
        </w:rPr>
      </w:pPr>
    </w:p>
    <w:p w14:paraId="1003DF00"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e) Reincidencia</w:t>
      </w:r>
    </w:p>
    <w:p w14:paraId="7F8EB07A"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Decreto Legislativo Nº 635º, se prescribe: </w:t>
      </w:r>
    </w:p>
    <w:p w14:paraId="20154257" w14:textId="77777777" w:rsidR="009E6E2E" w:rsidRPr="000D3432" w:rsidRDefault="009E6E2E" w:rsidP="009E6E2E">
      <w:pPr>
        <w:rPr>
          <w:rFonts w:asciiTheme="minorHAnsi" w:hAnsiTheme="minorHAnsi"/>
          <w:szCs w:val="24"/>
          <w:lang w:val="es-ES_tradnl"/>
        </w:rPr>
      </w:pPr>
    </w:p>
    <w:p w14:paraId="6A9ECD8F"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 "</w:t>
      </w:r>
      <w:bookmarkStart w:id="170" w:name="JD_Artculo46-B.R"/>
      <w:bookmarkEnd w:id="170"/>
      <w:r w:rsidRPr="000D3432">
        <w:rPr>
          <w:rFonts w:asciiTheme="minorHAnsi" w:hAnsiTheme="minorHAnsi" w:cs="Arial"/>
          <w:b/>
          <w:bCs/>
          <w:color w:val="000000"/>
          <w:szCs w:val="24"/>
          <w:lang w:val="es-ES_tradnl"/>
        </w:rPr>
        <w:t>Artículo 46-B. Reincidencia</w:t>
      </w:r>
    </w:p>
    <w:p w14:paraId="6940CB8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     </w:t>
      </w:r>
      <w:r w:rsidRPr="000D3432">
        <w:rPr>
          <w:rFonts w:asciiTheme="minorHAnsi" w:hAnsiTheme="minorHAnsi" w:cs="Arial"/>
          <w:color w:val="000000"/>
          <w:szCs w:val="24"/>
          <w:lang w:val="es-ES_tradnl"/>
        </w:rPr>
        <w:t>El que, después de haber cumplido en todo o en parte una pena, incurre en nuevo delito doloso en un lapso que no excede de cinco años tiene la condición de reincidente. Tiene igual condición quien después de haber sido condenado por falta dolosa, incurre en nueva falta o delito doloso en un lapso no mayor de tres años.</w:t>
      </w:r>
    </w:p>
    <w:p w14:paraId="75CBE48F"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La reincidencia constituye circunstancia agravante cualificada, en cuyo caso el juez aumenta la pena hasta en una mitad por encima del máximo legal fijado para el tipo penal.</w:t>
      </w:r>
    </w:p>
    <w:p w14:paraId="2A0C33D8"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El plazo fijado para la reincidencia no es aplicable a los delitos previstos en los artículos 107, 108, 108-A, 108-B, </w:t>
      </w:r>
      <w:r w:rsidRPr="000D3432">
        <w:rPr>
          <w:rFonts w:asciiTheme="minorHAnsi" w:hAnsiTheme="minorHAnsi" w:cs="Arial"/>
          <w:b/>
          <w:bCs/>
          <w:color w:val="000000"/>
          <w:szCs w:val="24"/>
          <w:lang w:val="es-ES_tradnl"/>
        </w:rPr>
        <w:t>108-C, 108-D</w:t>
      </w:r>
      <w:r w:rsidRPr="000D3432">
        <w:rPr>
          <w:rFonts w:asciiTheme="minorHAnsi" w:hAnsiTheme="minorHAnsi" w:cs="Arial"/>
          <w:color w:val="000000"/>
          <w:szCs w:val="24"/>
          <w:lang w:val="es-ES_tradnl"/>
        </w:rPr>
        <w:t>, 121-A, 121-B, 152, 153, 153-A, 173, 173-A, 186, 189, 195, 200, 297, 317-A, 319, 320, 321, 325, 326, 327, 328, 329, 330, 331, 332 y 346 del Código Penal, el cual se computa sin límite de tiempo. En estos casos, el juez aumenta la pena en no menos de dos tercios por encima del máximo legal fijado para el tipo penal, sin que sean aplicables los beneficios penitenciarios de semilibertad y liberación condicional. Si al agente se le indultó o conmutó la pena e incurre en la comisión de nuevo delito doloso, el juez aumenta la pena hasta en una mitad por encima del máximo legal fijado para el tipo penal.</w:t>
      </w:r>
    </w:p>
    <w:p w14:paraId="312D9C8B"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En los supuestos de reincidencia no se computan los antecedentes penales cancelados o que debieren ser cancelados, salvo en los delitos señalados en el tercer párrafo del presente artículo.</w:t>
      </w:r>
      <w:r w:rsidRPr="000D3432">
        <w:rPr>
          <w:rFonts w:asciiTheme="minorHAnsi" w:hAnsiTheme="minorHAnsi" w:cs="Arial"/>
          <w:b/>
          <w:bCs/>
          <w:color w:val="000000"/>
          <w:szCs w:val="24"/>
          <w:lang w:val="es-ES_tradnl"/>
        </w:rPr>
        <w:t>"</w:t>
      </w:r>
    </w:p>
    <w:p w14:paraId="3DDB4761" w14:textId="77777777" w:rsidR="009E6E2E" w:rsidRPr="000D3432" w:rsidRDefault="009E6E2E" w:rsidP="009E6E2E">
      <w:pPr>
        <w:rPr>
          <w:rFonts w:asciiTheme="minorHAnsi" w:hAnsiTheme="minorHAnsi"/>
          <w:szCs w:val="24"/>
          <w:lang w:val="es-ES_tradnl"/>
        </w:rPr>
      </w:pPr>
    </w:p>
    <w:p w14:paraId="204E27A3"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f) Habitualidad</w:t>
      </w:r>
    </w:p>
    <w:p w14:paraId="7153520F"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Decreto Legislativo Nº 635º, se prescribe: </w:t>
      </w:r>
    </w:p>
    <w:p w14:paraId="247FEBFB" w14:textId="77777777" w:rsidR="009E6E2E" w:rsidRPr="000D3432" w:rsidRDefault="009E6E2E" w:rsidP="009E6E2E">
      <w:pPr>
        <w:rPr>
          <w:rFonts w:asciiTheme="minorHAnsi" w:hAnsiTheme="minorHAnsi"/>
          <w:szCs w:val="24"/>
          <w:lang w:val="es-ES_tradnl"/>
        </w:rPr>
      </w:pPr>
    </w:p>
    <w:p w14:paraId="5A8CD0A0" w14:textId="77777777" w:rsidR="009E6E2E" w:rsidRPr="000D3432" w:rsidRDefault="009E6E2E" w:rsidP="009E6E2E">
      <w:pPr>
        <w:jc w:val="both"/>
        <w:rPr>
          <w:rFonts w:asciiTheme="minorHAnsi" w:hAnsiTheme="minorHAnsi" w:cs="Arial"/>
          <w:color w:val="000000"/>
          <w:szCs w:val="24"/>
          <w:lang w:val="es-ES_tradnl"/>
        </w:rPr>
      </w:pPr>
      <w:bookmarkStart w:id="171" w:name="JD_Artculo46-C.Habit"/>
      <w:bookmarkEnd w:id="171"/>
      <w:r w:rsidRPr="000D3432">
        <w:rPr>
          <w:rFonts w:asciiTheme="minorHAnsi" w:hAnsiTheme="minorHAnsi" w:cs="Arial"/>
          <w:b/>
          <w:bCs/>
          <w:color w:val="000000"/>
          <w:szCs w:val="24"/>
          <w:lang w:val="es-ES_tradnl"/>
        </w:rPr>
        <w:t>Artículo 46-C. Habitualidad</w:t>
      </w:r>
    </w:p>
    <w:p w14:paraId="672C7F29"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Si el agente comete un nuevo delito doloso, es considerado delincuente habitual, siempre que se trate por lo menos de tres hechos punibles que se hayan perpetrado en un lapso que no exceda de cinco años. El plazo fijado no es aplicable para los delitos previstos en los artículos 107, 108, 108-A, 108-B, </w:t>
      </w:r>
      <w:r w:rsidRPr="000D3432">
        <w:rPr>
          <w:rFonts w:asciiTheme="minorHAnsi" w:hAnsiTheme="minorHAnsi" w:cs="Arial"/>
          <w:b/>
          <w:bCs/>
          <w:color w:val="000000"/>
          <w:szCs w:val="24"/>
          <w:lang w:val="es-ES_tradnl"/>
        </w:rPr>
        <w:t>108-C, 108-D</w:t>
      </w:r>
      <w:r w:rsidRPr="000D3432">
        <w:rPr>
          <w:rFonts w:asciiTheme="minorHAnsi" w:hAnsiTheme="minorHAnsi" w:cs="Arial"/>
          <w:color w:val="000000"/>
          <w:szCs w:val="24"/>
          <w:lang w:val="es-ES_tradnl"/>
        </w:rPr>
        <w:t>, 121-A, 121-B, 152, 153, 153-A, 173, 173-A, 186, 189, 195, 200, 297, 317-A, 319, 320, 321, 322, 325, 326, 327, 328, 329, 330, 331, 332 y 346 del Código Penal, el cual se computa sin límite de tiempo. Asimismo, tiene condición de delincuente habitual quien comete de tres a más faltas dolosas contra la persona o el patrimonio, de conformidad con los artículos 441 y 444, en un lapso no mayor de tres años.</w:t>
      </w:r>
    </w:p>
    <w:p w14:paraId="31173D7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La habitualidad en el delito constituye circunstancia cualificada agravante. El juez aumenta la pena hasta en un tercio por encima del máximo legal fijado para el tipo penal, salvo en los delitos previstos en los párrafos anteriores, en cuyo caso se aumenta la pena en una mitad por encima del máximo legal fijado para el tipo penal, sin que sean aplicables los beneficios penitenciarios de semilibertad y liberación condicional.</w:t>
      </w:r>
    </w:p>
    <w:p w14:paraId="639D8B1E"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En los supuestos de habitualidad no se computan los antecedentes cancelados o que debieren estar cancelados, salvo en los delitos antes señalados.</w:t>
      </w:r>
      <w:r w:rsidRPr="000D3432">
        <w:rPr>
          <w:rFonts w:asciiTheme="minorHAnsi" w:hAnsiTheme="minorHAnsi" w:cs="Arial"/>
          <w:b/>
          <w:bCs/>
          <w:color w:val="000000"/>
          <w:szCs w:val="24"/>
          <w:lang w:val="es-ES_tradnl"/>
        </w:rPr>
        <w:t>"</w:t>
      </w:r>
    </w:p>
    <w:p w14:paraId="2DEEE108" w14:textId="77777777" w:rsidR="009E6E2E" w:rsidRPr="000D3432" w:rsidRDefault="009E6E2E" w:rsidP="009E6E2E">
      <w:pPr>
        <w:rPr>
          <w:rFonts w:asciiTheme="minorHAnsi" w:hAnsiTheme="minorHAnsi"/>
          <w:szCs w:val="24"/>
          <w:lang w:val="es-ES_tradnl"/>
        </w:rPr>
      </w:pPr>
    </w:p>
    <w:p w14:paraId="403BAF4C" w14:textId="77777777" w:rsidR="009E6E2E" w:rsidRPr="000D3432" w:rsidRDefault="009E6E2E" w:rsidP="009E6E2E">
      <w:pPr>
        <w:rPr>
          <w:rFonts w:asciiTheme="minorHAnsi" w:hAnsiTheme="minorHAnsi"/>
          <w:szCs w:val="24"/>
          <w:lang w:val="es-ES_tradnl"/>
        </w:rPr>
      </w:pPr>
    </w:p>
    <w:p w14:paraId="4CC0C3B6" w14:textId="77777777" w:rsidR="009E6E2E" w:rsidRPr="000D3432" w:rsidRDefault="009E6E2E" w:rsidP="009E6E2E">
      <w:pPr>
        <w:rPr>
          <w:rFonts w:asciiTheme="minorHAnsi" w:hAnsiTheme="minorHAnsi"/>
          <w:szCs w:val="24"/>
          <w:lang w:val="es-ES_tradnl"/>
        </w:rPr>
      </w:pPr>
    </w:p>
    <w:p w14:paraId="1A20F370"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g) Concurso ideal de delitos</w:t>
      </w:r>
    </w:p>
    <w:p w14:paraId="7D27CCC0"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D.Leg. Nº 635º, se prescribe: </w:t>
      </w:r>
    </w:p>
    <w:p w14:paraId="7AE6E35F"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w:t>
      </w:r>
      <w:r w:rsidRPr="000D3432">
        <w:rPr>
          <w:rFonts w:asciiTheme="minorHAnsi" w:hAnsiTheme="minorHAnsi" w:cs="Arial"/>
          <w:b/>
          <w:bCs/>
          <w:color w:val="000000"/>
          <w:szCs w:val="24"/>
          <w:lang w:val="es-ES_tradnl"/>
        </w:rPr>
        <w:t>“Artículo 48.- Concurso ideal de delitos</w:t>
      </w:r>
    </w:p>
    <w:p w14:paraId="06ADBD02"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Cuando varias disposiciones son aplicables al mismo hecho se reprimirá hasta con el máximo de la pena más grave, pudiendo incrementarse ésta hasta en una cuarta parte, sin que en ningún caso pueda exceder de treinta y cinco años.</w:t>
      </w:r>
      <w:r w:rsidRPr="000D3432">
        <w:rPr>
          <w:rFonts w:asciiTheme="minorHAnsi" w:hAnsiTheme="minorHAnsi" w:cs="Arial"/>
          <w:b/>
          <w:bCs/>
          <w:color w:val="000000"/>
          <w:szCs w:val="24"/>
          <w:lang w:val="es-ES_tradnl"/>
        </w:rPr>
        <w:t>"</w:t>
      </w:r>
    </w:p>
    <w:p w14:paraId="5238B531" w14:textId="77777777" w:rsidR="009E6E2E" w:rsidRPr="000D3432" w:rsidRDefault="009E6E2E" w:rsidP="009E6E2E">
      <w:pPr>
        <w:rPr>
          <w:rFonts w:asciiTheme="minorHAnsi" w:hAnsiTheme="minorHAnsi"/>
          <w:szCs w:val="24"/>
          <w:lang w:val="es-ES_tradnl"/>
        </w:rPr>
      </w:pPr>
    </w:p>
    <w:p w14:paraId="648BECDE"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h) Delito continuado</w:t>
      </w:r>
    </w:p>
    <w:p w14:paraId="670AF935"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D.Leg. Nº 635º, se prescribe: </w:t>
      </w:r>
    </w:p>
    <w:p w14:paraId="2B074A0F" w14:textId="77777777" w:rsidR="009E6E2E" w:rsidRPr="000D3432" w:rsidRDefault="009E6E2E" w:rsidP="009E6E2E">
      <w:pPr>
        <w:rPr>
          <w:rFonts w:asciiTheme="minorHAnsi" w:hAnsiTheme="minorHAnsi"/>
          <w:szCs w:val="24"/>
          <w:lang w:val="es-ES_tradnl"/>
        </w:rPr>
      </w:pPr>
    </w:p>
    <w:p w14:paraId="51B0F93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Delito continuado</w:t>
      </w:r>
    </w:p>
    <w:p w14:paraId="0D549B2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"Artículo 49.-</w:t>
      </w:r>
      <w:r w:rsidRPr="000D3432">
        <w:rPr>
          <w:rStyle w:val="apple-converted-space"/>
          <w:rFonts w:asciiTheme="minorHAnsi" w:hAnsiTheme="minorHAnsi" w:cs="Arial"/>
          <w:b/>
          <w:bCs/>
          <w:color w:val="000000"/>
        </w:rPr>
        <w:t> </w:t>
      </w:r>
      <w:r w:rsidRPr="000D3432">
        <w:rPr>
          <w:rFonts w:asciiTheme="minorHAnsi" w:hAnsiTheme="minorHAnsi" w:cs="Arial"/>
          <w:color w:val="000000"/>
        </w:rPr>
        <w:t>Cuando varias violaciones de la misma ley penal o una de igual o semejante naturaleza hubieran sido cometidas en el momento de la acción o en momentos diversos, con actos ejecutivos de la misma resolución criminal, serán considerados como un sólo delito continuado y se sancionarán con la pena correspondiente al más grave. Si con dichas violaciones, el agente hubiera perjudicado a una pluralidad de personas, la pena será aumentada en un tercio de la máxima prevista para el delito más grave.</w:t>
      </w:r>
    </w:p>
    <w:p w14:paraId="01D1E70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La aplicación de  las anteriores disposiciones quedará excluída cuando resulten afectados bienes jurídicos de naturaleza eminentemente personal pertenecientes a sujetos distintos."</w:t>
      </w:r>
    </w:p>
    <w:p w14:paraId="6C992E5E" w14:textId="77777777" w:rsidR="009E6E2E" w:rsidRPr="000D3432" w:rsidRDefault="009E6E2E" w:rsidP="009E6E2E">
      <w:pPr>
        <w:rPr>
          <w:rFonts w:asciiTheme="minorHAnsi" w:hAnsiTheme="minorHAnsi"/>
          <w:szCs w:val="24"/>
          <w:lang w:val="es-ES_tradnl"/>
        </w:rPr>
      </w:pPr>
    </w:p>
    <w:p w14:paraId="4B94ADC8" w14:textId="77777777" w:rsidR="009E6E2E" w:rsidRPr="000D3432" w:rsidRDefault="009E6E2E" w:rsidP="009E6E2E">
      <w:pPr>
        <w:rPr>
          <w:rFonts w:asciiTheme="minorHAnsi" w:hAnsiTheme="minorHAnsi"/>
          <w:szCs w:val="24"/>
          <w:lang w:val="es-ES_tradnl"/>
        </w:rPr>
      </w:pPr>
    </w:p>
    <w:p w14:paraId="21DBB623"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i) Concurso real de delitos</w:t>
      </w:r>
    </w:p>
    <w:p w14:paraId="04E72673" w14:textId="77777777" w:rsidR="009E6E2E" w:rsidRPr="000D3432" w:rsidRDefault="009E6E2E" w:rsidP="009E6E2E">
      <w:pPr>
        <w:rPr>
          <w:rFonts w:asciiTheme="minorHAnsi" w:hAnsiTheme="minorHAnsi"/>
          <w:szCs w:val="24"/>
          <w:lang w:val="es-ES_tradnl"/>
        </w:rPr>
      </w:pPr>
    </w:p>
    <w:p w14:paraId="32BAB31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50.- Concurso real de delitos</w:t>
      </w:r>
    </w:p>
    <w:p w14:paraId="3F7449E0"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r w:rsidRPr="000D3432">
        <w:rPr>
          <w:rFonts w:asciiTheme="minorHAnsi" w:hAnsiTheme="minorHAnsi" w:cs="Arial"/>
          <w:color w:val="000000"/>
        </w:rPr>
        <w:t>Cuando concurran varios hechos punibles que deban considerarse como otros tantos delitos independientes, se sumarán las penas privativas de libertad que fije el juez para cada uno de ellos hasta un máximo del doble de la pena del delito más grave, no pudiendo exceder de 35 años. Si alguno de estos delitos se encuentra reprimido con cadena perpetua se aplicará únicamente ésta.</w:t>
      </w:r>
    </w:p>
    <w:p w14:paraId="6B42E0C7"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7FB61A4A"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081B8D96" w14:textId="77777777" w:rsidR="009E6E2E" w:rsidRPr="000D3432" w:rsidRDefault="009E6E2E" w:rsidP="009E6E2E">
      <w:pPr>
        <w:pStyle w:val="NormalWeb"/>
        <w:spacing w:before="0" w:beforeAutospacing="0" w:after="0" w:afterAutospacing="0"/>
        <w:jc w:val="both"/>
        <w:rPr>
          <w:rFonts w:asciiTheme="minorHAnsi" w:hAnsiTheme="minorHAnsi" w:cs="Arial"/>
          <w:b/>
          <w:bCs/>
          <w:color w:val="000000"/>
        </w:rPr>
      </w:pPr>
    </w:p>
    <w:p w14:paraId="24135AFB" w14:textId="77777777" w:rsidR="009E6E2E" w:rsidRPr="000D3432" w:rsidRDefault="009E6E2E" w:rsidP="009E6E2E">
      <w:pPr>
        <w:pStyle w:val="NormalWeb"/>
        <w:spacing w:before="0" w:beforeAutospacing="0" w:after="0" w:afterAutospacing="0"/>
        <w:jc w:val="both"/>
        <w:rPr>
          <w:rFonts w:asciiTheme="minorHAnsi" w:hAnsiTheme="minorHAnsi" w:cs="Arial"/>
          <w:color w:val="000000"/>
          <w:u w:val="single"/>
        </w:rPr>
      </w:pPr>
      <w:r w:rsidRPr="000D3432">
        <w:rPr>
          <w:rFonts w:asciiTheme="minorHAnsi" w:hAnsiTheme="minorHAnsi" w:cs="Arial"/>
          <w:b/>
          <w:bCs/>
          <w:color w:val="000000"/>
          <w:u w:val="single"/>
        </w:rPr>
        <w:t>3.- CONVERSIONES DE LA PENA</w:t>
      </w:r>
    </w:p>
    <w:p w14:paraId="15961E76" w14:textId="77777777" w:rsidR="009E6E2E" w:rsidRPr="000D3432" w:rsidRDefault="009E6E2E" w:rsidP="009E6E2E">
      <w:pPr>
        <w:rPr>
          <w:rFonts w:asciiTheme="minorHAnsi" w:hAnsiTheme="minorHAnsi"/>
          <w:szCs w:val="24"/>
          <w:lang w:val="es-ES_tradnl"/>
        </w:rPr>
      </w:pPr>
    </w:p>
    <w:p w14:paraId="3B1B4F16"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Código Penal – D.Leg. Nº 635º, se prescribe: </w:t>
      </w:r>
    </w:p>
    <w:p w14:paraId="21B5DE0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52.- Conversión de la pena privativa de libertad</w:t>
      </w:r>
    </w:p>
    <w:p w14:paraId="59128C20"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     </w:t>
      </w:r>
      <w:r w:rsidRPr="000D3432">
        <w:rPr>
          <w:rFonts w:asciiTheme="minorHAnsi" w:hAnsiTheme="minorHAnsi" w:cs="Arial"/>
          <w:color w:val="000000"/>
          <w:szCs w:val="24"/>
          <w:lang w:val="es-ES_tradnl"/>
        </w:rPr>
        <w:t>En los casos que no fuera procedente la condena condicional o la reserva del fallo condenatorio, el juez podrá convertir la pena privativa de libertad no mayor de dos años en otra de multa, o la pena privativa de libertad no mayor de cuatro años en otra de prestación de servicios a la comunidad, o limitación de días libres, a razón de un día de privación de libertad por un día de multa, siete días de privación de libertad por una jornada de prestación de servicios a la comunidad o por una jornada de limitación de días libres.</w:t>
      </w:r>
    </w:p>
    <w:p w14:paraId="37969792"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Igualmente, el juez podrá, de oficio o a petición de parte, convertir la pena privativa de libertad en pena de vigilancia electrónica personal, a razón de un día de privación de libertad por un día de vigilancia electrónica personal, en concordancia con el inciso 3 del artículo 29-A del presente Código.</w:t>
      </w:r>
      <w:r w:rsidRPr="000D3432">
        <w:rPr>
          <w:rFonts w:asciiTheme="minorHAnsi" w:hAnsiTheme="minorHAnsi" w:cs="Arial"/>
          <w:b/>
          <w:bCs/>
          <w:color w:val="000000"/>
          <w:szCs w:val="24"/>
          <w:lang w:val="es-ES_tradnl"/>
        </w:rPr>
        <w:t>”</w:t>
      </w:r>
    </w:p>
    <w:p w14:paraId="27417DC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CONCORDANCIAS:     Ley N° 27770, Art. 3</w:t>
      </w:r>
    </w:p>
    <w:p w14:paraId="1682140E" w14:textId="77777777" w:rsidR="009E6E2E" w:rsidRPr="000D3432" w:rsidRDefault="009E6E2E" w:rsidP="009E6E2E">
      <w:pPr>
        <w:rPr>
          <w:rFonts w:asciiTheme="minorHAnsi" w:hAnsiTheme="minorHAnsi"/>
          <w:szCs w:val="24"/>
          <w:lang w:val="es-ES_tradnl"/>
        </w:rPr>
      </w:pPr>
    </w:p>
    <w:p w14:paraId="174826BE" w14:textId="77777777" w:rsidR="009E6E2E" w:rsidRPr="000D3432" w:rsidRDefault="009E6E2E" w:rsidP="009E6E2E">
      <w:pPr>
        <w:rPr>
          <w:rFonts w:asciiTheme="minorHAnsi" w:hAnsiTheme="minorHAnsi"/>
          <w:szCs w:val="24"/>
          <w:lang w:val="es-ES_tradnl"/>
        </w:rPr>
      </w:pPr>
    </w:p>
    <w:p w14:paraId="46030FB4" w14:textId="77777777" w:rsidR="009E6E2E" w:rsidRPr="000D3432" w:rsidRDefault="009E6E2E" w:rsidP="009E6E2E">
      <w:pPr>
        <w:pStyle w:val="Prrafodelista"/>
        <w:ind w:left="0"/>
        <w:contextualSpacing w:val="0"/>
        <w:rPr>
          <w:b/>
          <w:sz w:val="24"/>
          <w:szCs w:val="24"/>
          <w:u w:val="single"/>
          <w:lang w:val="es-ES_tradnl"/>
        </w:rPr>
      </w:pPr>
      <w:r w:rsidRPr="000D3432">
        <w:rPr>
          <w:b/>
          <w:sz w:val="24"/>
          <w:szCs w:val="24"/>
          <w:u w:val="single"/>
          <w:lang w:val="es-ES_tradnl"/>
        </w:rPr>
        <w:t>4.- Suspensión de la ejecución de la pena</w:t>
      </w:r>
    </w:p>
    <w:p w14:paraId="7E7E4D92"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 xml:space="preserve">De acuerdo con el Código Penal – D.Leg. Nº 635º, se prescribe: </w:t>
      </w:r>
    </w:p>
    <w:p w14:paraId="4E72CA6E" w14:textId="77777777" w:rsidR="009E6E2E" w:rsidRPr="000D3432" w:rsidRDefault="009E6E2E" w:rsidP="009E6E2E">
      <w:pPr>
        <w:pStyle w:val="Prrafodelista"/>
        <w:ind w:left="0"/>
        <w:contextualSpacing w:val="0"/>
        <w:rPr>
          <w:sz w:val="24"/>
          <w:szCs w:val="24"/>
          <w:lang w:val="es-ES_tradnl"/>
        </w:rPr>
      </w:pPr>
    </w:p>
    <w:p w14:paraId="24CCC97C" w14:textId="77777777" w:rsidR="009E6E2E" w:rsidRPr="000D3432" w:rsidRDefault="009E6E2E" w:rsidP="009E6E2E">
      <w:pPr>
        <w:jc w:val="both"/>
        <w:rPr>
          <w:rFonts w:asciiTheme="minorHAnsi" w:hAnsiTheme="minorHAnsi" w:cs="Arial"/>
          <w:color w:val="000000"/>
          <w:szCs w:val="24"/>
          <w:lang w:val="es-ES_tradnl"/>
        </w:rPr>
      </w:pPr>
      <w:bookmarkStart w:id="172" w:name="JD_art57-cod-penal"/>
      <w:bookmarkEnd w:id="172"/>
      <w:r w:rsidRPr="000D3432">
        <w:rPr>
          <w:rFonts w:asciiTheme="minorHAnsi" w:hAnsiTheme="minorHAnsi" w:cs="Arial"/>
          <w:b/>
          <w:bCs/>
          <w:color w:val="000000"/>
          <w:szCs w:val="24"/>
          <w:lang w:val="es-ES_tradnl"/>
        </w:rPr>
        <w:t>Artículo 57. Requisitos</w:t>
      </w:r>
    </w:p>
    <w:p w14:paraId="5F5A669F"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El juez puede suspender la ejecución de la pena siempre que se reúnan los requisitos siguientes:</w:t>
      </w:r>
    </w:p>
    <w:p w14:paraId="2A1FD407"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1. Que la condena se refiera a pena privativa de libertad no mayor de cuatro años.</w:t>
      </w:r>
    </w:p>
    <w:p w14:paraId="2215EA76"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2. Que la naturaleza, modalidad del hecho punible, comportamiento procesal y la personalidad del agente, permitan inferir al juez que aquel no volverá a cometer un nuevo delito. El pronóstico favorable sobre la conducta futura del condenado que formule la autoridad judicial requiere de debida motivación.</w:t>
      </w:r>
    </w:p>
    <w:p w14:paraId="3DD0632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3. Que el agente no tenga la condición de reincidente o habitual.</w:t>
      </w:r>
    </w:p>
    <w:p w14:paraId="7E7857B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El plazo de suspensión es de uno a tres años.</w:t>
      </w:r>
    </w:p>
    <w:p w14:paraId="69C9AFB7"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La suspensión de la ejecución de la pena es inaplicable a los funcionarios o servidores públicos condenados por cualquiera de los delitos dolosos previstos en los artículos 384 y 387</w:t>
      </w:r>
      <w:r w:rsidRPr="000D3432">
        <w:rPr>
          <w:rFonts w:asciiTheme="minorHAnsi" w:hAnsiTheme="minorHAnsi" w:cs="Arial"/>
          <w:b/>
          <w:bCs/>
          <w:color w:val="000000"/>
          <w:szCs w:val="24"/>
          <w:lang w:val="es-ES_tradnl"/>
        </w:rPr>
        <w:t>”</w:t>
      </w:r>
      <w:r w:rsidRPr="000D3432">
        <w:rPr>
          <w:rFonts w:asciiTheme="minorHAnsi" w:hAnsiTheme="minorHAnsi" w:cs="Arial"/>
          <w:color w:val="000000"/>
          <w:szCs w:val="24"/>
          <w:lang w:val="es-ES_tradnl"/>
        </w:rPr>
        <w:t>.</w:t>
      </w:r>
    </w:p>
    <w:p w14:paraId="7966EE25" w14:textId="77777777" w:rsidR="009E6E2E" w:rsidRPr="000D3432" w:rsidRDefault="009E6E2E" w:rsidP="009E6E2E">
      <w:pPr>
        <w:jc w:val="both"/>
        <w:rPr>
          <w:rFonts w:asciiTheme="minorHAnsi" w:hAnsiTheme="minorHAnsi" w:cs="Arial"/>
          <w:b/>
          <w:bCs/>
          <w:color w:val="000000"/>
          <w:szCs w:val="24"/>
          <w:lang w:val="es-ES_tradnl"/>
        </w:rPr>
      </w:pPr>
    </w:p>
    <w:p w14:paraId="7CCB0C81"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CONCORDANCIAS:     R.A. N° 321-2011-P-PJ (Circular para la debida aplicación de la suspensión de la ejecución de la pena privativa de libertad)</w:t>
      </w:r>
    </w:p>
    <w:p w14:paraId="14ABB5DD" w14:textId="77777777" w:rsidR="009E6E2E" w:rsidRPr="000D3432" w:rsidRDefault="009E6E2E" w:rsidP="009E6E2E">
      <w:pPr>
        <w:rPr>
          <w:rFonts w:asciiTheme="minorHAnsi" w:hAnsiTheme="minorHAnsi"/>
          <w:szCs w:val="24"/>
          <w:lang w:val="es-ES_tradnl"/>
        </w:rPr>
      </w:pPr>
    </w:p>
    <w:p w14:paraId="1A6CA2A6" w14:textId="77777777" w:rsidR="009E6E2E" w:rsidRPr="000D3432" w:rsidRDefault="009E6E2E" w:rsidP="009E6E2E">
      <w:pPr>
        <w:pStyle w:val="Prrafodelista"/>
        <w:ind w:left="0"/>
        <w:contextualSpacing w:val="0"/>
        <w:rPr>
          <w:sz w:val="24"/>
          <w:szCs w:val="24"/>
          <w:lang w:val="es-ES_tradnl"/>
        </w:rPr>
      </w:pPr>
    </w:p>
    <w:p w14:paraId="54A87918" w14:textId="77777777" w:rsidR="009E6E2E" w:rsidRPr="000D3432" w:rsidRDefault="009E6E2E" w:rsidP="009E6E2E">
      <w:pPr>
        <w:pStyle w:val="Prrafodelista"/>
        <w:ind w:left="0"/>
        <w:contextualSpacing w:val="0"/>
        <w:rPr>
          <w:b/>
          <w:sz w:val="24"/>
          <w:szCs w:val="24"/>
          <w:u w:val="single"/>
          <w:lang w:val="es-ES_tradnl"/>
        </w:rPr>
      </w:pPr>
      <w:r w:rsidRPr="000D3432">
        <w:rPr>
          <w:b/>
          <w:sz w:val="24"/>
          <w:szCs w:val="24"/>
          <w:u w:val="single"/>
          <w:lang w:val="es-ES_tradnl"/>
        </w:rPr>
        <w:t>5.- Reserva del fallo condenatorio</w:t>
      </w:r>
    </w:p>
    <w:p w14:paraId="5E3A6FCC"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 xml:space="preserve">De acuerdo con el Código Penal – D.Leg. Nº 635º, se prescribe: </w:t>
      </w:r>
    </w:p>
    <w:p w14:paraId="02DFDC66" w14:textId="77777777" w:rsidR="009E6E2E" w:rsidRPr="000D3432" w:rsidRDefault="009E6E2E" w:rsidP="009E6E2E">
      <w:pPr>
        <w:pStyle w:val="Prrafodelista"/>
        <w:ind w:left="0"/>
        <w:contextualSpacing w:val="0"/>
        <w:rPr>
          <w:sz w:val="24"/>
          <w:szCs w:val="24"/>
          <w:lang w:val="es-ES_tradnl"/>
        </w:rPr>
      </w:pPr>
    </w:p>
    <w:p w14:paraId="6116EF1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62. Reserva del fallo condenatorio. Circunstancias y requisitos</w:t>
      </w:r>
    </w:p>
    <w:p w14:paraId="47E06FB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El juez puede disponer la reserva del fallo condenatorio siempre que de las circunstancias individuales, verificables al momento de la expedición de la sentencia, pueda colegir que el agente no cometerá nuevo delito. El pronóstico favorable sobre la conducta futura del sentenciado que formule la autoridad judicial requiere de debida motivación.</w:t>
      </w:r>
    </w:p>
    <w:p w14:paraId="082A050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La reserva es dispuesta en los siguientes casos:</w:t>
      </w:r>
    </w:p>
    <w:p w14:paraId="4F10106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1. Cuando el delito está sancionado con pena privativa de libertad no mayor de tres años o con multa;</w:t>
      </w:r>
    </w:p>
    <w:p w14:paraId="3651E2A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2. Cuando la pena a imponerse no supere las noventa jornadas de prestación de servicios a la comunidad o de limitación de días libres;</w:t>
      </w:r>
    </w:p>
    <w:p w14:paraId="7E7048E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3. Cuando la pena a imponerse no supere los dos años de inhabilitación.</w:t>
      </w:r>
    </w:p>
    <w:p w14:paraId="34AA916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El plazo de reserva del fallo condenatorio es de uno a tres años, contado desde que la decisión adquiere calidad de cosa juzgada.</w:t>
      </w:r>
      <w:r w:rsidRPr="000D3432">
        <w:rPr>
          <w:rFonts w:asciiTheme="minorHAnsi" w:hAnsiTheme="minorHAnsi" w:cs="Arial"/>
          <w:b/>
          <w:bCs/>
          <w:color w:val="000000"/>
        </w:rPr>
        <w:t>"</w:t>
      </w:r>
    </w:p>
    <w:p w14:paraId="0E98E61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     Ley N° 27770, Art. 3</w:t>
      </w:r>
    </w:p>
    <w:p w14:paraId="1ABF2F96" w14:textId="77777777" w:rsidR="009E6E2E" w:rsidRPr="000D3432" w:rsidRDefault="009E6E2E" w:rsidP="009E6E2E">
      <w:pPr>
        <w:pStyle w:val="Prrafodelista"/>
        <w:ind w:left="0"/>
        <w:contextualSpacing w:val="0"/>
        <w:rPr>
          <w:sz w:val="24"/>
          <w:szCs w:val="24"/>
          <w:lang w:val="es-ES_tradnl"/>
        </w:rPr>
      </w:pPr>
    </w:p>
    <w:p w14:paraId="33914850" w14:textId="77777777" w:rsidR="009E6E2E" w:rsidRPr="000D3432" w:rsidRDefault="009E6E2E" w:rsidP="009E6E2E">
      <w:pPr>
        <w:pStyle w:val="Prrafodelista"/>
        <w:ind w:left="0"/>
        <w:contextualSpacing w:val="0"/>
        <w:rPr>
          <w:sz w:val="24"/>
          <w:szCs w:val="24"/>
          <w:lang w:val="es-ES_tradnl"/>
        </w:rPr>
      </w:pPr>
    </w:p>
    <w:p w14:paraId="678FEF17" w14:textId="77777777" w:rsidR="009E6E2E" w:rsidRPr="000D3432" w:rsidRDefault="009E6E2E" w:rsidP="009E6E2E">
      <w:pPr>
        <w:pStyle w:val="Prrafodelista"/>
        <w:ind w:left="0"/>
        <w:contextualSpacing w:val="0"/>
        <w:rPr>
          <w:b/>
          <w:sz w:val="24"/>
          <w:szCs w:val="24"/>
          <w:u w:val="single"/>
          <w:lang w:val="es-ES_tradnl"/>
        </w:rPr>
      </w:pPr>
      <w:r w:rsidRPr="000D3432">
        <w:rPr>
          <w:b/>
          <w:sz w:val="24"/>
          <w:szCs w:val="24"/>
          <w:u w:val="single"/>
          <w:lang w:val="es-ES_tradnl"/>
        </w:rPr>
        <w:t>6.- Exención de la pena</w:t>
      </w:r>
    </w:p>
    <w:p w14:paraId="17D430E1" w14:textId="77777777" w:rsidR="009E6E2E" w:rsidRPr="000D3432" w:rsidRDefault="009E6E2E" w:rsidP="009E6E2E">
      <w:pPr>
        <w:pStyle w:val="Prrafodelista"/>
        <w:ind w:left="0"/>
        <w:contextualSpacing w:val="0"/>
        <w:rPr>
          <w:sz w:val="24"/>
          <w:szCs w:val="24"/>
          <w:lang w:val="es-ES_tradnl"/>
        </w:rPr>
      </w:pPr>
      <w:r w:rsidRPr="000D3432">
        <w:rPr>
          <w:sz w:val="24"/>
          <w:szCs w:val="24"/>
          <w:lang w:val="es-ES_tradnl"/>
        </w:rPr>
        <w:t>De acuerdo con el Código Penal – D. Leg. 635º, se prescribe:</w:t>
      </w:r>
    </w:p>
    <w:p w14:paraId="4263F451" w14:textId="77777777" w:rsidR="009E6E2E" w:rsidRPr="000D3432" w:rsidRDefault="009E6E2E" w:rsidP="009E6E2E">
      <w:pPr>
        <w:pStyle w:val="Prrafodelista"/>
        <w:ind w:left="0"/>
        <w:contextualSpacing w:val="0"/>
        <w:rPr>
          <w:sz w:val="24"/>
          <w:szCs w:val="24"/>
          <w:lang w:val="es-ES_tradnl"/>
        </w:rPr>
      </w:pPr>
    </w:p>
    <w:p w14:paraId="0FA09355"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“Artículo 68.- Exención de pena</w:t>
      </w:r>
    </w:p>
    <w:p w14:paraId="1E40D76F"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     </w:t>
      </w:r>
      <w:r w:rsidRPr="000D3432">
        <w:rPr>
          <w:rFonts w:asciiTheme="minorHAnsi" w:hAnsiTheme="minorHAnsi" w:cs="Arial"/>
          <w:color w:val="000000"/>
          <w:szCs w:val="24"/>
          <w:lang w:val="es-ES_tradnl"/>
        </w:rPr>
        <w:t>El juez puede eximir de sanción en los casos en que el delito esté previsto en la ley con pena privativa de libertad no mayor de dos años o con pena limitativa de derechos o con multa si la responsabilidad del agente fuere mínima.</w:t>
      </w:r>
      <w:r w:rsidRPr="000D3432">
        <w:rPr>
          <w:rFonts w:asciiTheme="minorHAnsi" w:hAnsiTheme="minorHAnsi" w:cs="Arial"/>
          <w:b/>
          <w:bCs/>
          <w:color w:val="000000"/>
          <w:szCs w:val="24"/>
          <w:lang w:val="es-ES_tradnl"/>
        </w:rPr>
        <w:t>”</w:t>
      </w:r>
      <w:bookmarkStart w:id="173" w:name="JD_penal7c7"/>
      <w:bookmarkEnd w:id="173"/>
    </w:p>
    <w:p w14:paraId="38956F9A" w14:textId="77777777" w:rsidR="009E6E2E" w:rsidRPr="000D3432" w:rsidRDefault="009E6E2E" w:rsidP="009E6E2E">
      <w:pPr>
        <w:pStyle w:val="Prrafodelista"/>
        <w:ind w:left="0"/>
        <w:contextualSpacing w:val="0"/>
        <w:rPr>
          <w:sz w:val="24"/>
          <w:szCs w:val="24"/>
          <w:lang w:val="es-ES_tradnl"/>
        </w:rPr>
      </w:pPr>
    </w:p>
    <w:p w14:paraId="57E73C36"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X.- EXTINCIÓN DE LA ACCIÓN PENAL Y DE LA PENA</w:t>
      </w:r>
    </w:p>
    <w:p w14:paraId="5CFDD894" w14:textId="77777777" w:rsidR="009E6E2E" w:rsidRPr="000D3432" w:rsidRDefault="009E6E2E" w:rsidP="009E6E2E">
      <w:pPr>
        <w:rPr>
          <w:rFonts w:asciiTheme="minorHAnsi" w:hAnsiTheme="minorHAnsi"/>
          <w:szCs w:val="24"/>
          <w:lang w:val="es-ES_tradnl"/>
        </w:rPr>
      </w:pPr>
    </w:p>
    <w:p w14:paraId="116A945D"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b/>
          <w:bCs/>
          <w:color w:val="000000"/>
          <w:szCs w:val="24"/>
          <w:lang w:val="es-ES_tradnl"/>
        </w:rPr>
        <w:t>Causales de extinción</w:t>
      </w:r>
    </w:p>
    <w:p w14:paraId="40CA6B28" w14:textId="77777777" w:rsidR="009E6E2E" w:rsidRPr="000D3432" w:rsidRDefault="009E6E2E" w:rsidP="009E6E2E">
      <w:pPr>
        <w:jc w:val="both"/>
        <w:rPr>
          <w:rFonts w:asciiTheme="minorHAnsi" w:hAnsiTheme="minorHAnsi" w:cs="Arial"/>
          <w:color w:val="000000"/>
          <w:szCs w:val="24"/>
          <w:lang w:val="es-ES_tradnl"/>
        </w:rPr>
      </w:pPr>
      <w:bookmarkStart w:id="174" w:name="JD_salas1652"/>
      <w:bookmarkEnd w:id="174"/>
      <w:r w:rsidRPr="000D3432">
        <w:rPr>
          <w:rFonts w:asciiTheme="minorHAnsi" w:hAnsiTheme="minorHAnsi" w:cs="Arial"/>
          <w:b/>
          <w:bCs/>
          <w:color w:val="000000"/>
          <w:szCs w:val="24"/>
          <w:lang w:val="es-ES_tradnl"/>
        </w:rPr>
        <w:t>Artículo 78.- </w:t>
      </w:r>
      <w:r w:rsidRPr="000D3432">
        <w:rPr>
          <w:rFonts w:asciiTheme="minorHAnsi" w:hAnsiTheme="minorHAnsi" w:cs="Arial"/>
          <w:color w:val="000000"/>
          <w:szCs w:val="24"/>
          <w:lang w:val="es-ES_tradnl"/>
        </w:rPr>
        <w:t>La acción penal se extingue:</w:t>
      </w:r>
    </w:p>
    <w:p w14:paraId="307DC04A"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1. Por muerte del imputado, prescripción, amnistía y el derecho de gracia.</w:t>
      </w:r>
    </w:p>
    <w:p w14:paraId="634699CB"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2. Por autoridad de cosa juzgada.</w:t>
      </w:r>
    </w:p>
    <w:p w14:paraId="2686E274" w14:textId="77777777" w:rsidR="009E6E2E" w:rsidRPr="000D3432" w:rsidRDefault="009E6E2E" w:rsidP="009E6E2E">
      <w:pPr>
        <w:jc w:val="both"/>
        <w:rPr>
          <w:rFonts w:asciiTheme="minorHAnsi" w:hAnsiTheme="minorHAnsi" w:cs="Arial"/>
          <w:color w:val="000000"/>
          <w:szCs w:val="24"/>
          <w:lang w:val="es-ES_tradnl"/>
        </w:rPr>
      </w:pPr>
      <w:r w:rsidRPr="000D3432">
        <w:rPr>
          <w:rFonts w:asciiTheme="minorHAnsi" w:hAnsiTheme="minorHAnsi" w:cs="Arial"/>
          <w:color w:val="000000"/>
          <w:szCs w:val="24"/>
          <w:lang w:val="es-ES_tradnl"/>
        </w:rPr>
        <w:t>     </w:t>
      </w:r>
      <w:bookmarkStart w:id="175" w:name="JD_DLEG635-A78"/>
      <w:bookmarkEnd w:id="175"/>
      <w:r w:rsidRPr="000D3432">
        <w:rPr>
          <w:rFonts w:asciiTheme="minorHAnsi" w:hAnsiTheme="minorHAnsi" w:cs="Arial"/>
          <w:color w:val="000000"/>
          <w:szCs w:val="24"/>
          <w:lang w:val="es-ES_tradnl"/>
        </w:rPr>
        <w:t>3. En los casos que sólo proceda la acción privada, ésta se extingue, además de las establecidas en el numeral 1, por desistimiento o transacción."</w:t>
      </w:r>
    </w:p>
    <w:p w14:paraId="1FAA5096" w14:textId="77777777" w:rsidR="009E6E2E" w:rsidRPr="000D3432" w:rsidRDefault="009E6E2E" w:rsidP="009E6E2E">
      <w:pPr>
        <w:rPr>
          <w:rFonts w:asciiTheme="minorHAnsi" w:hAnsiTheme="minorHAnsi"/>
          <w:szCs w:val="24"/>
          <w:lang w:val="es-ES_tradnl"/>
        </w:rPr>
      </w:pPr>
    </w:p>
    <w:p w14:paraId="63E2592A" w14:textId="77777777" w:rsidR="009E6E2E" w:rsidRPr="000D3432" w:rsidRDefault="009E6E2E" w:rsidP="009E6E2E">
      <w:pPr>
        <w:rPr>
          <w:rFonts w:asciiTheme="minorHAnsi" w:hAnsiTheme="minorHAnsi"/>
          <w:szCs w:val="24"/>
          <w:lang w:val="es-ES_tradnl"/>
        </w:rPr>
      </w:pPr>
    </w:p>
    <w:p w14:paraId="7D8395D1"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a) Prescripción:</w:t>
      </w:r>
    </w:p>
    <w:p w14:paraId="3C1772E7" w14:textId="77777777" w:rsidR="009E6E2E" w:rsidRPr="000D3432" w:rsidRDefault="009E6E2E" w:rsidP="009E6E2E">
      <w:pPr>
        <w:rPr>
          <w:rFonts w:asciiTheme="minorHAnsi" w:hAnsiTheme="minorHAnsi"/>
          <w:szCs w:val="24"/>
          <w:lang w:val="es-ES_tradnl"/>
        </w:rPr>
      </w:pPr>
    </w:p>
    <w:p w14:paraId="6A9FEB0C" w14:textId="77777777" w:rsidR="009E6E2E" w:rsidRPr="000D3432" w:rsidRDefault="009E6E2E" w:rsidP="009E6E2E">
      <w:pPr>
        <w:rPr>
          <w:rFonts w:asciiTheme="minorHAnsi" w:hAnsiTheme="minorHAnsi"/>
          <w:szCs w:val="24"/>
          <w:lang w:val="es-ES_tradnl"/>
        </w:rPr>
      </w:pPr>
    </w:p>
    <w:p w14:paraId="1409111D" w14:textId="77777777" w:rsidR="009E6E2E" w:rsidRPr="000D3432" w:rsidRDefault="009E6E2E" w:rsidP="009E6E2E">
      <w:pPr>
        <w:rPr>
          <w:rFonts w:asciiTheme="minorHAnsi" w:hAnsiTheme="minorHAnsi"/>
          <w:szCs w:val="24"/>
          <w:lang w:val="es-ES_tradnl"/>
        </w:rPr>
      </w:pPr>
    </w:p>
    <w:p w14:paraId="3AE252A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“Artículo 80. - Plazos de prescripción de la acción penal"</w:t>
      </w:r>
    </w:p>
    <w:p w14:paraId="17890D89"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w:t>
      </w:r>
      <w:r w:rsidRPr="000D3432">
        <w:rPr>
          <w:rFonts w:asciiTheme="minorHAnsi" w:hAnsiTheme="minorHAnsi" w:cs="Arial"/>
          <w:color w:val="000000"/>
        </w:rPr>
        <w:t>La acción penal prescribe en un tiempo igual al máximo de la pena fijada por la ley para el delito, si es privativa de libertad.</w:t>
      </w:r>
    </w:p>
    <w:p w14:paraId="7FD8FDD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En caso de concurso real de delitos, las acciones prescriben separadamente en el plazo señalado para cada uno.</w:t>
      </w:r>
    </w:p>
    <w:p w14:paraId="428ED60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En caso de concurso ideal de delitos, las acciones prescriben cuando haya transcurrido un plazo igual al máximo correspondiente al delito más grave.</w:t>
      </w:r>
    </w:p>
    <w:p w14:paraId="7CB4C77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La prescripción no será mayor a veinte años. Tratándose de delitos sancionados con pena de cadena perpetua se extingue la acción penal a los treinta años.</w:t>
      </w:r>
    </w:p>
    <w:p w14:paraId="3E56128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En los delitos que merezcan otras penas, la acción prescribe a los dos años.</w:t>
      </w:r>
    </w:p>
    <w:p w14:paraId="0711924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i/>
          <w:iCs/>
          <w:color w:val="000000"/>
        </w:rPr>
        <w:t>En casos de delitos cometidos por funcionarios y servidores públicos contra el patrimonio del Estado o de organismos sostenidos por éste, el plazo de prescripción se duplica.”</w:t>
      </w:r>
      <w:r w:rsidRPr="000D3432">
        <w:rPr>
          <w:rStyle w:val="apple-converted-space"/>
          <w:rFonts w:asciiTheme="minorHAnsi" w:hAnsiTheme="minorHAnsi" w:cs="Arial"/>
          <w:color w:val="000000"/>
        </w:rPr>
        <w:t> </w:t>
      </w:r>
      <w:r w:rsidRPr="000D3432">
        <w:rPr>
          <w:rFonts w:asciiTheme="minorHAnsi" w:hAnsiTheme="minorHAnsi" w:cs="Arial"/>
          <w:b/>
          <w:bCs/>
          <w:color w:val="000000"/>
        </w:rPr>
        <w:t>(*)</w:t>
      </w:r>
      <w:r w:rsidRPr="000D3432">
        <w:rPr>
          <w:rStyle w:val="apple-converted-space"/>
          <w:rFonts w:asciiTheme="minorHAnsi" w:hAnsiTheme="minorHAnsi" w:cs="Arial"/>
          <w:b/>
          <w:bCs/>
          <w:color w:val="000000"/>
        </w:rPr>
        <w:t> </w:t>
      </w:r>
    </w:p>
    <w:p w14:paraId="48262B8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Extremo modificado por la Primera Disposición Complementaria Modificatoria de la Ley Nº 30077, publicada el</w:t>
      </w:r>
      <w:r w:rsidRPr="000D3432">
        <w:rPr>
          <w:rStyle w:val="apple-converted-space"/>
          <w:rFonts w:asciiTheme="minorHAnsi" w:hAnsiTheme="minorHAnsi" w:cs="Arial"/>
          <w:b/>
          <w:bCs/>
          <w:color w:val="000000"/>
        </w:rPr>
        <w:t> </w:t>
      </w:r>
      <w:r w:rsidRPr="000D3432">
        <w:rPr>
          <w:rStyle w:val="modartculofecha"/>
          <w:rFonts w:asciiTheme="minorHAnsi" w:hAnsiTheme="minorHAnsi" w:cs="Arial"/>
          <w:b/>
          <w:bCs/>
          <w:color w:val="000000"/>
        </w:rPr>
        <w:t>20 agosto 2013</w:t>
      </w:r>
      <w:r w:rsidRPr="000D3432">
        <w:rPr>
          <w:rFonts w:asciiTheme="minorHAnsi" w:hAnsiTheme="minorHAnsi" w:cs="Arial"/>
          <w:b/>
          <w:bCs/>
          <w:color w:val="000000"/>
        </w:rPr>
        <w:t>, la misma que entró en vigencia el 1 de julio del 2014, cuyo texto es el siguiente:</w:t>
      </w:r>
    </w:p>
    <w:p w14:paraId="7B5FA8A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w:t>
      </w:r>
      <w:r w:rsidRPr="000D3432">
        <w:rPr>
          <w:rFonts w:asciiTheme="minorHAnsi" w:hAnsiTheme="minorHAnsi" w:cs="Arial"/>
          <w:color w:val="000000"/>
        </w:rPr>
        <w:t>En casos de delitos cometidos por funcionarios y servidores públicos contra el patrimonio del Estado o de organismos sostenidos por este, o cometidos como integrante de organizaciones criminales, el plazo de prescripción se duplica.</w:t>
      </w:r>
      <w:r w:rsidRPr="000D3432">
        <w:rPr>
          <w:rFonts w:asciiTheme="minorHAnsi" w:hAnsiTheme="minorHAnsi" w:cs="Arial"/>
          <w:b/>
          <w:bCs/>
          <w:color w:val="000000"/>
        </w:rPr>
        <w:t>"</w:t>
      </w:r>
    </w:p>
    <w:p w14:paraId="1FD743F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20569D3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Reducción de los plazos de prescripción</w:t>
      </w:r>
    </w:p>
    <w:p w14:paraId="35DA1BF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81.-</w:t>
      </w:r>
      <w:r w:rsidRPr="000D3432">
        <w:rPr>
          <w:rStyle w:val="apple-converted-space"/>
          <w:rFonts w:asciiTheme="minorHAnsi" w:hAnsiTheme="minorHAnsi" w:cs="Arial"/>
          <w:b/>
          <w:bCs/>
          <w:color w:val="000000"/>
        </w:rPr>
        <w:t> </w:t>
      </w:r>
      <w:r w:rsidRPr="000D3432">
        <w:rPr>
          <w:rFonts w:asciiTheme="minorHAnsi" w:hAnsiTheme="minorHAnsi" w:cs="Arial"/>
          <w:color w:val="000000"/>
        </w:rPr>
        <w:t>Los plazos de prescripción se reducen a la mitad cuando el agente tenía menos de veintiún o más de sesenticinco años al tiempo de la comisión del hecho punible.</w:t>
      </w:r>
    </w:p>
    <w:p w14:paraId="0B6F125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3F2078D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Inicio de los plazos de prescripción</w:t>
      </w:r>
    </w:p>
    <w:p w14:paraId="5BC9928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82.-</w:t>
      </w:r>
      <w:r w:rsidRPr="000D3432">
        <w:rPr>
          <w:rStyle w:val="apple-converted-space"/>
          <w:rFonts w:asciiTheme="minorHAnsi" w:hAnsiTheme="minorHAnsi" w:cs="Arial"/>
          <w:b/>
          <w:bCs/>
          <w:color w:val="000000"/>
        </w:rPr>
        <w:t> </w:t>
      </w:r>
      <w:r w:rsidRPr="000D3432">
        <w:rPr>
          <w:rFonts w:asciiTheme="minorHAnsi" w:hAnsiTheme="minorHAnsi" w:cs="Arial"/>
          <w:color w:val="000000"/>
        </w:rPr>
        <w:t>Los plazos de prescripción de la acción penal comienzan:</w:t>
      </w:r>
    </w:p>
    <w:p w14:paraId="5F06E928"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1. En la tentativa, desde el día en que cesó la actividad delictuosa;</w:t>
      </w:r>
    </w:p>
    <w:p w14:paraId="272B928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2. En el delito instantáneo, a partir del día en que se consumó;</w:t>
      </w:r>
    </w:p>
    <w:p w14:paraId="4DA012B7"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3. En el delito continuado, desde el día en que terminó la actividad delictuosa; y</w:t>
      </w:r>
    </w:p>
    <w:p w14:paraId="10FAC4A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4. En el delito permanente, a partir del día en que cesó la permanencia.</w:t>
      </w:r>
    </w:p>
    <w:p w14:paraId="7F563FA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Interrupción de la prescripción de la acción penal</w:t>
      </w:r>
    </w:p>
    <w:p w14:paraId="2AD4205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83.-</w:t>
      </w:r>
      <w:r w:rsidRPr="000D3432">
        <w:rPr>
          <w:rStyle w:val="apple-converted-space"/>
          <w:rFonts w:asciiTheme="minorHAnsi" w:hAnsiTheme="minorHAnsi" w:cs="Arial"/>
          <w:b/>
          <w:bCs/>
          <w:color w:val="000000"/>
        </w:rPr>
        <w:t> </w:t>
      </w:r>
      <w:r w:rsidRPr="000D3432">
        <w:rPr>
          <w:rFonts w:asciiTheme="minorHAnsi" w:hAnsiTheme="minorHAnsi" w:cs="Arial"/>
          <w:color w:val="000000"/>
        </w:rPr>
        <w:t>La prescripción de la acción se interrumpe por las actuaciones del Ministerio Público o de las autoridades judiciales, quedando sin efecto el tiempo transcurrido.</w:t>
      </w:r>
    </w:p>
    <w:p w14:paraId="26E87DA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Después de la interrupción comienza a correr un nuevo plazo de prescripción, a partir del día siguiente de la última diligencia.</w:t>
      </w:r>
    </w:p>
    <w:p w14:paraId="402901F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Se interrumpe igualmente la prescripción de la acción por la comisión de un nuevo delito doloso.</w:t>
      </w:r>
    </w:p>
    <w:p w14:paraId="003CAD69"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Sin embargo, la acción penal prescribe, en todo caso, cuando el tiempo transcurrido sobrepasa en una mitad al plazo ordinario de prescripción.</w:t>
      </w:r>
    </w:p>
    <w:p w14:paraId="32D5385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38E0098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Suspensión de la prescripción</w:t>
      </w:r>
    </w:p>
    <w:p w14:paraId="05D940D4"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84.-</w:t>
      </w:r>
      <w:r w:rsidRPr="000D3432">
        <w:rPr>
          <w:rStyle w:val="apple-converted-space"/>
          <w:rFonts w:asciiTheme="minorHAnsi" w:hAnsiTheme="minorHAnsi" w:cs="Arial"/>
          <w:b/>
          <w:bCs/>
          <w:color w:val="000000"/>
        </w:rPr>
        <w:t> </w:t>
      </w:r>
      <w:r w:rsidRPr="000D3432">
        <w:rPr>
          <w:rFonts w:asciiTheme="minorHAnsi" w:hAnsiTheme="minorHAnsi" w:cs="Arial"/>
          <w:color w:val="000000"/>
        </w:rPr>
        <w:t>Si el comienzo o la continuación del proceso penal depende de cualquier cuestión que deba resolverse en otro procedimiento, se considera en suspenso la prescripción hasta que aquel quede concluido.</w:t>
      </w:r>
      <w:r w:rsidRPr="000D3432">
        <w:rPr>
          <w:rStyle w:val="apple-converted-space"/>
          <w:rFonts w:asciiTheme="minorHAnsi" w:hAnsiTheme="minorHAnsi" w:cs="Arial"/>
          <w:color w:val="000000"/>
        </w:rPr>
        <w:t> </w:t>
      </w:r>
      <w:r w:rsidRPr="000D3432">
        <w:rPr>
          <w:rFonts w:asciiTheme="minorHAnsi" w:hAnsiTheme="minorHAnsi" w:cs="Arial"/>
          <w:b/>
          <w:bCs/>
          <w:color w:val="000000"/>
        </w:rPr>
        <w:t>(*)</w:t>
      </w:r>
    </w:p>
    <w:p w14:paraId="7A98C9D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De conformidad con el Resolutivo 2 del Fallo del Expediente N° 0026-2006-PI-TC, publicado el</w:t>
      </w:r>
      <w:r w:rsidRPr="000D3432">
        <w:rPr>
          <w:rStyle w:val="apple-converted-space"/>
          <w:rFonts w:asciiTheme="minorHAnsi" w:hAnsiTheme="minorHAnsi" w:cs="Arial"/>
          <w:b/>
          <w:bCs/>
          <w:color w:val="000000"/>
        </w:rPr>
        <w:t> </w:t>
      </w:r>
      <w:r w:rsidRPr="000D3432">
        <w:rPr>
          <w:rStyle w:val="modartculofecha"/>
          <w:rFonts w:asciiTheme="minorHAnsi" w:hAnsiTheme="minorHAnsi" w:cs="Arial"/>
          <w:b/>
          <w:bCs/>
          <w:color w:val="000000"/>
        </w:rPr>
        <w:t>18 marzo 2007</w:t>
      </w:r>
      <w:r w:rsidRPr="000D3432">
        <w:rPr>
          <w:rFonts w:asciiTheme="minorHAnsi" w:hAnsiTheme="minorHAnsi" w:cs="Arial"/>
          <w:b/>
          <w:bCs/>
          <w:color w:val="000000"/>
        </w:rPr>
        <w:t>, se declara que el presente artículo es la norma aplicable para el caso de los Congresistas protegidos por la inmunidad de proceso.</w:t>
      </w:r>
    </w:p>
    <w:p w14:paraId="52856D71" w14:textId="77777777" w:rsidR="009E6E2E" w:rsidRPr="000D3432" w:rsidRDefault="009E6E2E" w:rsidP="009E6E2E">
      <w:pPr>
        <w:rPr>
          <w:rFonts w:asciiTheme="minorHAnsi" w:hAnsiTheme="minorHAnsi"/>
          <w:szCs w:val="24"/>
          <w:lang w:val="es-ES_tradnl"/>
        </w:rPr>
      </w:pPr>
    </w:p>
    <w:p w14:paraId="63C46496" w14:textId="77777777" w:rsidR="009E6E2E" w:rsidRPr="000D3432" w:rsidRDefault="009E6E2E" w:rsidP="009E6E2E">
      <w:pPr>
        <w:rPr>
          <w:rFonts w:asciiTheme="minorHAnsi" w:hAnsiTheme="minorHAnsi"/>
          <w:szCs w:val="24"/>
          <w:lang w:val="es-ES_tradnl"/>
        </w:rPr>
      </w:pPr>
    </w:p>
    <w:p w14:paraId="0053B4D9" w14:textId="77777777" w:rsidR="009E6E2E" w:rsidRPr="000D3432" w:rsidRDefault="009E6E2E" w:rsidP="009E6E2E">
      <w:pPr>
        <w:rPr>
          <w:rFonts w:asciiTheme="minorHAnsi" w:hAnsiTheme="minorHAnsi"/>
          <w:b/>
          <w:szCs w:val="24"/>
          <w:u w:val="single"/>
          <w:lang w:val="es-ES_tradnl"/>
        </w:rPr>
      </w:pPr>
      <w:r w:rsidRPr="000D3432">
        <w:rPr>
          <w:rFonts w:asciiTheme="minorHAnsi" w:hAnsiTheme="minorHAnsi"/>
          <w:b/>
          <w:szCs w:val="24"/>
          <w:u w:val="single"/>
          <w:lang w:val="es-ES_tradnl"/>
        </w:rPr>
        <w:t>XII.- REPARACIÓN CIVIL Y CONSECUENCIAS ACCESORIAS</w:t>
      </w:r>
    </w:p>
    <w:p w14:paraId="264DA0F5" w14:textId="77777777" w:rsidR="009E6E2E" w:rsidRPr="000D3432" w:rsidRDefault="009E6E2E" w:rsidP="009E6E2E">
      <w:pPr>
        <w:jc w:val="both"/>
        <w:rPr>
          <w:rFonts w:asciiTheme="minorHAnsi" w:hAnsiTheme="minorHAnsi"/>
          <w:b/>
          <w:szCs w:val="24"/>
          <w:lang w:val="es-ES_tradnl"/>
        </w:rPr>
      </w:pPr>
    </w:p>
    <w:p w14:paraId="0B248C5C" w14:textId="77777777" w:rsidR="009E6E2E" w:rsidRPr="000D3432" w:rsidRDefault="009E6E2E" w:rsidP="009E6E2E">
      <w:pPr>
        <w:jc w:val="both"/>
        <w:rPr>
          <w:rFonts w:asciiTheme="minorHAnsi" w:hAnsiTheme="minorHAnsi"/>
          <w:b/>
          <w:szCs w:val="24"/>
          <w:lang w:val="es-ES_tradnl"/>
        </w:rPr>
      </w:pPr>
    </w:p>
    <w:p w14:paraId="14294D8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800000"/>
        </w:rPr>
        <w:t>APITULO  I</w:t>
      </w:r>
      <w:r w:rsidRPr="000D3432">
        <w:rPr>
          <w:rFonts w:asciiTheme="minorHAnsi" w:hAnsiTheme="minorHAnsi" w:cs="Arial"/>
          <w:b/>
          <w:bCs/>
          <w:color w:val="800000"/>
        </w:rPr>
        <w:br/>
        <w:t>REPARACION CIVIL</w:t>
      </w:r>
    </w:p>
    <w:p w14:paraId="0F8F54E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Reparación civil</w:t>
      </w:r>
    </w:p>
    <w:p w14:paraId="08B8481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92.-</w:t>
      </w:r>
      <w:r w:rsidRPr="000D3432">
        <w:rPr>
          <w:rStyle w:val="apple-converted-space"/>
          <w:rFonts w:asciiTheme="minorHAnsi" w:hAnsiTheme="minorHAnsi" w:cs="Arial"/>
          <w:b/>
          <w:bCs/>
          <w:color w:val="000000"/>
        </w:rPr>
        <w:t> </w:t>
      </w:r>
      <w:r w:rsidRPr="000D3432">
        <w:rPr>
          <w:rFonts w:asciiTheme="minorHAnsi" w:hAnsiTheme="minorHAnsi" w:cs="Arial"/>
          <w:color w:val="000000"/>
        </w:rPr>
        <w:t>La reparación civil se determina conjuntamente con la pena.</w:t>
      </w:r>
    </w:p>
    <w:p w14:paraId="20B2094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691A8C6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Contenido de la reparación civil</w:t>
      </w:r>
    </w:p>
    <w:p w14:paraId="3A887028"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93.-</w:t>
      </w:r>
      <w:r w:rsidRPr="000D3432">
        <w:rPr>
          <w:rStyle w:val="apple-converted-space"/>
          <w:rFonts w:asciiTheme="minorHAnsi" w:hAnsiTheme="minorHAnsi" w:cs="Arial"/>
          <w:b/>
          <w:bCs/>
          <w:color w:val="000000"/>
        </w:rPr>
        <w:t> </w:t>
      </w:r>
      <w:r w:rsidRPr="000D3432">
        <w:rPr>
          <w:rFonts w:asciiTheme="minorHAnsi" w:hAnsiTheme="minorHAnsi" w:cs="Arial"/>
          <w:color w:val="000000"/>
        </w:rPr>
        <w:t>La reparación comprende:</w:t>
      </w:r>
    </w:p>
    <w:p w14:paraId="1F437F3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1. La restitución del bien o, si no es posible, el pago de su valor; y</w:t>
      </w:r>
    </w:p>
    <w:p w14:paraId="7B74C5F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2. La indemnización de los daños y perjuicios.</w:t>
      </w:r>
    </w:p>
    <w:p w14:paraId="49DB4BCD"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     D.S Nº 009-2010-JUS (Aprueban Procedimiento para el pago de la reparación civil a favor del Estado en casos de procesos seguidos sobre</w:t>
      </w:r>
      <w:r w:rsidRPr="000D3432">
        <w:rPr>
          <w:rFonts w:asciiTheme="minorHAnsi" w:hAnsiTheme="minorHAnsi" w:cs="Arial"/>
          <w:b/>
          <w:bCs/>
          <w:color w:val="000000"/>
        </w:rPr>
        <w:br/>
        <w:t>               delitos de corrupción y otros delitos conexos)</w:t>
      </w:r>
    </w:p>
    <w:p w14:paraId="7CF7E4C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4D111A1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Restitución del bien</w:t>
      </w:r>
    </w:p>
    <w:p w14:paraId="24238069"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94.-</w:t>
      </w:r>
      <w:r w:rsidRPr="000D3432">
        <w:rPr>
          <w:rStyle w:val="apple-converted-space"/>
          <w:rFonts w:asciiTheme="minorHAnsi" w:hAnsiTheme="minorHAnsi" w:cs="Arial"/>
          <w:b/>
          <w:bCs/>
          <w:color w:val="000000"/>
        </w:rPr>
        <w:t> </w:t>
      </w:r>
      <w:r w:rsidRPr="000D3432">
        <w:rPr>
          <w:rFonts w:asciiTheme="minorHAnsi" w:hAnsiTheme="minorHAnsi" w:cs="Arial"/>
          <w:color w:val="000000"/>
        </w:rPr>
        <w:t>La restitución se hace con el mismo bien aunque se halle en poder de terceros, sin perjuicio del derecho de éstos para reclamar su valor contra quien corresponda.</w:t>
      </w:r>
    </w:p>
    <w:p w14:paraId="010206A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45C4F0B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Responsabilidad solidaria</w:t>
      </w:r>
    </w:p>
    <w:p w14:paraId="2F541026"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95.-</w:t>
      </w:r>
      <w:r w:rsidRPr="000D3432">
        <w:rPr>
          <w:rStyle w:val="apple-converted-space"/>
          <w:rFonts w:asciiTheme="minorHAnsi" w:hAnsiTheme="minorHAnsi" w:cs="Arial"/>
          <w:b/>
          <w:bCs/>
          <w:color w:val="000000"/>
        </w:rPr>
        <w:t> </w:t>
      </w:r>
      <w:r w:rsidRPr="000D3432">
        <w:rPr>
          <w:rFonts w:asciiTheme="minorHAnsi" w:hAnsiTheme="minorHAnsi" w:cs="Arial"/>
          <w:color w:val="000000"/>
        </w:rPr>
        <w:t>La reparación civil es solidaria entre los responsables del hecho punible y los terceros civilmente obligados.</w:t>
      </w:r>
    </w:p>
    <w:p w14:paraId="46FC5B6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     D.S Nº 009-2010-JUS (Aprueban Procedimiento para el pago de la reparación civil a favor del Estado en casos de procesos seguidos sobre</w:t>
      </w:r>
      <w:r w:rsidRPr="000D3432">
        <w:rPr>
          <w:rFonts w:asciiTheme="minorHAnsi" w:hAnsiTheme="minorHAnsi" w:cs="Arial"/>
          <w:b/>
          <w:bCs/>
          <w:color w:val="000000"/>
        </w:rPr>
        <w:br/>
        <w:t>               delitos de corrupción y otros delitos conexos)</w:t>
      </w:r>
    </w:p>
    <w:p w14:paraId="5A4BFB0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color w:val="000000"/>
        </w:rPr>
        <w:fldChar w:fldCharType="begin"/>
      </w:r>
      <w:r w:rsidRPr="000D3432">
        <w:rPr>
          <w:rFonts w:asciiTheme="minorHAnsi" w:hAnsiTheme="minorHAnsi" w:cs="Arial"/>
          <w:color w:val="000000"/>
        </w:rPr>
        <w:instrText xml:space="preserve"> HYPERLINK "http://spij.minjus.gob.pe/CLP/contenidos.dll/demo/coleccion00000.htm/tomo00006.htm/sumilla00011.htm?f=templates$fn=document-frame.htm$3.0" \t "_blank" </w:instrText>
      </w:r>
      <w:r w:rsidRPr="000D3432">
        <w:rPr>
          <w:rFonts w:asciiTheme="minorHAnsi" w:hAnsiTheme="minorHAnsi" w:cs="Arial"/>
          <w:color w:val="000000"/>
        </w:rPr>
      </w:r>
      <w:r w:rsidRPr="000D3432">
        <w:rPr>
          <w:rFonts w:asciiTheme="minorHAnsi" w:hAnsiTheme="minorHAnsi" w:cs="Arial"/>
          <w:color w:val="000000"/>
        </w:rPr>
        <w:fldChar w:fldCharType="separate"/>
      </w:r>
      <w:r w:rsidRPr="000D3432">
        <w:rPr>
          <w:rStyle w:val="Hipervnculo"/>
          <w:rFonts w:asciiTheme="minorHAnsi" w:hAnsiTheme="minorHAnsi" w:cs="Arial"/>
          <w:color w:val="008000"/>
        </w:rPr>
        <w:t>JURISPRUDENCIA DE LA CORTE SUPREMA DE JUSTICIA</w:t>
      </w:r>
      <w:r w:rsidRPr="000D3432">
        <w:rPr>
          <w:rFonts w:asciiTheme="minorHAnsi" w:hAnsiTheme="minorHAnsi" w:cs="Arial"/>
          <w:color w:val="000000"/>
        </w:rPr>
        <w:fldChar w:fldCharType="end"/>
      </w:r>
    </w:p>
    <w:p w14:paraId="2FE914C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Transmisión de la reparación civil a herederos</w:t>
      </w:r>
    </w:p>
    <w:p w14:paraId="1BCDFD38"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96.-</w:t>
      </w:r>
      <w:r w:rsidRPr="000D3432">
        <w:rPr>
          <w:rStyle w:val="apple-converted-space"/>
          <w:rFonts w:asciiTheme="minorHAnsi" w:hAnsiTheme="minorHAnsi" w:cs="Arial"/>
          <w:b/>
          <w:bCs/>
          <w:color w:val="000000"/>
        </w:rPr>
        <w:t> </w:t>
      </w:r>
      <w:r w:rsidRPr="000D3432">
        <w:rPr>
          <w:rFonts w:asciiTheme="minorHAnsi" w:hAnsiTheme="minorHAnsi" w:cs="Arial"/>
          <w:color w:val="000000"/>
        </w:rPr>
        <w:t>La obligación de la reparación civil fijada en la sentencia se transmite a los herederos del responsable hasta donde alcancen los bienes de la herencia. El derecho a exigir la reparación civil se transfiere a los herederos del agraviado.</w:t>
      </w:r>
    </w:p>
    <w:p w14:paraId="4877FD4C"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     D.S Nº 009-2010-JUS (Aprueban Procedimiento para el pago de la reparación civil a favor del Estado en casos de procesos seguidos sobre</w:t>
      </w:r>
      <w:r w:rsidRPr="000D3432">
        <w:rPr>
          <w:rFonts w:asciiTheme="minorHAnsi" w:hAnsiTheme="minorHAnsi" w:cs="Arial"/>
          <w:b/>
          <w:bCs/>
          <w:color w:val="000000"/>
        </w:rPr>
        <w:br/>
        <w:t>               delitos de corrupción y otros delitos conexos)</w:t>
      </w:r>
    </w:p>
    <w:p w14:paraId="3E3D300A"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Protección de la reparación civil</w:t>
      </w:r>
    </w:p>
    <w:p w14:paraId="4C68CAE5"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97.-</w:t>
      </w:r>
      <w:r w:rsidRPr="000D3432">
        <w:rPr>
          <w:rStyle w:val="apple-converted-space"/>
          <w:rFonts w:asciiTheme="minorHAnsi" w:hAnsiTheme="minorHAnsi" w:cs="Arial"/>
          <w:b/>
          <w:bCs/>
          <w:color w:val="000000"/>
        </w:rPr>
        <w:t> </w:t>
      </w:r>
      <w:r w:rsidRPr="000D3432">
        <w:rPr>
          <w:rFonts w:asciiTheme="minorHAnsi" w:hAnsiTheme="minorHAnsi" w:cs="Arial"/>
          <w:color w:val="000000"/>
        </w:rPr>
        <w:t>Los actos practicados o las obligaciones adquiridas con posterioridad al hecho punible son nulos en cuanto disminuyan el patrimonio del condenado y lo hagan insuficiente para la reparación, sin perjuicio de los actos jurídicos celebrados de buena fe por terceros.</w:t>
      </w:r>
    </w:p>
    <w:p w14:paraId="6B3C962B"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     D.S Nº 009-2010-JUS (Aprueban Procedimiento para el pago de la reparación civil a favor del Estado en casos de procesos seguidos sobre</w:t>
      </w:r>
      <w:r w:rsidRPr="000D3432">
        <w:rPr>
          <w:rFonts w:asciiTheme="minorHAnsi" w:hAnsiTheme="minorHAnsi" w:cs="Arial"/>
          <w:b/>
          <w:bCs/>
          <w:color w:val="000000"/>
        </w:rPr>
        <w:br/>
        <w:t>               delitos de corrupción y otros delitos conexos)</w:t>
      </w:r>
    </w:p>
    <w:p w14:paraId="0E59EDC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Condenado insolvente</w:t>
      </w:r>
    </w:p>
    <w:p w14:paraId="2B04A6D1"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98.-</w:t>
      </w:r>
      <w:r w:rsidRPr="000D3432">
        <w:rPr>
          <w:rStyle w:val="apple-converted-space"/>
          <w:rFonts w:asciiTheme="minorHAnsi" w:hAnsiTheme="minorHAnsi" w:cs="Arial"/>
          <w:b/>
          <w:bCs/>
          <w:color w:val="000000"/>
        </w:rPr>
        <w:t> </w:t>
      </w:r>
      <w:r w:rsidRPr="000D3432">
        <w:rPr>
          <w:rFonts w:asciiTheme="minorHAnsi" w:hAnsiTheme="minorHAnsi" w:cs="Arial"/>
          <w:color w:val="000000"/>
        </w:rPr>
        <w:t>En caso que el condenado no tenga bienes realizables, el Juez señalará hasta un tercio de su remuneración para el pago de la reparación civil.</w:t>
      </w:r>
    </w:p>
    <w:p w14:paraId="6C80757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CONCORDANCIAS:     D.S Nº 009-2010-JUS (Aprueban Procedimiento para el pago de la reparación civil a favor del Estado en casos de procesos seguidos sobre</w:t>
      </w:r>
      <w:r w:rsidRPr="000D3432">
        <w:rPr>
          <w:rFonts w:asciiTheme="minorHAnsi" w:hAnsiTheme="minorHAnsi" w:cs="Arial"/>
          <w:b/>
          <w:bCs/>
          <w:color w:val="000000"/>
        </w:rPr>
        <w:br/>
        <w:t>               delitos de corrupción y otros delitos conexos)</w:t>
      </w:r>
    </w:p>
    <w:p w14:paraId="17284D40"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Reparación civil de terceros responsables</w:t>
      </w:r>
    </w:p>
    <w:p w14:paraId="00284813"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99.-</w:t>
      </w:r>
      <w:r w:rsidRPr="000D3432">
        <w:rPr>
          <w:rStyle w:val="apple-converted-space"/>
          <w:rFonts w:asciiTheme="minorHAnsi" w:hAnsiTheme="minorHAnsi" w:cs="Arial"/>
          <w:b/>
          <w:bCs/>
          <w:color w:val="000000"/>
        </w:rPr>
        <w:t> </w:t>
      </w:r>
      <w:r w:rsidRPr="000D3432">
        <w:rPr>
          <w:rFonts w:asciiTheme="minorHAnsi" w:hAnsiTheme="minorHAnsi" w:cs="Arial"/>
          <w:color w:val="000000"/>
        </w:rPr>
        <w:t>Procede la acción civil contra los terceros cuando la sentencia dictada en la jurisdicción penal no alcanza a éstos.</w:t>
      </w:r>
    </w:p>
    <w:p w14:paraId="2461C0BE"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Inextinguibilidad de la acción civil</w:t>
      </w:r>
    </w:p>
    <w:p w14:paraId="552C099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100.-</w:t>
      </w:r>
      <w:r w:rsidRPr="000D3432">
        <w:rPr>
          <w:rStyle w:val="apple-converted-space"/>
          <w:rFonts w:asciiTheme="minorHAnsi" w:hAnsiTheme="minorHAnsi" w:cs="Arial"/>
          <w:b/>
          <w:bCs/>
          <w:color w:val="000000"/>
        </w:rPr>
        <w:t> </w:t>
      </w:r>
      <w:r w:rsidRPr="000D3432">
        <w:rPr>
          <w:rFonts w:asciiTheme="minorHAnsi" w:hAnsiTheme="minorHAnsi" w:cs="Arial"/>
          <w:color w:val="000000"/>
        </w:rPr>
        <w:t>La acción civil derivada del hecho punible no se extingue mientras subsista la acción penal.</w:t>
      </w:r>
    </w:p>
    <w:p w14:paraId="15781862"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b/>
          <w:bCs/>
          <w:color w:val="000000"/>
        </w:rPr>
        <w:t>     Aplicación suplementaria del Código Civil</w:t>
      </w:r>
    </w:p>
    <w:p w14:paraId="3B4C221F" w14:textId="77777777" w:rsidR="009E6E2E" w:rsidRPr="000D3432" w:rsidRDefault="009E6E2E" w:rsidP="009E6E2E">
      <w:pPr>
        <w:pStyle w:val="NormalWeb"/>
        <w:spacing w:before="0" w:beforeAutospacing="0" w:after="0" w:afterAutospacing="0"/>
        <w:jc w:val="both"/>
        <w:rPr>
          <w:rFonts w:asciiTheme="minorHAnsi" w:hAnsiTheme="minorHAnsi" w:cs="Arial"/>
          <w:color w:val="000000"/>
        </w:rPr>
      </w:pPr>
      <w:r w:rsidRPr="000D3432">
        <w:rPr>
          <w:rFonts w:asciiTheme="minorHAnsi" w:hAnsiTheme="minorHAnsi" w:cs="Arial"/>
          <w:color w:val="000000"/>
        </w:rPr>
        <w:t>     </w:t>
      </w:r>
      <w:r w:rsidRPr="000D3432">
        <w:rPr>
          <w:rFonts w:asciiTheme="minorHAnsi" w:hAnsiTheme="minorHAnsi" w:cs="Arial"/>
          <w:b/>
          <w:bCs/>
          <w:color w:val="000000"/>
        </w:rPr>
        <w:t>Artículo 101.-</w:t>
      </w:r>
      <w:r w:rsidRPr="000D3432">
        <w:rPr>
          <w:rStyle w:val="apple-converted-space"/>
          <w:rFonts w:asciiTheme="minorHAnsi" w:hAnsiTheme="minorHAnsi" w:cs="Arial"/>
          <w:b/>
          <w:bCs/>
          <w:color w:val="000000"/>
        </w:rPr>
        <w:t> </w:t>
      </w:r>
      <w:r w:rsidRPr="000D3432">
        <w:rPr>
          <w:rFonts w:asciiTheme="minorHAnsi" w:hAnsiTheme="minorHAnsi" w:cs="Arial"/>
          <w:color w:val="000000"/>
        </w:rPr>
        <w:t>La reparación civil se rige, además, por las disposiciones pertinentes del Código Civil.</w:t>
      </w:r>
    </w:p>
    <w:p w14:paraId="72C5D3C7" w14:textId="77777777" w:rsidR="009E6E2E" w:rsidRPr="000D3432" w:rsidRDefault="009E6E2E" w:rsidP="009E6E2E">
      <w:pPr>
        <w:jc w:val="both"/>
        <w:rPr>
          <w:rFonts w:asciiTheme="minorHAnsi" w:hAnsiTheme="minorHAnsi"/>
          <w:b/>
          <w:szCs w:val="24"/>
          <w:lang w:val="es-ES_tradnl"/>
        </w:rPr>
      </w:pPr>
    </w:p>
    <w:p w14:paraId="2A5A754D" w14:textId="77777777" w:rsidR="009E6E2E" w:rsidRPr="000D3432" w:rsidRDefault="009E6E2E" w:rsidP="009E6E2E">
      <w:pPr>
        <w:jc w:val="both"/>
        <w:rPr>
          <w:rFonts w:asciiTheme="minorHAnsi" w:hAnsiTheme="minorHAnsi"/>
          <w:b/>
          <w:szCs w:val="24"/>
          <w:lang w:val="es-ES_tradnl"/>
        </w:rPr>
      </w:pPr>
    </w:p>
    <w:p w14:paraId="6B52D620" w14:textId="77777777" w:rsidR="009E6E2E" w:rsidRPr="000D3432" w:rsidRDefault="009E6E2E" w:rsidP="009E6E2E">
      <w:pPr>
        <w:jc w:val="both"/>
        <w:rPr>
          <w:rFonts w:asciiTheme="minorHAnsi" w:hAnsiTheme="minorHAnsi"/>
          <w:b/>
          <w:szCs w:val="24"/>
          <w:lang w:val="es-ES_tradnl"/>
        </w:rPr>
      </w:pPr>
    </w:p>
    <w:p w14:paraId="63ED6A95" w14:textId="77777777" w:rsidR="009E6E2E" w:rsidRPr="000D3432" w:rsidRDefault="009E6E2E" w:rsidP="009E6E2E">
      <w:pPr>
        <w:jc w:val="both"/>
        <w:rPr>
          <w:rFonts w:asciiTheme="minorHAnsi" w:hAnsiTheme="minorHAnsi"/>
          <w:b/>
          <w:szCs w:val="24"/>
          <w:lang w:val="es-ES_tradnl"/>
        </w:rPr>
      </w:pPr>
    </w:p>
    <w:p w14:paraId="261EB1C5" w14:textId="77777777" w:rsidR="009E6E2E" w:rsidRPr="000D3432" w:rsidRDefault="009E6E2E" w:rsidP="009E6E2E">
      <w:pPr>
        <w:jc w:val="both"/>
        <w:rPr>
          <w:rFonts w:asciiTheme="minorHAnsi" w:hAnsiTheme="minorHAnsi"/>
          <w:b/>
          <w:szCs w:val="24"/>
          <w:u w:val="single"/>
          <w:lang w:val="es-ES_tradnl"/>
        </w:rPr>
      </w:pPr>
      <w:r w:rsidRPr="000D3432">
        <w:rPr>
          <w:rFonts w:asciiTheme="minorHAnsi" w:hAnsiTheme="minorHAnsi"/>
          <w:b/>
          <w:szCs w:val="24"/>
          <w:u w:val="single"/>
          <w:lang w:val="es-ES_tradnl"/>
        </w:rPr>
        <w:t>TITULO IV</w:t>
      </w:r>
    </w:p>
    <w:p w14:paraId="02968BAA"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PRESUPUESTOS PARA LA ABOLICIÓN DE LAS SANCIONES PENALES</w:t>
      </w:r>
    </w:p>
    <w:p w14:paraId="6478BBF7" w14:textId="77777777" w:rsidR="009E6E2E" w:rsidRPr="000D3432" w:rsidRDefault="009E6E2E" w:rsidP="009E6E2E">
      <w:pPr>
        <w:jc w:val="both"/>
        <w:rPr>
          <w:rFonts w:asciiTheme="minorHAnsi" w:hAnsiTheme="minorHAnsi"/>
          <w:b/>
          <w:szCs w:val="24"/>
          <w:lang w:val="es-ES_tradnl"/>
        </w:rPr>
      </w:pPr>
    </w:p>
    <w:p w14:paraId="06CFF051" w14:textId="77777777" w:rsidR="009E6E2E" w:rsidRPr="000D3432" w:rsidRDefault="009E6E2E" w:rsidP="009E6E2E">
      <w:pPr>
        <w:jc w:val="both"/>
        <w:rPr>
          <w:rFonts w:asciiTheme="minorHAnsi" w:hAnsiTheme="minorHAnsi"/>
          <w:b/>
          <w:szCs w:val="24"/>
          <w:lang w:val="es-ES_tradnl"/>
        </w:rPr>
      </w:pPr>
    </w:p>
    <w:p w14:paraId="7243080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br w:type="page"/>
      </w:r>
    </w:p>
    <w:p w14:paraId="1097BBA7" w14:textId="77777777" w:rsidR="009E6E2E" w:rsidRPr="000D3432" w:rsidRDefault="009E6E2E" w:rsidP="009E6E2E">
      <w:pPr>
        <w:jc w:val="both"/>
        <w:rPr>
          <w:rFonts w:asciiTheme="minorHAnsi" w:hAnsiTheme="minorHAnsi"/>
          <w:b/>
          <w:szCs w:val="24"/>
          <w:lang w:val="es-ES_tradnl"/>
        </w:rPr>
      </w:pPr>
    </w:p>
    <w:p w14:paraId="2806B7AE" w14:textId="77777777" w:rsidR="009E6E2E" w:rsidRPr="000D3432" w:rsidRDefault="009E6E2E" w:rsidP="009E6E2E">
      <w:pPr>
        <w:jc w:val="both"/>
        <w:rPr>
          <w:rFonts w:asciiTheme="minorHAnsi" w:hAnsiTheme="minorHAnsi"/>
          <w:b/>
          <w:szCs w:val="24"/>
          <w:lang w:val="es-ES_tradnl"/>
        </w:rPr>
      </w:pPr>
    </w:p>
    <w:p w14:paraId="24C16907" w14:textId="77777777" w:rsidR="009E6E2E" w:rsidRPr="000D3432" w:rsidRDefault="009E6E2E" w:rsidP="009E6E2E">
      <w:pPr>
        <w:jc w:val="center"/>
        <w:rPr>
          <w:rFonts w:asciiTheme="minorHAnsi" w:hAnsiTheme="minorHAnsi"/>
          <w:b/>
          <w:color w:val="C0504D"/>
          <w:szCs w:val="24"/>
          <w:u w:val="single"/>
          <w:lang w:val="es-ES_tradnl"/>
        </w:rPr>
      </w:pPr>
      <w:r w:rsidRPr="000D3432">
        <w:rPr>
          <w:rFonts w:asciiTheme="minorHAnsi" w:hAnsiTheme="minorHAnsi"/>
          <w:b/>
          <w:color w:val="C0504D"/>
          <w:szCs w:val="24"/>
          <w:u w:val="single"/>
          <w:lang w:val="es-ES_tradnl"/>
        </w:rPr>
        <w:t>TITULO V</w:t>
      </w:r>
    </w:p>
    <w:p w14:paraId="2AE6EAB7" w14:textId="77777777" w:rsidR="009E6E2E" w:rsidRPr="00711AED" w:rsidRDefault="009E6E2E" w:rsidP="009E6E2E">
      <w:pPr>
        <w:jc w:val="center"/>
        <w:rPr>
          <w:rFonts w:asciiTheme="minorHAnsi" w:hAnsiTheme="minorHAnsi"/>
          <w:b/>
          <w:color w:val="C0504D"/>
          <w:sz w:val="32"/>
          <w:szCs w:val="24"/>
          <w:lang w:val="es-ES_tradnl"/>
        </w:rPr>
      </w:pPr>
      <w:r w:rsidRPr="00711AED">
        <w:rPr>
          <w:rFonts w:asciiTheme="minorHAnsi" w:hAnsiTheme="minorHAnsi"/>
          <w:b/>
          <w:color w:val="C0504D"/>
          <w:sz w:val="32"/>
          <w:szCs w:val="24"/>
          <w:lang w:val="es-ES_tradnl"/>
        </w:rPr>
        <w:t>DELITOS CONTRA LA ADMINISTRACIÓN PÚBLICA</w:t>
      </w:r>
    </w:p>
    <w:p w14:paraId="77C738A8" w14:textId="77777777" w:rsidR="009E6E2E" w:rsidRPr="000D3432" w:rsidRDefault="009E6E2E" w:rsidP="009E6E2E">
      <w:pPr>
        <w:jc w:val="both"/>
        <w:rPr>
          <w:rFonts w:asciiTheme="minorHAnsi" w:hAnsiTheme="minorHAnsi"/>
          <w:b/>
          <w:szCs w:val="24"/>
          <w:lang w:val="es-ES_tradnl"/>
        </w:rPr>
      </w:pPr>
    </w:p>
    <w:p w14:paraId="30D57E7E" w14:textId="77777777" w:rsidR="009E6E2E" w:rsidRPr="000D3432" w:rsidRDefault="009E6E2E" w:rsidP="009E6E2E">
      <w:pPr>
        <w:jc w:val="center"/>
        <w:rPr>
          <w:rFonts w:asciiTheme="minorHAnsi" w:hAnsiTheme="minorHAnsi"/>
          <w:b/>
          <w:szCs w:val="24"/>
          <w:lang w:val="es-ES_tradnl"/>
        </w:rPr>
      </w:pPr>
    </w:p>
    <w:p w14:paraId="09626C30" w14:textId="77777777" w:rsidR="009E6E2E" w:rsidRPr="000D3432" w:rsidRDefault="009E6E2E" w:rsidP="009E6E2E">
      <w:pPr>
        <w:jc w:val="center"/>
        <w:rPr>
          <w:rFonts w:asciiTheme="minorHAnsi" w:hAnsiTheme="minorHAnsi"/>
          <w:b/>
          <w:szCs w:val="24"/>
          <w:lang w:val="es-ES_tradnl"/>
        </w:rPr>
      </w:pPr>
      <w:r w:rsidRPr="000D3432">
        <w:rPr>
          <w:rFonts w:asciiTheme="minorHAnsi" w:hAnsiTheme="minorHAnsi"/>
          <w:b/>
          <w:szCs w:val="24"/>
          <w:lang w:val="es-ES_tradnl"/>
        </w:rPr>
        <w:t>DELITOS CONTRA LA ADMINISTRACIÓN PÚBLICA</w:t>
      </w:r>
    </w:p>
    <w:p w14:paraId="1FDD1AB2" w14:textId="77777777" w:rsidR="009E6E2E" w:rsidRPr="000D3432" w:rsidRDefault="009E6E2E" w:rsidP="009E6E2E">
      <w:pPr>
        <w:rPr>
          <w:rFonts w:asciiTheme="minorHAnsi" w:hAnsiTheme="minorHAnsi"/>
          <w:szCs w:val="24"/>
          <w:lang w:val="es-ES_tradnl"/>
        </w:rPr>
      </w:pPr>
    </w:p>
    <w:p w14:paraId="0055ED6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Administración Pública es la entidad del Estado (instituciones públicas) debidamente organizada que proporciona y distribuye bienes y servicios a la sociedad, de tal forma que permitan lograr una convivencia pacífica y justa; estos bienes y servicios pueden ser: la salud, educación, justicia, seguridad, etc. Cuando alguien altera el normal funcionamiento de la administración pública (este dar bienes y servicios, en forma justa, a la colectividad) comete delito, porque desnaturaliza cómo se distribuyen, reparten, administran estos bienes y servicios, provocando con ello un daño político, económico y vulneración a los derechos de los ciudadanos, como por ejemplo: desigualdad, discriminación, corrupción, abuso, violación de derechos, maversación de fondos, peculado, colusión, etc., que constituyen Delitos contra la Administración publica, es decir, en alteración o distorsión culposa o dolosa (por negligencia o intencional), de cómo se tienen que distribuir los bienes y servicios a la colectividad.</w:t>
      </w:r>
    </w:p>
    <w:p w14:paraId="7B81D1AC" w14:textId="77777777" w:rsidR="009E6E2E" w:rsidRPr="000D3432" w:rsidRDefault="009E6E2E" w:rsidP="009E6E2E">
      <w:pPr>
        <w:rPr>
          <w:rFonts w:asciiTheme="minorHAnsi" w:hAnsiTheme="minorHAnsi"/>
          <w:szCs w:val="24"/>
          <w:lang w:val="es-ES_tradnl"/>
        </w:rPr>
      </w:pPr>
    </w:p>
    <w:p w14:paraId="3E55AF58"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JURISPRUDENCIA SOBRE DELITOS CONTRA LA ADMINISTRACIÓN PÚBLICA</w:t>
      </w:r>
    </w:p>
    <w:p w14:paraId="78348E91" w14:textId="77777777" w:rsidR="009E6E2E" w:rsidRPr="000D3432" w:rsidRDefault="009E6E2E" w:rsidP="009E6E2E">
      <w:pPr>
        <w:rPr>
          <w:rFonts w:asciiTheme="minorHAnsi" w:hAnsiTheme="minorHAnsi"/>
          <w:szCs w:val="24"/>
          <w:lang w:val="es-ES_tradnl"/>
        </w:rPr>
      </w:pPr>
    </w:p>
    <w:p w14:paraId="134E5B72" w14:textId="77777777" w:rsidR="009E6E2E" w:rsidRPr="000D3432" w:rsidRDefault="009E6E2E" w:rsidP="009E6E2E">
      <w:pPr>
        <w:jc w:val="both"/>
        <w:rPr>
          <w:rFonts w:asciiTheme="minorHAnsi" w:hAnsiTheme="minorHAnsi"/>
          <w:color w:val="000000"/>
          <w:szCs w:val="24"/>
          <w:lang w:val="es-ES_tradnl"/>
        </w:rPr>
      </w:pPr>
      <w:r w:rsidRPr="000D3432">
        <w:rPr>
          <w:rFonts w:asciiTheme="minorHAnsi" w:hAnsiTheme="minorHAnsi"/>
          <w:szCs w:val="24"/>
          <w:lang w:val="es-ES_tradnl"/>
        </w:rPr>
        <w:t xml:space="preserve">De acuerdo con la Sentencia del Tribunal Constitucional recaída en el </w:t>
      </w:r>
      <w:r w:rsidRPr="000D3432">
        <w:rPr>
          <w:rFonts w:asciiTheme="minorHAnsi" w:hAnsiTheme="minorHAnsi"/>
          <w:b/>
          <w:bCs/>
          <w:color w:val="000000"/>
          <w:szCs w:val="24"/>
          <w:lang w:val="es-ES_tradnl"/>
        </w:rPr>
        <w:t xml:space="preserve">EXP. N.º 00017-2011-PI/TC- LIMA - FISCAL DE LA NACIÓN, se establece en </w:t>
      </w:r>
      <w:r w:rsidRPr="000D3432">
        <w:rPr>
          <w:rFonts w:asciiTheme="minorHAnsi" w:hAnsiTheme="minorHAnsi"/>
          <w:bCs/>
          <w:color w:val="000000"/>
          <w:szCs w:val="24"/>
          <w:lang w:val="es-ES_tradnl"/>
        </w:rPr>
        <w:t>el numeral 4.3  Fines constitucionales de la persecución penal de los delitos de corrupción, se escribe</w:t>
      </w:r>
      <w:r w:rsidRPr="000D3432">
        <w:rPr>
          <w:rFonts w:asciiTheme="minorHAnsi" w:hAnsiTheme="minorHAnsi"/>
          <w:color w:val="000000"/>
          <w:szCs w:val="24"/>
          <w:lang w:val="es-ES_tradnl"/>
        </w:rPr>
        <w:t>:</w:t>
      </w:r>
    </w:p>
    <w:p w14:paraId="4016E72D" w14:textId="77777777" w:rsidR="009E6E2E" w:rsidRPr="000D3432" w:rsidRDefault="009E6E2E" w:rsidP="009E6E2E">
      <w:pPr>
        <w:rPr>
          <w:rFonts w:asciiTheme="minorHAnsi" w:hAnsiTheme="minorHAnsi"/>
          <w:szCs w:val="24"/>
          <w:lang w:val="es-ES_tradnl"/>
        </w:rPr>
      </w:pPr>
    </w:p>
    <w:p w14:paraId="49AF7D1E" w14:textId="77777777" w:rsidR="009E6E2E" w:rsidRPr="000D3432" w:rsidRDefault="009E6E2E" w:rsidP="009E6E2E">
      <w:pPr>
        <w:ind w:left="426" w:hanging="426"/>
        <w:jc w:val="both"/>
        <w:rPr>
          <w:rFonts w:asciiTheme="minorHAnsi" w:hAnsiTheme="minorHAnsi"/>
          <w:i/>
          <w:color w:val="000000"/>
          <w:szCs w:val="24"/>
          <w:lang w:val="es-ES_tradnl"/>
        </w:rPr>
      </w:pPr>
      <w:r w:rsidRPr="000D3432">
        <w:rPr>
          <w:rFonts w:asciiTheme="minorHAnsi" w:hAnsiTheme="minorHAnsi"/>
          <w:i/>
          <w:color w:val="000000"/>
          <w:szCs w:val="24"/>
          <w:lang w:val="es-ES_tradnl"/>
        </w:rPr>
        <w:t>“14. La persecución penal de los delitos contra la Administración Pública ha sido justificada desde el Derecho penal en el “correcto funcionamiento de la administración pública”. A su vez, este Tribunal entiende que ello puede ser entendido también desde una perspectiva constitucional. Así, la intervención en derechos fundamentales (vgr. Libertad personal) que implica esta clase de delitos persigue la oportuna represión de actos que atentan contra principios constitucionales derivados esencialmente del capítulo IV del Título I del Código Penal “De la Función Pública”.</w:t>
      </w:r>
    </w:p>
    <w:p w14:paraId="6C5FC495" w14:textId="77777777" w:rsidR="009E6E2E" w:rsidRPr="000D3432" w:rsidRDefault="009E6E2E" w:rsidP="009E6E2E">
      <w:pPr>
        <w:ind w:left="426" w:hanging="426"/>
        <w:jc w:val="both"/>
        <w:rPr>
          <w:rFonts w:asciiTheme="minorHAnsi" w:hAnsiTheme="minorHAnsi"/>
          <w:i/>
          <w:color w:val="000000"/>
          <w:szCs w:val="24"/>
          <w:lang w:val="es-ES_tradnl"/>
        </w:rPr>
      </w:pPr>
      <w:r w:rsidRPr="000D3432">
        <w:rPr>
          <w:rFonts w:asciiTheme="minorHAnsi" w:hAnsiTheme="minorHAnsi"/>
          <w:i/>
          <w:color w:val="000000"/>
          <w:szCs w:val="24"/>
          <w:lang w:val="es-ES_tradnl"/>
        </w:rPr>
        <w:t> </w:t>
      </w:r>
    </w:p>
    <w:p w14:paraId="31057C6B" w14:textId="77777777" w:rsidR="009E6E2E" w:rsidRPr="000D3432" w:rsidRDefault="009E6E2E" w:rsidP="009E6E2E">
      <w:pPr>
        <w:ind w:left="426" w:hanging="426"/>
        <w:jc w:val="both"/>
        <w:rPr>
          <w:rFonts w:asciiTheme="minorHAnsi" w:hAnsiTheme="minorHAnsi"/>
          <w:i/>
          <w:color w:val="000000"/>
          <w:szCs w:val="24"/>
          <w:lang w:val="es-ES_tradnl"/>
        </w:rPr>
      </w:pPr>
      <w:r w:rsidRPr="000D3432">
        <w:rPr>
          <w:rFonts w:asciiTheme="minorHAnsi" w:hAnsiTheme="minorHAnsi"/>
          <w:i/>
          <w:color w:val="000000"/>
          <w:szCs w:val="24"/>
          <w:lang w:val="es-ES_tradnl"/>
        </w:rPr>
        <w:t>15.    Al respecto, este Tribunal ha entendido que detrás de las disposiciones de dicho capítulo de nuestra Constitución y en especial del artículo 39º de la Constitución que establece que “</w:t>
      </w:r>
      <w:r w:rsidRPr="000D3432">
        <w:rPr>
          <w:rFonts w:asciiTheme="minorHAnsi" w:hAnsiTheme="minorHAnsi"/>
          <w:i/>
          <w:iCs/>
          <w:color w:val="000000"/>
          <w:szCs w:val="24"/>
          <w:lang w:val="es-ES_tradnl"/>
        </w:rPr>
        <w:t>…los funcionarios y trabajadores públicos están al servicio de la Nación...</w:t>
      </w:r>
      <w:r w:rsidRPr="000D3432">
        <w:rPr>
          <w:rFonts w:asciiTheme="minorHAnsi" w:hAnsiTheme="minorHAnsi"/>
          <w:i/>
          <w:color w:val="000000"/>
          <w:szCs w:val="24"/>
          <w:lang w:val="es-ES_tradnl"/>
        </w:rPr>
        <w:t>”, subyace el principio de “</w:t>
      </w:r>
      <w:r w:rsidRPr="000D3432">
        <w:rPr>
          <w:rFonts w:asciiTheme="minorHAnsi" w:hAnsiTheme="minorHAnsi"/>
          <w:i/>
          <w:iCs/>
          <w:color w:val="000000"/>
          <w:szCs w:val="24"/>
          <w:lang w:val="es-ES_tradnl"/>
        </w:rPr>
        <w:t>buena administración</w:t>
      </w:r>
      <w:r w:rsidRPr="000D3432">
        <w:rPr>
          <w:rFonts w:asciiTheme="minorHAnsi" w:hAnsiTheme="minorHAnsi"/>
          <w:i/>
          <w:color w:val="000000"/>
          <w:szCs w:val="24"/>
          <w:lang w:val="es-ES_tradnl"/>
        </w:rPr>
        <w:t>” (Cfr. Exps. Nsº 2235-2004-AA/TC; 2234-2004-AA/TC). A su vez, conforme al artículo 44º de la Constitución que establece que “(s)on deberes primordiales del Estado: defender la soberanía nacional; garantizar la plena vigencia de los derechos humanos; proteger a la población de las amenazas contra su seguridad; y </w:t>
      </w:r>
      <w:r w:rsidRPr="000D3432">
        <w:rPr>
          <w:rFonts w:asciiTheme="minorHAnsi" w:hAnsiTheme="minorHAnsi"/>
          <w:i/>
          <w:color w:val="000000"/>
          <w:szCs w:val="24"/>
          <w:u w:val="single"/>
          <w:lang w:val="es-ES_tradnl"/>
        </w:rPr>
        <w:t>promover el bienestar general que se fundamenta en la justicia y en el desarrollo integral y equilibrado de la Nación”</w:t>
      </w:r>
      <w:r w:rsidRPr="000D3432">
        <w:rPr>
          <w:rFonts w:asciiTheme="minorHAnsi" w:hAnsiTheme="minorHAnsi"/>
          <w:i/>
          <w:color w:val="000000"/>
          <w:szCs w:val="24"/>
          <w:lang w:val="es-ES_tradnl"/>
        </w:rPr>
        <w:t>, tales fines son también atribuibles a los funcionarios y servidores públicos (Exp. Nº 008-2005-AI, fundamento Nº 14). A su vez, este Tribunal Constitucional en reiterada jurisprudencia, en directa alusión al preámbulo de la Convención Interamericana contra la Corrupción ha advertido que  la corrupción socava la legitimidad de las instituciones públicas, atenta contra la sociedad, el orden moral y la justicia, así como contra el desarrollo integral de los pueblos (Cfr. Exp. Nº 1271-2008-HC; 019-2005-AI), por lo que puede afirmarse que los actos en los que los funcionarios públicos atenten contra el correcto desempeño en el ejercicio de sus funciones atentan contra las bases mismas del Estado. En esta misma línea el preámbulo de la Convención de las Naciones Unidas contra la corrupción establece que:</w:t>
      </w:r>
    </w:p>
    <w:p w14:paraId="3A82EB1D" w14:textId="77777777" w:rsidR="009E6E2E" w:rsidRPr="000D3432" w:rsidRDefault="009E6E2E" w:rsidP="009E6E2E">
      <w:pPr>
        <w:ind w:left="1134"/>
        <w:jc w:val="both"/>
        <w:rPr>
          <w:rFonts w:asciiTheme="minorHAnsi" w:hAnsiTheme="minorHAnsi"/>
          <w:i/>
          <w:color w:val="000000"/>
          <w:szCs w:val="24"/>
          <w:lang w:val="es-ES_tradnl"/>
        </w:rPr>
      </w:pPr>
      <w:r w:rsidRPr="000D3432">
        <w:rPr>
          <w:rFonts w:asciiTheme="minorHAnsi" w:hAnsiTheme="minorHAnsi"/>
          <w:i/>
          <w:color w:val="000000"/>
          <w:szCs w:val="24"/>
          <w:lang w:val="es-ES_tradnl"/>
        </w:rPr>
        <w:t> </w:t>
      </w:r>
    </w:p>
    <w:p w14:paraId="4B8293FF" w14:textId="77777777" w:rsidR="009E6E2E" w:rsidRPr="000D3432" w:rsidRDefault="009E6E2E" w:rsidP="009E6E2E">
      <w:pPr>
        <w:ind w:left="1134"/>
        <w:jc w:val="both"/>
        <w:rPr>
          <w:rFonts w:asciiTheme="minorHAnsi" w:hAnsiTheme="minorHAnsi"/>
          <w:i/>
          <w:color w:val="000000"/>
          <w:szCs w:val="24"/>
          <w:lang w:val="es-ES_tradnl"/>
        </w:rPr>
      </w:pPr>
      <w:r w:rsidRPr="000D3432">
        <w:rPr>
          <w:rFonts w:asciiTheme="minorHAnsi" w:hAnsiTheme="minorHAnsi"/>
          <w:i/>
          <w:color w:val="000000"/>
          <w:szCs w:val="24"/>
          <w:lang w:val="es-ES_tradnl"/>
        </w:rPr>
        <w:t>“Preocupados por la gravedad de los problemas y las </w:t>
      </w:r>
      <w:r w:rsidRPr="000D3432">
        <w:rPr>
          <w:rFonts w:asciiTheme="minorHAnsi" w:hAnsiTheme="minorHAnsi"/>
          <w:i/>
          <w:color w:val="000000"/>
          <w:szCs w:val="24"/>
          <w:u w:val="single"/>
          <w:lang w:val="es-ES_tradnl"/>
        </w:rPr>
        <w:t>amenazas que plantea la corrupción</w:t>
      </w:r>
      <w:r w:rsidRPr="000D3432">
        <w:rPr>
          <w:rFonts w:asciiTheme="minorHAnsi" w:hAnsiTheme="minorHAnsi"/>
          <w:i/>
          <w:color w:val="000000"/>
          <w:szCs w:val="24"/>
          <w:lang w:val="es-ES_tradnl"/>
        </w:rPr>
        <w:t> para la estabilidad y seguridad de las sociedades </w:t>
      </w:r>
      <w:r w:rsidRPr="000D3432">
        <w:rPr>
          <w:rFonts w:asciiTheme="minorHAnsi" w:hAnsiTheme="minorHAnsi"/>
          <w:i/>
          <w:color w:val="000000"/>
          <w:szCs w:val="24"/>
          <w:u w:val="single"/>
          <w:lang w:val="es-ES_tradnl"/>
        </w:rPr>
        <w:t>al socavar las instituciones y los valores de la democracia</w:t>
      </w:r>
      <w:r w:rsidRPr="000D3432">
        <w:rPr>
          <w:rFonts w:asciiTheme="minorHAnsi" w:hAnsiTheme="minorHAnsi"/>
          <w:i/>
          <w:color w:val="000000"/>
          <w:szCs w:val="24"/>
          <w:lang w:val="es-ES_tradnl"/>
        </w:rPr>
        <w:t>, la ética y la justicia y al comprometer el desarrollo sostenible y el imperio de la ley”. (subrayado agregado).</w:t>
      </w:r>
    </w:p>
    <w:p w14:paraId="6B747D05" w14:textId="77777777" w:rsidR="009E6E2E" w:rsidRPr="000D3432" w:rsidRDefault="009E6E2E" w:rsidP="009E6E2E">
      <w:pPr>
        <w:ind w:left="720"/>
        <w:jc w:val="both"/>
        <w:rPr>
          <w:rFonts w:asciiTheme="minorHAnsi" w:hAnsiTheme="minorHAnsi"/>
          <w:i/>
          <w:color w:val="000000"/>
          <w:szCs w:val="24"/>
          <w:lang w:val="es-ES_tradnl"/>
        </w:rPr>
      </w:pPr>
      <w:r w:rsidRPr="000D3432">
        <w:rPr>
          <w:rFonts w:asciiTheme="minorHAnsi" w:hAnsiTheme="minorHAnsi"/>
          <w:i/>
          <w:color w:val="000000"/>
          <w:szCs w:val="24"/>
          <w:lang w:val="es-ES_tradnl"/>
        </w:rPr>
        <w:t> </w:t>
      </w:r>
    </w:p>
    <w:p w14:paraId="6EED0B6B" w14:textId="77777777" w:rsidR="009E6E2E" w:rsidRPr="000D3432" w:rsidRDefault="009E6E2E" w:rsidP="009E6E2E">
      <w:pPr>
        <w:ind w:left="426" w:hanging="426"/>
        <w:jc w:val="both"/>
        <w:rPr>
          <w:rFonts w:asciiTheme="minorHAnsi" w:hAnsiTheme="minorHAnsi"/>
          <w:i/>
          <w:color w:val="000000"/>
          <w:szCs w:val="24"/>
          <w:lang w:val="es-ES_tradnl"/>
        </w:rPr>
      </w:pPr>
      <w:r w:rsidRPr="000D3432">
        <w:rPr>
          <w:rFonts w:asciiTheme="minorHAnsi" w:hAnsiTheme="minorHAnsi"/>
          <w:i/>
          <w:color w:val="000000"/>
          <w:szCs w:val="24"/>
          <w:lang w:val="es-ES_tradnl"/>
        </w:rPr>
        <w:t>16.    A su vez, no solo cabe considerar que el buen funcionamiento de la Administración Pública constituye un bien de índole constitucional cuya protección podría justificar la intervención del Derecho penal, sino que el propio combate contra toda forma de corrupción goza también de protección constitucional, lo que este Tribunal ha deducido de los artículos 39º y 41º de la Constitución. (006-2006-CC, resolución de aclaración del 23 de abril de 2007) así como del orden democrático previsto en el artículo 43 de la Constitución (Exp. Nº 009-2007-AI, 0010-2007-AI, acumulados, fundamento Nº 58). Ello resulta coherente con el Preámbulo de la Convención Interamericana contra la corrupción, la cual establece que</w:t>
      </w:r>
    </w:p>
    <w:p w14:paraId="16DC0993" w14:textId="77777777" w:rsidR="009E6E2E" w:rsidRPr="000D3432" w:rsidRDefault="009E6E2E" w:rsidP="009E6E2E">
      <w:pPr>
        <w:ind w:left="708"/>
        <w:rPr>
          <w:rFonts w:asciiTheme="minorHAnsi" w:hAnsiTheme="minorHAnsi"/>
          <w:i/>
          <w:color w:val="000000"/>
          <w:szCs w:val="24"/>
          <w:lang w:val="es-ES_tradnl"/>
        </w:rPr>
      </w:pPr>
      <w:r w:rsidRPr="000D3432">
        <w:rPr>
          <w:rFonts w:asciiTheme="minorHAnsi" w:hAnsiTheme="minorHAnsi"/>
          <w:i/>
          <w:color w:val="000000"/>
          <w:szCs w:val="24"/>
          <w:lang w:val="es-ES_tradnl"/>
        </w:rPr>
        <w:t> </w:t>
      </w:r>
    </w:p>
    <w:p w14:paraId="12681011" w14:textId="77777777" w:rsidR="009E6E2E" w:rsidRPr="000D3432" w:rsidRDefault="009E6E2E" w:rsidP="009E6E2E">
      <w:pPr>
        <w:ind w:left="1134"/>
        <w:jc w:val="both"/>
        <w:rPr>
          <w:rFonts w:asciiTheme="minorHAnsi" w:hAnsiTheme="minorHAnsi"/>
          <w:i/>
          <w:color w:val="000000"/>
          <w:szCs w:val="24"/>
          <w:lang w:val="es-ES_tradnl"/>
        </w:rPr>
      </w:pPr>
      <w:r w:rsidRPr="000D3432">
        <w:rPr>
          <w:rFonts w:asciiTheme="minorHAnsi" w:hAnsiTheme="minorHAnsi"/>
          <w:i/>
          <w:color w:val="000000"/>
          <w:szCs w:val="24"/>
          <w:lang w:val="es-ES_tradnl"/>
        </w:rPr>
        <w:t>“</w:t>
      </w:r>
      <w:r w:rsidRPr="000D3432">
        <w:rPr>
          <w:rFonts w:asciiTheme="minorHAnsi" w:hAnsiTheme="minorHAnsi"/>
          <w:i/>
          <w:color w:val="000000"/>
          <w:szCs w:val="24"/>
          <w:u w:val="single"/>
          <w:lang w:val="es-ES_tradnl"/>
        </w:rPr>
        <w:t>la Democracia representativa</w:t>
      </w:r>
      <w:r w:rsidRPr="000D3432">
        <w:rPr>
          <w:rFonts w:asciiTheme="minorHAnsi" w:hAnsiTheme="minorHAnsi"/>
          <w:i/>
          <w:color w:val="000000"/>
          <w:szCs w:val="24"/>
          <w:lang w:val="es-ES_tradnl"/>
        </w:rPr>
        <w:t>, condición indispensable para la estabilidad, la paz y el desarrollo de la región, por su naturaleza, </w:t>
      </w:r>
      <w:r w:rsidRPr="000D3432">
        <w:rPr>
          <w:rFonts w:asciiTheme="minorHAnsi" w:hAnsiTheme="minorHAnsi"/>
          <w:i/>
          <w:color w:val="000000"/>
          <w:szCs w:val="24"/>
          <w:u w:val="single"/>
          <w:lang w:val="es-ES_tradnl"/>
        </w:rPr>
        <w:t>exige combatir toda forma de corrupción en el ejercicio de las funciones públicas, así como los actos de corrupción específicamente vinculados con tal ejercicio</w:t>
      </w:r>
      <w:r w:rsidRPr="000D3432">
        <w:rPr>
          <w:rFonts w:asciiTheme="minorHAnsi" w:hAnsiTheme="minorHAnsi"/>
          <w:i/>
          <w:color w:val="000000"/>
          <w:szCs w:val="24"/>
          <w:lang w:val="es-ES_tradnl"/>
        </w:rPr>
        <w:t>” (subrayado nuestro).”</w:t>
      </w:r>
    </w:p>
    <w:p w14:paraId="3D3D107A" w14:textId="77777777" w:rsidR="009E6E2E" w:rsidRPr="000D3432" w:rsidRDefault="009E6E2E" w:rsidP="009E6E2E">
      <w:pPr>
        <w:rPr>
          <w:rFonts w:asciiTheme="minorHAnsi" w:hAnsiTheme="minorHAnsi"/>
          <w:b/>
          <w:szCs w:val="24"/>
          <w:lang w:val="es-ES_tradnl"/>
        </w:rPr>
      </w:pPr>
    </w:p>
    <w:p w14:paraId="6AADE9EA" w14:textId="77777777" w:rsidR="009E6E2E" w:rsidRPr="000D3432" w:rsidRDefault="009E6E2E" w:rsidP="009E6E2E">
      <w:pPr>
        <w:rPr>
          <w:rFonts w:asciiTheme="minorHAnsi" w:hAnsiTheme="minorHAnsi"/>
          <w:b/>
          <w:szCs w:val="24"/>
          <w:lang w:val="es-ES_tradnl"/>
        </w:rPr>
      </w:pPr>
    </w:p>
    <w:p w14:paraId="2CF3AEC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SUJETOS DE DERECHO DE LOS DELITOS CONTRA LA ADMINISTRACIÓN PÚBLICA</w:t>
      </w:r>
    </w:p>
    <w:p w14:paraId="1B857418" w14:textId="77777777" w:rsidR="009E6E2E" w:rsidRPr="000D3432" w:rsidRDefault="009E6E2E" w:rsidP="009E6E2E">
      <w:pPr>
        <w:rPr>
          <w:rFonts w:asciiTheme="minorHAnsi" w:hAnsiTheme="minorHAnsi"/>
          <w:szCs w:val="24"/>
          <w:lang w:val="es-ES_tradnl"/>
        </w:rPr>
      </w:pPr>
    </w:p>
    <w:p w14:paraId="69C38818"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Este tipo de delitos pueden ser cometidos por los siguientes tipos de personas: </w:t>
      </w:r>
    </w:p>
    <w:p w14:paraId="0D48F696"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1.- Las personas particulares</w:t>
      </w:r>
    </w:p>
    <w:p w14:paraId="43288141"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2.- Los Funcionarios públicos</w:t>
      </w:r>
    </w:p>
    <w:p w14:paraId="03F36D43" w14:textId="77777777" w:rsidR="009E6E2E" w:rsidRPr="000D3432" w:rsidRDefault="009E6E2E" w:rsidP="009E6E2E">
      <w:pPr>
        <w:rPr>
          <w:rFonts w:asciiTheme="minorHAnsi" w:hAnsiTheme="minorHAnsi"/>
          <w:szCs w:val="24"/>
          <w:lang w:val="es-ES_tradnl"/>
        </w:rPr>
      </w:pPr>
    </w:p>
    <w:p w14:paraId="2CB3643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En tal sentido, este tipo delictivo se configura "cuando una persona particular, o un funcionario o servidor público altera el orden u organización, establecida por ley, de cómo se distribuyen los bienes y servicios públicos a la sociedad". Esta conceptualización responde a varias razones, como, por ejemplo, que la Administración Pública es un organismo que proporciona bienes y servicios “necesarios e indispensables” a la sociedad para posibilitar la pacífica y justa convivencia social, teniendo como objetivo el bien común; por lo que quienes alteran este orden, lo vician, vulneran, corrompen, lesionan, violan, limitan, distorsionan, desnaturalizan, cometen delito. </w:t>
      </w:r>
    </w:p>
    <w:p w14:paraId="7918EA72" w14:textId="77777777" w:rsidR="009E6E2E" w:rsidRPr="000D3432" w:rsidRDefault="009E6E2E" w:rsidP="009E6E2E">
      <w:pPr>
        <w:rPr>
          <w:rFonts w:asciiTheme="minorHAnsi" w:hAnsiTheme="minorHAnsi"/>
          <w:szCs w:val="24"/>
          <w:lang w:val="es-ES_tradnl"/>
        </w:rPr>
      </w:pPr>
    </w:p>
    <w:p w14:paraId="4BE70E66"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CLASIFICACIÓN DE LOS DELITOS CONTRA LA ADMINISTRACIÓN PÚBLICA</w:t>
      </w:r>
    </w:p>
    <w:p w14:paraId="7A2049F9" w14:textId="77777777" w:rsidR="009E6E2E" w:rsidRPr="000D3432" w:rsidRDefault="009E6E2E" w:rsidP="009E6E2E">
      <w:pPr>
        <w:rPr>
          <w:rFonts w:asciiTheme="minorHAnsi" w:hAnsiTheme="minorHAnsi"/>
          <w:b/>
          <w:szCs w:val="24"/>
          <w:lang w:val="es-ES_tradnl"/>
        </w:rPr>
      </w:pPr>
    </w:p>
    <w:p w14:paraId="43C2DD61"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Los delitos contra la Administración Pública han sido clasificados de la siguiente manera::</w:t>
      </w:r>
    </w:p>
    <w:p w14:paraId="25B398E6" w14:textId="77777777" w:rsidR="009E6E2E" w:rsidRPr="000D3432" w:rsidRDefault="009E6E2E" w:rsidP="009E6E2E">
      <w:pPr>
        <w:rPr>
          <w:rFonts w:asciiTheme="minorHAnsi" w:hAnsiTheme="minorHAnsi"/>
          <w:szCs w:val="24"/>
          <w:lang w:val="es-ES_tradnl"/>
        </w:rPr>
      </w:pPr>
    </w:p>
    <w:p w14:paraId="75FD6E0B"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I.- Delitos cometidos por particulares:</w:t>
      </w:r>
    </w:p>
    <w:p w14:paraId="16738892"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1.- Usurpación de Autoridad, Títulos y Honores</w:t>
      </w:r>
    </w:p>
    <w:p w14:paraId="694B0428"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2.- Violencia y Resistencia a la Autoridad</w:t>
      </w:r>
    </w:p>
    <w:p w14:paraId="7DEB586E"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3.- Desacato</w:t>
      </w:r>
    </w:p>
    <w:p w14:paraId="48AC755D"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II.- Delitos cometidos por funcionarios públicos</w:t>
      </w:r>
    </w:p>
    <w:p w14:paraId="1B1F3EF0"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1.- Abuso de Autoridad</w:t>
      </w:r>
    </w:p>
    <w:p w14:paraId="18BE41F9"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2.- Concusión</w:t>
      </w:r>
    </w:p>
    <w:p w14:paraId="55F5BD8E"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3.- Peculado</w:t>
      </w:r>
    </w:p>
    <w:p w14:paraId="4F75D118"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4.- Corrupción de Funcionarios</w:t>
      </w:r>
    </w:p>
    <w:p w14:paraId="75E35DC2" w14:textId="77777777" w:rsidR="009E6E2E" w:rsidRPr="000D3432" w:rsidRDefault="009E6E2E" w:rsidP="009E6E2E">
      <w:pPr>
        <w:rPr>
          <w:rFonts w:asciiTheme="minorHAnsi" w:hAnsiTheme="minorHAnsi"/>
          <w:szCs w:val="24"/>
          <w:lang w:val="es-ES_tradnl"/>
        </w:rPr>
      </w:pPr>
    </w:p>
    <w:p w14:paraId="2E90C5BA"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III.- Delitos contra la Administración pública</w:t>
      </w:r>
    </w:p>
    <w:p w14:paraId="02FE39EE"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1.- Delitos contra la función jurisdiccional</w:t>
      </w:r>
    </w:p>
    <w:p w14:paraId="6E010C44"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2.- Prevaricato</w:t>
      </w:r>
    </w:p>
    <w:p w14:paraId="39407E5F"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3.- Denegación y retardo de justicia</w:t>
      </w:r>
    </w:p>
    <w:p w14:paraId="7A3CE20B" w14:textId="77777777" w:rsidR="009E6E2E" w:rsidRPr="000D3432" w:rsidRDefault="009E6E2E" w:rsidP="009E6E2E">
      <w:pPr>
        <w:jc w:val="both"/>
        <w:rPr>
          <w:rFonts w:asciiTheme="minorHAnsi" w:hAnsiTheme="minorHAnsi"/>
          <w:b/>
          <w:szCs w:val="24"/>
          <w:lang w:val="es-ES_tradnl"/>
        </w:rPr>
      </w:pPr>
    </w:p>
    <w:p w14:paraId="0CB8B08B" w14:textId="77777777" w:rsidR="009E6E2E" w:rsidRPr="000D3432" w:rsidRDefault="009E6E2E" w:rsidP="009E6E2E">
      <w:pPr>
        <w:jc w:val="center"/>
        <w:rPr>
          <w:rFonts w:asciiTheme="minorHAnsi" w:hAnsiTheme="minorHAnsi"/>
          <w:b/>
          <w:szCs w:val="24"/>
          <w:u w:val="single"/>
          <w:lang w:val="es-ES_tradnl"/>
        </w:rPr>
      </w:pPr>
      <w:r w:rsidRPr="000D3432">
        <w:rPr>
          <w:rFonts w:asciiTheme="minorHAnsi" w:hAnsiTheme="minorHAnsi"/>
          <w:b/>
          <w:szCs w:val="24"/>
          <w:u w:val="single"/>
          <w:lang w:val="es-ES_tradnl"/>
        </w:rPr>
        <w:t>TITULO VI</w:t>
      </w:r>
    </w:p>
    <w:p w14:paraId="2459716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DELITOS COMETIDOS POR PARTICULARES</w:t>
      </w:r>
    </w:p>
    <w:p w14:paraId="165F6883" w14:textId="77777777" w:rsidR="009E6E2E" w:rsidRPr="000D3432" w:rsidRDefault="009E6E2E" w:rsidP="009E6E2E">
      <w:pPr>
        <w:rPr>
          <w:rFonts w:asciiTheme="minorHAnsi" w:hAnsiTheme="minorHAnsi" w:cs="Arial"/>
          <w:b/>
          <w:szCs w:val="24"/>
          <w:lang w:val="es-ES_tradnl"/>
        </w:rPr>
      </w:pPr>
    </w:p>
    <w:p w14:paraId="65392DF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En este tipo de delitos, cometidos contra la administración pública, existe una diferencia clara, para identificar la gravedad del fenómeno delictivo. Así, dichos delitos pueden ser cometidos por particular, o por funcionarios públicos; de esta forma se establece la ubicación de los agentes delictivos. En términos comunes se puede decir que "cualquier persona puede cometer este tipo de delitos", siendo individualizado o "responsabilizado", según la "condición" o personalidad (persona particular, persona con calidad de funcionario), con la que ha actuado u omitido actuar, conducta del cual se deriva directa o indirectamente un perjucio al bien jurídico denominado "administración pública". En paridad el daño es a varios factores; por un lado se afecta la organización u orden establecido como "administración pública", por otro lado, se afecta el patrimonio social (nacido del pacto social), las arcas fiscales, los bienes patrimoniales del Estado (es decir, que pertenecen y sólo están siendo administradas por el Estado. El agravio o daño es a la organización política administrativa, a la riqueza del Estado, a la representación delegada de administrar, política, económica y socialmente los bienes que se desprenden o provienen de cada individuo que conforma cada miembro de la nación. </w:t>
      </w:r>
    </w:p>
    <w:p w14:paraId="5DA6899E" w14:textId="77777777" w:rsidR="009E6E2E" w:rsidRPr="000D3432" w:rsidRDefault="009E6E2E" w:rsidP="009E6E2E">
      <w:pPr>
        <w:jc w:val="both"/>
        <w:rPr>
          <w:rFonts w:asciiTheme="minorHAnsi" w:hAnsiTheme="minorHAnsi" w:cs="Arial"/>
          <w:szCs w:val="24"/>
          <w:lang w:val="es-ES_tradnl"/>
        </w:rPr>
      </w:pPr>
    </w:p>
    <w:p w14:paraId="58FA6783"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Por el agravio político el "delincuente" o infractor de la ley penal desvirtúa, desvía, daña el sistema de organizción gobernamental, es decir, la relacioó de gobierno acordada entre los gobernantes y los gobernados; esto último entendiendo que la política se refeire a la relación de gobierno.</w:t>
      </w:r>
    </w:p>
    <w:p w14:paraId="1961E2C3" w14:textId="77777777" w:rsidR="009E6E2E" w:rsidRPr="000D3432" w:rsidRDefault="009E6E2E" w:rsidP="009E6E2E">
      <w:pPr>
        <w:jc w:val="both"/>
        <w:rPr>
          <w:rFonts w:asciiTheme="minorHAnsi" w:hAnsiTheme="minorHAnsi" w:cs="Arial"/>
          <w:szCs w:val="24"/>
          <w:lang w:val="es-ES_tradnl"/>
        </w:rPr>
      </w:pPr>
    </w:p>
    <w:p w14:paraId="5B4501F8"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Por el agravio económico, el delincuente viola, vulnera, rompe, quiebra, causa pérdida, etc., de aquella economía o presupuesto ingresado a las arcas del Estado a través de los tributos pagados por todos los ciudadanos, y que el Estad tiene el deber de conservar, utilizar adecuadamente, dar cuenta de su uso, controlar e invertir en beneficio de todos los ciudadanos a través de la "administración pública" como un bien jurídico.</w:t>
      </w:r>
    </w:p>
    <w:p w14:paraId="01696A9A" w14:textId="77777777" w:rsidR="009E6E2E" w:rsidRPr="000D3432" w:rsidRDefault="009E6E2E" w:rsidP="009E6E2E">
      <w:pPr>
        <w:jc w:val="both"/>
        <w:rPr>
          <w:rFonts w:asciiTheme="minorHAnsi" w:hAnsiTheme="minorHAnsi" w:cs="Arial"/>
          <w:szCs w:val="24"/>
          <w:lang w:val="es-ES_tradnl"/>
        </w:rPr>
      </w:pPr>
    </w:p>
    <w:p w14:paraId="442B51D0"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Por el agravio social, colectivo, el Estado administra los bienes púbicos con la finalidad, entre otras, de asegurar la igualdad, preservación de los derechos  oportunidades, y no para que exista un desequilibrio producido por la mala utilización de los recursos públicos, afianzando lo colectivo, el interés colectivo frente al interés individual.</w:t>
      </w:r>
    </w:p>
    <w:p w14:paraId="4CEE776C" w14:textId="77777777" w:rsidR="009E6E2E" w:rsidRPr="000D3432" w:rsidRDefault="009E6E2E" w:rsidP="009E6E2E">
      <w:pPr>
        <w:jc w:val="both"/>
        <w:rPr>
          <w:rFonts w:asciiTheme="minorHAnsi" w:hAnsiTheme="minorHAnsi" w:cs="Arial"/>
          <w:szCs w:val="24"/>
          <w:lang w:val="es-ES_tradnl"/>
        </w:rPr>
      </w:pPr>
    </w:p>
    <w:p w14:paraId="73684DE3" w14:textId="77777777" w:rsidR="009E6E2E" w:rsidRPr="000D3432" w:rsidRDefault="009E6E2E" w:rsidP="009E6E2E">
      <w:pPr>
        <w:rPr>
          <w:rFonts w:asciiTheme="minorHAnsi" w:hAnsiTheme="minorHAnsi" w:cs="Arial"/>
          <w:b/>
          <w:szCs w:val="24"/>
          <w:lang w:val="es-ES_tradnl"/>
        </w:rPr>
      </w:pPr>
    </w:p>
    <w:p w14:paraId="0380EDA3"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w:t>
      </w:r>
    </w:p>
    <w:p w14:paraId="0429368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USURPACIÓN DE AUTORIDAD, TÍTULOS Y HONORES</w:t>
      </w:r>
    </w:p>
    <w:p w14:paraId="3C1E5268" w14:textId="77777777" w:rsidR="009E6E2E" w:rsidRPr="000D3432" w:rsidRDefault="009E6E2E" w:rsidP="009E6E2E">
      <w:pPr>
        <w:jc w:val="both"/>
        <w:rPr>
          <w:rFonts w:asciiTheme="minorHAnsi" w:hAnsiTheme="minorHAnsi" w:cs="Arial"/>
          <w:b/>
          <w:szCs w:val="24"/>
          <w:lang w:val="es-ES_tradnl"/>
        </w:rPr>
      </w:pPr>
    </w:p>
    <w:p w14:paraId="724C2670"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La usurpación de autoridad como aquel hecho por el cual una persona se posiciona en el lugar, cargo, facultad pública de otro, en forma ilegítima, dañina y arbitraria.</w:t>
      </w:r>
    </w:p>
    <w:p w14:paraId="6E6B7B8A" w14:textId="77777777" w:rsidR="009E6E2E" w:rsidRPr="000D3432" w:rsidRDefault="009E6E2E" w:rsidP="009E6E2E">
      <w:pPr>
        <w:jc w:val="both"/>
        <w:rPr>
          <w:rFonts w:asciiTheme="minorHAnsi" w:hAnsiTheme="minorHAnsi" w:cs="Arial"/>
          <w:szCs w:val="24"/>
          <w:lang w:val="es-ES_tradnl"/>
        </w:rPr>
      </w:pPr>
    </w:p>
    <w:p w14:paraId="2C6F49D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De esta forma sólo puede haber usurpación de un derecho o facultad reconocido, protegido o tutelado como condición pública. Por ejemplo, si una persona usurpa el nombre de otra persona, este solo podrá ser si es que el nombre ha sido o sufrido un proceso de interiorización o adhesión al ordenamiento público, como el hecho de haber sido registrado via documento municipal de Partida de Nacimiento, estar consignado en el Reniec, Registro nacional de identidad civil.</w:t>
      </w:r>
    </w:p>
    <w:p w14:paraId="44711F9D" w14:textId="77777777" w:rsidR="009E6E2E" w:rsidRPr="000D3432" w:rsidRDefault="009E6E2E" w:rsidP="009E6E2E">
      <w:pPr>
        <w:jc w:val="both"/>
        <w:rPr>
          <w:rFonts w:asciiTheme="minorHAnsi" w:hAnsiTheme="minorHAnsi" w:cs="Arial"/>
          <w:szCs w:val="24"/>
          <w:lang w:val="es-ES_tradnl"/>
        </w:rPr>
      </w:pPr>
    </w:p>
    <w:p w14:paraId="42D6A7B2"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De la misma forma, cuando se referie a la usurpación de autoridad se hace referencia a que se ha posesionado en el derecho y atribuciones delegadas por el Estado, delegadas a su vez -a través de la delegación popular- por el ciudadano. De esta forma, el resto de tipos de usurpación (de funciones, etc.), derivan o provienen de la usurpación de autoridad, pues incluso no puede existir delito de funciones si es que dicho personaje no tiene o ha sido designado autoridad, que significa: el que ha sido autorizado, delegado para realizar funciones parte de las necesidades de organización de administrar los bienes y servicios públicos. </w:t>
      </w:r>
    </w:p>
    <w:p w14:paraId="3FEC3374" w14:textId="77777777" w:rsidR="009E6E2E" w:rsidRPr="000D3432" w:rsidRDefault="009E6E2E" w:rsidP="009E6E2E">
      <w:pPr>
        <w:rPr>
          <w:rFonts w:asciiTheme="minorHAnsi" w:hAnsiTheme="minorHAnsi"/>
          <w:szCs w:val="24"/>
          <w:lang w:val="es-ES_tradnl"/>
        </w:rPr>
      </w:pPr>
    </w:p>
    <w:p w14:paraId="637EB02C"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Los delitos tipificados cometidos por los particulares contra la administración pública son:</w:t>
      </w:r>
    </w:p>
    <w:p w14:paraId="0E396952"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1.- Usurpación</w:t>
      </w:r>
    </w:p>
    <w:p w14:paraId="4B8A2064"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2.- Violencia y Resistencia a la Autoridad</w:t>
      </w:r>
    </w:p>
    <w:p w14:paraId="0D097F9D"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3.- Desacato</w:t>
      </w:r>
    </w:p>
    <w:p w14:paraId="40715100" w14:textId="77777777" w:rsidR="009E6E2E" w:rsidRPr="000D3432" w:rsidRDefault="009E6E2E" w:rsidP="009E6E2E">
      <w:pPr>
        <w:rPr>
          <w:rFonts w:asciiTheme="minorHAnsi" w:hAnsiTheme="minorHAnsi"/>
          <w:szCs w:val="24"/>
          <w:lang w:val="es-ES_tradnl"/>
        </w:rPr>
      </w:pPr>
    </w:p>
    <w:p w14:paraId="563D31DC"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Concepto del Delito de Usurpación</w:t>
      </w:r>
    </w:p>
    <w:p w14:paraId="04AE9BFE" w14:textId="77777777" w:rsidR="009E6E2E" w:rsidRPr="000D3432" w:rsidRDefault="009E6E2E" w:rsidP="009E6E2E">
      <w:pPr>
        <w:rPr>
          <w:rFonts w:asciiTheme="minorHAnsi" w:hAnsiTheme="minorHAnsi"/>
          <w:szCs w:val="24"/>
          <w:lang w:val="es-ES_tradnl"/>
        </w:rPr>
      </w:pPr>
    </w:p>
    <w:p w14:paraId="39A3154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Usurpación es definida como el acto de “apoderarse de una propiedad o de un derecho que legítimamente pertenece a otro, por lo general con violencia”. También es conceptualizada como el hecho de “arrogarse la dignidad, empleo u oficio de otro y usarlos como si fueran propios”</w:t>
      </w:r>
    </w:p>
    <w:p w14:paraId="4074DD06" w14:textId="77777777" w:rsidR="009E6E2E" w:rsidRPr="000D3432" w:rsidRDefault="009E6E2E" w:rsidP="009E6E2E">
      <w:pPr>
        <w:rPr>
          <w:rFonts w:asciiTheme="minorHAnsi" w:hAnsiTheme="minorHAnsi"/>
          <w:szCs w:val="24"/>
          <w:lang w:val="es-ES_tradnl"/>
        </w:rPr>
      </w:pPr>
    </w:p>
    <w:p w14:paraId="5E5015E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Usurpar significaría apoderarse ilegítimamente (sin título justo) de los derechos, facultades, atribuciones, poderes, que corresponden legítimamente a otro; y utilizar dicha posición para efectuar operaciones propias de los derechos del usurpado. Por lo cual, comete delito de usurpación quien se posiciona, usa, disfruta –sin justo título- de los derechos, potestades, o atribuciones que le corresponden a otra persona. </w:t>
      </w:r>
    </w:p>
    <w:p w14:paraId="4165403F" w14:textId="77777777" w:rsidR="009E6E2E" w:rsidRPr="000D3432" w:rsidRDefault="009E6E2E" w:rsidP="009E6E2E">
      <w:pPr>
        <w:jc w:val="both"/>
        <w:rPr>
          <w:rFonts w:asciiTheme="minorHAnsi" w:hAnsiTheme="minorHAnsi" w:cs="Arial"/>
          <w:szCs w:val="24"/>
          <w:lang w:val="es-ES_tradnl"/>
        </w:rPr>
      </w:pPr>
    </w:p>
    <w:p w14:paraId="645E77FE"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Dos factores en el concepto. 1) Apropiarse de un cargo, puesto, título, dignidad, etc.; 2) usar, disfrutar, manejar, etc., dichos cargo, puesto, título, dignidad. </w:t>
      </w:r>
    </w:p>
    <w:p w14:paraId="172E3394" w14:textId="77777777" w:rsidR="009E6E2E" w:rsidRPr="000D3432" w:rsidRDefault="009E6E2E" w:rsidP="009E6E2E">
      <w:pPr>
        <w:jc w:val="both"/>
        <w:rPr>
          <w:rFonts w:asciiTheme="minorHAnsi" w:hAnsiTheme="minorHAnsi" w:cs="Arial"/>
          <w:szCs w:val="24"/>
          <w:lang w:val="es-ES_tradnl"/>
        </w:rPr>
      </w:pPr>
    </w:p>
    <w:p w14:paraId="627D623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Usurpación es apoderarse ilegítimamente de una posición, cargo, título, dignidad, etc., que le pertenece a otra persona. Esto conlleva a presuponer que existe un derecho anterior, reconocido legalmente en norma jurídica. La preexistencia de este derecho, entonces, es prerequisito para que se pueda configurar cualquier usurpación; si este derecho no existiera en acto cierto y legal no podría denominarse usurpación.</w:t>
      </w:r>
    </w:p>
    <w:p w14:paraId="7F2EEE8A" w14:textId="77777777" w:rsidR="009E6E2E" w:rsidRPr="000D3432" w:rsidRDefault="009E6E2E" w:rsidP="009E6E2E">
      <w:pPr>
        <w:jc w:val="both"/>
        <w:rPr>
          <w:rFonts w:asciiTheme="minorHAnsi" w:hAnsiTheme="minorHAnsi" w:cs="Arial"/>
          <w:szCs w:val="24"/>
          <w:lang w:val="es-ES_tradnl"/>
        </w:rPr>
      </w:pPr>
    </w:p>
    <w:p w14:paraId="4682144D"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¿Qué se puede usurpar? Derechos, honores, títulos, cargos, posiciones.</w:t>
      </w:r>
    </w:p>
    <w:p w14:paraId="0751A4AB" w14:textId="77777777" w:rsidR="009E6E2E" w:rsidRPr="000D3432" w:rsidRDefault="009E6E2E" w:rsidP="009E6E2E">
      <w:pPr>
        <w:rPr>
          <w:rFonts w:asciiTheme="minorHAnsi" w:hAnsiTheme="minorHAnsi"/>
          <w:szCs w:val="24"/>
          <w:lang w:val="es-ES_tradnl"/>
        </w:rPr>
      </w:pPr>
    </w:p>
    <w:p w14:paraId="6226EDA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Tipos o clases de delitos de usurpación</w:t>
      </w:r>
    </w:p>
    <w:p w14:paraId="0A787FC8" w14:textId="77777777" w:rsidR="009E6E2E" w:rsidRPr="000D3432" w:rsidRDefault="009E6E2E" w:rsidP="009E6E2E">
      <w:pPr>
        <w:rPr>
          <w:rFonts w:asciiTheme="minorHAnsi" w:hAnsiTheme="minorHAnsi"/>
          <w:szCs w:val="24"/>
          <w:lang w:val="es-ES_tradnl"/>
        </w:rPr>
      </w:pPr>
    </w:p>
    <w:p w14:paraId="4BCADA2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Los tipos o clases de delitos de usurpación de autoridad son los que se consignan a continuación:</w:t>
      </w:r>
    </w:p>
    <w:p w14:paraId="401FAA03"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1.- Delito de Usurpación de función pública</w:t>
      </w:r>
    </w:p>
    <w:p w14:paraId="19CA1680"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2.- Delito de Ostentación de distintivos de función o cargos que no ejerce</w:t>
      </w:r>
    </w:p>
    <w:p w14:paraId="78CDE511"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3.- Delito de Ejercicio ilegal de la profesión</w:t>
      </w:r>
    </w:p>
    <w:p w14:paraId="0DD9C2B4"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4.- Delito de Participación en ejercicio ilegal de la profesión</w:t>
      </w:r>
    </w:p>
    <w:p w14:paraId="760F1AE0" w14:textId="77777777" w:rsidR="009E6E2E" w:rsidRPr="000D3432" w:rsidRDefault="009E6E2E" w:rsidP="009E6E2E">
      <w:pPr>
        <w:rPr>
          <w:rFonts w:asciiTheme="minorHAnsi" w:hAnsiTheme="minorHAnsi"/>
          <w:szCs w:val="24"/>
          <w:lang w:val="es-ES_tradnl"/>
        </w:rPr>
      </w:pPr>
    </w:p>
    <w:p w14:paraId="3C86F903"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 xml:space="preserve">SECCION I </w:t>
      </w:r>
    </w:p>
    <w:p w14:paraId="210BC8D3"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USURPACIÓN DE FUNCIÓN PÚBLICA</w:t>
      </w:r>
    </w:p>
    <w:p w14:paraId="5C240D3C" w14:textId="77777777" w:rsidR="009E6E2E" w:rsidRPr="000D3432" w:rsidRDefault="009E6E2E" w:rsidP="009E6E2E">
      <w:pPr>
        <w:rPr>
          <w:rFonts w:asciiTheme="minorHAnsi" w:hAnsiTheme="minorHAnsi"/>
          <w:b/>
          <w:szCs w:val="24"/>
          <w:lang w:val="es-ES_tradnl"/>
        </w:rPr>
      </w:pPr>
    </w:p>
    <w:p w14:paraId="6E1C94AE" w14:textId="77777777" w:rsidR="009E6E2E" w:rsidRPr="000D3432" w:rsidRDefault="009E6E2E" w:rsidP="009E6E2E">
      <w:pPr>
        <w:rPr>
          <w:rFonts w:asciiTheme="minorHAnsi" w:hAnsiTheme="minorHAnsi"/>
          <w:b/>
          <w:szCs w:val="24"/>
          <w:lang w:val="es-ES_tradnl"/>
        </w:rPr>
      </w:pPr>
    </w:p>
    <w:p w14:paraId="5980C7E7"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 Concepto doctrinario de delito de usurpación de función pública</w:t>
      </w:r>
    </w:p>
    <w:p w14:paraId="3C81C9F3" w14:textId="77777777" w:rsidR="009E6E2E" w:rsidRPr="000D3432" w:rsidRDefault="009E6E2E" w:rsidP="009E6E2E">
      <w:pPr>
        <w:rPr>
          <w:rFonts w:asciiTheme="minorHAnsi" w:hAnsiTheme="minorHAnsi"/>
          <w:szCs w:val="24"/>
          <w:lang w:val="es-ES_tradnl"/>
        </w:rPr>
      </w:pPr>
    </w:p>
    <w:p w14:paraId="5A2D51B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Comete delito de usurpación de función pública "aquella persona que, sin título o nombramiento, usurpa una función pública, o la facultad de dar órdenes militares o policiales, o el que hallándose destituido, cesado, suspendido o subrogado de su cargo continúa ejerciéndolo, o el que ejerce funciones correspondientes a cargo diferente del que tiene".</w:t>
      </w:r>
    </w:p>
    <w:p w14:paraId="17A566B3" w14:textId="77777777" w:rsidR="009E6E2E" w:rsidRPr="000D3432" w:rsidRDefault="009E6E2E" w:rsidP="009E6E2E">
      <w:pPr>
        <w:jc w:val="both"/>
        <w:rPr>
          <w:rFonts w:asciiTheme="minorHAnsi" w:hAnsiTheme="minorHAnsi" w:cs="Arial"/>
          <w:szCs w:val="24"/>
          <w:lang w:val="es-ES_tradnl"/>
        </w:rPr>
      </w:pPr>
    </w:p>
    <w:p w14:paraId="3F61ACD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2.- Concepto Legal del delito de usurpación de función pública: </w:t>
      </w:r>
    </w:p>
    <w:p w14:paraId="21312082" w14:textId="77777777" w:rsidR="009E6E2E" w:rsidRPr="000D3432" w:rsidRDefault="009E6E2E" w:rsidP="009E6E2E">
      <w:pPr>
        <w:ind w:left="708"/>
        <w:rPr>
          <w:rFonts w:asciiTheme="minorHAnsi" w:hAnsiTheme="minorHAnsi"/>
          <w:szCs w:val="24"/>
          <w:lang w:val="es-ES_tradnl"/>
        </w:rPr>
      </w:pPr>
    </w:p>
    <w:p w14:paraId="74B8D19F"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 acuerdo con el Artículo 361º del Código Penal, modificado por el Artículo 1 del Decreto Ley Nº 25444, publicado el 23 de abril de 1992, se prescribe lo siguiente: </w:t>
      </w:r>
    </w:p>
    <w:p w14:paraId="714EBC04" w14:textId="77777777" w:rsidR="009E6E2E" w:rsidRPr="000D3432" w:rsidRDefault="009E6E2E" w:rsidP="009E6E2E">
      <w:pPr>
        <w:rPr>
          <w:rFonts w:asciiTheme="minorHAnsi" w:hAnsiTheme="minorHAnsi"/>
          <w:szCs w:val="24"/>
          <w:lang w:val="es-ES_tradnl"/>
        </w:rPr>
      </w:pPr>
    </w:p>
    <w:p w14:paraId="748FDE03" w14:textId="77777777" w:rsidR="009E6E2E" w:rsidRPr="000D3432" w:rsidRDefault="009E6E2E" w:rsidP="009E6E2E">
      <w:pPr>
        <w:jc w:val="both"/>
        <w:rPr>
          <w:rFonts w:asciiTheme="minorHAnsi" w:hAnsiTheme="minorHAnsi"/>
          <w:i/>
          <w:szCs w:val="24"/>
          <w:lang w:val="es-ES_tradnl"/>
        </w:rPr>
      </w:pPr>
      <w:r w:rsidRPr="000D3432">
        <w:rPr>
          <w:rFonts w:asciiTheme="minorHAnsi" w:hAnsiTheme="minorHAnsi"/>
          <w:b/>
          <w:i/>
          <w:szCs w:val="24"/>
          <w:lang w:val="es-ES_tradnl"/>
        </w:rPr>
        <w:t xml:space="preserve">“Usurpación de función pública.- </w:t>
      </w:r>
      <w:r w:rsidRPr="000D3432">
        <w:rPr>
          <w:rFonts w:asciiTheme="minorHAnsi" w:hAnsiTheme="minorHAnsi"/>
          <w:i/>
          <w:szCs w:val="24"/>
          <w:lang w:val="es-ES_tradnl"/>
        </w:rPr>
        <w:t>Artículo 361.- El que, sin título o nombramiento, usurpa una función pública, o la facultad de dar órdenes militares o policiales, o el que hallándose destituido, cesado, suspendido o subrogado de su cargo continúa ejerciéndolo, o el que ejerce funciones correspondientes a cargo diferente del que tiene, será reprimido con pena privativa de libertad no menor de cuatro ni mayor de siete años, e inhabilitación de uno a dos años conforme al artículo 36, incisos 1 y 2. / Si para perpetrar la comisión del delito, el agente presta resistencia o se enfrenta a las Fuerzas del Orden, la pena será privativa de libertad no menor de cinco ni mayor de ocho años.".</w:t>
      </w:r>
    </w:p>
    <w:p w14:paraId="4E44FCF8" w14:textId="77777777" w:rsidR="009E6E2E" w:rsidRPr="000D3432" w:rsidRDefault="009E6E2E" w:rsidP="009E6E2E">
      <w:pPr>
        <w:jc w:val="both"/>
        <w:rPr>
          <w:rFonts w:asciiTheme="minorHAnsi" w:hAnsiTheme="minorHAnsi"/>
          <w:b/>
          <w:i/>
          <w:szCs w:val="24"/>
          <w:lang w:val="es-ES_tradnl"/>
        </w:rPr>
      </w:pPr>
    </w:p>
    <w:p w14:paraId="47A994E1" w14:textId="77777777" w:rsidR="009E6E2E" w:rsidRPr="000D3432" w:rsidRDefault="009E6E2E" w:rsidP="009E6E2E">
      <w:pPr>
        <w:jc w:val="both"/>
        <w:rPr>
          <w:rFonts w:asciiTheme="minorHAnsi" w:hAnsiTheme="minorHAnsi"/>
          <w:i/>
          <w:szCs w:val="24"/>
          <w:lang w:val="es-ES_tradnl"/>
        </w:rPr>
      </w:pPr>
      <w:r w:rsidRPr="000D3432">
        <w:rPr>
          <w:rFonts w:asciiTheme="minorHAnsi" w:hAnsiTheme="minorHAnsi"/>
          <w:b/>
          <w:i/>
          <w:szCs w:val="24"/>
          <w:lang w:val="es-ES_tradnl"/>
        </w:rPr>
        <w:t xml:space="preserve">Concordancias: </w:t>
      </w:r>
      <w:r w:rsidRPr="000D3432">
        <w:rPr>
          <w:rFonts w:asciiTheme="minorHAnsi" w:hAnsiTheme="minorHAnsi"/>
          <w:i/>
          <w:szCs w:val="24"/>
          <w:lang w:val="es-ES_tradnl"/>
        </w:rPr>
        <w:t xml:space="preserve">Ley N° 27765, Art. 6; Ley N° 27770. </w:t>
      </w:r>
    </w:p>
    <w:p w14:paraId="4FC14CF6" w14:textId="77777777" w:rsidR="009E6E2E" w:rsidRPr="000D3432" w:rsidRDefault="009E6E2E" w:rsidP="009E6E2E">
      <w:pPr>
        <w:ind w:left="708"/>
        <w:jc w:val="both"/>
        <w:rPr>
          <w:rFonts w:asciiTheme="minorHAnsi" w:hAnsiTheme="minorHAnsi"/>
          <w:i/>
          <w:szCs w:val="24"/>
          <w:lang w:val="es-ES_tradnl"/>
        </w:rPr>
      </w:pPr>
    </w:p>
    <w:p w14:paraId="45B24F4F"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3.- Elementos legales del delito de usurpación de función pública</w:t>
      </w:r>
    </w:p>
    <w:p w14:paraId="649970A6" w14:textId="77777777" w:rsidR="009E6E2E" w:rsidRPr="000D3432" w:rsidRDefault="009E6E2E" w:rsidP="009E6E2E">
      <w:pPr>
        <w:rPr>
          <w:rFonts w:asciiTheme="minorHAnsi" w:hAnsiTheme="minorHAnsi"/>
          <w:szCs w:val="24"/>
          <w:lang w:val="es-ES_tradnl"/>
        </w:rPr>
      </w:pPr>
    </w:p>
    <w:p w14:paraId="6D83802C"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Del concepto legal enunciado en el Código Penal, se desprenden los siguientes elementos constitutivos: </w:t>
      </w:r>
    </w:p>
    <w:p w14:paraId="68D8F917"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 xml:space="preserve">a) Ilegitimidad de Título o nombramiento </w:t>
      </w:r>
    </w:p>
    <w:p w14:paraId="66D8D0C7"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b) Usurpación de función pública</w:t>
      </w:r>
    </w:p>
    <w:p w14:paraId="26CE51F0"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 xml:space="preserve">c) Facultad de dar ordenes militares o policías, </w:t>
      </w:r>
    </w:p>
    <w:p w14:paraId="542A3063" w14:textId="77777777" w:rsidR="009E6E2E" w:rsidRPr="000D3432" w:rsidRDefault="009E6E2E" w:rsidP="009E6E2E">
      <w:pPr>
        <w:ind w:left="708"/>
        <w:rPr>
          <w:rFonts w:asciiTheme="minorHAnsi" w:hAnsiTheme="minorHAnsi"/>
          <w:szCs w:val="24"/>
          <w:lang w:val="es-ES_tradnl"/>
        </w:rPr>
      </w:pPr>
      <w:r w:rsidRPr="000D3432">
        <w:rPr>
          <w:rFonts w:asciiTheme="minorHAnsi" w:hAnsiTheme="minorHAnsi"/>
          <w:szCs w:val="24"/>
          <w:lang w:val="es-ES_tradnl"/>
        </w:rPr>
        <w:t>d) Ejercicio  de funciones correspondientes a otro cago</w:t>
      </w:r>
    </w:p>
    <w:p w14:paraId="718F3BC0" w14:textId="77777777" w:rsidR="009E6E2E" w:rsidRPr="000D3432" w:rsidRDefault="009E6E2E" w:rsidP="009E6E2E">
      <w:pPr>
        <w:rPr>
          <w:rFonts w:asciiTheme="minorHAnsi" w:hAnsiTheme="minorHAnsi"/>
          <w:b/>
          <w:szCs w:val="24"/>
          <w:lang w:val="es-ES_tradnl"/>
        </w:rPr>
      </w:pPr>
    </w:p>
    <w:p w14:paraId="1EF42346"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a) Ilegitimidad de título o nombramiento </w:t>
      </w:r>
    </w:p>
    <w:p w14:paraId="16F9E4E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Esto supone que se haya utilizado "títulos" o "nombramientos" ilegítimos, que carecen de validez, que no son oponibles al derecho.</w:t>
      </w:r>
    </w:p>
    <w:p w14:paraId="0BCF862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aquí se desprende el hecho de que todos los cargos públicos son definidos de acuerdo a cierto procedimiento, concurso público, designación, nombramiento, etc. De esta forma una autoridad sólo será aquel si es que tiene un título legítimo expedido que exprese, de acuerdo a derecho, dicha condición. </w:t>
      </w:r>
    </w:p>
    <w:p w14:paraId="33595E68" w14:textId="77777777" w:rsidR="009E6E2E" w:rsidRPr="000D3432" w:rsidRDefault="009E6E2E" w:rsidP="009E6E2E">
      <w:pPr>
        <w:jc w:val="both"/>
        <w:rPr>
          <w:rFonts w:asciiTheme="minorHAnsi" w:hAnsiTheme="minorHAnsi"/>
          <w:szCs w:val="24"/>
          <w:lang w:val="es-ES_tradnl"/>
        </w:rPr>
      </w:pPr>
    </w:p>
    <w:p w14:paraId="06877B06"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Procedimientos públicos para ingresar al servicio público</w:t>
      </w:r>
    </w:p>
    <w:p w14:paraId="16875459" w14:textId="77777777" w:rsidR="009E6E2E" w:rsidRPr="000D3432" w:rsidRDefault="009E6E2E" w:rsidP="009E6E2E">
      <w:pPr>
        <w:jc w:val="both"/>
        <w:rPr>
          <w:rFonts w:asciiTheme="minorHAnsi" w:hAnsiTheme="minorHAnsi"/>
          <w:b/>
          <w:szCs w:val="24"/>
          <w:lang w:val="es-ES_tradnl"/>
        </w:rPr>
      </w:pPr>
    </w:p>
    <w:p w14:paraId="60BB928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¿Cuáles son aquellos procedimientos públicos por los cuales una persona particular puede llegar a ser funcionario público?: 1.- Ingreso a la administración pública por concurso público de personal; 2.- Ingreso a la administración pública por designación; 3.- Ingreso a la administración públicos por elección popular. </w:t>
      </w:r>
    </w:p>
    <w:p w14:paraId="16F127BA" w14:textId="77777777" w:rsidR="009E6E2E" w:rsidRPr="000D3432" w:rsidRDefault="009E6E2E" w:rsidP="009E6E2E">
      <w:pPr>
        <w:rPr>
          <w:rFonts w:asciiTheme="minorHAnsi" w:hAnsiTheme="minorHAnsi"/>
          <w:szCs w:val="24"/>
          <w:lang w:val="es-ES_tradnl"/>
        </w:rPr>
      </w:pPr>
    </w:p>
    <w:p w14:paraId="3C8DC683"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 Ingreso a la administración pública por concurso público</w:t>
      </w:r>
    </w:p>
    <w:p w14:paraId="2605756B" w14:textId="77777777" w:rsidR="009E6E2E" w:rsidRPr="000D3432" w:rsidRDefault="009E6E2E" w:rsidP="009E6E2E">
      <w:pPr>
        <w:jc w:val="both"/>
        <w:rPr>
          <w:rFonts w:asciiTheme="minorHAnsi" w:hAnsiTheme="minorHAnsi"/>
          <w:szCs w:val="24"/>
          <w:lang w:val="es-ES_tradnl"/>
        </w:rPr>
      </w:pPr>
    </w:p>
    <w:p w14:paraId="3A765DF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el precepto constitucional el trabajo es un Derecho de la persona humana y un deber de proveerlo por parte del Estado por lo que la regla es que todos deberían tener trabajo. Por esta condición el Estado, o las instituciones que conforman el Estado realizan diversos concursos para proveerse de trabajadores. Estos concursos de selección de personal son de dos tipos: 1) Procesos de selección de personal internos o cerrados, y; 2) Procesos de selección de personal abiertos. Por la primera sólo quienes trabajaban en la institución pública pueden participar en dichos tipos de procesos de selección de personal a fin de cubrir las plazas vacantes, que se producen en el aparto público o institucional, como aumento de presupuesto, cese, destitución, jubilación de personal, etc. </w:t>
      </w:r>
    </w:p>
    <w:p w14:paraId="69FEB8BF" w14:textId="77777777" w:rsidR="009E6E2E" w:rsidRPr="000D3432" w:rsidRDefault="009E6E2E" w:rsidP="009E6E2E">
      <w:pPr>
        <w:jc w:val="both"/>
        <w:rPr>
          <w:rFonts w:asciiTheme="minorHAnsi" w:hAnsiTheme="minorHAnsi"/>
          <w:szCs w:val="24"/>
          <w:lang w:val="es-ES_tradnl"/>
        </w:rPr>
      </w:pPr>
    </w:p>
    <w:p w14:paraId="6C025B3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 el caso de los procesos "abiertos" de selección de personal, pueden participar cualquier persona sólo adjuntando los requisitos exigidos por las entidades públicas, referidas a currículum, perfil, experiencia y capacitación.</w:t>
      </w:r>
    </w:p>
    <w:p w14:paraId="31713E8B" w14:textId="77777777" w:rsidR="009E6E2E" w:rsidRPr="000D3432" w:rsidRDefault="009E6E2E" w:rsidP="009E6E2E">
      <w:pPr>
        <w:jc w:val="both"/>
        <w:rPr>
          <w:rFonts w:asciiTheme="minorHAnsi" w:hAnsiTheme="minorHAnsi"/>
          <w:szCs w:val="24"/>
          <w:lang w:val="es-ES_tradnl"/>
        </w:rPr>
      </w:pPr>
    </w:p>
    <w:p w14:paraId="607928F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Quien gana el concurso público (cerrado o abierto), por haber pasado todo el procedimiento respectivo, es mediante documento escrito y firmado por autoridad competente, legitimado para ocupar un cargo público, sea este del nivel que sea. A este documento le denominaremos "Título legítimo", y por el cual la persona podrá y deberá ejercer "funciones" específicas para llevar a cabo su trabajo. Se sujetará a un Reglamento Interno de Trabajo, un MOF, Manual de Organización de Funciones, y un ROF, Reglamento de Organización y Funciones, donde están determinados su perfil, derechos, deberes y funciones.</w:t>
      </w:r>
    </w:p>
    <w:p w14:paraId="2324AC93" w14:textId="77777777" w:rsidR="009E6E2E" w:rsidRPr="000D3432" w:rsidRDefault="009E6E2E" w:rsidP="009E6E2E">
      <w:pPr>
        <w:jc w:val="both"/>
        <w:rPr>
          <w:rFonts w:asciiTheme="minorHAnsi" w:hAnsiTheme="minorHAnsi"/>
          <w:szCs w:val="24"/>
          <w:lang w:val="es-ES_tradnl"/>
        </w:rPr>
      </w:pPr>
    </w:p>
    <w:p w14:paraId="50FD430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Un función es una conducta que tiene que asumir (hacer o no hacer) una persona por mandato expreso de su condición laboral, o cargo público. Por ejemplo, Una función podría ser la de emitir informes, o autorizar o viabilizar un procedimiento administrativo interno, o aperturar una investigación, etc. Todas estas conductas (hacer o no hacer) tienen que derivar exactamente de las atribuciones que le han conferido su condición laboral. Si el agente realiza conductas (hacer o no hacer) fuera de dichos lineamientos pero que se asumen premunidos o amparados en su condición pública (servidor o funcionario público) en perjuicio de otra persona, estaría cometiendo un delito, determinado por los diversos factores.</w:t>
      </w:r>
    </w:p>
    <w:p w14:paraId="1F00D276" w14:textId="77777777" w:rsidR="009E6E2E" w:rsidRPr="000D3432" w:rsidRDefault="009E6E2E" w:rsidP="009E6E2E">
      <w:pPr>
        <w:jc w:val="both"/>
        <w:rPr>
          <w:rFonts w:asciiTheme="minorHAnsi" w:hAnsiTheme="minorHAnsi"/>
          <w:szCs w:val="24"/>
          <w:lang w:val="es-ES_tradnl"/>
        </w:rPr>
      </w:pPr>
    </w:p>
    <w:p w14:paraId="7D96C2D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 este contexto el abuso de función está inmerso dentro del delito de abuso de autoridad por cuanto no pude abusarse de ninguna función si es que no se es autoridad.</w:t>
      </w:r>
    </w:p>
    <w:p w14:paraId="1BBCD6D8" w14:textId="77777777" w:rsidR="009E6E2E" w:rsidRPr="000D3432" w:rsidRDefault="009E6E2E" w:rsidP="009E6E2E">
      <w:pPr>
        <w:jc w:val="both"/>
        <w:rPr>
          <w:rFonts w:asciiTheme="minorHAnsi" w:hAnsiTheme="minorHAnsi"/>
          <w:szCs w:val="24"/>
          <w:lang w:val="es-ES_tradnl"/>
        </w:rPr>
      </w:pPr>
    </w:p>
    <w:p w14:paraId="368AED5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En el caso concreto de Usurpación de funciones el caso es distinto No se necesita autoridad para realizar usurpación de funciones, por cuanto si bien la ilegitimidad puede partir del hecho que se realizan funciones sin tener título legítimo (autoridad), también sucede que se necesita que otra persona tenga establecida dichas funciones a las que se está usurpando. </w:t>
      </w:r>
    </w:p>
    <w:p w14:paraId="0ABF15E5" w14:textId="77777777" w:rsidR="009E6E2E" w:rsidRPr="000D3432" w:rsidRDefault="009E6E2E" w:rsidP="009E6E2E">
      <w:pPr>
        <w:jc w:val="both"/>
        <w:rPr>
          <w:rFonts w:asciiTheme="minorHAnsi" w:hAnsiTheme="minorHAnsi"/>
          <w:szCs w:val="24"/>
          <w:lang w:val="es-ES_tradnl"/>
        </w:rPr>
      </w:pPr>
    </w:p>
    <w:p w14:paraId="5FB7A10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Usurpar es un concepto negativo, que consiste en quitarle o adueñarse de una propiedad, potestad, atribución, derecho, facultad, posesión, etc., que le pertenece a otra persona (por legítimo derecho). En el caso de la "usurpación de funciones", el hecho se especifica, pues no es la propiedad, etc., lo que se usurpa, sino "las funciones", que no es más que un tipo de "conducta pública". No puede ser función si dicha conducta -hacer o no hacer- no tiene que ver con los bienes o servicios públicos derivados u obligatorios del Estado. Es decir, para que haya este tipo delictivo se tiene que convertir la conducta en conducta pública, que por tal se transformará en "función", porque además esta conducta -como función- permite el "funcionamiento" de la administración pública.  </w:t>
      </w:r>
    </w:p>
    <w:p w14:paraId="22A92AD0" w14:textId="77777777" w:rsidR="009E6E2E" w:rsidRPr="000D3432" w:rsidRDefault="009E6E2E" w:rsidP="009E6E2E">
      <w:pPr>
        <w:rPr>
          <w:rFonts w:asciiTheme="minorHAnsi" w:hAnsiTheme="minorHAnsi"/>
          <w:szCs w:val="24"/>
          <w:lang w:val="es-ES_tradnl"/>
        </w:rPr>
      </w:pPr>
    </w:p>
    <w:p w14:paraId="4EDC39E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Sanciones aplicadas a los delitos de usurpación de función pública</w:t>
      </w:r>
    </w:p>
    <w:p w14:paraId="71A6A35E" w14:textId="77777777" w:rsidR="009E6E2E" w:rsidRPr="000D3432" w:rsidRDefault="009E6E2E" w:rsidP="009E6E2E">
      <w:pPr>
        <w:rPr>
          <w:rFonts w:asciiTheme="minorHAnsi" w:hAnsiTheme="minorHAnsi"/>
          <w:szCs w:val="24"/>
          <w:lang w:val="es-ES_tradnl"/>
        </w:rPr>
      </w:pPr>
    </w:p>
    <w:p w14:paraId="20D6336E"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Las sanciones o consecuencias de la comisión del delito de usurpación de función pública, de acuerdo a la ley, son: 1. Pena privativa de la libertad; 2. Inhabilitación; 3. Privación de la función, cargo o comisión que ejercía el condenado; 4. Incapacidad para obtener mandato, cargo, empleo o comisión de carácter público.</w:t>
      </w:r>
    </w:p>
    <w:p w14:paraId="547FB430" w14:textId="77777777" w:rsidR="009E6E2E" w:rsidRPr="000D3432" w:rsidRDefault="009E6E2E" w:rsidP="009E6E2E">
      <w:pPr>
        <w:rPr>
          <w:rFonts w:asciiTheme="minorHAnsi" w:hAnsiTheme="minorHAnsi"/>
          <w:b/>
          <w:szCs w:val="24"/>
          <w:lang w:val="es-ES_tradnl"/>
        </w:rPr>
      </w:pPr>
    </w:p>
    <w:p w14:paraId="42307C3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IV.- Argumentos para la defensa (Abogado) en los delitos de usurpación de funciones</w:t>
      </w:r>
    </w:p>
    <w:p w14:paraId="591B1217" w14:textId="77777777" w:rsidR="009E6E2E" w:rsidRPr="000D3432" w:rsidRDefault="009E6E2E" w:rsidP="009E6E2E">
      <w:pPr>
        <w:rPr>
          <w:rFonts w:asciiTheme="minorHAnsi" w:hAnsiTheme="minorHAnsi"/>
          <w:b/>
          <w:szCs w:val="24"/>
          <w:lang w:val="es-ES_tradnl"/>
        </w:rPr>
      </w:pPr>
    </w:p>
    <w:p w14:paraId="7E91E5B3"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 Factores y enunciados en el delito de usurpación de función pública.-</w:t>
      </w:r>
    </w:p>
    <w:p w14:paraId="3E261311" w14:textId="77777777" w:rsidR="009E6E2E" w:rsidRPr="000D3432" w:rsidRDefault="009E6E2E" w:rsidP="009E6E2E">
      <w:pPr>
        <w:jc w:val="both"/>
        <w:rPr>
          <w:rFonts w:asciiTheme="minorHAnsi" w:hAnsiTheme="minorHAnsi"/>
          <w:szCs w:val="24"/>
          <w:lang w:val="es-ES_tradnl"/>
        </w:rPr>
      </w:pPr>
    </w:p>
    <w:p w14:paraId="55B6439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Si se quiere hacer una denuncia o defensa en un caso de «Delito de usurpación de función pública», se tiene que partir de tres factores: a) La condición jurídica de la persona (con título de funcionario, etc.); b) Su conducta (usurpación); c) El afectado (Administración Pública) (usurpación de actividad o función “pública”. </w:t>
      </w:r>
    </w:p>
    <w:p w14:paraId="4C4B346B" w14:textId="77777777" w:rsidR="009E6E2E" w:rsidRPr="000D3432" w:rsidRDefault="009E6E2E" w:rsidP="009E6E2E">
      <w:pPr>
        <w:ind w:left="708"/>
        <w:rPr>
          <w:rFonts w:asciiTheme="minorHAnsi" w:hAnsiTheme="minorHAnsi"/>
          <w:szCs w:val="24"/>
          <w:lang w:val="es-ES_tradnl"/>
        </w:rPr>
      </w:pPr>
    </w:p>
    <w:p w14:paraId="7C26DAC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2.- Presupuestos generales a considerar en este tipo delictivo.- </w:t>
      </w:r>
    </w:p>
    <w:p w14:paraId="79A46320" w14:textId="77777777" w:rsidR="009E6E2E" w:rsidRPr="000D3432" w:rsidRDefault="009E6E2E" w:rsidP="009E6E2E">
      <w:pPr>
        <w:jc w:val="both"/>
        <w:rPr>
          <w:rFonts w:asciiTheme="minorHAnsi" w:hAnsiTheme="minorHAnsi"/>
          <w:szCs w:val="24"/>
          <w:lang w:val="es-ES_tradnl"/>
        </w:rPr>
      </w:pPr>
    </w:p>
    <w:p w14:paraId="327BCA9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Se puede alegar para la defensa de este delito lo siguiente: a) Que la persona haya actuado sin título  justo; b) Que la persona haya actuado sin nombramiento debido; c) Que la persona haya efectuado un acto de usurpación; d) Que la persona haya usurpado una función pública; e) Que la persona haya usurpado una facultad de dar órdenes militares o policiales.</w:t>
      </w:r>
    </w:p>
    <w:p w14:paraId="52190350" w14:textId="77777777" w:rsidR="009E6E2E" w:rsidRPr="000D3432" w:rsidRDefault="009E6E2E" w:rsidP="009E6E2E">
      <w:pPr>
        <w:ind w:left="708"/>
        <w:rPr>
          <w:rFonts w:asciiTheme="minorHAnsi" w:hAnsiTheme="minorHAnsi"/>
          <w:szCs w:val="24"/>
          <w:lang w:val="es-ES_tradnl"/>
        </w:rPr>
      </w:pPr>
    </w:p>
    <w:p w14:paraId="24A0EDD4"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3.- Presupuestos atendiendo a la condición jurídica de la persona</w:t>
      </w:r>
    </w:p>
    <w:p w14:paraId="4CD0A8B8" w14:textId="77777777" w:rsidR="009E6E2E" w:rsidRPr="000D3432" w:rsidRDefault="009E6E2E" w:rsidP="009E6E2E">
      <w:pPr>
        <w:rPr>
          <w:rFonts w:asciiTheme="minorHAnsi" w:hAnsiTheme="minorHAnsi"/>
          <w:szCs w:val="24"/>
          <w:lang w:val="es-ES_tradnl"/>
        </w:rPr>
      </w:pPr>
    </w:p>
    <w:p w14:paraId="7BE5785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Para la defensa en este tipo delictivo se tiene que observar qué «condición jurídica» tiene la persona imputada, acusada como autor, autor mediato, coautor, cómplice, etc., y si dicha persona reúne los siguientes elementos: a) No tiene título justo o legítimo; b) No tiene nombramiento debido; c) Tiene la condición de cesado; e) Ha sido suspendido o subrogado de su cargo. Esto en consideración que un primer elemento a resolver, para los defensores o abogados, es eliminar la certidumbre de aquello que configura al tipo personal del delito (usurpador de función pública), puesto que si no tiene cargo de funcionario público vigente es un elemento que se puede usar.</w:t>
      </w:r>
    </w:p>
    <w:p w14:paraId="2D4708E9" w14:textId="77777777" w:rsidR="009E6E2E" w:rsidRPr="000D3432" w:rsidRDefault="009E6E2E" w:rsidP="009E6E2E">
      <w:pPr>
        <w:ind w:left="708"/>
        <w:rPr>
          <w:rFonts w:asciiTheme="minorHAnsi" w:hAnsiTheme="minorHAnsi"/>
          <w:b/>
          <w:szCs w:val="24"/>
          <w:lang w:val="es-ES_tradnl"/>
        </w:rPr>
      </w:pPr>
    </w:p>
    <w:p w14:paraId="192DA1FF"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4.- Presupuestos atendiendo a la conducta jurídica de la persona</w:t>
      </w:r>
    </w:p>
    <w:p w14:paraId="06AC74D4" w14:textId="77777777" w:rsidR="009E6E2E" w:rsidRPr="000D3432" w:rsidRDefault="009E6E2E" w:rsidP="009E6E2E">
      <w:pPr>
        <w:rPr>
          <w:rFonts w:asciiTheme="minorHAnsi" w:hAnsiTheme="minorHAnsi"/>
          <w:szCs w:val="24"/>
          <w:lang w:val="es-ES_tradnl"/>
        </w:rPr>
      </w:pPr>
    </w:p>
    <w:p w14:paraId="210A9D8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Para la defensa en este tipo de delitos se puede acudir a observar cual ha sido la actividad o conducta jurídica de la persona imputada; es decir, «qué conducta jurídica» se está considerando como </w:t>
      </w:r>
      <w:r w:rsidRPr="000D3432">
        <w:rPr>
          <w:rFonts w:asciiTheme="minorHAnsi" w:hAnsiTheme="minorHAnsi"/>
          <w:i/>
          <w:szCs w:val="24"/>
          <w:lang w:val="es-ES_tradnl"/>
        </w:rPr>
        <w:t>ilícita</w:t>
      </w:r>
      <w:r w:rsidRPr="000D3432">
        <w:rPr>
          <w:rFonts w:asciiTheme="minorHAnsi" w:hAnsiTheme="minorHAnsi"/>
          <w:szCs w:val="24"/>
          <w:lang w:val="es-ES_tradnl"/>
        </w:rPr>
        <w:t xml:space="preserve">, como </w:t>
      </w:r>
      <w:r w:rsidRPr="000D3432">
        <w:rPr>
          <w:rFonts w:asciiTheme="minorHAnsi" w:hAnsiTheme="minorHAnsi"/>
          <w:i/>
          <w:szCs w:val="24"/>
          <w:lang w:val="es-ES_tradnl"/>
        </w:rPr>
        <w:t>delictiva</w:t>
      </w:r>
      <w:r w:rsidRPr="000D3432">
        <w:rPr>
          <w:rFonts w:asciiTheme="minorHAnsi" w:hAnsiTheme="minorHAnsi"/>
          <w:szCs w:val="24"/>
          <w:lang w:val="es-ES_tradnl"/>
        </w:rPr>
        <w:t>.</w:t>
      </w:r>
    </w:p>
    <w:p w14:paraId="2F4A9DA3" w14:textId="77777777" w:rsidR="009E6E2E" w:rsidRPr="000D3432" w:rsidRDefault="009E6E2E" w:rsidP="009E6E2E">
      <w:pPr>
        <w:rPr>
          <w:rFonts w:asciiTheme="minorHAnsi" w:hAnsiTheme="minorHAnsi"/>
          <w:szCs w:val="24"/>
          <w:lang w:val="es-ES_tradnl"/>
        </w:rPr>
      </w:pPr>
    </w:p>
    <w:p w14:paraId="5C8E3C4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 xml:space="preserve">Actividad o conducta jurídica de la persona: </w:t>
      </w:r>
      <w:r w:rsidRPr="000D3432">
        <w:rPr>
          <w:rFonts w:asciiTheme="minorHAnsi" w:hAnsiTheme="minorHAnsi"/>
          <w:szCs w:val="24"/>
          <w:lang w:val="es-ES_tradnl"/>
        </w:rPr>
        <w:t>a) Usurpación de funciones; b) Dar ordenes militares o policiales; c) Ejercer cargo que no ostenta; e) Ejercer cargo cuando ha sido cesado; e) Ejercer cargo cuando ha sido suspendido o subrogado del mismo; f) Ejercer funciones diferentes a las de su cargo.</w:t>
      </w:r>
    </w:p>
    <w:p w14:paraId="57AB1CE6" w14:textId="77777777" w:rsidR="009E6E2E" w:rsidRPr="000D3432" w:rsidRDefault="009E6E2E" w:rsidP="009E6E2E">
      <w:pPr>
        <w:rPr>
          <w:rFonts w:asciiTheme="minorHAnsi" w:hAnsiTheme="minorHAnsi"/>
          <w:szCs w:val="24"/>
          <w:lang w:val="es-ES_tradnl"/>
        </w:rPr>
      </w:pPr>
    </w:p>
    <w:p w14:paraId="5A808AB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5.- Presupuestos atendiendo al agraviado</w:t>
      </w:r>
    </w:p>
    <w:p w14:paraId="10570659"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La defensa puede preparar el caso también atiendo a otros presupuestos, como el del agraviado.</w:t>
      </w:r>
    </w:p>
    <w:p w14:paraId="759B32B6" w14:textId="77777777" w:rsidR="009E6E2E" w:rsidRPr="000D3432" w:rsidRDefault="009E6E2E" w:rsidP="009E6E2E">
      <w:pPr>
        <w:rPr>
          <w:rFonts w:asciiTheme="minorHAnsi" w:hAnsiTheme="minorHAnsi"/>
          <w:szCs w:val="24"/>
          <w:lang w:val="es-ES_tradnl"/>
        </w:rPr>
      </w:pPr>
    </w:p>
    <w:p w14:paraId="5DF55AAA"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6.- Presupuestos atendiendo a la Forma</w:t>
      </w:r>
    </w:p>
    <w:p w14:paraId="28A410FD"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Otro presupuesto que puede utilizar la defensa es la de atender a la forma; es decir, buscar en las formas procesales plantear el caso; en esta etapa se puede observar respecto al debido proceso, a las notificaciones, al derecho a la defensa, etc. </w:t>
      </w:r>
    </w:p>
    <w:p w14:paraId="392C7C99" w14:textId="77777777" w:rsidR="009E6E2E" w:rsidRPr="000D3432" w:rsidRDefault="009E6E2E" w:rsidP="009E6E2E">
      <w:pPr>
        <w:rPr>
          <w:rFonts w:asciiTheme="minorHAnsi" w:hAnsiTheme="minorHAnsi"/>
          <w:szCs w:val="24"/>
          <w:lang w:val="es-ES_tradnl"/>
        </w:rPr>
      </w:pPr>
    </w:p>
    <w:p w14:paraId="7AB4C661"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7.- Presupuestos atendiendo al Fondo</w:t>
      </w:r>
    </w:p>
    <w:p w14:paraId="042B7E6A"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La defensa puede enfocarse en el fondo de la causa. </w:t>
      </w:r>
    </w:p>
    <w:p w14:paraId="139D4FB3" w14:textId="77777777" w:rsidR="009E6E2E" w:rsidRPr="000D3432" w:rsidRDefault="009E6E2E" w:rsidP="009E6E2E">
      <w:pPr>
        <w:rPr>
          <w:rFonts w:asciiTheme="minorHAnsi" w:hAnsiTheme="minorHAnsi"/>
          <w:szCs w:val="24"/>
          <w:lang w:val="es-ES_tradnl"/>
        </w:rPr>
      </w:pPr>
    </w:p>
    <w:p w14:paraId="1507396E"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VII.- Jurisprudencia</w:t>
      </w:r>
    </w:p>
    <w:p w14:paraId="5132FBAA" w14:textId="77777777" w:rsidR="009E6E2E" w:rsidRPr="000D3432" w:rsidRDefault="009E6E2E" w:rsidP="009E6E2E">
      <w:pPr>
        <w:rPr>
          <w:rFonts w:asciiTheme="minorHAnsi" w:hAnsiTheme="minorHAnsi"/>
          <w:b/>
          <w:szCs w:val="24"/>
          <w:lang w:val="es-ES_tradnl"/>
        </w:rPr>
      </w:pPr>
    </w:p>
    <w:p w14:paraId="2BED8645" w14:textId="77777777" w:rsidR="009E6E2E" w:rsidRPr="000D3432" w:rsidRDefault="009E6E2E" w:rsidP="009E6E2E">
      <w:pPr>
        <w:jc w:val="both"/>
        <w:rPr>
          <w:rFonts w:asciiTheme="minorHAnsi" w:hAnsiTheme="minorHAnsi"/>
          <w:color w:val="000000"/>
          <w:szCs w:val="24"/>
        </w:rPr>
      </w:pPr>
      <w:r w:rsidRPr="000D3432">
        <w:rPr>
          <w:rFonts w:asciiTheme="minorHAnsi" w:hAnsiTheme="minorHAnsi"/>
          <w:szCs w:val="24"/>
          <w:lang w:val="es-ES_tradnl"/>
        </w:rPr>
        <w:t xml:space="preserve">En la Sentencia del Tribunal Constitucional, Exp. Nº </w:t>
      </w:r>
      <w:r w:rsidRPr="000D3432">
        <w:rPr>
          <w:rFonts w:asciiTheme="minorHAnsi" w:hAnsiTheme="minorHAnsi"/>
          <w:b/>
          <w:bCs/>
          <w:color w:val="000000"/>
          <w:szCs w:val="24"/>
          <w:lang w:val="en-US"/>
        </w:rPr>
        <w:t xml:space="preserve">EXP. N.º 2758-2004-HC/TC – </w:t>
      </w:r>
      <w:r w:rsidRPr="000D3432">
        <w:rPr>
          <w:rFonts w:asciiTheme="minorHAnsi" w:hAnsiTheme="minorHAnsi"/>
          <w:b/>
          <w:bCs/>
          <w:color w:val="000000"/>
          <w:szCs w:val="24"/>
        </w:rPr>
        <w:t xml:space="preserve">LIMA, </w:t>
      </w:r>
      <w:r w:rsidRPr="000D3432">
        <w:rPr>
          <w:rFonts w:asciiTheme="minorHAnsi" w:hAnsiTheme="minorHAnsi"/>
          <w:szCs w:val="24"/>
          <w:lang w:val="es-ES_tradnl"/>
        </w:rPr>
        <w:t xml:space="preserve">numeral 9 de los Fundamentos, se enuncia: “(...) </w:t>
      </w:r>
      <w:r w:rsidRPr="000D3432">
        <w:rPr>
          <w:rFonts w:asciiTheme="minorHAnsi" w:hAnsiTheme="minorHAnsi"/>
          <w:color w:val="000000"/>
          <w:szCs w:val="24"/>
        </w:rPr>
        <w:t>habiendo sido incluso sancionado penalmente por ejercer dichas funciones sin haber sido designado para ello (delito de usurpación de funciones). (...)”</w:t>
      </w:r>
    </w:p>
    <w:p w14:paraId="5244D2EB" w14:textId="77777777" w:rsidR="009E6E2E" w:rsidRPr="000D3432" w:rsidRDefault="009E6E2E" w:rsidP="009E6E2E">
      <w:pPr>
        <w:rPr>
          <w:rFonts w:asciiTheme="minorHAnsi" w:hAnsiTheme="minorHAnsi"/>
          <w:b/>
          <w:szCs w:val="24"/>
          <w:lang w:val="es-ES_tradnl"/>
        </w:rPr>
      </w:pPr>
    </w:p>
    <w:p w14:paraId="355C50A5" w14:textId="77777777" w:rsidR="009E6E2E" w:rsidRPr="000D3432" w:rsidRDefault="009E6E2E" w:rsidP="009E6E2E">
      <w:pPr>
        <w:jc w:val="both"/>
        <w:rPr>
          <w:rFonts w:asciiTheme="minorHAnsi" w:hAnsiTheme="minorHAnsi"/>
          <w:color w:val="000000"/>
          <w:szCs w:val="24"/>
        </w:rPr>
      </w:pPr>
      <w:r w:rsidRPr="000D3432">
        <w:rPr>
          <w:rFonts w:asciiTheme="minorHAnsi" w:hAnsiTheme="minorHAnsi"/>
          <w:szCs w:val="24"/>
          <w:lang w:val="es-ES_tradnl"/>
        </w:rPr>
        <w:t xml:space="preserve">En  el voto singular de la magistrada Revoredo Marsano, el Tribunal Constitucional en la Sentencia recaída en el, Exp. Nº </w:t>
      </w:r>
      <w:r w:rsidRPr="000D3432">
        <w:rPr>
          <w:rFonts w:asciiTheme="minorHAnsi" w:hAnsiTheme="minorHAnsi"/>
          <w:b/>
          <w:bCs/>
          <w:color w:val="000000"/>
          <w:szCs w:val="24"/>
          <w:lang w:val="en-US"/>
        </w:rPr>
        <w:t xml:space="preserve">EXP. N.º 2758-2004-HC/TC – </w:t>
      </w:r>
      <w:r w:rsidRPr="000D3432">
        <w:rPr>
          <w:rFonts w:asciiTheme="minorHAnsi" w:hAnsiTheme="minorHAnsi"/>
          <w:b/>
          <w:bCs/>
          <w:color w:val="000000"/>
          <w:szCs w:val="24"/>
        </w:rPr>
        <w:t>LIMA, numeral 2: “</w:t>
      </w:r>
      <w:r w:rsidRPr="000D3432">
        <w:rPr>
          <w:rFonts w:asciiTheme="minorHAnsi" w:hAnsiTheme="minorHAnsi"/>
          <w:color w:val="000000"/>
          <w:szCs w:val="24"/>
          <w:lang w:val="es-MX"/>
        </w:rPr>
        <w:t>2.      Opino –en discrepancia con mis colegas- que la usurpación de funciones públicas no convierte al usurpador en funcionario público y que el Artículo 387 del Código Penal exige textualmente que el funcionario administre bienes públicos “por razón de su cargo”. Interpretar lo contrario es apartarse del texto claro, expreso y literal de la ley penal y rozar analogías prohibidas por la Constitución.”</w:t>
      </w:r>
    </w:p>
    <w:p w14:paraId="318EAA86" w14:textId="77777777" w:rsidR="009E6E2E" w:rsidRPr="000D3432" w:rsidRDefault="009E6E2E" w:rsidP="009E6E2E">
      <w:pPr>
        <w:rPr>
          <w:rFonts w:asciiTheme="minorHAnsi" w:hAnsiTheme="minorHAnsi"/>
          <w:b/>
          <w:szCs w:val="24"/>
          <w:lang w:val="es-ES_tradnl"/>
        </w:rPr>
      </w:pPr>
    </w:p>
    <w:p w14:paraId="4930B5B0" w14:textId="77777777" w:rsidR="009E6E2E" w:rsidRPr="000D3432" w:rsidRDefault="009E6E2E" w:rsidP="009E6E2E">
      <w:pPr>
        <w:rPr>
          <w:rFonts w:asciiTheme="minorHAnsi" w:hAnsiTheme="minorHAnsi"/>
          <w:b/>
          <w:szCs w:val="24"/>
          <w:lang w:val="es-ES_tradnl"/>
        </w:rPr>
      </w:pPr>
    </w:p>
    <w:p w14:paraId="6CB70710"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NOTAS VARIAS: </w:t>
      </w:r>
    </w:p>
    <w:p w14:paraId="4496E0C1" w14:textId="77777777" w:rsidR="009E6E2E" w:rsidRPr="000D3432" w:rsidRDefault="009E6E2E" w:rsidP="009E6E2E">
      <w:pPr>
        <w:rPr>
          <w:rFonts w:asciiTheme="minorHAnsi" w:hAnsiTheme="minorHAnsi"/>
          <w:b/>
          <w:szCs w:val="24"/>
          <w:lang w:val="es-ES_tradnl"/>
        </w:rPr>
      </w:pPr>
    </w:p>
    <w:p w14:paraId="6B393456"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CONSEJO NACIONAL DE LA MAGISTRATURA VS. TRIBUNAL CONSTITUCIONAL</w:t>
      </w:r>
    </w:p>
    <w:p w14:paraId="0C99BA7C" w14:textId="77777777" w:rsidR="009E6E2E" w:rsidRPr="000D3432" w:rsidRDefault="009E6E2E" w:rsidP="009E6E2E">
      <w:pPr>
        <w:jc w:val="both"/>
        <w:rPr>
          <w:rFonts w:asciiTheme="minorHAnsi" w:hAnsiTheme="minorHAnsi"/>
          <w:szCs w:val="24"/>
          <w:lang w:val="es-ES_tradnl"/>
        </w:rPr>
      </w:pPr>
    </w:p>
    <w:p w14:paraId="0093E89D"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szCs w:val="24"/>
          <w:lang w:val="es-ES_tradnl"/>
        </w:rPr>
        <w:t xml:space="preserve">De acuerdo la pag. Web: </w:t>
      </w:r>
      <w:hyperlink r:id="rId11" w:history="1">
        <w:r w:rsidRPr="000D3432">
          <w:rPr>
            <w:rStyle w:val="Hipervnculo"/>
            <w:rFonts w:asciiTheme="minorHAnsi" w:hAnsiTheme="minorHAnsi"/>
            <w:b/>
            <w:color w:val="auto"/>
            <w:szCs w:val="24"/>
            <w:lang w:val="es-ES_tradnl"/>
          </w:rPr>
          <w:t>http://rpp.pe/politica/actualidad/cnm-denunciara-al-tribunal-constitucional-ante-el-congreso-y-la-fiscalia-noticia-688715</w:t>
        </w:r>
      </w:hyperlink>
      <w:r w:rsidRPr="000D3432">
        <w:rPr>
          <w:rFonts w:asciiTheme="minorHAnsi" w:hAnsiTheme="minorHAnsi"/>
          <w:b/>
          <w:szCs w:val="24"/>
          <w:lang w:val="es-ES_tradnl"/>
        </w:rPr>
        <w:t xml:space="preserve">: </w:t>
      </w:r>
    </w:p>
    <w:p w14:paraId="454F800A" w14:textId="77777777" w:rsidR="009E6E2E" w:rsidRPr="000D3432" w:rsidRDefault="009E6E2E" w:rsidP="009E6E2E">
      <w:pPr>
        <w:rPr>
          <w:rFonts w:asciiTheme="minorHAnsi" w:hAnsiTheme="minorHAnsi"/>
          <w:szCs w:val="24"/>
          <w:lang w:val="es-ES_tradnl"/>
        </w:rPr>
      </w:pPr>
    </w:p>
    <w:p w14:paraId="15EFD189" w14:textId="77777777" w:rsidR="009E6E2E" w:rsidRPr="000D3432" w:rsidRDefault="009E6E2E" w:rsidP="009E6E2E">
      <w:pPr>
        <w:jc w:val="both"/>
        <w:rPr>
          <w:rFonts w:asciiTheme="minorHAnsi" w:hAnsiTheme="minorHAnsi" w:cs="Arial"/>
          <w:color w:val="777777"/>
          <w:szCs w:val="24"/>
        </w:rPr>
      </w:pPr>
      <w:r w:rsidRPr="000D3432">
        <w:rPr>
          <w:rFonts w:asciiTheme="minorHAnsi" w:hAnsiTheme="minorHAnsi"/>
          <w:szCs w:val="24"/>
          <w:lang w:val="es-ES_tradnl"/>
        </w:rPr>
        <w:t xml:space="preserve">En fecha 01 de mayo  del 2014, se publicó una nota en Radio Programas del Perú, y en la cual el titular era:  </w:t>
      </w:r>
      <w:r w:rsidRPr="000D3432">
        <w:rPr>
          <w:rFonts w:asciiTheme="minorHAnsi" w:hAnsiTheme="minorHAnsi" w:cs="Arial"/>
          <w:color w:val="666666"/>
          <w:szCs w:val="24"/>
        </w:rPr>
        <w:t xml:space="preserve">“01/05/14 12:20. </w:t>
      </w:r>
      <w:r w:rsidRPr="000D3432">
        <w:rPr>
          <w:rFonts w:asciiTheme="minorHAnsi" w:hAnsiTheme="minorHAnsi"/>
          <w:b/>
          <w:bCs/>
          <w:color w:val="053A55"/>
          <w:szCs w:val="24"/>
        </w:rPr>
        <w:t xml:space="preserve">CNM denunciará al Tribunal Constitucional ante el Congreso y la Fiscalía.- </w:t>
      </w:r>
      <w:r w:rsidRPr="000D3432">
        <w:rPr>
          <w:rFonts w:asciiTheme="minorHAnsi" w:hAnsiTheme="minorHAnsi" w:cs="Arial"/>
          <w:color w:val="777777"/>
          <w:szCs w:val="24"/>
        </w:rPr>
        <w:t>Pablo Talavera, presidente del Consejo Nacional de la Magistratura (CNM), dijo que el Tribunal Constitucional (TC) está usurpando funciones al ordenar el nombramiento de Mateo Castañeda como fiscal supremo.”</w:t>
      </w:r>
    </w:p>
    <w:p w14:paraId="2C4621CE" w14:textId="77777777" w:rsidR="009E6E2E" w:rsidRPr="000D3432" w:rsidRDefault="009E6E2E" w:rsidP="009E6E2E">
      <w:pPr>
        <w:rPr>
          <w:rFonts w:asciiTheme="minorHAnsi" w:hAnsiTheme="minorHAnsi"/>
          <w:szCs w:val="24"/>
          <w:lang w:val="es-ES_tradnl"/>
        </w:rPr>
      </w:pPr>
    </w:p>
    <w:p w14:paraId="198B95AF" w14:textId="77777777" w:rsidR="009E6E2E" w:rsidRPr="000D3432" w:rsidRDefault="009E6E2E" w:rsidP="009E6E2E">
      <w:pPr>
        <w:rPr>
          <w:rFonts w:asciiTheme="minorHAnsi" w:hAnsiTheme="minorHAnsi"/>
          <w:szCs w:val="24"/>
          <w:lang w:val="es-ES_tradnl"/>
        </w:rPr>
      </w:pPr>
    </w:p>
    <w:p w14:paraId="1AFA16BF"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SECCIÒN II</w:t>
      </w:r>
    </w:p>
    <w:p w14:paraId="07474B6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OSTENTACIÓN DE DISTINTIVOS DE FUNCIÓN O CARGOS QUE NO EJERCE</w:t>
      </w:r>
    </w:p>
    <w:p w14:paraId="55242966" w14:textId="77777777" w:rsidR="009E6E2E" w:rsidRPr="000D3432" w:rsidRDefault="009E6E2E" w:rsidP="009E6E2E">
      <w:pPr>
        <w:ind w:left="2124"/>
        <w:rPr>
          <w:rFonts w:asciiTheme="minorHAnsi" w:hAnsiTheme="minorHAnsi"/>
          <w:b/>
          <w:szCs w:val="24"/>
          <w:lang w:val="es-ES_tradnl"/>
        </w:rPr>
      </w:pPr>
    </w:p>
    <w:p w14:paraId="6755015F" w14:textId="77777777" w:rsidR="009E6E2E" w:rsidRPr="000D3432" w:rsidRDefault="009E6E2E" w:rsidP="009E6E2E">
      <w:pPr>
        <w:jc w:val="both"/>
        <w:rPr>
          <w:rFonts w:asciiTheme="minorHAnsi" w:hAnsiTheme="minorHAnsi" w:cs="Arial"/>
          <w:szCs w:val="24"/>
          <w:lang w:val="es-ES_tradnl"/>
        </w:rPr>
      </w:pPr>
    </w:p>
    <w:p w14:paraId="4322991D" w14:textId="77777777" w:rsidR="009E6E2E" w:rsidRPr="000D3432" w:rsidRDefault="009E6E2E" w:rsidP="009E6E2E">
      <w:pPr>
        <w:jc w:val="both"/>
        <w:rPr>
          <w:rFonts w:asciiTheme="minorHAnsi" w:hAnsiTheme="minorHAnsi" w:cs="Arial"/>
          <w:b/>
          <w:szCs w:val="24"/>
          <w:lang w:val="es-ES_tradnl"/>
        </w:rPr>
      </w:pPr>
      <w:r w:rsidRPr="000D3432">
        <w:rPr>
          <w:rFonts w:asciiTheme="minorHAnsi" w:hAnsiTheme="minorHAnsi" w:cs="Arial"/>
          <w:b/>
          <w:szCs w:val="24"/>
          <w:lang w:val="es-ES_tradnl"/>
        </w:rPr>
        <w:t>1.- Concepto Doctrinario</w:t>
      </w:r>
    </w:p>
    <w:p w14:paraId="2158D430"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Este tipo delictivos no son proporcionales entre el hecho delictivo y la pena, pues no es igual ostentar una insignia de bombero, que una de policía, juez, etc., asi como tampoco es congruente ostentar honores con insignias, o arrogarse grado académico o título. </w:t>
      </w:r>
    </w:p>
    <w:p w14:paraId="67D1096E" w14:textId="77777777" w:rsidR="009E6E2E" w:rsidRPr="000D3432" w:rsidRDefault="009E6E2E" w:rsidP="009E6E2E">
      <w:pPr>
        <w:jc w:val="both"/>
        <w:rPr>
          <w:rFonts w:asciiTheme="minorHAnsi" w:hAnsiTheme="minorHAnsi" w:cs="Arial"/>
          <w:szCs w:val="24"/>
          <w:lang w:val="es-ES_tradnl"/>
        </w:rPr>
      </w:pPr>
    </w:p>
    <w:p w14:paraId="5963B28D"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Todos esos deben especificarse en proporción al daño causado. Si bien desde el hecho de "engaño publico", eeste se perfecciona en la utilización de dicho engaño, que a su vez permite concebir el nivel o gravedad del daño. </w:t>
      </w:r>
    </w:p>
    <w:p w14:paraId="60C5B326" w14:textId="77777777" w:rsidR="009E6E2E" w:rsidRPr="000D3432" w:rsidRDefault="009E6E2E" w:rsidP="009E6E2E">
      <w:pPr>
        <w:jc w:val="both"/>
        <w:rPr>
          <w:rFonts w:asciiTheme="minorHAnsi" w:hAnsiTheme="minorHAnsi" w:cs="Arial"/>
          <w:szCs w:val="24"/>
          <w:lang w:val="es-ES_tradnl"/>
        </w:rPr>
      </w:pPr>
    </w:p>
    <w:p w14:paraId="1B76902C"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Las insignias o distintivos públicos son instrumentos de identificación que permiten distinguir claramente la condición pública de quien las ostenta. Así tenemos las siguientes insignias: </w:t>
      </w:r>
    </w:p>
    <w:p w14:paraId="2E85B9E2"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Insignias de los Jueces</w:t>
      </w:r>
    </w:p>
    <w:p w14:paraId="5B38DB08"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Insignias de los Fiscales</w:t>
      </w:r>
    </w:p>
    <w:p w14:paraId="2F37AA22"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Insignias de los Abogados</w:t>
      </w:r>
    </w:p>
    <w:p w14:paraId="0586A73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Insignias de las Autoridades</w:t>
      </w:r>
    </w:p>
    <w:p w14:paraId="19CA43D9" w14:textId="77777777" w:rsidR="009E6E2E" w:rsidRPr="000D3432" w:rsidRDefault="009E6E2E" w:rsidP="009E6E2E">
      <w:pPr>
        <w:jc w:val="both"/>
        <w:rPr>
          <w:rFonts w:asciiTheme="minorHAnsi" w:hAnsiTheme="minorHAnsi" w:cs="Arial"/>
          <w:szCs w:val="24"/>
          <w:lang w:val="es-ES_tradnl"/>
        </w:rPr>
      </w:pPr>
    </w:p>
    <w:p w14:paraId="7F99A542"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Las insignias de los jueces</w:t>
      </w:r>
    </w:p>
    <w:p w14:paraId="4465D57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Los jueces tienen una insignia y cinta que los identifica como autoridades judiciales. Su uso esta regulada en el TUO de la ley Orgánica del Poder Judicial y en una directiva específica. </w:t>
      </w:r>
    </w:p>
    <w:p w14:paraId="11BB96F2" w14:textId="77777777" w:rsidR="009E6E2E" w:rsidRPr="000D3432" w:rsidRDefault="009E6E2E" w:rsidP="009E6E2E">
      <w:pPr>
        <w:jc w:val="both"/>
        <w:rPr>
          <w:rFonts w:asciiTheme="minorHAnsi" w:hAnsiTheme="minorHAnsi" w:cs="Arial"/>
          <w:szCs w:val="24"/>
          <w:lang w:val="es-ES_tradnl"/>
        </w:rPr>
      </w:pPr>
    </w:p>
    <w:p w14:paraId="649A6B6C"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Dicha insignia es utilizada en todos los procesos judiciales tanto en audiencias como en el ejecicio de su función como magistrado, actividades protocolares, entre otros. Por dicha insignia el magistrado es reconocido rápidamente y se le conceden u ofrecen los honores o merecimientos de acuerdo al protocolo de ley. En los despachos judiciales, la insignia consigna el principio de publicidad y transparencia, mediante el cual identificados por dichos instrumentos se puede observar el principio de publicidad, dirección y decisión. Representa también la relación o subordinación al orden público. </w:t>
      </w:r>
    </w:p>
    <w:p w14:paraId="13180034" w14:textId="77777777" w:rsidR="009E6E2E" w:rsidRPr="000D3432" w:rsidRDefault="009E6E2E" w:rsidP="009E6E2E">
      <w:pPr>
        <w:jc w:val="both"/>
        <w:rPr>
          <w:rFonts w:asciiTheme="minorHAnsi" w:hAnsiTheme="minorHAnsi" w:cs="Arial"/>
          <w:szCs w:val="24"/>
          <w:lang w:val="es-ES_tradnl"/>
        </w:rPr>
      </w:pPr>
    </w:p>
    <w:p w14:paraId="1ACC88EF" w14:textId="77777777" w:rsidR="009E6E2E" w:rsidRPr="000D3432" w:rsidRDefault="009E6E2E" w:rsidP="009E6E2E">
      <w:pPr>
        <w:jc w:val="both"/>
        <w:rPr>
          <w:rFonts w:asciiTheme="minorHAnsi" w:hAnsiTheme="minorHAnsi" w:cs="Arial"/>
          <w:szCs w:val="24"/>
          <w:lang w:val="es-ES_tradnl"/>
        </w:rPr>
      </w:pPr>
    </w:p>
    <w:p w14:paraId="33ADFB96" w14:textId="77777777" w:rsidR="009E6E2E" w:rsidRPr="000D3432" w:rsidRDefault="009E6E2E" w:rsidP="009E6E2E">
      <w:pPr>
        <w:jc w:val="both"/>
        <w:rPr>
          <w:rFonts w:asciiTheme="minorHAnsi" w:hAnsiTheme="minorHAnsi" w:cs="Arial"/>
          <w:szCs w:val="24"/>
          <w:lang w:val="es-ES_tradnl"/>
        </w:rPr>
      </w:pPr>
    </w:p>
    <w:p w14:paraId="34997D43"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Las insignias tienen algunos mecanismos de seguridad, como por ejemplo, el lugar donde se confeccionan, los tipos de emblemas o sellos, etc. Asimismo los distintivos tambien tienen sus mecanismo de seguridad, como los sellos, firmas de las autoridades que las autorizan, etc.</w:t>
      </w:r>
    </w:p>
    <w:p w14:paraId="7F675006" w14:textId="77777777" w:rsidR="009E6E2E" w:rsidRPr="000D3432" w:rsidRDefault="009E6E2E" w:rsidP="009E6E2E">
      <w:pPr>
        <w:jc w:val="both"/>
        <w:rPr>
          <w:rFonts w:asciiTheme="minorHAnsi" w:hAnsiTheme="minorHAnsi" w:cs="Arial"/>
          <w:szCs w:val="24"/>
          <w:lang w:val="es-ES_tradnl"/>
        </w:rPr>
      </w:pPr>
    </w:p>
    <w:p w14:paraId="3975EA78"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El uso de estas insignias o distintivos es exclusivo y excluyente, por lo que no pueden ser usadas por otra persona que no sea el titular del mismo. Sin embargo, cabe revelar que siendo las insignias de un mismo tipo, sólo diferenciadas por el nivel jerárquico de quien las utiliza, o la cinta que las enlista, se da que algunas veces, por ejemplo, los magistrados en las audiencias se prestan insignias de sus colegas, ante el olvido de aquellas; puesto que si no utilizan dichas insignias la audiencia podría impugnarse y considerarse nulo?</w:t>
      </w:r>
    </w:p>
    <w:p w14:paraId="7BB0D3D5" w14:textId="77777777" w:rsidR="009E6E2E" w:rsidRPr="000D3432" w:rsidRDefault="009E6E2E" w:rsidP="009E6E2E">
      <w:pPr>
        <w:jc w:val="both"/>
        <w:rPr>
          <w:rFonts w:asciiTheme="minorHAnsi" w:hAnsiTheme="minorHAnsi" w:cs="Arial"/>
          <w:szCs w:val="24"/>
          <w:lang w:val="es-ES_tradnl"/>
        </w:rPr>
      </w:pPr>
    </w:p>
    <w:p w14:paraId="49BB9534"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Las insignias y distintivos deben entregarse una vez concluído el perioido de su designación como autoridad. De igual forma sucede con los distintivos, que pueden ser fotocheck, carnet, papeletas, etc., de presentación. Pues de lo contrario se podría correr el riesgo de mal utilización de dichos objetos</w:t>
      </w:r>
    </w:p>
    <w:p w14:paraId="3C57CB6D" w14:textId="77777777" w:rsidR="009E6E2E" w:rsidRPr="000D3432" w:rsidRDefault="009E6E2E" w:rsidP="009E6E2E">
      <w:pPr>
        <w:jc w:val="both"/>
        <w:rPr>
          <w:rFonts w:asciiTheme="minorHAnsi" w:hAnsiTheme="minorHAnsi" w:cs="Arial"/>
          <w:szCs w:val="24"/>
          <w:lang w:val="es-ES_tradnl"/>
        </w:rPr>
      </w:pPr>
    </w:p>
    <w:p w14:paraId="0F23DEC8"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Ahora bien, dichas insignias y distintivos permiten el uso de ciertas facultades, atribuciones y derechos. Es decir, quien utilice dichos distintivos están acreditando su titularidad y por lo cual reciben trato, licencia, atención. Así es que si alguien que no es titular de dichas insignias o distintivos utiliza de ellas para usufructuar de las facultades, beneficios o parabienes de aquellos estará cometiendo delito, porque estará agraviando y vulnerando diversos principios, como la buena fe, la seguridad jurídica, la propiedad o titularidad de cargo, etc. Y por otro lado, pone en riesgo la seguridad de la organización estatal y de sus insignias y disntintivos representativos. El caso más saltante de este tipo de usurpación en nuestro país se produjo cuando el -en ese entonces presidente Alberto Fujimori, inició una supuesta búsqueda de Vladimiro Montesinos Torres, aompañado de un falso fiscal, que por tal estaría usurpando cargo, funciones e insignia?</w:t>
      </w:r>
    </w:p>
    <w:p w14:paraId="6E264B63" w14:textId="77777777" w:rsidR="009E6E2E" w:rsidRPr="000D3432" w:rsidRDefault="009E6E2E" w:rsidP="009E6E2E">
      <w:pPr>
        <w:jc w:val="both"/>
        <w:rPr>
          <w:rFonts w:asciiTheme="minorHAnsi" w:hAnsiTheme="minorHAnsi" w:cs="Arial"/>
          <w:szCs w:val="24"/>
          <w:lang w:val="es-ES_tradnl"/>
        </w:rPr>
      </w:pPr>
    </w:p>
    <w:p w14:paraId="4E26FFA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szCs w:val="24"/>
          <w:lang w:val="es-ES_tradnl"/>
        </w:rPr>
        <w:t xml:space="preserve">Por otro lado esta, se encuentra el delito de quien se "arroga grado </w:t>
      </w:r>
      <w:r w:rsidRPr="000D3432">
        <w:rPr>
          <w:rFonts w:asciiTheme="minorHAnsi" w:hAnsiTheme="minorHAnsi" w:cs="Arial"/>
          <w:color w:val="000000"/>
          <w:szCs w:val="24"/>
          <w:lang w:val="es-ES_tradnl" w:eastAsia="es-PE"/>
        </w:rPr>
        <w:t>académico, título profesional u honores que no le corresponden".</w:t>
      </w:r>
    </w:p>
    <w:p w14:paraId="492AE969" w14:textId="77777777" w:rsidR="009E6E2E" w:rsidRPr="000D3432" w:rsidRDefault="009E6E2E" w:rsidP="009E6E2E">
      <w:pPr>
        <w:jc w:val="both"/>
        <w:rPr>
          <w:rFonts w:asciiTheme="minorHAnsi" w:hAnsiTheme="minorHAnsi" w:cs="Arial"/>
          <w:szCs w:val="24"/>
          <w:lang w:val="es-ES_tradnl"/>
        </w:rPr>
      </w:pPr>
    </w:p>
    <w:p w14:paraId="0E493405"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Este tipo delictivo se ha visto y pasado desapercibido especialmente en la profesión de derecho, puesto que los abogados en sus tarjetas e incluso sellos para firma o postfirma, imprimían antes de su nobre la sigla "Dr.", como sinónimo de abogado, esto por tradición popular o profesional del cual no se tiene fecha precisa. Esto ha ido cambiando con la precisión y distinción de Abogado y Doctor, que son dos niveles profesionales distintos. </w:t>
      </w:r>
    </w:p>
    <w:p w14:paraId="295D533F" w14:textId="77777777" w:rsidR="009E6E2E" w:rsidRPr="000D3432" w:rsidRDefault="009E6E2E" w:rsidP="009E6E2E">
      <w:pPr>
        <w:jc w:val="both"/>
        <w:rPr>
          <w:rFonts w:asciiTheme="minorHAnsi" w:hAnsiTheme="minorHAnsi" w:cs="Arial"/>
          <w:szCs w:val="24"/>
          <w:lang w:val="es-ES_tradnl"/>
        </w:rPr>
      </w:pPr>
    </w:p>
    <w:p w14:paraId="7C4F70E6"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Cabe aclarar que grado académico correponde a los siguientes niveles educativos:</w:t>
      </w:r>
    </w:p>
    <w:p w14:paraId="0EAB1FA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Bachiller en alguna profesión es un "grado académico".</w:t>
      </w:r>
    </w:p>
    <w:p w14:paraId="55EA9D31"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La licenciatura, abogacía, ingniería o final, culminación satisfactoria de una profesión se le asigna "Títulos pfoesionales".</w:t>
      </w:r>
    </w:p>
    <w:p w14:paraId="249D31E0"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 La Maestría y el Doctorado son niveles educativos posteriores a la profesión, y en el que se obtienen "grados académicos". </w:t>
      </w:r>
    </w:p>
    <w:p w14:paraId="3D8F2662" w14:textId="77777777" w:rsidR="009E6E2E" w:rsidRPr="000D3432" w:rsidRDefault="009E6E2E" w:rsidP="009E6E2E">
      <w:pPr>
        <w:jc w:val="both"/>
        <w:rPr>
          <w:rFonts w:asciiTheme="minorHAnsi" w:hAnsiTheme="minorHAnsi" w:cs="Arial"/>
          <w:szCs w:val="24"/>
          <w:lang w:val="es-ES_tradnl"/>
        </w:rPr>
      </w:pPr>
    </w:p>
    <w:p w14:paraId="37C0466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La diferencia entre grado académico y título, parece residir en que los primeros denotan una especial capacidad académica, de investigación, mientras que el título supone capacidad para el ejercicio de dicha profesión</w:t>
      </w:r>
    </w:p>
    <w:p w14:paraId="665AD914" w14:textId="77777777" w:rsidR="009E6E2E" w:rsidRPr="000D3432" w:rsidRDefault="009E6E2E" w:rsidP="009E6E2E">
      <w:pPr>
        <w:jc w:val="both"/>
        <w:rPr>
          <w:rFonts w:asciiTheme="minorHAnsi" w:hAnsiTheme="minorHAnsi" w:cs="Arial"/>
          <w:szCs w:val="24"/>
          <w:lang w:val="es-ES_tradnl"/>
        </w:rPr>
      </w:pPr>
    </w:p>
    <w:p w14:paraId="4646BC6A"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Uno de los casos mas sonados de la historia académica de nuestro país se dio a cabo en Arequipa, en la Universidad Nacional San Agustín, en la cual se otorgaron grados académicos de Doctor, vulnerando los principios, leyes rectoras y procedimientos para obtener dichos grados, a tal exremos que un grupo de numerosos profesionaels accedieron a los grados de doctor sin haber cursado los años de estudio.</w:t>
      </w:r>
    </w:p>
    <w:p w14:paraId="22B71AC8" w14:textId="77777777" w:rsidR="009E6E2E" w:rsidRPr="000D3432" w:rsidRDefault="009E6E2E" w:rsidP="009E6E2E">
      <w:pPr>
        <w:jc w:val="both"/>
        <w:rPr>
          <w:rFonts w:asciiTheme="minorHAnsi" w:hAnsiTheme="minorHAnsi" w:cs="Arial"/>
          <w:szCs w:val="24"/>
          <w:lang w:val="es-ES_tradnl"/>
        </w:rPr>
      </w:pPr>
    </w:p>
    <w:p w14:paraId="658B3030"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Otro de los casos relevantes se llevó a cabo con los famosos milkitos, aquellos egresados de derecho de la Universiad Privada de Tacna,que teniendo dificultad de titularse en su propia universidad viajaron a diferentes provincias y univesidades en donde haciendo cursos especiales y procediientos especiales, adecuadaos mas a la necesidad del cliente, aprobaban y obtenían grados y títulos profesionales. </w:t>
      </w:r>
    </w:p>
    <w:p w14:paraId="27C490DC" w14:textId="77777777" w:rsidR="009E6E2E" w:rsidRPr="000D3432" w:rsidRDefault="009E6E2E" w:rsidP="009E6E2E">
      <w:pPr>
        <w:jc w:val="both"/>
        <w:rPr>
          <w:rFonts w:asciiTheme="minorHAnsi" w:hAnsiTheme="minorHAnsi" w:cs="Arial"/>
          <w:szCs w:val="24"/>
          <w:lang w:val="es-ES_tradnl"/>
        </w:rPr>
      </w:pPr>
    </w:p>
    <w:p w14:paraId="3AF5FF38"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Arrogarse grados académicos, titulos y honores que no les corresponden, es un atentado contra todos los que  han obtenido un grado o título correctamente.</w:t>
      </w:r>
    </w:p>
    <w:p w14:paraId="0A4CE322" w14:textId="77777777" w:rsidR="009E6E2E" w:rsidRPr="000D3432" w:rsidRDefault="009E6E2E" w:rsidP="009E6E2E">
      <w:pPr>
        <w:jc w:val="both"/>
        <w:rPr>
          <w:rFonts w:asciiTheme="minorHAnsi" w:hAnsiTheme="minorHAnsi" w:cs="Arial"/>
          <w:szCs w:val="24"/>
          <w:lang w:val="es-ES_tradnl"/>
        </w:rPr>
      </w:pPr>
    </w:p>
    <w:p w14:paraId="42B25662"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Ahora bien, cabe mencionar en esta sección, que los grados académicos, títulos pierden legitimidad si se observa la veracidad de cómo han sido obtenidos, pues en uchos casos, los trabajos de i nvestigación no corresponden al alumno, esto en los casos de pregrado y postgrado. Esto es tan a ciencia cidrta que nos atreveríamos a insinar que un noventa por ciento de todas los trabajados presentados como tarea académica o trabajados de investigación solicitados por los catedráticos no es realizado por el propio alumno, o no son productos con estandares académicamente válidos. Esto supone que el aprendizaje estaría falseado en un porcentaje mayor al requerido para asegurar la calidad e interiorización del aprendizaje. </w:t>
      </w:r>
    </w:p>
    <w:p w14:paraId="4EA8CEE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En este contexto, el título o grado académico no asegura la calidad del aprendizaje, ni siquiera la suficiencia requerida para que un grado o título rubricado a nombre de la nación no sea una estafa. Esto produce un alto desequilibrio, que se enfrenta solo dentro del mercado laboral, y que son las razones por las cuales los que acceden a los cargos públicos no sean necesariamente los mejores, sino los "tranposos". De allí que la calidad de las instituciones públicas sea tan bajo, porque se integra con profesionels que han aprendido los trucos ilegítimos de sacarle la vuelta al trabajo. </w:t>
      </w:r>
    </w:p>
    <w:p w14:paraId="3D177ECA" w14:textId="77777777" w:rsidR="009E6E2E" w:rsidRPr="000D3432" w:rsidRDefault="009E6E2E" w:rsidP="009E6E2E">
      <w:pPr>
        <w:jc w:val="both"/>
        <w:rPr>
          <w:rFonts w:asciiTheme="minorHAnsi" w:hAnsiTheme="minorHAnsi" w:cs="Arial"/>
          <w:szCs w:val="24"/>
          <w:lang w:val="es-ES_tradnl"/>
        </w:rPr>
      </w:pPr>
    </w:p>
    <w:p w14:paraId="4967EEAA"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Pero aún es la situación cuando alguien se arroga grdos académicos, títulos u honores que no le corresponden, porque no habiendo pasado o cumplido con los requisios para obtener los mismos, que son mecanismos de control, evaluación y adistramiento en las disciplinas estudiadas, se atentaría contra el sistema educativo, la seriedad y fiabilidad de los cagos, etc.  </w:t>
      </w:r>
    </w:p>
    <w:p w14:paraId="333BBD16" w14:textId="77777777" w:rsidR="009E6E2E" w:rsidRPr="000D3432" w:rsidRDefault="009E6E2E" w:rsidP="009E6E2E">
      <w:pPr>
        <w:jc w:val="both"/>
        <w:rPr>
          <w:rFonts w:asciiTheme="minorHAnsi" w:hAnsiTheme="minorHAnsi" w:cs="Arial"/>
          <w:szCs w:val="24"/>
          <w:lang w:val="es-ES_tradnl"/>
        </w:rPr>
      </w:pPr>
    </w:p>
    <w:p w14:paraId="15D1B9D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CASOS RESALTANTES: </w:t>
      </w:r>
    </w:p>
    <w:p w14:paraId="29D3B743"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ANEL TWOUSENT</w:t>
      </w:r>
    </w:p>
    <w:p w14:paraId="3A2A61BA"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Otro caso resaltante, al parecer, de arrogación de este tipo de actos, ha sido la de la variable Anel Twousent, quien a desparpajo y mediocridad que se debe denunciar, habría ejercido como decana de una facultad, o cargo similar por lo que conviene investigar si dicho cto fue asi. </w:t>
      </w:r>
    </w:p>
    <w:p w14:paraId="06F3F4FD"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580A4E4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Artículo 362 del Código Penal, se establece: </w:t>
      </w:r>
      <w:r w:rsidRPr="000D3432">
        <w:rPr>
          <w:rFonts w:asciiTheme="minorHAnsi" w:hAnsiTheme="minorHAnsi" w:cs="Arial"/>
          <w:b/>
          <w:bCs/>
          <w:color w:val="000000"/>
          <w:szCs w:val="24"/>
          <w:lang w:val="es-ES_tradnl" w:eastAsia="es-PE"/>
        </w:rPr>
        <w:t>“Ostentación de distintivos de función o cargos que no ejerce</w:t>
      </w:r>
      <w:r w:rsidRPr="000D3432">
        <w:rPr>
          <w:rFonts w:asciiTheme="minorHAnsi" w:hAnsiTheme="minorHAnsi" w:cs="Arial"/>
          <w:color w:val="000000"/>
          <w:szCs w:val="24"/>
          <w:lang w:val="es-ES_tradnl" w:eastAsia="es-PE"/>
        </w:rPr>
        <w:t xml:space="preserve">.- </w:t>
      </w:r>
      <w:r w:rsidRPr="000D3432">
        <w:rPr>
          <w:rFonts w:asciiTheme="minorHAnsi" w:hAnsiTheme="minorHAnsi" w:cs="Arial"/>
          <w:b/>
          <w:bCs/>
          <w:color w:val="000000"/>
          <w:szCs w:val="24"/>
          <w:lang w:val="es-ES_tradnl" w:eastAsia="es-PE"/>
        </w:rPr>
        <w:t>Artículo 362.-</w:t>
      </w:r>
      <w:r w:rsidRPr="000D3432">
        <w:rPr>
          <w:rFonts w:asciiTheme="minorHAnsi" w:hAnsiTheme="minorHAnsi" w:cs="Arial"/>
          <w:color w:val="000000"/>
          <w:szCs w:val="24"/>
          <w:lang w:val="es-ES_tradnl" w:eastAsia="es-PE"/>
        </w:rPr>
        <w:t>El que, públicamente, ostenta insignias o distintivos de una función o cargo que no ejerce o se arroga grado académico, título profesional u honores que no le corresponden, será reprimido con pena privativa de libertad no mayor de un año o con prestación de servicio comunitario de diez a veinte jornadas.”</w:t>
      </w:r>
    </w:p>
    <w:p w14:paraId="1E69AE65" w14:textId="77777777" w:rsidR="009E6E2E" w:rsidRPr="000D3432" w:rsidRDefault="009E6E2E" w:rsidP="009E6E2E">
      <w:pPr>
        <w:jc w:val="both"/>
        <w:rPr>
          <w:rFonts w:asciiTheme="minorHAnsi" w:hAnsiTheme="minorHAnsi" w:cs="Arial"/>
          <w:szCs w:val="24"/>
          <w:lang w:val="es-ES_tradnl"/>
        </w:rPr>
      </w:pPr>
    </w:p>
    <w:p w14:paraId="57541FCC" w14:textId="77777777" w:rsidR="009E6E2E" w:rsidRPr="000D3432" w:rsidRDefault="009E6E2E" w:rsidP="009E6E2E">
      <w:pPr>
        <w:jc w:val="both"/>
        <w:rPr>
          <w:rFonts w:asciiTheme="minorHAnsi" w:hAnsiTheme="minorHAnsi" w:cs="Arial"/>
          <w:szCs w:val="24"/>
          <w:lang w:val="es-ES_tradnl"/>
        </w:rPr>
      </w:pPr>
    </w:p>
    <w:p w14:paraId="5154BD69" w14:textId="77777777" w:rsidR="009E6E2E" w:rsidRPr="000D3432" w:rsidRDefault="009E6E2E" w:rsidP="009E6E2E">
      <w:pPr>
        <w:jc w:val="both"/>
        <w:rPr>
          <w:rFonts w:asciiTheme="minorHAnsi" w:hAnsiTheme="minorHAnsi" w:cs="Arial"/>
          <w:szCs w:val="24"/>
          <w:lang w:val="es-ES_tradnl"/>
        </w:rPr>
      </w:pPr>
    </w:p>
    <w:p w14:paraId="3AF338FD"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SECCIÒN III</w:t>
      </w:r>
    </w:p>
    <w:p w14:paraId="1FDE2591" w14:textId="77777777" w:rsidR="009E6E2E" w:rsidRPr="000D3432" w:rsidRDefault="009E6E2E" w:rsidP="009E6E2E">
      <w:pPr>
        <w:jc w:val="center"/>
        <w:rPr>
          <w:rFonts w:asciiTheme="minorHAnsi" w:hAnsiTheme="minorHAnsi" w:cs="Arial"/>
          <w:szCs w:val="24"/>
          <w:lang w:val="es-ES_tradnl"/>
        </w:rPr>
      </w:pPr>
      <w:r w:rsidRPr="000D3432">
        <w:rPr>
          <w:rFonts w:asciiTheme="minorHAnsi" w:hAnsiTheme="minorHAnsi" w:cs="Arial"/>
          <w:b/>
          <w:szCs w:val="24"/>
          <w:lang w:val="es-ES_tradnl"/>
        </w:rPr>
        <w:t>EJERCICIO ILEGAL DE LA PROFESIÓN</w:t>
      </w:r>
    </w:p>
    <w:p w14:paraId="2853F57B" w14:textId="77777777" w:rsidR="009E6E2E" w:rsidRPr="000D3432" w:rsidRDefault="009E6E2E" w:rsidP="009E6E2E">
      <w:pPr>
        <w:rPr>
          <w:rFonts w:asciiTheme="minorHAnsi" w:hAnsiTheme="minorHAnsi"/>
          <w:b/>
          <w:szCs w:val="24"/>
          <w:lang w:val="es-ES_tradnl"/>
        </w:rPr>
      </w:pPr>
    </w:p>
    <w:p w14:paraId="37FD464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1.- Conceptos del Delito de Ejercicio Ilegal de la profesión </w:t>
      </w:r>
    </w:p>
    <w:p w14:paraId="0A7ED0EB" w14:textId="77777777" w:rsidR="009E6E2E" w:rsidRPr="000D3432" w:rsidRDefault="009E6E2E" w:rsidP="009E6E2E">
      <w:pPr>
        <w:rPr>
          <w:rFonts w:asciiTheme="minorHAnsi" w:hAnsiTheme="minorHAnsi"/>
          <w:szCs w:val="24"/>
          <w:lang w:val="es-ES_tradnl"/>
        </w:rPr>
      </w:pPr>
    </w:p>
    <w:p w14:paraId="3E216BC9"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El delito de "Ejercicio Ilegal de la profesión" tiene en su conceptualización los elementos que lo constituyen: Ejercicio, ilegal y profesión. Por el primero, se presupone no la amenaza, como en otros tipos delictivos, ni la planificación, sino la consumacioó del hecho; de tal forma que el ejercicio se convierta en aquella "conducta efectiva" del ser humano, conducta "ilícita", es decir, prohibida por la norma penal, y prescrita o tipificada en la ley penal. Esta conducta ilícita tiene que derivarse de una conducta posible sólo del ejercicio de una profesión. Esto implica que nuestro sistema social ha delimitado ciertas conductas especiales, monopolizándolas para aquellos que hubieran superado cierto procedimiento de adiestramiento y evaluación.</w:t>
      </w:r>
    </w:p>
    <w:p w14:paraId="2330E280" w14:textId="77777777" w:rsidR="009E6E2E" w:rsidRPr="000D3432" w:rsidRDefault="009E6E2E" w:rsidP="009E6E2E">
      <w:pPr>
        <w:jc w:val="both"/>
        <w:rPr>
          <w:rFonts w:asciiTheme="minorHAnsi" w:hAnsiTheme="minorHAnsi" w:cs="Arial"/>
          <w:szCs w:val="24"/>
          <w:lang w:val="es-ES_tradnl"/>
        </w:rPr>
      </w:pPr>
    </w:p>
    <w:p w14:paraId="256E123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Esto se debe a que ciertas o adistraminto de las conductas sólo pueden obtenerse por medio de un sistema que garantiza aquello, y además porque dichas conductas pueden alterar o modificar sustancialmente  el resultado de dichas conductas. Así por ejemplo, se requiere que un defensor sea abogado, es decir, tenga la profesión de abogado para asegurar la efectividad o destreza de la defensa, de esa manera se equilibra al sistema judicial y se logra el orden jurídico. Así, cualquier persona puede defenderse, pero sólo una persona titulada -con certificación de estudios de ello- puede ejercer la defensa técnica, porque conoce todos los instrumentos legales para ejercer el Derecho - Derechos, deberes, recursos procesales, principios jurídicos, teoría, doctrina, jurisprudencia, etc. Que le da un nivel de conocimiento "necesario" para el ejercicio del Derecho. El caso se eplica mejor en la profesión de ingeniería, medicina, etc., pues sólo podrá ejercer dichos oficios quien tenga los respectivos títulos profesionales. Una garantía de la destreza en un área deterinada significa la profesionalización. Así, quien ejerza una profesión sin tener dicha categoría "pondrá en riesgo" la eficacia, y de ser el caso, los derechos o bienes jurídicos protegidos. </w:t>
      </w:r>
    </w:p>
    <w:p w14:paraId="0ABE3116" w14:textId="77777777" w:rsidR="009E6E2E" w:rsidRPr="000D3432" w:rsidRDefault="009E6E2E" w:rsidP="009E6E2E">
      <w:pPr>
        <w:jc w:val="both"/>
        <w:rPr>
          <w:rFonts w:asciiTheme="minorHAnsi" w:hAnsiTheme="minorHAnsi" w:cs="Arial"/>
          <w:szCs w:val="24"/>
          <w:lang w:val="es-ES_tradnl"/>
        </w:rPr>
      </w:pPr>
    </w:p>
    <w:p w14:paraId="3D6DCFB1"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Por lo tanto, la profesionalización es la monopolización de ciertas conductas técnicas, de ciertas conductas que pueden ejercerse sólo si tienen la licencia del Estado. Para acceder a ellas, por supuesto, hay varios mecanismos, tanto privados como públicos, pero todos ellos tienen que pasar por un control estatal. De allí que este control sea integrado dentro de la palabra "...dado a nombre de la nación".</w:t>
      </w:r>
    </w:p>
    <w:p w14:paraId="38C583B5" w14:textId="77777777" w:rsidR="009E6E2E" w:rsidRPr="000D3432" w:rsidRDefault="009E6E2E" w:rsidP="009E6E2E">
      <w:pPr>
        <w:jc w:val="both"/>
        <w:rPr>
          <w:rFonts w:asciiTheme="minorHAnsi" w:hAnsiTheme="minorHAnsi" w:cs="Arial"/>
          <w:szCs w:val="24"/>
          <w:lang w:val="es-ES_tradnl"/>
        </w:rPr>
      </w:pPr>
    </w:p>
    <w:p w14:paraId="0C5A7865"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Este tipo de profesionalización trae consigo varias variantes, como crear, automáticamente la desigualdad, porque ciertas conductas no pueden ser ejercitadas por todos, puesto que de ser así serían consideradas como ilícitas, y por lo tal, como delictivas. Por otro lado, lograr la licencia para realizar o practicar cierto tipo de conductas y proyectos, como defender a un imputado, curar a un enfermo, construir un edificio, realizar un estado contable, etc, suponen la dedicacioó de tiempo y sujeción a ciertas pruebas para garantizar el conociiento, real y necesario adiestramiento en la materia. Este tiempo, a nuestro parecer es arbitrario, porque se demandan cinco años o más de preparación, qe suponen un desenbolso económico importante, que crea la diferencia entre profesionales y no profesionales, a tal grado que llega a la "discriminación".</w:t>
      </w:r>
    </w:p>
    <w:p w14:paraId="05C972AB" w14:textId="77777777" w:rsidR="009E6E2E" w:rsidRPr="000D3432" w:rsidRDefault="009E6E2E" w:rsidP="009E6E2E">
      <w:pPr>
        <w:jc w:val="both"/>
        <w:rPr>
          <w:rFonts w:asciiTheme="minorHAnsi" w:hAnsiTheme="minorHAnsi" w:cs="Arial"/>
          <w:szCs w:val="24"/>
          <w:lang w:val="es-ES_tradnl"/>
        </w:rPr>
      </w:pPr>
    </w:p>
    <w:p w14:paraId="1C40B189"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Ahora bien, quien no tiene la profesion no puede hacer uso del ejercicio ilícito. De esta forma el delito se encuadra solo a los que tienen profesión. Así, sólo los profesionales pueden cometer estos delitos. Si una persona distinta, sin profesión, realiza actos o conductas que le corresponden a las de un profesional, por dicha condición o estatus académico, no estaría incurso en el delito de "ejercicio ilegal de profesión", sino podría ser "falsedad genérica", "usurpación de cargo, funciones, etc.".</w:t>
      </w:r>
    </w:p>
    <w:p w14:paraId="78E79D12" w14:textId="77777777" w:rsidR="009E6E2E" w:rsidRPr="000D3432" w:rsidRDefault="009E6E2E" w:rsidP="009E6E2E">
      <w:pPr>
        <w:jc w:val="both"/>
        <w:rPr>
          <w:rFonts w:asciiTheme="minorHAnsi" w:hAnsiTheme="minorHAnsi" w:cs="Arial"/>
          <w:szCs w:val="24"/>
          <w:lang w:val="es-ES_tradnl"/>
        </w:rPr>
      </w:pPr>
    </w:p>
    <w:p w14:paraId="6881C69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Al margen de lo aanteior, la profesión otorga ciertas potestades, atribuciones, pero tambien deberes, limitaciones, etc. Por ejemplo, un profesional, para estar habilitado para el ejercicio de su profesión tiene que estar al día en sus cuotas en el Colegio profesional que pertenezca. Esto supone la obligación de colegiarse, inscribirse dentro de un grupo o colegio profesional. Aquello no tiene mayor justificacioó de garantía del uso de la profesión sin embargo, al integrarlo dentro de dicha agrupación, el profesional se obliga a cumplir ciertas normas que tienen que derivar precisamente de su estatus profesional. Así, el colegio profesional podrá someterlo a procedimiento administrativo en caso de violar las normas del colegio profesional, con lo que se preserva el buen uso de la profesión. El pago de la habilitación no se corresponde con esto, sino sólo como un sistema de recaudación para sostener al colegio profesional., </w:t>
      </w:r>
    </w:p>
    <w:p w14:paraId="55AD06F1" w14:textId="77777777" w:rsidR="009E6E2E" w:rsidRPr="000D3432" w:rsidRDefault="009E6E2E" w:rsidP="009E6E2E">
      <w:pPr>
        <w:jc w:val="both"/>
        <w:rPr>
          <w:rFonts w:asciiTheme="minorHAnsi" w:hAnsiTheme="minorHAnsi" w:cs="Arial"/>
          <w:szCs w:val="24"/>
          <w:lang w:val="es-ES_tradnl"/>
        </w:rPr>
      </w:pPr>
    </w:p>
    <w:p w14:paraId="69F03533"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Habría que distinguir este delito del de abuso de autoridad, que se define por la categoría pública laboral, y no por la categoría o estatus académico, profesional. </w:t>
      </w:r>
    </w:p>
    <w:p w14:paraId="3F35C3B6"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Por ejemplo, un médico que se dedica a practicar abortos clandestinos o ilegales estaría cometiendo el delito de "ejercicio ilegal de la profesión" porque utiliza sus conociientos y habilidades profesionales para actos conrarios a la ley. </w:t>
      </w:r>
    </w:p>
    <w:p w14:paraId="0CA20353" w14:textId="77777777" w:rsidR="009E6E2E" w:rsidRPr="000D3432" w:rsidRDefault="009E6E2E" w:rsidP="009E6E2E">
      <w:pPr>
        <w:rPr>
          <w:rFonts w:asciiTheme="minorHAnsi" w:hAnsiTheme="minorHAnsi"/>
          <w:szCs w:val="24"/>
          <w:lang w:val="es-ES_tradnl"/>
        </w:rPr>
      </w:pPr>
    </w:p>
    <w:p w14:paraId="3E663156" w14:textId="77777777" w:rsidR="009E6E2E" w:rsidRPr="000D3432" w:rsidRDefault="009E6E2E" w:rsidP="009E6E2E">
      <w:pPr>
        <w:jc w:val="center"/>
        <w:rPr>
          <w:rFonts w:asciiTheme="minorHAnsi" w:hAnsiTheme="minorHAnsi"/>
          <w:szCs w:val="24"/>
          <w:lang w:val="es-ES_tradnl"/>
        </w:rPr>
      </w:pPr>
      <w:r w:rsidRPr="000D3432">
        <w:rPr>
          <w:rFonts w:asciiTheme="minorHAnsi" w:hAnsiTheme="minorHAnsi"/>
          <w:szCs w:val="24"/>
          <w:lang w:val="es-ES_tradnl"/>
        </w:rPr>
        <w:t>***</w:t>
      </w:r>
    </w:p>
    <w:p w14:paraId="717F9432"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El ejercicio ilegal de la profesión como tipo delictivo protege bienes patrimoniales especiales, como el sistema de control de calidad educativa.</w:t>
      </w:r>
    </w:p>
    <w:p w14:paraId="466527D7" w14:textId="77777777" w:rsidR="009E6E2E" w:rsidRPr="000D3432" w:rsidRDefault="009E6E2E" w:rsidP="009E6E2E">
      <w:pPr>
        <w:rPr>
          <w:rFonts w:asciiTheme="minorHAnsi" w:hAnsiTheme="minorHAnsi"/>
          <w:szCs w:val="24"/>
          <w:lang w:val="es-ES_tradnl"/>
        </w:rPr>
      </w:pPr>
    </w:p>
    <w:p w14:paraId="31B64FAE"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Los elementos son: a) Ejercicio; b) Ilegal; c) Profesión. </w:t>
      </w:r>
    </w:p>
    <w:p w14:paraId="3A1B8141" w14:textId="77777777" w:rsidR="009E6E2E" w:rsidRPr="000D3432" w:rsidRDefault="009E6E2E" w:rsidP="009E6E2E">
      <w:pPr>
        <w:rPr>
          <w:rFonts w:asciiTheme="minorHAnsi" w:hAnsiTheme="minorHAnsi"/>
          <w:szCs w:val="24"/>
          <w:lang w:val="es-ES_tradnl"/>
        </w:rPr>
      </w:pPr>
    </w:p>
    <w:p w14:paraId="4C3A798C" w14:textId="77777777" w:rsidR="009E6E2E" w:rsidRPr="000D3432" w:rsidRDefault="009E6E2E" w:rsidP="009E6E2E">
      <w:pPr>
        <w:jc w:val="both"/>
        <w:rPr>
          <w:rFonts w:asciiTheme="minorHAnsi" w:hAnsiTheme="minorHAnsi" w:cs="Times"/>
          <w:i/>
          <w:szCs w:val="24"/>
          <w:lang w:val="es-ES_tradnl"/>
        </w:rPr>
      </w:pPr>
      <w:r w:rsidRPr="000D3432">
        <w:rPr>
          <w:rFonts w:asciiTheme="minorHAnsi" w:hAnsiTheme="minorHAnsi"/>
          <w:szCs w:val="24"/>
          <w:lang w:val="es-ES_tradnl"/>
        </w:rPr>
        <w:t>De acuerdo con el Diccionario de Ciencias Jurídicas, Políticas y Sociales, de autoría de Manuel Ossorio, 1ra. Edición Electrónica. Editorial Datascan S.A. Guatemala, pág. 11: “</w:t>
      </w:r>
      <w:r w:rsidRPr="000D3432">
        <w:rPr>
          <w:rFonts w:asciiTheme="minorHAnsi" w:hAnsiTheme="minorHAnsi" w:cs="Times"/>
          <w:i/>
          <w:szCs w:val="24"/>
          <w:lang w:val="es-ES_tradnl"/>
        </w:rPr>
        <w:t>Pero hay que distinguir entre el hecho de abogar y la profesión de abogar, pues parece evidente que aquél es anterior a ésta. Así, por ejemplo, entre los hebreos había personas que, fuera de todo interés económico, asumían la de- fensa de quienes no podían ejercerla por sí mis- mos. Otro tanto sucedía en Caldea, Babilonia, Persia y Egipto. Allí los sabios defendían sus causas ante el pueblo congregado para juzgar- las. En los primeros tiempos de Grecia, emplea- ban sus dotes oratorias para defender ante el Areópago los derechos de sus amigos. Hasta ahí la función de abogar. / La profesión de abogar se inició, al pare- cer, con Antisoaes, que, según se dice, fue el primer defensor que percibió honorarios por la prestación de sus servicios de abogado, norma que fue seguida por otros oradores. Sin embar- go, se afirma que Pericles fue en Grecia el pri- mer abogado profesional. En Roma, la institu- ción siguió una trayectoria parecida. En un principio estuvo atribuida la defensa a personas que no eran profesionales, sino que ejercían su ministerio como consecuencia de la obligación que pesaba sobre los patronos de defender a sus clientes (v. CLIENTELA). Mas el enorme de- senvolvimiento del Derecho Romano y la com- plejidad de sus normas hizo imprescindible que esa actuación patronal derivase en una profe- sión jurídica, encomendada a personas que fue- sen al mismo tiempo grandes oradores y gran- des jurisconsultos. Tal vez Cicerón fue el pro- totipo de aquellos abogados romanos y sigue siendo uno de los más grandes que la historia ha conocido”.</w:t>
      </w:r>
    </w:p>
    <w:p w14:paraId="7A55CF04" w14:textId="77777777" w:rsidR="009E6E2E" w:rsidRPr="000D3432" w:rsidRDefault="009E6E2E" w:rsidP="009E6E2E">
      <w:pPr>
        <w:rPr>
          <w:rFonts w:asciiTheme="minorHAnsi" w:hAnsiTheme="minorHAnsi"/>
          <w:szCs w:val="24"/>
          <w:lang w:val="es-ES_tradnl"/>
        </w:rPr>
      </w:pPr>
    </w:p>
    <w:p w14:paraId="48F3C084" w14:textId="77777777" w:rsidR="009E6E2E" w:rsidRPr="000D3432" w:rsidRDefault="009E6E2E" w:rsidP="009E6E2E">
      <w:pPr>
        <w:jc w:val="both"/>
        <w:rPr>
          <w:rFonts w:asciiTheme="minorHAnsi" w:hAnsiTheme="minorHAnsi" w:cs="Times"/>
          <w:i/>
          <w:szCs w:val="24"/>
          <w:lang w:val="es-ES_tradnl"/>
        </w:rPr>
      </w:pPr>
      <w:r w:rsidRPr="000D3432">
        <w:rPr>
          <w:rFonts w:asciiTheme="minorHAnsi" w:hAnsiTheme="minorHAnsi"/>
          <w:szCs w:val="24"/>
          <w:lang w:val="es-ES_tradnl"/>
        </w:rPr>
        <w:t xml:space="preserve">De acuerdo con el Diccionario de Ciencias Jurídicas, Políticas y Sociales, de autoría de Manuel Ossorio, 1ra. Edición Electrónica. Editorial Datascan S.A. Guatemala, pág. 153: </w:t>
      </w:r>
      <w:r w:rsidRPr="000D3432">
        <w:rPr>
          <w:rFonts w:asciiTheme="minorHAnsi" w:hAnsiTheme="minorHAnsi" w:cs="Times"/>
          <w:i/>
          <w:szCs w:val="24"/>
          <w:lang w:val="es-ES_tradnl"/>
        </w:rPr>
        <w:t xml:space="preserve">“En el Diccionario de Derecho Usual se identifica la categoría profesional con lo que se ha dado en llamar el estatuto personal de todo individuo encuadrado dentro de la producción, sea patrono u obrero, de cuya situación se des- prenden, en las relaciones laborales, determina- dos derechos y obligaciones.”. </w:t>
      </w:r>
    </w:p>
    <w:p w14:paraId="4A2D6FBA" w14:textId="77777777" w:rsidR="009E6E2E" w:rsidRPr="000D3432" w:rsidRDefault="009E6E2E" w:rsidP="009E6E2E">
      <w:pPr>
        <w:rPr>
          <w:rFonts w:asciiTheme="minorHAnsi" w:hAnsiTheme="minorHAnsi"/>
          <w:b/>
          <w:szCs w:val="24"/>
          <w:lang w:val="es-ES_tradnl"/>
        </w:rPr>
      </w:pPr>
    </w:p>
    <w:p w14:paraId="4C24225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a)  Concepto legal:  </w:t>
      </w:r>
    </w:p>
    <w:p w14:paraId="214723ED" w14:textId="77777777" w:rsidR="009E6E2E" w:rsidRPr="000D3432" w:rsidRDefault="009E6E2E" w:rsidP="009E6E2E">
      <w:pPr>
        <w:rPr>
          <w:rFonts w:asciiTheme="minorHAnsi" w:hAnsiTheme="minorHAnsi"/>
          <w:szCs w:val="24"/>
          <w:lang w:val="es-ES_tradnl"/>
        </w:rPr>
      </w:pPr>
    </w:p>
    <w:p w14:paraId="413A0248"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szCs w:val="24"/>
          <w:lang w:val="es-ES_tradnl"/>
        </w:rPr>
        <w:t xml:space="preserve">De acuerdo con el Código Penal se prescribe: </w:t>
      </w:r>
      <w:r w:rsidRPr="000D3432">
        <w:rPr>
          <w:rFonts w:asciiTheme="minorHAnsi" w:hAnsiTheme="minorHAnsi" w:cs="Arial"/>
          <w:b/>
          <w:bCs/>
          <w:color w:val="000000"/>
          <w:szCs w:val="24"/>
          <w:lang w:val="es-ES_tradnl" w:eastAsia="es-PE"/>
        </w:rPr>
        <w:t xml:space="preserve">     "Artículo 363.- Ejercicio ilegal de profesión.- </w:t>
      </w:r>
      <w:r w:rsidRPr="000D3432">
        <w:rPr>
          <w:rFonts w:asciiTheme="minorHAnsi" w:hAnsiTheme="minorHAnsi" w:cs="Arial"/>
          <w:color w:val="000000"/>
          <w:szCs w:val="24"/>
          <w:lang w:val="es-ES_tradnl" w:eastAsia="es-PE"/>
        </w:rPr>
        <w:t>     El que ejerce profesión sin reunir los requisitos legales requeridos, será reprimido con pena privativa de libertad no menor de dos ni mayor de cuatro años. / El que ejerce profesión con falso título, será reprimido con pena privativa de libertad no menor de cuatro ni mayor de seis años. / La pena será no menor de cuatro ni mayor de ocho años, si el ejercicio de la profesión se da en el ámbito de la función pública o prestando servicios al Estado bajo cualquier modalidad contractual.</w:t>
      </w:r>
      <w:r w:rsidRPr="000D3432">
        <w:rPr>
          <w:rFonts w:asciiTheme="minorHAnsi" w:hAnsiTheme="minorHAnsi" w:cs="Arial"/>
          <w:b/>
          <w:bCs/>
          <w:color w:val="000000"/>
          <w:szCs w:val="24"/>
          <w:lang w:val="es-ES_tradnl" w:eastAsia="es-PE"/>
        </w:rPr>
        <w:t xml:space="preserve">”. </w:t>
      </w:r>
    </w:p>
    <w:p w14:paraId="69764D0F" w14:textId="77777777" w:rsidR="009E6E2E" w:rsidRPr="000D3432" w:rsidRDefault="009E6E2E" w:rsidP="009E6E2E">
      <w:pPr>
        <w:jc w:val="both"/>
        <w:rPr>
          <w:rFonts w:asciiTheme="minorHAnsi" w:hAnsiTheme="minorHAnsi" w:cs="Arial"/>
          <w:b/>
          <w:bCs/>
          <w:color w:val="000000"/>
          <w:szCs w:val="24"/>
          <w:lang w:val="es-ES_tradnl" w:eastAsia="es-PE"/>
        </w:rPr>
      </w:pPr>
    </w:p>
    <w:p w14:paraId="7A772E88"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La ley penal, sin embargo, establece las siguientes variables: </w:t>
      </w:r>
    </w:p>
    <w:p w14:paraId="494121CC"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1.- "Delito por el ejercicio de profesión, sin reunir los requisitos legales requeridos", y,</w:t>
      </w:r>
    </w:p>
    <w:p w14:paraId="62BA7BD4"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2.- "Delito por el ejercicio de una profesión con falso título". </w:t>
      </w:r>
    </w:p>
    <w:p w14:paraId="272D635C" w14:textId="77777777" w:rsidR="009E6E2E" w:rsidRPr="000D3432" w:rsidRDefault="009E6E2E" w:rsidP="009E6E2E">
      <w:pPr>
        <w:jc w:val="both"/>
        <w:rPr>
          <w:rFonts w:asciiTheme="minorHAnsi" w:hAnsiTheme="minorHAnsi" w:cs="Arial"/>
          <w:szCs w:val="24"/>
          <w:lang w:val="es-ES_tradnl"/>
        </w:rPr>
      </w:pPr>
    </w:p>
    <w:p w14:paraId="1349971E"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En el caso del ejercicio de profesión sin reunir los requisitos exigidos por ley, como por ejemplo, ¿podría ser estar habilitado?. La doctrina y jurisprudencia parece inclinarse más por el acto doloso de engañar o estafar, por ejemplo, los antiguos tinterillos que ejercían la profesión de abogado sin serlo. </w:t>
      </w:r>
    </w:p>
    <w:p w14:paraId="09371372" w14:textId="77777777" w:rsidR="009E6E2E" w:rsidRPr="000D3432" w:rsidRDefault="009E6E2E" w:rsidP="009E6E2E">
      <w:pPr>
        <w:jc w:val="both"/>
        <w:rPr>
          <w:rFonts w:asciiTheme="minorHAnsi" w:hAnsiTheme="minorHAnsi" w:cs="Arial"/>
          <w:szCs w:val="24"/>
          <w:lang w:val="es-ES_tradnl"/>
        </w:rPr>
      </w:pPr>
    </w:p>
    <w:p w14:paraId="20F1C313"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Por el segundo caso, "ejercicio de una profesión con falso título", el acto es efectivamente "doloso".  ¿Cabría los casos del uso de los grados de maestría o doctorado? A nuestro parecer no, porque dichos grados académicos no son profesiones.</w:t>
      </w:r>
    </w:p>
    <w:p w14:paraId="75D56E64" w14:textId="77777777" w:rsidR="009E6E2E" w:rsidRPr="000D3432" w:rsidRDefault="009E6E2E" w:rsidP="009E6E2E">
      <w:pPr>
        <w:jc w:val="both"/>
        <w:rPr>
          <w:rFonts w:asciiTheme="minorHAnsi" w:hAnsiTheme="minorHAnsi"/>
          <w:szCs w:val="24"/>
          <w:lang w:val="es-ES_tradnl"/>
        </w:rPr>
      </w:pPr>
    </w:p>
    <w:p w14:paraId="17F8DEE7"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f) Jurisprudencia</w:t>
      </w:r>
    </w:p>
    <w:p w14:paraId="418BFF09" w14:textId="77777777" w:rsidR="009E6E2E" w:rsidRPr="000D3432" w:rsidRDefault="009E6E2E" w:rsidP="009E6E2E">
      <w:pPr>
        <w:jc w:val="both"/>
        <w:rPr>
          <w:rFonts w:asciiTheme="minorHAnsi" w:hAnsiTheme="minorHAnsi"/>
          <w:szCs w:val="24"/>
          <w:lang w:val="es-ES_tradnl"/>
        </w:rPr>
      </w:pPr>
    </w:p>
    <w:p w14:paraId="32C3E22C" w14:textId="77777777" w:rsidR="009E6E2E" w:rsidRPr="000D3432" w:rsidRDefault="009E6E2E" w:rsidP="009E6E2E">
      <w:pPr>
        <w:jc w:val="both"/>
        <w:rPr>
          <w:rFonts w:asciiTheme="minorHAnsi" w:hAnsiTheme="minorHAnsi"/>
          <w:color w:val="000000"/>
          <w:szCs w:val="24"/>
          <w:lang w:val="es-ES_tradnl"/>
        </w:rPr>
      </w:pPr>
      <w:r w:rsidRPr="000D3432">
        <w:rPr>
          <w:rFonts w:asciiTheme="minorHAnsi" w:hAnsiTheme="minorHAnsi"/>
          <w:szCs w:val="24"/>
          <w:lang w:val="es-ES_tradnl"/>
        </w:rPr>
        <w:t xml:space="preserve">De acuerdo con la Sentencia del Tribunal Constitucional, recaída en el </w:t>
      </w:r>
      <w:r w:rsidRPr="000D3432">
        <w:rPr>
          <w:rFonts w:asciiTheme="minorHAnsi" w:hAnsiTheme="minorHAnsi"/>
          <w:b/>
          <w:bCs/>
          <w:color w:val="000000"/>
          <w:szCs w:val="24"/>
          <w:lang w:val="es-ES_tradnl"/>
        </w:rPr>
        <w:t xml:space="preserve">EXP. N.° 01389-2010-PHC/TC:  “3. </w:t>
      </w:r>
      <w:r w:rsidRPr="000D3432">
        <w:rPr>
          <w:rFonts w:asciiTheme="minorHAnsi" w:hAnsiTheme="minorHAnsi"/>
          <w:szCs w:val="24"/>
          <w:lang w:val="es-ES_tradnl"/>
        </w:rPr>
        <w:t>“</w:t>
      </w:r>
      <w:r w:rsidRPr="000D3432">
        <w:rPr>
          <w:rFonts w:asciiTheme="minorHAnsi" w:hAnsiTheme="minorHAnsi"/>
          <w:color w:val="000000"/>
          <w:szCs w:val="24"/>
          <w:lang w:val="es-ES_tradnl"/>
        </w:rPr>
        <w:t>En el presente caso se observa que en la resolución cuestionada (fojas 7) sí se han precisado los elementos de juicio reveladores de la existencia de un delito; es así que en el considerando quinto de la resolución incoada se expresa que “</w:t>
      </w:r>
      <w:r w:rsidRPr="000D3432">
        <w:rPr>
          <w:rFonts w:asciiTheme="minorHAnsi" w:hAnsiTheme="minorHAnsi"/>
          <w:i/>
          <w:iCs/>
          <w:color w:val="000000"/>
          <w:szCs w:val="24"/>
          <w:lang w:val="es-ES_tradnl"/>
        </w:rPr>
        <w:t>respecto a los denunciados Temis Jhon Rivas Ochoa (…) se tiene que, estos han usado los títulos falsos emitidos por la inexistente universidad dirigida por los denunciados (…), como si estos fueran auténticos, valiéndose de los mismos para ejercer la profesión de ingenieros civiles, en entidades del Estado”-;</w:t>
      </w:r>
      <w:r w:rsidRPr="000D3432">
        <w:rPr>
          <w:rFonts w:asciiTheme="minorHAnsi" w:hAnsiTheme="minorHAnsi"/>
          <w:color w:val="000000"/>
          <w:szCs w:val="24"/>
          <w:lang w:val="es-ES_tradnl"/>
        </w:rPr>
        <w:t> se individualizó la conducta del recurrente en la realización del hecho delictivo – </w:t>
      </w:r>
      <w:r w:rsidRPr="000D3432">
        <w:rPr>
          <w:rFonts w:asciiTheme="minorHAnsi" w:hAnsiTheme="minorHAnsi"/>
          <w:i/>
          <w:iCs/>
          <w:color w:val="000000"/>
          <w:szCs w:val="24"/>
          <w:lang w:val="es-ES_tradnl"/>
        </w:rPr>
        <w:t>“(…) y siendo que los denunciados… Temis Jhon Rivas Ochoa…. No habrían realizado estudios universitarios validos, ni cuentan con un titulo universitario reconocido, mal podrían ostentar el titulo profesional de ingenieros, por tanto los títulos que presentaron para colegiarse son falsos, obteniendo numero de colegiatura y con los cuales han realizado servicios como si fueran profesionales e inclusive se han desempeñado dentro de la administración publica, conforme también se vierte de sus propias declaraciones policiales”</w:t>
      </w:r>
      <w:r w:rsidRPr="000D3432">
        <w:rPr>
          <w:rFonts w:asciiTheme="minorHAnsi" w:hAnsiTheme="minorHAnsi"/>
          <w:color w:val="000000"/>
          <w:szCs w:val="24"/>
          <w:lang w:val="es-ES_tradnl"/>
        </w:rPr>
        <w:t>; y se calificó de modo específico el delito o los delitos que se atribuyen al  denunciado </w:t>
      </w:r>
      <w:r w:rsidRPr="000D3432">
        <w:rPr>
          <w:rFonts w:asciiTheme="minorHAnsi" w:hAnsiTheme="minorHAnsi"/>
          <w:i/>
          <w:iCs/>
          <w:color w:val="000000"/>
          <w:szCs w:val="24"/>
          <w:lang w:val="es-ES_tradnl"/>
        </w:rPr>
        <w:t>“se resuelve abrir instrucción (…) Contra Temis Jhon Rivas Ochoa(…) Como presuntos autores de la comisión del delito contra la administración Pública- Delitos cometido por particulares, en la modalidad de Ejercicio  Ilegal  de  la  Profesión,  por  ejercer  profesión con falso titulo con la agravante de haber ejercido la profesión prestando servicios al Estado en agravio del  Estado Peruano- Asamblea Nacional de Rectores; ilícito penal previsto y penado con el segundo y tercer párrafo del articulo 363º del Código Penal”; asimismo, </w:t>
      </w:r>
      <w:r w:rsidRPr="000D3432">
        <w:rPr>
          <w:rFonts w:asciiTheme="minorHAnsi" w:hAnsiTheme="minorHAnsi"/>
          <w:color w:val="000000"/>
          <w:szCs w:val="24"/>
          <w:lang w:val="es-ES_tradnl"/>
        </w:rPr>
        <w:t>la acción penal no ha prescrito (conforme se aprecia del auto ampliatorio de instrucción de fecha 28 de enero de 2010, de fojas 163); estando a ello la alegada falta de motivación resulta desestimable”.</w:t>
      </w:r>
    </w:p>
    <w:p w14:paraId="1FC88D06" w14:textId="77777777" w:rsidR="009E6E2E" w:rsidRPr="000D3432" w:rsidRDefault="009E6E2E" w:rsidP="009E6E2E">
      <w:pPr>
        <w:jc w:val="both"/>
        <w:rPr>
          <w:rFonts w:asciiTheme="minorHAnsi" w:hAnsiTheme="minorHAnsi"/>
          <w:szCs w:val="24"/>
          <w:lang w:val="es-ES_tradnl"/>
        </w:rPr>
      </w:pPr>
    </w:p>
    <w:p w14:paraId="6BD6ED41" w14:textId="77777777" w:rsidR="009E6E2E" w:rsidRPr="000D3432" w:rsidRDefault="009E6E2E" w:rsidP="009E6E2E">
      <w:pPr>
        <w:jc w:val="both"/>
        <w:rPr>
          <w:rFonts w:asciiTheme="minorHAnsi" w:hAnsiTheme="minorHAnsi"/>
          <w:b/>
          <w:szCs w:val="24"/>
          <w:u w:val="single"/>
          <w:lang w:val="es-ES_tradnl"/>
        </w:rPr>
      </w:pPr>
      <w:r w:rsidRPr="000D3432">
        <w:rPr>
          <w:rFonts w:asciiTheme="minorHAnsi" w:hAnsiTheme="minorHAnsi"/>
          <w:b/>
          <w:szCs w:val="24"/>
          <w:u w:val="single"/>
          <w:lang w:val="es-ES_tradnl"/>
        </w:rPr>
        <w:t xml:space="preserve">En el caso de no encontrarse colegiado:  </w:t>
      </w:r>
    </w:p>
    <w:p w14:paraId="2F58BACB" w14:textId="77777777" w:rsidR="009E6E2E" w:rsidRPr="000D3432" w:rsidRDefault="009E6E2E" w:rsidP="009E6E2E">
      <w:pPr>
        <w:jc w:val="both"/>
        <w:rPr>
          <w:rFonts w:asciiTheme="minorHAnsi" w:hAnsiTheme="minorHAnsi"/>
          <w:color w:val="000000"/>
          <w:szCs w:val="24"/>
          <w:lang w:val="es-ES_tradnl"/>
        </w:rPr>
      </w:pPr>
      <w:r w:rsidRPr="000D3432">
        <w:rPr>
          <w:rFonts w:asciiTheme="minorHAnsi" w:hAnsiTheme="minorHAnsi"/>
          <w:szCs w:val="24"/>
          <w:lang w:val="es-ES_tradnl"/>
        </w:rPr>
        <w:t xml:space="preserve">De acuerdo con el </w:t>
      </w:r>
      <w:r w:rsidRPr="000D3432">
        <w:rPr>
          <w:rFonts w:asciiTheme="minorHAnsi" w:hAnsiTheme="minorHAnsi"/>
          <w:b/>
          <w:bCs/>
          <w:color w:val="000000"/>
          <w:szCs w:val="24"/>
          <w:lang w:val="es-ES_tradnl"/>
        </w:rPr>
        <w:t>EXP. N.° 04637-2008-PHC/TC: “</w:t>
      </w:r>
      <w:r w:rsidRPr="000D3432">
        <w:rPr>
          <w:rFonts w:asciiTheme="minorHAnsi" w:hAnsiTheme="minorHAnsi"/>
          <w:color w:val="000000"/>
          <w:szCs w:val="24"/>
          <w:lang w:val="es-ES_tradnl"/>
        </w:rPr>
        <w:t>Refiere que ha sido condenado por el delito de ejercicio ilegal de la profesión por el hecho de no haber estado colegiado en el Colegio de Ingenieros de Huancavelica, pese a que la doctrina y la jurisprudencia señalan que este delito se circunscribe solamente al ejercicio ilegal de la profesión sin contar con un título profesional, o al que se ejerce con un título falso, pero que no incluye al ejercicio de la profesión sin estar colegiado. Agrega que este último supuesto podría constituir una infracción al Estatuto del Colegio respectivo, pero no puede ser asimilado por analogía como una conducta sancionable con el tipo penal de ejercicio ilegal de la profesión, por lo que al haberse obrado de este modo se ha vulnerado los derechos invocados”. </w:t>
      </w:r>
    </w:p>
    <w:p w14:paraId="7A02D20A" w14:textId="77777777" w:rsidR="009E6E2E" w:rsidRPr="000D3432" w:rsidRDefault="009E6E2E" w:rsidP="009E6E2E">
      <w:pPr>
        <w:jc w:val="both"/>
        <w:rPr>
          <w:rFonts w:asciiTheme="minorHAnsi" w:hAnsiTheme="minorHAnsi"/>
          <w:szCs w:val="24"/>
          <w:lang w:val="es-ES_tradnl"/>
        </w:rPr>
      </w:pPr>
    </w:p>
    <w:p w14:paraId="5940B0BC" w14:textId="77777777" w:rsidR="009E6E2E" w:rsidRPr="000D3432" w:rsidRDefault="009E6E2E" w:rsidP="009E6E2E">
      <w:pPr>
        <w:jc w:val="both"/>
        <w:rPr>
          <w:rFonts w:asciiTheme="minorHAnsi" w:hAnsiTheme="minorHAnsi"/>
          <w:szCs w:val="24"/>
          <w:lang w:val="es-ES_tradnl"/>
        </w:rPr>
      </w:pPr>
    </w:p>
    <w:p w14:paraId="21C8F3BE" w14:textId="77777777" w:rsidR="009E6E2E" w:rsidRPr="000D3432" w:rsidRDefault="009E6E2E" w:rsidP="009E6E2E">
      <w:pPr>
        <w:jc w:val="both"/>
        <w:rPr>
          <w:rFonts w:asciiTheme="minorHAnsi" w:hAnsiTheme="minorHAnsi"/>
          <w:b/>
          <w:szCs w:val="24"/>
          <w:u w:val="single"/>
          <w:lang w:val="es-ES_tradnl"/>
        </w:rPr>
      </w:pPr>
      <w:r w:rsidRPr="000D3432">
        <w:rPr>
          <w:rFonts w:asciiTheme="minorHAnsi" w:hAnsiTheme="minorHAnsi"/>
          <w:b/>
          <w:szCs w:val="24"/>
          <w:u w:val="single"/>
          <w:lang w:val="es-ES_tradnl"/>
        </w:rPr>
        <w:t>Recurso de Queja Excepcional:</w:t>
      </w:r>
    </w:p>
    <w:p w14:paraId="353B7287" w14:textId="77777777" w:rsidR="009E6E2E" w:rsidRPr="000D3432" w:rsidRDefault="009E6E2E" w:rsidP="009E6E2E">
      <w:pPr>
        <w:jc w:val="both"/>
        <w:rPr>
          <w:rFonts w:asciiTheme="minorHAnsi" w:hAnsiTheme="minorHAnsi"/>
          <w:color w:val="000000"/>
          <w:szCs w:val="24"/>
          <w:lang w:val="es-ES_tradnl"/>
        </w:rPr>
      </w:pPr>
      <w:r w:rsidRPr="000D3432">
        <w:rPr>
          <w:rFonts w:asciiTheme="minorHAnsi" w:hAnsiTheme="minorHAnsi"/>
          <w:szCs w:val="24"/>
          <w:lang w:val="es-ES_tradnl"/>
        </w:rPr>
        <w:t xml:space="preserve">De acuerdo con el </w:t>
      </w:r>
      <w:r w:rsidRPr="000D3432">
        <w:rPr>
          <w:rFonts w:asciiTheme="minorHAnsi" w:hAnsiTheme="minorHAnsi"/>
          <w:b/>
          <w:bCs/>
          <w:color w:val="000000"/>
          <w:szCs w:val="24"/>
          <w:lang w:val="es-ES_tradnl"/>
        </w:rPr>
        <w:t>EXP. N.° 04637-2008-PHC/TC: “</w:t>
      </w:r>
      <w:r w:rsidRPr="000D3432">
        <w:rPr>
          <w:rFonts w:asciiTheme="minorHAnsi" w:hAnsiTheme="minorHAnsi"/>
          <w:color w:val="000000"/>
          <w:szCs w:val="24"/>
          <w:lang w:val="es-ES_tradnl"/>
        </w:rPr>
        <w:t>Que de las instrumentales que corren en estos autos se advierte que la resolución en cuestión de fecha 3 de julio de 2007, recaída en el Exp. N.º 2004-426 (fojas 2), que confirma la condena impuesta al recurrente por el delito de ejercicio ilegal de la profesión a 2 años de pena privativa de la libertad suspendida ha sido oportunamente impugnada mediante recurso de queja excepcional, siendo elevados los actuados a</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la Corte Suprema</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de Justicia de</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la República</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(fojas 362 y 385-A, del Exp.</w:t>
      </w:r>
      <w:r w:rsidRPr="000D3432">
        <w:rPr>
          <w:rStyle w:val="apple-converted-space"/>
          <w:rFonts w:asciiTheme="minorHAnsi" w:hAnsiTheme="minorHAnsi"/>
          <w:color w:val="000000"/>
          <w:szCs w:val="24"/>
          <w:lang w:val="es-ES_tradnl"/>
        </w:rPr>
        <w:t> </w:t>
      </w:r>
      <w:r w:rsidRPr="000D3432">
        <w:rPr>
          <w:rStyle w:val="grame"/>
          <w:rFonts w:asciiTheme="minorHAnsi" w:hAnsiTheme="minorHAnsi"/>
          <w:color w:val="000000"/>
          <w:szCs w:val="24"/>
          <w:lang w:val="es-ES_tradnl"/>
        </w:rPr>
        <w:t>N.º</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2004-426 acompañado), lo que nos permite concluir que la resolución en cuestión se encuentra pendiente de pronunciamiento judicial por</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la Sala</w:t>
      </w:r>
      <w:r w:rsidRPr="000D3432">
        <w:rPr>
          <w:rStyle w:val="apple-converted-space"/>
          <w:rFonts w:asciiTheme="minorHAnsi" w:hAnsiTheme="minorHAnsi"/>
          <w:color w:val="000000"/>
          <w:szCs w:val="24"/>
          <w:lang w:val="es-ES_tradnl"/>
        </w:rPr>
        <w:t> </w:t>
      </w:r>
      <w:r w:rsidRPr="000D3432">
        <w:rPr>
          <w:rFonts w:asciiTheme="minorHAnsi" w:hAnsiTheme="minorHAnsi"/>
          <w:color w:val="000000"/>
          <w:szCs w:val="24"/>
          <w:lang w:val="es-ES_tradnl"/>
        </w:rPr>
        <w:t>revisora competente.”</w:t>
      </w:r>
    </w:p>
    <w:p w14:paraId="44A568DA" w14:textId="77777777" w:rsidR="009E6E2E" w:rsidRPr="000D3432" w:rsidRDefault="009E6E2E" w:rsidP="009E6E2E">
      <w:pPr>
        <w:jc w:val="both"/>
        <w:rPr>
          <w:rFonts w:asciiTheme="minorHAnsi" w:hAnsiTheme="minorHAnsi"/>
          <w:szCs w:val="24"/>
          <w:lang w:val="es-ES_tradnl"/>
        </w:rPr>
      </w:pPr>
    </w:p>
    <w:p w14:paraId="18B45BCC" w14:textId="77777777" w:rsidR="009E6E2E" w:rsidRPr="000D3432" w:rsidRDefault="009E6E2E" w:rsidP="009E6E2E">
      <w:pPr>
        <w:jc w:val="both"/>
        <w:rPr>
          <w:rFonts w:asciiTheme="minorHAnsi" w:hAnsiTheme="minorHAnsi"/>
          <w:szCs w:val="24"/>
          <w:lang w:val="es-ES_tradnl"/>
        </w:rPr>
      </w:pPr>
    </w:p>
    <w:p w14:paraId="5A326A77" w14:textId="77777777" w:rsidR="009E6E2E" w:rsidRPr="000D3432" w:rsidRDefault="009E6E2E" w:rsidP="009E6E2E">
      <w:pPr>
        <w:jc w:val="both"/>
        <w:rPr>
          <w:rFonts w:asciiTheme="minorHAnsi" w:hAnsiTheme="minorHAnsi" w:cs="Arial"/>
          <w:szCs w:val="24"/>
          <w:lang w:val="es-ES_tradnl"/>
        </w:rPr>
      </w:pPr>
    </w:p>
    <w:p w14:paraId="5B2B2A66" w14:textId="77777777" w:rsidR="009E6E2E" w:rsidRPr="000D3432" w:rsidRDefault="009E6E2E" w:rsidP="009E6E2E">
      <w:pPr>
        <w:ind w:left="1416"/>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IV</w:t>
      </w:r>
    </w:p>
    <w:p w14:paraId="22067CB9" w14:textId="77777777" w:rsidR="009E6E2E" w:rsidRPr="000D3432" w:rsidRDefault="009E6E2E" w:rsidP="009E6E2E">
      <w:pPr>
        <w:ind w:left="1416"/>
        <w:jc w:val="center"/>
        <w:rPr>
          <w:rFonts w:asciiTheme="minorHAnsi" w:hAnsiTheme="minorHAnsi" w:cs="Arial"/>
          <w:b/>
          <w:szCs w:val="24"/>
          <w:lang w:val="es-ES_tradnl"/>
        </w:rPr>
      </w:pPr>
      <w:r w:rsidRPr="000D3432">
        <w:rPr>
          <w:rFonts w:asciiTheme="minorHAnsi" w:hAnsiTheme="minorHAnsi" w:cs="Arial"/>
          <w:b/>
          <w:szCs w:val="24"/>
          <w:lang w:val="es-ES_tradnl"/>
        </w:rPr>
        <w:t>PARTICIPACIÓN EN EJERCICIO ILEGAL DE LA PROFESIÓN</w:t>
      </w:r>
    </w:p>
    <w:p w14:paraId="6DEB8DBC" w14:textId="77777777" w:rsidR="009E6E2E" w:rsidRPr="000D3432" w:rsidRDefault="009E6E2E" w:rsidP="009E6E2E">
      <w:pPr>
        <w:rPr>
          <w:rFonts w:asciiTheme="minorHAnsi" w:hAnsiTheme="minorHAnsi"/>
          <w:b/>
          <w:szCs w:val="24"/>
          <w:lang w:val="es-ES_tradnl"/>
        </w:rPr>
      </w:pPr>
    </w:p>
    <w:p w14:paraId="00A95EE9"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 Concepto Legal del Delito de Ejercicio Ilegal de la Profesión</w:t>
      </w:r>
    </w:p>
    <w:p w14:paraId="7CAABCA0" w14:textId="77777777" w:rsidR="009E6E2E" w:rsidRPr="000D3432" w:rsidRDefault="009E6E2E" w:rsidP="009E6E2E">
      <w:pPr>
        <w:jc w:val="both"/>
        <w:rPr>
          <w:rFonts w:asciiTheme="minorHAnsi" w:hAnsiTheme="minorHAnsi" w:cs="Arial"/>
          <w:szCs w:val="24"/>
          <w:lang w:val="es-ES_tradnl"/>
        </w:rPr>
      </w:pPr>
    </w:p>
    <w:p w14:paraId="3D1337DE"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La participación en el ejercicio ilegal de la profesión es un tipo de delito que pretende evitar aquellas conductas por las cuales un profesional, presta, vende, cede, su firma -y lo que significa ello, como garantiía de profesonalización, licencia para determinados actos, etc.- a una persona que no tiene título profesional. Este tipo de conductas suelen suceder en todos los niveles, en algunos con mayor amplitud que en otros. Por ejemplo, es conocido que los proyectos de las resoluciones judiciales son hechos por los secretarios o asistentes judiciales, y los jueces las revisan algunas veces, modifican, amplian, o simplemente las dejan intactas y estampan sus firmas. ¿No constituiría aquello delito de "participación en el ejercicio ilegal de una profesión"?; o caso aquellos otros casos en donde el practicante o asistente técnico de un ingenio, arquitecto, realizza los perfiles de inversión pública, los proyectos y planos arquitectónicos, los proyectos o informes de gestión, informes técnicos y luego son firmados por su superior, por el ingeniero o ¿No configuracían aquello delitos de participación en el ejericcio ilegal de la profesión?</w:t>
      </w:r>
    </w:p>
    <w:p w14:paraId="25531AB0" w14:textId="77777777" w:rsidR="009E6E2E" w:rsidRPr="000D3432" w:rsidRDefault="009E6E2E" w:rsidP="009E6E2E">
      <w:pPr>
        <w:jc w:val="both"/>
        <w:rPr>
          <w:rFonts w:asciiTheme="minorHAnsi" w:hAnsiTheme="minorHAnsi" w:cs="Arial"/>
          <w:szCs w:val="24"/>
          <w:lang w:val="es-ES_tradnl"/>
        </w:rPr>
      </w:pPr>
    </w:p>
    <w:p w14:paraId="0033A004"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Es necesario distinguir bien las líneas funcionales para no cometer este tipo delictivo. </w:t>
      </w:r>
    </w:p>
    <w:p w14:paraId="578E7745" w14:textId="77777777" w:rsidR="009E6E2E" w:rsidRPr="000D3432" w:rsidRDefault="009E6E2E" w:rsidP="009E6E2E">
      <w:pPr>
        <w:jc w:val="both"/>
        <w:rPr>
          <w:rFonts w:asciiTheme="minorHAnsi" w:hAnsiTheme="minorHAnsi" w:cs="Arial"/>
          <w:szCs w:val="24"/>
          <w:lang w:val="es-ES_tradnl"/>
        </w:rPr>
      </w:pPr>
    </w:p>
    <w:p w14:paraId="0F82664A"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Estas conductas, de firmar documentos, informes técnicos, resoluciones, etc., tiene que regularse mejor, porque sólo permite generar un falso "laborar" o trabajo con la excusa que es imposible que el profesional, juez, ingeniero, arquitecto, haga todo; pues si bien las responsabilidades de los documentos firmdos se centran en el firmante, los beneficios también. Pongamos el caso de un juez, que no hace más que firmar sentencias que ha proyectado o realizado su asistente judicial o secretario. El juez podrá poner en su haber las sentencias que ha firmado, como un trabajo suyo Además en los procesos de ratificación puede poner dichas sentencias como suyas; lo que a nuestros parecer sería una apropiación del trabajo de los demás que aún no se encuentra regulado adecuadamente. </w:t>
      </w:r>
    </w:p>
    <w:p w14:paraId="189AED0B" w14:textId="77777777" w:rsidR="009E6E2E" w:rsidRPr="000D3432" w:rsidRDefault="009E6E2E" w:rsidP="009E6E2E">
      <w:pPr>
        <w:jc w:val="both"/>
        <w:rPr>
          <w:rFonts w:asciiTheme="minorHAnsi" w:hAnsiTheme="minorHAnsi" w:cs="Arial"/>
          <w:szCs w:val="24"/>
          <w:lang w:val="es-ES_tradnl"/>
        </w:rPr>
      </w:pPr>
    </w:p>
    <w:p w14:paraId="0A846F67"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De estos ejercicios enunciados líneas arriba se desprenden muchas posibilidades de "abuso", "perjuicio", y hasta "robo" del esfuerzo de los demás. </w:t>
      </w:r>
    </w:p>
    <w:p w14:paraId="15B282EF" w14:textId="77777777" w:rsidR="009E6E2E" w:rsidRPr="000D3432" w:rsidRDefault="009E6E2E" w:rsidP="009E6E2E">
      <w:pPr>
        <w:jc w:val="both"/>
        <w:rPr>
          <w:rFonts w:asciiTheme="minorHAnsi" w:hAnsiTheme="minorHAnsi" w:cs="Arial"/>
          <w:szCs w:val="24"/>
          <w:lang w:val="es-ES_tradnl"/>
        </w:rPr>
      </w:pPr>
    </w:p>
    <w:p w14:paraId="7C55CD5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Por otro lado, si una persona no tiene profesión pero ejerce una profesión a través de alguien que e presta dicha licencia con su firma, está de todas maneras defraudando a la sociedad, al Estado y hasta al propio profesional. </w:t>
      </w:r>
    </w:p>
    <w:p w14:paraId="02B427A7" w14:textId="77777777" w:rsidR="009E6E2E" w:rsidRPr="000D3432" w:rsidRDefault="009E6E2E" w:rsidP="009E6E2E">
      <w:pPr>
        <w:jc w:val="both"/>
        <w:rPr>
          <w:rFonts w:asciiTheme="minorHAnsi" w:hAnsiTheme="minorHAnsi" w:cs="Arial"/>
          <w:szCs w:val="24"/>
          <w:lang w:val="es-ES_tradnl"/>
        </w:rPr>
      </w:pPr>
    </w:p>
    <w:p w14:paraId="5461F46E"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Ahora bien, dice un juez, si éste hace una plantilla o fórmula de proyecto de resolución o sentencia, y luego le indica a su secretario que con diha plantilla o modelo, cambiando datos, confeccione nuevas resoluciones para nuevos casos, o casos similares, entonces, ¿no habría allí abuso; sin embargo cabe la pregunta de si se puede usar plantillas para casos similares. Puede ser, no obstante, si los hechos o facores son similares, las respuestas pueden ser similares, pero no es así a nuestro parecer, porque habrá algo que nunca será similar en todos los casos: la persona,, la constitucioó de la persona, y no se puede -a nuestro arbitrario parecer- juzgar a una persona igual que a otra persona, porque si bien se juzgan las conductas, estas últimas parte de un ser -persona- que siempre será único irrepetible, talvez igual, o similar, pero siempre diferente, y sujetos diferentes, respuestas diferentes. El Derecho no está hecho para aplicarse de una misma forma porque la constitución de la responsabilidad nunca será igual.  Un delito debe focalizarse en sancionar la conducta delictiva, independientemente de quien lo haya realizado, pero la sanción tiene que aplicarse en la dimensiones de la calilficación de las condiciones físicas mentales del imputado.  </w:t>
      </w:r>
    </w:p>
    <w:p w14:paraId="4CEAF3BC" w14:textId="77777777" w:rsidR="009E6E2E" w:rsidRPr="000D3432" w:rsidRDefault="009E6E2E" w:rsidP="009E6E2E">
      <w:pPr>
        <w:jc w:val="both"/>
        <w:rPr>
          <w:rFonts w:asciiTheme="minorHAnsi" w:hAnsiTheme="minorHAnsi" w:cs="Arial"/>
          <w:szCs w:val="24"/>
          <w:lang w:val="es-ES_tradnl"/>
        </w:rPr>
      </w:pPr>
    </w:p>
    <w:p w14:paraId="6C95409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Idea o propuesta normativa: </w:t>
      </w:r>
    </w:p>
    <w:p w14:paraId="34DCFEFC"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Nusetra legislación penal prescribe que quien comete delito puede ser sancionado con pena privativa de la libertad (cárcel), y esta es la mayor sanción, sin embargo el problema delictivo no se resuelve solo se castiga. Asi que nuestra propuesta va por agregarle a la sanción de cárcel (si no hay otra opción) la de "resarcimiento del daño causado"; es decir, si una persona ha robado, y se ls sentencia por robo, luego se le ingresa al penal, debe agregársele la deuda para que reponga, devuelva el bien robado o el monto del bien robado (costo vigente), de esta forma la sanción no se vuelve sólo degenerativa, sino que se reapara el daño causado.</w:t>
      </w:r>
    </w:p>
    <w:p w14:paraId="1D2EE0B1" w14:textId="77777777" w:rsidR="009E6E2E" w:rsidRPr="000D3432" w:rsidRDefault="009E6E2E" w:rsidP="009E6E2E">
      <w:pPr>
        <w:rPr>
          <w:rFonts w:asciiTheme="minorHAnsi" w:hAnsiTheme="minorHAnsi"/>
          <w:b/>
          <w:szCs w:val="24"/>
          <w:lang w:val="es-ES_tradnl"/>
        </w:rPr>
      </w:pPr>
    </w:p>
    <w:p w14:paraId="2A6EA34B"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2)  Concepto Legal: </w:t>
      </w:r>
    </w:p>
    <w:p w14:paraId="717B488A" w14:textId="77777777" w:rsidR="009E6E2E" w:rsidRPr="000D3432" w:rsidRDefault="009E6E2E" w:rsidP="009E6E2E">
      <w:pPr>
        <w:rPr>
          <w:rFonts w:asciiTheme="minorHAnsi" w:hAnsiTheme="minorHAnsi"/>
          <w:szCs w:val="24"/>
          <w:lang w:val="es-ES_tradnl"/>
        </w:rPr>
      </w:pPr>
    </w:p>
    <w:p w14:paraId="219ABD3C"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szCs w:val="24"/>
          <w:lang w:val="es-ES_tradnl"/>
        </w:rPr>
        <w:t>De acuerdo con el Código Penal se establece: “</w:t>
      </w:r>
      <w:r w:rsidRPr="000D3432">
        <w:rPr>
          <w:rFonts w:asciiTheme="minorHAnsi" w:hAnsiTheme="minorHAnsi" w:cs="Arial"/>
          <w:b/>
          <w:bCs/>
          <w:color w:val="000000"/>
          <w:szCs w:val="24"/>
          <w:lang w:val="es-ES_tradnl" w:eastAsia="es-PE"/>
        </w:rPr>
        <w:t>Participación en ejercicio ilegal de la profesión.- Artículo 364.-</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 xml:space="preserve">El profesional que ampara con su firma el trabajo de quien no tiene título para ejercerlo, será reprimido con pena privativa de libertad no mayor de cuatro años e inhabilitación de uno a tres años conforme al artículo 36º,  incisos 1 y 2.”. </w:t>
      </w:r>
    </w:p>
    <w:p w14:paraId="485A7E3D" w14:textId="77777777" w:rsidR="009E6E2E" w:rsidRPr="000D3432" w:rsidRDefault="009E6E2E" w:rsidP="009E6E2E">
      <w:pPr>
        <w:jc w:val="both"/>
        <w:rPr>
          <w:rFonts w:asciiTheme="minorHAnsi" w:hAnsiTheme="minorHAnsi" w:cs="Arial"/>
          <w:b/>
          <w:szCs w:val="24"/>
          <w:lang w:val="es-ES_tradnl"/>
        </w:rPr>
      </w:pPr>
    </w:p>
    <w:p w14:paraId="52A9C306"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II</w:t>
      </w:r>
    </w:p>
    <w:p w14:paraId="55ABA75A" w14:textId="77777777" w:rsidR="009E6E2E" w:rsidRPr="000D3432" w:rsidRDefault="009E6E2E" w:rsidP="009E6E2E">
      <w:pPr>
        <w:jc w:val="center"/>
        <w:rPr>
          <w:rFonts w:asciiTheme="minorHAnsi" w:hAnsiTheme="minorHAnsi" w:cs="Arial"/>
          <w:b/>
          <w:color w:val="C0504D"/>
          <w:szCs w:val="24"/>
          <w:lang w:val="es-ES_tradnl"/>
        </w:rPr>
      </w:pPr>
      <w:r w:rsidRPr="000D3432">
        <w:rPr>
          <w:rFonts w:asciiTheme="minorHAnsi" w:hAnsiTheme="minorHAnsi" w:cs="Arial"/>
          <w:b/>
          <w:color w:val="C0504D"/>
          <w:szCs w:val="24"/>
          <w:lang w:val="es-ES_tradnl"/>
        </w:rPr>
        <w:t>VIOLENCIA Y RESISTENCIA A LA AUTORIDAD</w:t>
      </w:r>
    </w:p>
    <w:p w14:paraId="3540104C" w14:textId="77777777" w:rsidR="009E6E2E" w:rsidRPr="000D3432" w:rsidRDefault="009E6E2E" w:rsidP="009E6E2E">
      <w:pPr>
        <w:ind w:left="1416"/>
        <w:jc w:val="both"/>
        <w:rPr>
          <w:rFonts w:asciiTheme="minorHAnsi" w:hAnsiTheme="minorHAnsi" w:cs="Arial"/>
          <w:szCs w:val="24"/>
          <w:lang w:val="es-ES_tradnl"/>
        </w:rPr>
      </w:pPr>
    </w:p>
    <w:p w14:paraId="75BDFCF6"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1.- Conceptos del Delito de Violencia y Resistencia a la Autoridad</w:t>
      </w:r>
    </w:p>
    <w:p w14:paraId="149E62E7" w14:textId="77777777" w:rsidR="009E6E2E" w:rsidRPr="000D3432" w:rsidRDefault="009E6E2E" w:rsidP="009E6E2E">
      <w:pPr>
        <w:rPr>
          <w:rFonts w:asciiTheme="minorHAnsi" w:hAnsiTheme="minorHAnsi"/>
          <w:b/>
          <w:szCs w:val="24"/>
          <w:lang w:val="es-ES_tradnl"/>
        </w:rPr>
      </w:pPr>
    </w:p>
    <w:p w14:paraId="1B450360"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En este tipo delictivo se observan varios conceptos propios, que permite hacer ciertas distinciiones, como por ejemplo "alzamiento público", "violencia", "amenaza", "autoridad", "funcionario", "servidor público",  "le compele, obliga o estorba en el ejercicio de sus funciones". </w:t>
      </w:r>
    </w:p>
    <w:p w14:paraId="419F29FB" w14:textId="77777777" w:rsidR="009E6E2E" w:rsidRPr="000D3432" w:rsidRDefault="009E6E2E" w:rsidP="009E6E2E">
      <w:pPr>
        <w:jc w:val="both"/>
        <w:rPr>
          <w:rFonts w:asciiTheme="minorHAnsi" w:hAnsiTheme="minorHAnsi" w:cs="Arial"/>
          <w:szCs w:val="24"/>
          <w:lang w:val="es-ES_tradnl"/>
        </w:rPr>
      </w:pPr>
    </w:p>
    <w:p w14:paraId="121A4D31"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La violencia puede defirnirse como el uso de la fuerza física que vulenera, condiciona la voluntad de otra persona. La violencia física o psíquica, en una sociedad con EStado de Derecho, se encuentra proscrita, pues es atribución o monopolio del Estado, que sólo la puede usar en casos justificados, porque la violencia supone desigualdad de fuerzas. Una persona que utiliza la violencia (la fuerza) es aquella que se excede y comete abuso en contra de otro. Una conducta se convierte en violencia cuando violenta, altera, o e practica en contra de la voluntad o aceptación de otra persona y en perjuicio de la otra persona que se ve immpedido de poder resistir dicha violencia. El elemento de la violencia puede ser el rompiento de la voluntad, o aceptación del otro sin embargo, también se puede llevar a cabo -la violencia- con aceptación o resignación del otro. La violencia se perfecciona cuando, independientemente de la voluntad o no del violentado, se daña, agravia, violenta, los derechos (a la vida, a la libertad, a la integridad física o psíquiica, etc.) de los demás. No se requiere en extremo que haya o no consentimiento. De esta forma, nadie puede ejercer vioilencia si no es por estricta justificación de la ley. Esto es un principio constitucional. </w:t>
      </w:r>
    </w:p>
    <w:p w14:paraId="160FFD76" w14:textId="77777777" w:rsidR="009E6E2E" w:rsidRPr="000D3432" w:rsidRDefault="009E6E2E" w:rsidP="009E6E2E">
      <w:pPr>
        <w:jc w:val="both"/>
        <w:rPr>
          <w:rFonts w:asciiTheme="minorHAnsi" w:hAnsiTheme="minorHAnsi" w:cs="Arial"/>
          <w:szCs w:val="24"/>
          <w:lang w:val="es-ES_tradnl"/>
        </w:rPr>
      </w:pPr>
    </w:p>
    <w:p w14:paraId="7E7B553B"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Entendido aquello de la violencia, en el tipo delicivo analizado, el problema se torna grave, porque la violencia se realiza contra una "autoridad", "funcionario", "servidor público", es decir, contra alguien que además de ser un ciudadaano ha sido investido de cierto poder para decidir sobre la administración de alguna parte de los bienes puúlicos (orden, protección, etc.), por lo tanto la afectación ya no es sólo el ejercicio de violencia contra un individuo cualquiera, sino contra toda la administración pública, contra los deberes que se le han encargado para el buen funcionamiento de la sociedad; porque se rompe el estatus político jurídico del Estado y su organización institucional. Se atenta contra la institucionalidad, contra lo que representa la autoridad, pues las funciones o conductas de aquel sólo se justifican en bien de lograr cumplir objetivos públicos, como la seguridad jurídica, el respeto a las normas constitucionales, etc.</w:t>
      </w:r>
    </w:p>
    <w:p w14:paraId="5C81AF91" w14:textId="77777777" w:rsidR="009E6E2E" w:rsidRPr="000D3432" w:rsidRDefault="009E6E2E" w:rsidP="009E6E2E">
      <w:pPr>
        <w:jc w:val="both"/>
        <w:rPr>
          <w:rFonts w:asciiTheme="minorHAnsi" w:hAnsiTheme="minorHAnsi" w:cs="Arial"/>
          <w:szCs w:val="24"/>
          <w:lang w:val="es-ES_tradnl"/>
        </w:rPr>
      </w:pPr>
    </w:p>
    <w:p w14:paraId="763946A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El delito se configura cuando una persona obliga (hace por la violencia o fuerza fisíca que realice o no una labor que solo puede realizar en su calidad de autoridad, funcionario o servidor públicos) o amenaza (condiciona mentalmente con la posibilidad de causar un daño posterior de no hacerse lo que se impele haga o no haga la autoridad, funcionario o servidor públicos). </w:t>
      </w:r>
    </w:p>
    <w:p w14:paraId="0E598ED4" w14:textId="77777777" w:rsidR="009E6E2E" w:rsidRPr="000D3432" w:rsidRDefault="009E6E2E" w:rsidP="009E6E2E">
      <w:pPr>
        <w:jc w:val="both"/>
        <w:rPr>
          <w:rFonts w:asciiTheme="minorHAnsi" w:hAnsiTheme="minorHAnsi" w:cs="Arial"/>
          <w:szCs w:val="24"/>
          <w:lang w:val="es-ES_tradnl"/>
        </w:rPr>
      </w:pPr>
    </w:p>
    <w:p w14:paraId="1CC91A2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Los tipos de casos, violencia o amenaza son pues sancionables porque producen el mismo efecto: obligar a asumir una conducta determinada (hacer o no) utilizando su calidad de autoridad, funcionario o servidor público. Claro que éste último tiene la obligacioó de resistir, pero no a cost de su intgegridad física o psíquica. </w:t>
      </w:r>
    </w:p>
    <w:p w14:paraId="69FE3545" w14:textId="77777777" w:rsidR="009E6E2E" w:rsidRPr="000D3432" w:rsidRDefault="009E6E2E" w:rsidP="009E6E2E">
      <w:pPr>
        <w:jc w:val="both"/>
        <w:rPr>
          <w:rFonts w:asciiTheme="minorHAnsi" w:hAnsiTheme="minorHAnsi" w:cs="Arial"/>
          <w:szCs w:val="24"/>
          <w:lang w:val="es-ES_tradnl"/>
        </w:rPr>
      </w:pPr>
    </w:p>
    <w:p w14:paraId="584E7ABF"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szCs w:val="24"/>
          <w:lang w:val="es-ES_tradnl"/>
        </w:rPr>
        <w:t xml:space="preserve">Uno de los casos mas resaltantes  conocidos es el "Moqueguanazo". Levantamiento de la población de la ciudad de Moquegua, quienes protestando por una diferente asignación y repartición del canon minero para su región, obligaron a rendirse a los policiaí que se apersonaron para controlar dichos desmanes sociales.  </w:t>
      </w:r>
    </w:p>
    <w:p w14:paraId="55C7D3B1" w14:textId="77777777" w:rsidR="009E6E2E" w:rsidRPr="000D3432" w:rsidRDefault="009E6E2E" w:rsidP="009E6E2E">
      <w:pPr>
        <w:rPr>
          <w:rFonts w:asciiTheme="minorHAnsi" w:hAnsiTheme="minorHAnsi"/>
          <w:szCs w:val="24"/>
          <w:lang w:val="es-ES_tradnl"/>
        </w:rPr>
      </w:pPr>
    </w:p>
    <w:p w14:paraId="6E111320"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 xml:space="preserve">b)  Concepto Legal: </w:t>
      </w:r>
    </w:p>
    <w:p w14:paraId="2017AD0F" w14:textId="77777777" w:rsidR="009E6E2E" w:rsidRPr="000D3432" w:rsidRDefault="009E6E2E" w:rsidP="009E6E2E">
      <w:pPr>
        <w:rPr>
          <w:rFonts w:asciiTheme="minorHAnsi" w:hAnsiTheme="minorHAnsi"/>
          <w:szCs w:val="24"/>
          <w:lang w:val="es-ES_tradnl"/>
        </w:rPr>
      </w:pPr>
    </w:p>
    <w:p w14:paraId="4756EACC"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szCs w:val="24"/>
          <w:lang w:val="es-ES_tradnl"/>
        </w:rPr>
        <w:t>De acuerdo con el Código Penal se establece: “”</w:t>
      </w:r>
      <w:r w:rsidRPr="000D3432">
        <w:rPr>
          <w:rFonts w:asciiTheme="minorHAnsi" w:hAnsiTheme="minorHAnsi" w:cs="Arial"/>
          <w:b/>
          <w:bCs/>
          <w:color w:val="000000"/>
          <w:szCs w:val="24"/>
          <w:lang w:val="es-ES_tradnl" w:eastAsia="es-PE"/>
        </w:rPr>
        <w:t>Violencia contra la autoridad para obligarle a algo.- Artículo 365.-</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sin alzamiento público, mediante violencia o amenaza, impide a una autoridad o a un funcionario o servidor público ejercer sus funciones o le obliga a practicar un determinado acto de sus funciones o le estorba en el ejercicio de éstas, será reprimido con pena privativa de libertad no mayor de dos años.”.</w:t>
      </w:r>
    </w:p>
    <w:p w14:paraId="6C7A5F7C" w14:textId="77777777" w:rsidR="009E6E2E" w:rsidRPr="000D3432" w:rsidRDefault="009E6E2E" w:rsidP="009E6E2E">
      <w:pPr>
        <w:jc w:val="both"/>
        <w:rPr>
          <w:rFonts w:asciiTheme="minorHAnsi" w:hAnsiTheme="minorHAnsi" w:cs="Arial"/>
          <w:szCs w:val="24"/>
          <w:lang w:val="es-ES_tradnl"/>
        </w:rPr>
      </w:pPr>
    </w:p>
    <w:p w14:paraId="2DAE0DE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II.-</w:t>
      </w:r>
    </w:p>
    <w:p w14:paraId="095872D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VIOLENCIA CONTRA LA AUTORIDAD PARA IMPEDIR EL EJERCICIO DE SUS FUNCIONES</w:t>
      </w:r>
    </w:p>
    <w:p w14:paraId="213AA216" w14:textId="77777777" w:rsidR="009E6E2E" w:rsidRPr="000D3432" w:rsidRDefault="009E6E2E" w:rsidP="009E6E2E">
      <w:pPr>
        <w:rPr>
          <w:rFonts w:asciiTheme="minorHAnsi" w:hAnsiTheme="minorHAnsi"/>
          <w:b/>
          <w:szCs w:val="24"/>
          <w:lang w:val="es-ES_tradnl"/>
        </w:rPr>
      </w:pPr>
    </w:p>
    <w:p w14:paraId="6168E2C2" w14:textId="77777777" w:rsidR="009E6E2E" w:rsidRPr="000D3432" w:rsidRDefault="009E6E2E" w:rsidP="009E6E2E">
      <w:pPr>
        <w:ind w:left="2832"/>
        <w:rPr>
          <w:rFonts w:asciiTheme="minorHAnsi" w:hAnsiTheme="minorHAnsi"/>
          <w:szCs w:val="24"/>
          <w:lang w:val="es-ES_tradnl"/>
        </w:rPr>
      </w:pPr>
    </w:p>
    <w:p w14:paraId="0FD0123C"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3C582E89"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xml:space="preserve">De acuerdo con el Código Penal, se establece: “Artículo 366.- Violencia contra la autoridad para impedir el ejercicio de sus funciones.- </w:t>
      </w:r>
      <w:r w:rsidRPr="000D3432">
        <w:rPr>
          <w:rFonts w:asciiTheme="minorHAnsi" w:hAnsiTheme="minorHAnsi" w:cs="Arial"/>
          <w:color w:val="000000"/>
          <w:szCs w:val="24"/>
          <w:lang w:val="es-ES_tradnl" w:eastAsia="es-PE"/>
        </w:rPr>
        <w:t>El que emplea intimidación o violencia contra un funcionario público o contra la persona que le presta asistencia en virtud de un deber legal o ante requerimiento de aquél, para impedir o trabar la ejecución de un acto propio de legítimo ejercicio de sus funciones, será reprimido con pena privativa de libertad no menor de dos ni mayor de cuatro años o con prestación de servicio comunitario de ochenta a ciento cuarenta jornadas.</w:t>
      </w:r>
      <w:r w:rsidRPr="000D3432">
        <w:rPr>
          <w:rFonts w:asciiTheme="minorHAnsi" w:hAnsiTheme="minorHAnsi" w:cs="Arial"/>
          <w:b/>
          <w:bCs/>
          <w:color w:val="000000"/>
          <w:szCs w:val="24"/>
          <w:lang w:val="es-ES_tradnl" w:eastAsia="es-PE"/>
        </w:rPr>
        <w:t xml:space="preserve">". </w:t>
      </w:r>
    </w:p>
    <w:p w14:paraId="1246FC87" w14:textId="77777777" w:rsidR="00334674" w:rsidRDefault="00334674" w:rsidP="009E6E2E">
      <w:pPr>
        <w:jc w:val="center"/>
        <w:rPr>
          <w:rFonts w:asciiTheme="minorHAnsi" w:hAnsiTheme="minorHAnsi" w:cs="Arial"/>
          <w:b/>
          <w:szCs w:val="24"/>
          <w:u w:val="single"/>
          <w:lang w:val="es-ES_tradnl"/>
        </w:rPr>
      </w:pPr>
    </w:p>
    <w:p w14:paraId="1DFE1417"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III</w:t>
      </w:r>
    </w:p>
    <w:p w14:paraId="3755736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RESISTENCIA O DESOBEDIENCIA A LA AUTORIDAD</w:t>
      </w:r>
    </w:p>
    <w:p w14:paraId="6439D17F" w14:textId="77777777" w:rsidR="009E6E2E" w:rsidRPr="000D3432" w:rsidRDefault="009E6E2E" w:rsidP="009E6E2E">
      <w:pPr>
        <w:rPr>
          <w:rFonts w:asciiTheme="minorHAnsi" w:hAnsiTheme="minorHAnsi"/>
          <w:b/>
          <w:szCs w:val="24"/>
          <w:lang w:val="es-ES_tradnl"/>
        </w:rPr>
      </w:pPr>
    </w:p>
    <w:p w14:paraId="1926D81F"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w:t>
      </w:r>
    </w:p>
    <w:p w14:paraId="023DCEB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xml:space="preserve">De acuerdo con el Código Penal se prescribe: </w:t>
      </w:r>
      <w:r w:rsidRPr="000D3432">
        <w:rPr>
          <w:rFonts w:asciiTheme="minorHAnsi" w:hAnsiTheme="minorHAnsi" w:cs="Arial"/>
          <w:b/>
          <w:bCs/>
          <w:color w:val="000000"/>
          <w:szCs w:val="24"/>
          <w:lang w:val="es-ES_tradnl" w:eastAsia="es-PE"/>
        </w:rPr>
        <w:t xml:space="preserve">"Artículo 368.- Resistencia o desobediencia a la autoridad.- </w:t>
      </w:r>
      <w:r w:rsidRPr="000D3432">
        <w:rPr>
          <w:rFonts w:asciiTheme="minorHAnsi" w:hAnsiTheme="minorHAnsi" w:cs="Arial"/>
          <w:color w:val="000000"/>
          <w:szCs w:val="24"/>
          <w:lang w:val="es-ES_tradnl" w:eastAsia="es-PE"/>
        </w:rPr>
        <w:t>El que desobedece o resiste la orden legalmente impartida por un funcionario público en el ejercicio de sus atribuciones, salvo que se trate de la propia detención, será reprimido con pena privativa de libertad no menor de seis meses ni mayor de dos años. / Cuando se desobedezca la orden de realizarse un análisis de sangre o de otros fluidos corporales que tenga por finalidad determinar el nivel, porcentaje o ingesta de alcohol, drogas tóxicas estupefacientes, sustancias psicotrópicas o sintéticas, la pena privativa de la libertad será no menor de seis meses ni mayor de cuatro años o prestación de servicios comunitarios de setenta a ciento cuarenta jornadas.</w:t>
      </w:r>
      <w:r w:rsidRPr="000D3432">
        <w:rPr>
          <w:rFonts w:asciiTheme="minorHAnsi" w:hAnsiTheme="minorHAnsi" w:cs="Arial"/>
          <w:b/>
          <w:bCs/>
          <w:color w:val="000000"/>
          <w:szCs w:val="24"/>
          <w:lang w:val="es-ES_tradnl" w:eastAsia="es-PE"/>
        </w:rPr>
        <w:t>"</w:t>
      </w:r>
    </w:p>
    <w:p w14:paraId="183017D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368-A.- Ingreso indebido de equipos o sistema de comunicación, fotografía y/o filmación en centros de detención o reclusión</w:t>
      </w:r>
    </w:p>
    <w:p w14:paraId="080ECF3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que indebidamente ingresa, intenta ingresar o permite el ingreso a un centro de detención o reclusión, equipos o sistema de comunicación, fotografía y/o filmación o sus componentes que permitan la comunicación telefónica celular o fija, radial, vía internet u otra análoga del interno, así como el registro de tomas fotográficas o de video, será reprimido con pena privativa de libertad no menor de cuatro ni mayor de seis años.</w:t>
      </w:r>
    </w:p>
    <w:p w14:paraId="3B3098D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Si el agente se vale de su condición de autoridad, abogado defensor, servidor o funcionario público para cometer o permitir que se cometa el hecho punible descrito, la pena privativa será no menor de seis ni mayor de ocho años e inhabilitación, conforme al artículo 36, incisos 1 y 2, del presente Código.</w:t>
      </w:r>
      <w:r w:rsidRPr="000D3432">
        <w:rPr>
          <w:rFonts w:asciiTheme="minorHAnsi" w:hAnsiTheme="minorHAnsi" w:cs="Arial"/>
          <w:b/>
          <w:bCs/>
          <w:color w:val="000000"/>
          <w:szCs w:val="24"/>
          <w:lang w:val="es-ES_tradnl" w:eastAsia="es-PE"/>
        </w:rPr>
        <w:t>” (*)</w:t>
      </w:r>
    </w:p>
    <w:p w14:paraId="5263855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Artículo incorporado por el Artículo Único de la Ley Nº 29867, publicada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mayo 2012, la misma que entró en vigencia a los sesenta días calendario de su publicación en el diario oficial El Peruano.</w:t>
      </w:r>
    </w:p>
    <w:p w14:paraId="4EFEEDF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368-B.- Ingreso indebido de materiales o componentes con fines de elaboración de equipos de comunicación en centros de detención o reclusión</w:t>
      </w:r>
    </w:p>
    <w:p w14:paraId="24FAE4C9"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que indebidamente ingresa, intenta ingresar o permite el ingreso a un centro de detención o reclusión, materiales o componentes que puedan utilizarse en la elaboración de antenas, receptores u otros equipos que posibiliten o faciliten la comunicación telefónica celular o fija, radial, vía internet u otra análoga del interno, será reprimido con pena privativa de libertad no menor de dos ni mayor de cuatro años.</w:t>
      </w:r>
    </w:p>
    <w:p w14:paraId="4827A94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Si el agente se vale de un menor de edad o de su condición de autoridad, abogado defensor, servidor o funcionario público para cometer o permitir que se cometa el hecho punible descrito, la pena privativa será no menor de tres ni mayor de seis años e inhabilitación, conforme al artículo 36, incisos 1 y 2, del presente Código.</w:t>
      </w:r>
      <w:r w:rsidRPr="000D3432">
        <w:rPr>
          <w:rFonts w:asciiTheme="minorHAnsi" w:hAnsiTheme="minorHAnsi" w:cs="Arial"/>
          <w:b/>
          <w:bCs/>
          <w:color w:val="000000"/>
          <w:szCs w:val="24"/>
          <w:lang w:val="es-ES_tradnl" w:eastAsia="es-PE"/>
        </w:rPr>
        <w:t>” (*)</w:t>
      </w:r>
    </w:p>
    <w:p w14:paraId="3495830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Artículo incorporado por el Artículo Único de la Ley Nº 29867, publicada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mayo 2012, la misma que entró en vigencia a los sesenta días calendario de su publicación en el diario oficial El Peruano.</w:t>
      </w:r>
    </w:p>
    <w:p w14:paraId="66D0578B"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368-C.- Sabotaje de los equipos de seguridad y de comunicación en establecimientos penitenciarios</w:t>
      </w:r>
    </w:p>
    <w:p w14:paraId="61BB4B9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que dentro de un centro de detención o reclusión vulnera, impide, dificulta, inhabilita o de cualquier otra forma imposibilite el funcionamiento de los equipos de seguridad y/o de comunicación en los establecimientos penitenciarios, será reprimido con pena privativa de libertad no menor de cinco ni mayor de ocho años.</w:t>
      </w:r>
    </w:p>
    <w:p w14:paraId="694F760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Si el agente se vale de un menor de edad o de su condición de autoridad, abogado defensor, servidor o funcionario público para cometer o permitir que se cometa el hecho punible descrito, la pena privativa será no menor de ocho ni mayor de diez años e inhabilitación, conforme al artículo 36, incisos 1 y 2, del presente Código.</w:t>
      </w:r>
      <w:r w:rsidRPr="000D3432">
        <w:rPr>
          <w:rFonts w:asciiTheme="minorHAnsi" w:hAnsiTheme="minorHAnsi" w:cs="Arial"/>
          <w:b/>
          <w:bCs/>
          <w:color w:val="000000"/>
          <w:szCs w:val="24"/>
          <w:lang w:val="es-ES_tradnl" w:eastAsia="es-PE"/>
        </w:rPr>
        <w:t>” (*)</w:t>
      </w:r>
    </w:p>
    <w:p w14:paraId="2870081E"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Artículo incorporado por el Artículo Único de la Ley Nº 29867, publicada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mayo 2012, la misma que entró en vigencia a los sesenta días calendario de su publicación en el diario oficial El Peruano.</w:t>
      </w:r>
    </w:p>
    <w:p w14:paraId="6CF4405C"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368-D.- Posesión indebida de teléfonos celulares o, armas, municiones o materiales explosivos, inflamables, asfixiantes o tóxicos en establecimientos penitenciarios</w:t>
      </w:r>
    </w:p>
    <w:p w14:paraId="715604F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La persona privada de libertad en un centro de detención o reclusión, que posea o porte un arma de fuego o arma blanca, municiones o materiales explosivos, inflamables, asfixiantes o tóxicos, será reprimida con pena privativa de libertad no menor de ocho ni mayor de quince años.</w:t>
      </w:r>
    </w:p>
    <w:p w14:paraId="0C09D8E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Si el agente posee, porta, usa o trafica con un teléfono celular o fijo o cualquiera de sus accesorios que no esté expresamente autorizado, la pena privativa de libertad será no menor de tres ni mayor de ocho años.</w:t>
      </w:r>
    </w:p>
    <w:p w14:paraId="70D2763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Si se demuestra que del uso de estos aparatos se cometió o intentó cometer un ilícito penal, la pena será no menor de diez ni mayor de quince años.</w:t>
      </w:r>
      <w:r w:rsidRPr="000D3432">
        <w:rPr>
          <w:rFonts w:asciiTheme="minorHAnsi" w:hAnsiTheme="minorHAnsi" w:cs="Arial"/>
          <w:b/>
          <w:bCs/>
          <w:color w:val="000000"/>
          <w:szCs w:val="24"/>
          <w:lang w:val="es-ES_tradnl" w:eastAsia="es-PE"/>
        </w:rPr>
        <w:t>” (*)</w:t>
      </w:r>
    </w:p>
    <w:p w14:paraId="550E48E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Artículo incorporado por el Artículo Único de la Ley Nº 29867, publicada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mayo 2012, la misma que entró en vigencia a los sesenta días calendario de su publicación en el diario oficial El Peruano.</w:t>
      </w:r>
    </w:p>
    <w:p w14:paraId="20101B8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368-E.- Ingreso indebido de armas, municiones o materiales explosivos, inflamables, asfixiantes o tóxicos en establecimientos penitenciarios</w:t>
      </w:r>
    </w:p>
    <w:p w14:paraId="24FD5181"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que indebidamente ingresa, intenta ingresar o permite el ingreso a un centro de detención o reclusión, un arma de fuego o arma blanca, municiones o materiales explosivos, inflamables, asfixiantes o tóxicos para uso del interno, será reprimido con pena privativa de libertad no menor de ocho ni mayor de quince años.</w:t>
      </w:r>
    </w:p>
    <w:p w14:paraId="252C899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Si el agente se vale de un menor de edad o de su condición de autoridad, abogado defensor, servidor o funcionario público para cometer o permitir que se cometa el hecho punible descrito, la pena privativa será no menor de diez ni mayor de veinte años e inhabilitación, conforme al artículo 36, incisos 1 y 2, del presente Código.</w:t>
      </w:r>
      <w:r w:rsidRPr="000D3432">
        <w:rPr>
          <w:rFonts w:asciiTheme="minorHAnsi" w:hAnsiTheme="minorHAnsi" w:cs="Arial"/>
          <w:b/>
          <w:bCs/>
          <w:color w:val="000000"/>
          <w:szCs w:val="24"/>
          <w:lang w:val="es-ES_tradnl" w:eastAsia="es-PE"/>
        </w:rPr>
        <w:t>” (*)</w:t>
      </w:r>
    </w:p>
    <w:p w14:paraId="38A6795C" w14:textId="77777777" w:rsidR="009E6E2E" w:rsidRPr="000D3432" w:rsidRDefault="009E6E2E" w:rsidP="009E6E2E">
      <w:pPr>
        <w:jc w:val="both"/>
        <w:rPr>
          <w:rFonts w:asciiTheme="minorHAnsi" w:hAnsiTheme="minorHAnsi" w:cs="Arial"/>
          <w:szCs w:val="24"/>
          <w:lang w:val="es-ES_tradnl"/>
        </w:rPr>
      </w:pPr>
      <w:r w:rsidRPr="000D3432">
        <w:rPr>
          <w:rFonts w:asciiTheme="minorHAnsi" w:hAnsiTheme="minorHAnsi" w:cs="Arial"/>
          <w:b/>
          <w:bCs/>
          <w:color w:val="000000"/>
          <w:szCs w:val="24"/>
          <w:lang w:val="es-ES_tradnl" w:eastAsia="es-PE"/>
        </w:rPr>
        <w:t>(*) Artículo incorporado por el Artículo Único de la Ley Nº 29867, publicada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mayo 2012, la misma que entró en vigencia a los sesenta días calendario de su publicación en el diario oficial El Peruano.</w:t>
      </w:r>
    </w:p>
    <w:p w14:paraId="658A97A9" w14:textId="77777777" w:rsidR="009E6E2E" w:rsidRPr="000D3432" w:rsidRDefault="009E6E2E" w:rsidP="009E6E2E">
      <w:pPr>
        <w:jc w:val="both"/>
        <w:rPr>
          <w:rFonts w:asciiTheme="minorHAnsi" w:hAnsiTheme="minorHAnsi" w:cs="Arial"/>
          <w:szCs w:val="24"/>
          <w:lang w:val="es-ES_tradnl"/>
        </w:rPr>
      </w:pPr>
    </w:p>
    <w:p w14:paraId="10E9150D" w14:textId="77777777" w:rsidR="009E6E2E" w:rsidRPr="000D3432" w:rsidRDefault="009E6E2E" w:rsidP="009E6E2E">
      <w:pPr>
        <w:jc w:val="both"/>
        <w:rPr>
          <w:rFonts w:asciiTheme="minorHAnsi" w:hAnsiTheme="minorHAnsi" w:cs="Arial"/>
          <w:szCs w:val="24"/>
          <w:lang w:val="es-ES_tradnl"/>
        </w:rPr>
      </w:pPr>
    </w:p>
    <w:p w14:paraId="58D9415A" w14:textId="77777777" w:rsidR="009E6E2E" w:rsidRPr="000D3432" w:rsidRDefault="009E6E2E" w:rsidP="009E6E2E">
      <w:pPr>
        <w:ind w:left="1416"/>
        <w:jc w:val="both"/>
        <w:rPr>
          <w:rFonts w:asciiTheme="minorHAnsi" w:hAnsiTheme="minorHAnsi" w:cs="Arial"/>
          <w:szCs w:val="24"/>
          <w:lang w:val="es-ES_tradnl"/>
        </w:rPr>
      </w:pPr>
    </w:p>
    <w:p w14:paraId="21AD0B4A" w14:textId="77777777" w:rsidR="009E6E2E" w:rsidRPr="000D3432" w:rsidRDefault="009E6E2E" w:rsidP="009E6E2E">
      <w:pPr>
        <w:ind w:left="1416"/>
        <w:jc w:val="both"/>
        <w:rPr>
          <w:rFonts w:asciiTheme="minorHAnsi" w:hAnsiTheme="minorHAnsi" w:cs="Arial"/>
          <w:szCs w:val="24"/>
          <w:lang w:val="es-ES_tradnl"/>
        </w:rPr>
      </w:pPr>
    </w:p>
    <w:p w14:paraId="0696D773" w14:textId="77777777" w:rsidR="009E6E2E" w:rsidRPr="000D3432" w:rsidRDefault="009E6E2E" w:rsidP="009E6E2E">
      <w:pPr>
        <w:jc w:val="center"/>
        <w:rPr>
          <w:rFonts w:asciiTheme="minorHAnsi" w:hAnsiTheme="minorHAnsi"/>
          <w:b/>
          <w:szCs w:val="24"/>
          <w:lang w:val="es-ES_tradnl"/>
        </w:rPr>
      </w:pPr>
      <w:r w:rsidRPr="000D3432">
        <w:rPr>
          <w:rFonts w:asciiTheme="minorHAnsi" w:hAnsiTheme="minorHAnsi"/>
          <w:b/>
          <w:szCs w:val="24"/>
          <w:lang w:val="es-ES_tradnl"/>
        </w:rPr>
        <w:t>DELITOS DE VIOLENCIA Y RESISTENCIA A LA AUTORIDAD</w:t>
      </w:r>
    </w:p>
    <w:p w14:paraId="63D407C7" w14:textId="77777777" w:rsidR="009E6E2E" w:rsidRPr="000D3432" w:rsidRDefault="009E6E2E" w:rsidP="009E6E2E">
      <w:pPr>
        <w:rPr>
          <w:rFonts w:asciiTheme="minorHAnsi" w:hAnsiTheme="minorHAnsi"/>
          <w:b/>
          <w:szCs w:val="24"/>
          <w:lang w:val="es-ES_tradnl"/>
        </w:rPr>
      </w:pPr>
    </w:p>
    <w:p w14:paraId="583B558D"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I.- TIPOS DE DELITOS DE VIOLENCIA Y RESISTENCIA A LA AUTORIDAD</w:t>
      </w:r>
    </w:p>
    <w:p w14:paraId="774DF084" w14:textId="77777777" w:rsidR="009E6E2E" w:rsidRPr="000D3432" w:rsidRDefault="009E6E2E" w:rsidP="009E6E2E">
      <w:pPr>
        <w:rPr>
          <w:rFonts w:asciiTheme="minorHAnsi" w:hAnsiTheme="minorHAnsi"/>
          <w:b/>
          <w:szCs w:val="24"/>
          <w:lang w:val="es-ES_tradnl"/>
        </w:rPr>
      </w:pPr>
    </w:p>
    <w:p w14:paraId="0410E02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Los Delitos de Violencia y Resistencia a la Autoridad pueden ser de los siguientes tipos: 1.- Delito de Violencia contra la autoridad para obligarle a algo; 2.- Violencia contra la autoridad para impedir el ejercicio de sus funciones; 3.- Resistencia o desobediencia a la autoridad; 4.- Violencia contra la autoridad elegida; 5.- Atentado contra la conservación e identidad de objeto; 6.- Negativa a colaborar con la administración de justicia; 7.- Atentando contra documentos que sirven de pruebas en el proceso; 8.- Sustracción de objetos requisados por autoridad. </w:t>
      </w:r>
    </w:p>
    <w:p w14:paraId="167511AA" w14:textId="77777777" w:rsidR="009E6E2E" w:rsidRPr="000D3432" w:rsidRDefault="009E6E2E" w:rsidP="009E6E2E">
      <w:pPr>
        <w:jc w:val="both"/>
        <w:rPr>
          <w:rFonts w:asciiTheme="minorHAnsi" w:hAnsiTheme="minorHAnsi"/>
          <w:szCs w:val="24"/>
          <w:lang w:val="es-ES_tradnl"/>
        </w:rPr>
      </w:pPr>
    </w:p>
    <w:p w14:paraId="24336F24"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CONCEPTO DE DELITO DE VIOLENCIA CONTRA LA AUTORIDAD PARA IMPEDIR EL EJERCICIO DE SUS FUNCIONES?</w:t>
      </w:r>
    </w:p>
    <w:p w14:paraId="643B7D63" w14:textId="77777777" w:rsidR="009E6E2E" w:rsidRPr="000D3432" w:rsidRDefault="009E6E2E" w:rsidP="009E6E2E">
      <w:pPr>
        <w:jc w:val="both"/>
        <w:rPr>
          <w:rFonts w:asciiTheme="minorHAnsi" w:hAnsiTheme="minorHAnsi"/>
          <w:szCs w:val="24"/>
          <w:lang w:val="es-ES_tradnl"/>
        </w:rPr>
      </w:pPr>
    </w:p>
    <w:p w14:paraId="5946197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Comete este delito quien empleando intimidación o violencia contra un funcionario publico o contra  la persona que le presta asistencia en virtud de un deber legal o ante requerimiento de aquél, para impedir o trabar la ejecución de un acto propio de legítimo ejercicio de sus funciones.</w:t>
      </w:r>
    </w:p>
    <w:p w14:paraId="714C4757" w14:textId="77777777" w:rsidR="009E6E2E" w:rsidRPr="000D3432" w:rsidRDefault="009E6E2E" w:rsidP="009E6E2E">
      <w:pPr>
        <w:jc w:val="both"/>
        <w:rPr>
          <w:rFonts w:asciiTheme="minorHAnsi" w:hAnsiTheme="minorHAnsi"/>
          <w:szCs w:val="24"/>
          <w:lang w:val="es-ES_tradnl"/>
        </w:rPr>
      </w:pPr>
    </w:p>
    <w:p w14:paraId="1659D5A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acto delictivo se agrava cuando: 1) Helecho se realiza por dos o más personas; 2) El autor es funcionario público o servidor público; 3) El hecho se comete a  mano armada; 4) El autor causa una lesión grave que haya podido prever; 5) El hecho se realiza en contra de un miembro de la Policía Nacional o de las Fuerzas Armadas, Magistrado del Poder Judicial o del Ministerio Público, en el ejercicio de sus funciones; 6) El hecho se realiza para impedir la erradicación o destrucción de cultivos ilegales, o de cualquier medio o instrumento destinado a la fabricación o transporte ilegal de drogas tóxicas, estupefacientes o sustancias psicotrópicas; 7) El hecho se comete respecto a investigaciones o juzgamiento por los delitos de terrorismo, tráfico ilícito de drogas, lavado de activos, secuestro, extorsión y trata de personas; 8) Si como consecuencia del hecho se produce la muerte de una persona y el agente pudo prever este resultado. </w:t>
      </w:r>
    </w:p>
    <w:p w14:paraId="0F65799A" w14:textId="77777777" w:rsidR="009E6E2E" w:rsidRPr="000D3432" w:rsidRDefault="009E6E2E" w:rsidP="009E6E2E">
      <w:pPr>
        <w:rPr>
          <w:rFonts w:asciiTheme="minorHAnsi" w:hAnsiTheme="minorHAnsi"/>
          <w:szCs w:val="24"/>
          <w:lang w:val="es-ES_tradnl"/>
        </w:rPr>
      </w:pPr>
    </w:p>
    <w:p w14:paraId="42F6C2F1" w14:textId="77777777" w:rsidR="009E6E2E" w:rsidRPr="000D3432" w:rsidRDefault="009E6E2E" w:rsidP="009E6E2E">
      <w:pPr>
        <w:ind w:left="1416"/>
        <w:jc w:val="both"/>
        <w:rPr>
          <w:rFonts w:asciiTheme="minorHAnsi" w:hAnsiTheme="minorHAnsi" w:cs="Arial"/>
          <w:szCs w:val="24"/>
          <w:lang w:val="es-ES_tradnl"/>
        </w:rPr>
      </w:pPr>
    </w:p>
    <w:p w14:paraId="0FA161A8"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u w:val="single"/>
          <w:lang w:val="es-ES_tradnl"/>
        </w:rPr>
        <w:t>SECCION IV</w:t>
      </w:r>
    </w:p>
    <w:p w14:paraId="3D2C362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VIOLENCIA CONTRA AUTORIDADES ELEGIDAS</w:t>
      </w:r>
    </w:p>
    <w:p w14:paraId="64268B59"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35BCC7F9"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 xml:space="preserve">2.- Concepto Legal.- </w:t>
      </w:r>
    </w:p>
    <w:p w14:paraId="265071D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xml:space="preserve">De acuerdo con el Código Penal se prescribe: </w:t>
      </w:r>
      <w:r w:rsidRPr="000D3432">
        <w:rPr>
          <w:rFonts w:asciiTheme="minorHAnsi" w:hAnsiTheme="minorHAnsi" w:cs="Arial"/>
          <w:b/>
          <w:bCs/>
          <w:color w:val="000000"/>
          <w:szCs w:val="24"/>
          <w:lang w:val="es-ES_tradnl" w:eastAsia="es-PE"/>
        </w:rPr>
        <w:t xml:space="preserve">“Artículo 369.- Violencia contra autoridades elegidas. </w:t>
      </w:r>
      <w:r w:rsidRPr="000D3432">
        <w:rPr>
          <w:rFonts w:asciiTheme="minorHAnsi" w:hAnsiTheme="minorHAnsi" w:cs="Arial"/>
          <w:color w:val="000000"/>
          <w:szCs w:val="24"/>
          <w:lang w:val="es-ES_tradnl" w:eastAsia="es-PE"/>
        </w:rPr>
        <w:t>El que, mediante violencia o amenaza, impide a una autoridad elegida en un proceso electoral general, parlamentario, regional o municipal juramentar, asumir o ejercer sus funciones será reprimido con pena privativa de libertad no menor de dos ni mayor de cuatro años. Si el agente es funcionario o servidor público sufrirá, además, inhabilitación de uno a tres años conforme al artículo 36, incisos 1, 2 y 8.</w:t>
      </w:r>
      <w:r w:rsidRPr="000D3432">
        <w:rPr>
          <w:rFonts w:asciiTheme="minorHAnsi" w:hAnsiTheme="minorHAnsi" w:cs="Arial"/>
          <w:b/>
          <w:bCs/>
          <w:color w:val="000000"/>
          <w:szCs w:val="24"/>
          <w:lang w:val="es-ES_tradnl" w:eastAsia="es-PE"/>
        </w:rPr>
        <w:t>”</w:t>
      </w:r>
      <w:r w:rsidRPr="000D3432">
        <w:rPr>
          <w:rFonts w:asciiTheme="minorHAnsi" w:hAnsiTheme="minorHAnsi"/>
          <w:color w:val="000000"/>
          <w:szCs w:val="24"/>
          <w:lang w:val="es-ES_tradnl" w:eastAsia="es-PE"/>
        </w:rPr>
        <w:t> </w:t>
      </w:r>
    </w:p>
    <w:p w14:paraId="772C7C3A" w14:textId="77777777" w:rsidR="009E6E2E" w:rsidRPr="000D3432" w:rsidRDefault="009E6E2E" w:rsidP="009E6E2E">
      <w:pPr>
        <w:ind w:left="1416"/>
        <w:jc w:val="both"/>
        <w:rPr>
          <w:rFonts w:asciiTheme="minorHAnsi" w:hAnsiTheme="minorHAnsi" w:cs="Arial"/>
          <w:szCs w:val="24"/>
          <w:lang w:val="es-ES_tradnl"/>
        </w:rPr>
      </w:pPr>
    </w:p>
    <w:p w14:paraId="00A6BA94" w14:textId="77777777" w:rsidR="009E6E2E" w:rsidRPr="000D3432" w:rsidRDefault="009E6E2E" w:rsidP="009E6E2E">
      <w:pPr>
        <w:jc w:val="both"/>
        <w:rPr>
          <w:rFonts w:asciiTheme="minorHAnsi" w:hAnsiTheme="minorHAnsi" w:cs="Arial"/>
          <w:szCs w:val="24"/>
          <w:lang w:val="es-ES_tradnl"/>
        </w:rPr>
      </w:pPr>
    </w:p>
    <w:p w14:paraId="17507CD6" w14:textId="77777777" w:rsidR="009E6E2E" w:rsidRPr="000D3432" w:rsidRDefault="009E6E2E" w:rsidP="009E6E2E">
      <w:pPr>
        <w:jc w:val="both"/>
        <w:rPr>
          <w:rFonts w:asciiTheme="minorHAnsi" w:hAnsiTheme="minorHAnsi" w:cs="Arial"/>
          <w:szCs w:val="24"/>
          <w:lang w:val="es-ES_tradnl"/>
        </w:rPr>
      </w:pPr>
    </w:p>
    <w:p w14:paraId="05D1D2A6" w14:textId="77777777" w:rsidR="009E6E2E" w:rsidRPr="000D3432" w:rsidRDefault="009E6E2E" w:rsidP="009E6E2E">
      <w:pPr>
        <w:jc w:val="both"/>
        <w:rPr>
          <w:rFonts w:asciiTheme="minorHAnsi" w:hAnsiTheme="minorHAnsi" w:cs="Arial"/>
          <w:szCs w:val="24"/>
          <w:lang w:val="es-ES_tradnl"/>
        </w:rPr>
      </w:pPr>
    </w:p>
    <w:p w14:paraId="5D8ACC0F"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V</w:t>
      </w:r>
    </w:p>
    <w:p w14:paraId="30C341E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ATENTANDO CONTRA LA CONSERVACIÓN E IDENTIDAD DE OBJETO</w:t>
      </w:r>
    </w:p>
    <w:p w14:paraId="4DC483BA" w14:textId="77777777"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06FE489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prescribe: </w:t>
      </w:r>
      <w:r w:rsidRPr="000D3432">
        <w:rPr>
          <w:rFonts w:asciiTheme="minorHAnsi" w:hAnsiTheme="minorHAnsi" w:cs="Arial"/>
          <w:b/>
          <w:bCs/>
          <w:color w:val="000000"/>
          <w:szCs w:val="24"/>
          <w:lang w:val="es-ES_tradnl" w:eastAsia="es-PE"/>
        </w:rPr>
        <w:t>“Atentado contra la conservación e identidad de objeto.- Artículo 370.-</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destruye o arranca envolturas, sellos o marcas puestos por la autoridad para conservar o identificar un objeto, será reprimido con pena privativa de libertad no mayor de dos años o con prestación de servicio comunitario de veinte a treinta jornadas.”.</w:t>
      </w:r>
    </w:p>
    <w:p w14:paraId="6434AB44" w14:textId="77777777" w:rsidR="009E6E2E" w:rsidRPr="000D3432" w:rsidRDefault="009E6E2E" w:rsidP="009E6E2E">
      <w:pPr>
        <w:rPr>
          <w:rFonts w:asciiTheme="minorHAnsi" w:hAnsiTheme="minorHAnsi"/>
          <w:szCs w:val="24"/>
          <w:lang w:val="es-ES_tradnl"/>
        </w:rPr>
      </w:pPr>
    </w:p>
    <w:p w14:paraId="539B2FAF" w14:textId="77777777" w:rsidR="009E6E2E" w:rsidRPr="000D3432" w:rsidRDefault="009E6E2E" w:rsidP="009E6E2E">
      <w:pPr>
        <w:ind w:left="1416"/>
        <w:jc w:val="both"/>
        <w:rPr>
          <w:rFonts w:asciiTheme="minorHAnsi" w:hAnsiTheme="minorHAnsi" w:cs="Arial"/>
          <w:szCs w:val="24"/>
          <w:lang w:val="es-ES_tradnl"/>
        </w:rPr>
      </w:pPr>
    </w:p>
    <w:p w14:paraId="0381409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u w:val="single"/>
          <w:lang w:val="es-ES_tradnl"/>
        </w:rPr>
        <w:t>SECCION VI</w:t>
      </w:r>
    </w:p>
    <w:p w14:paraId="1096B50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NEGATIVA A COLABORAR CON LA ADMINISTRACIÓN DE JUSTICIA</w:t>
      </w:r>
    </w:p>
    <w:p w14:paraId="00AC53F2"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6E1D226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 que: “</w:t>
      </w:r>
      <w:r w:rsidRPr="000D3432">
        <w:rPr>
          <w:rFonts w:asciiTheme="minorHAnsi" w:hAnsiTheme="minorHAnsi" w:cs="Arial"/>
          <w:b/>
          <w:bCs/>
          <w:color w:val="000000"/>
          <w:szCs w:val="24"/>
          <w:lang w:val="es-ES_tradnl" w:eastAsia="es-PE"/>
        </w:rPr>
        <w:t>Negativa a colaborar con la administración de justicia.- Artículo 371.-</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testigo, perito, traductor o intérprete que, siendo legalmente requerido, se abstiene de comparecer o prestar la declaración, informe o servicio respectivo, será reprimido con pena privativa de libertad no mayor de dos años o con prestación de servicio comunitario de veinte a treinta jornadas. / El perito, traductor o intérprete será sancionado, además, con inhabilitación de seis meses a dos años conforme al artículo 36, incisos 1, 2 y 4.”.</w:t>
      </w:r>
    </w:p>
    <w:p w14:paraId="6EBEED04" w14:textId="77777777" w:rsidR="009E6E2E" w:rsidRPr="000D3432" w:rsidRDefault="009E6E2E" w:rsidP="009E6E2E">
      <w:pPr>
        <w:ind w:left="1416"/>
        <w:jc w:val="both"/>
        <w:rPr>
          <w:rFonts w:asciiTheme="minorHAnsi" w:hAnsiTheme="minorHAnsi" w:cs="Arial"/>
          <w:szCs w:val="24"/>
          <w:lang w:val="es-ES_tradnl"/>
        </w:rPr>
      </w:pPr>
    </w:p>
    <w:p w14:paraId="2D979F07" w14:textId="77777777" w:rsidR="009E6E2E" w:rsidRPr="000D3432" w:rsidRDefault="009E6E2E" w:rsidP="009E6E2E">
      <w:pPr>
        <w:jc w:val="center"/>
        <w:rPr>
          <w:rFonts w:asciiTheme="minorHAnsi" w:hAnsiTheme="minorHAnsi" w:cs="Arial"/>
          <w:szCs w:val="24"/>
          <w:lang w:val="es-ES_tradnl"/>
        </w:rPr>
      </w:pPr>
      <w:r w:rsidRPr="000D3432">
        <w:rPr>
          <w:rFonts w:asciiTheme="minorHAnsi" w:hAnsiTheme="minorHAnsi" w:cs="Arial"/>
          <w:b/>
          <w:szCs w:val="24"/>
          <w:u w:val="single"/>
          <w:lang w:val="es-ES_tradnl"/>
        </w:rPr>
        <w:t>SECCION VII</w:t>
      </w:r>
    </w:p>
    <w:p w14:paraId="2CBC8AA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ATENTADO CONTRA DOCUMENTOS QUE SIRVEN DE PRUEBA EN EL PROCESO</w:t>
      </w:r>
    </w:p>
    <w:p w14:paraId="58205B4C" w14:textId="77777777"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6C5B4DA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prescribe: “Atentado contra documentos que sirven de prueba en el proceso.- Artículo 372.-</w:t>
      </w:r>
      <w:r w:rsidRPr="000D3432">
        <w:rPr>
          <w:rFonts w:asciiTheme="minorHAnsi" w:hAnsiTheme="minorHAnsi"/>
          <w:bCs/>
          <w:color w:val="000000"/>
          <w:szCs w:val="24"/>
          <w:lang w:val="es-ES_tradnl" w:eastAsia="es-PE"/>
        </w:rPr>
        <w:t> </w:t>
      </w:r>
      <w:r w:rsidRPr="000D3432">
        <w:rPr>
          <w:rFonts w:asciiTheme="minorHAnsi" w:hAnsiTheme="minorHAnsi" w:cs="Arial"/>
          <w:color w:val="000000"/>
          <w:szCs w:val="24"/>
          <w:lang w:val="es-ES_tradnl" w:eastAsia="es-PE"/>
        </w:rPr>
        <w:t>El que sustrae, oculta, cambia, destruye o inutiliza objetos, registros o documentos destinados a servir de prueba ante la autoridad competente que sustancia un proceso, confiados a la custodia de un funcionario o de otra persona, será reprimido con pena privativa de libertad no menor de uno ni mayor de cuatro años. / Si la destrucción o inutilización es por culpa, la pena será privativa de libertad no mayor de un año o prestación de servicio comunitario de veinte a cuarenta jornadas.”</w:t>
      </w:r>
    </w:p>
    <w:p w14:paraId="05BEA762" w14:textId="77777777" w:rsidR="009E6E2E" w:rsidRPr="000D3432" w:rsidRDefault="009E6E2E" w:rsidP="009E6E2E">
      <w:pPr>
        <w:ind w:left="2832"/>
        <w:rPr>
          <w:rFonts w:asciiTheme="minorHAnsi" w:hAnsiTheme="minorHAnsi"/>
          <w:szCs w:val="24"/>
          <w:lang w:val="es-ES_tradnl"/>
        </w:rPr>
      </w:pPr>
    </w:p>
    <w:p w14:paraId="7E281890" w14:textId="77777777" w:rsidR="009E6E2E" w:rsidRPr="000D3432" w:rsidRDefault="009E6E2E" w:rsidP="009E6E2E">
      <w:pPr>
        <w:ind w:left="1416"/>
        <w:jc w:val="both"/>
        <w:rPr>
          <w:rFonts w:asciiTheme="minorHAnsi" w:hAnsiTheme="minorHAnsi" w:cs="Arial"/>
          <w:szCs w:val="24"/>
          <w:lang w:val="es-ES_tradnl"/>
        </w:rPr>
      </w:pPr>
    </w:p>
    <w:p w14:paraId="634354D4"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VIII</w:t>
      </w:r>
    </w:p>
    <w:p w14:paraId="291A476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SUSTRACCIÓN DE OBJETOS REQUISADOS POR AUTORIDAD</w:t>
      </w:r>
    </w:p>
    <w:p w14:paraId="7032BE1E"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65B47477" w14:textId="77777777"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56E4E4E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 “Sustracción de objetos requisados por autoridad.- Artículo 373.-</w:t>
      </w:r>
      <w:r w:rsidRPr="000D3432">
        <w:rPr>
          <w:rFonts w:asciiTheme="minorHAnsi" w:hAnsiTheme="minorHAnsi"/>
          <w:bCs/>
          <w:color w:val="000000"/>
          <w:szCs w:val="24"/>
          <w:lang w:val="es-ES_tradnl" w:eastAsia="es-PE"/>
        </w:rPr>
        <w:t> </w:t>
      </w:r>
      <w:r w:rsidRPr="000D3432">
        <w:rPr>
          <w:rFonts w:asciiTheme="minorHAnsi" w:hAnsiTheme="minorHAnsi" w:cs="Arial"/>
          <w:color w:val="000000"/>
          <w:szCs w:val="24"/>
          <w:lang w:val="es-ES_tradnl" w:eastAsia="es-PE"/>
        </w:rPr>
        <w:t>El que sustrae objetos requisados por la autoridad, será reprimido con pena privativa de libertad no menor de dos ni mayor de cuatro años.”</w:t>
      </w:r>
    </w:p>
    <w:p w14:paraId="262E4C6F" w14:textId="77777777" w:rsidR="009E6E2E" w:rsidRPr="000D3432" w:rsidRDefault="009E6E2E" w:rsidP="009E6E2E">
      <w:pPr>
        <w:jc w:val="both"/>
        <w:rPr>
          <w:rFonts w:asciiTheme="minorHAnsi" w:hAnsiTheme="minorHAnsi" w:cs="Arial"/>
          <w:b/>
          <w:szCs w:val="24"/>
          <w:lang w:val="es-ES_tradnl"/>
        </w:rPr>
      </w:pPr>
    </w:p>
    <w:p w14:paraId="593701F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CAPITULO III: DESACATO</w:t>
      </w:r>
    </w:p>
    <w:p w14:paraId="2E53FB36" w14:textId="77777777" w:rsidR="009E6E2E" w:rsidRPr="000D3432" w:rsidRDefault="009E6E2E" w:rsidP="009E6E2E">
      <w:pPr>
        <w:jc w:val="both"/>
        <w:rPr>
          <w:rFonts w:asciiTheme="minorHAnsi" w:hAnsiTheme="minorHAnsi" w:cs="Arial"/>
          <w:szCs w:val="24"/>
          <w:lang w:val="es-ES_tradnl"/>
        </w:rPr>
      </w:pPr>
    </w:p>
    <w:p w14:paraId="66D9183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I.-</w:t>
      </w:r>
    </w:p>
    <w:p w14:paraId="3182C867"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PERTURBACIÓN DEL ORDEN EN EL LUGAR DONDE LA AUTORIDAD EJERCE SU FUNCIÓN</w:t>
      </w:r>
    </w:p>
    <w:p w14:paraId="014EE9C5"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w:t>
      </w:r>
    </w:p>
    <w:p w14:paraId="4B6ACF9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prescribe: “Perturbación del orden en el lugar donde la autoridad ejerce su función.- Artículo 375.-</w:t>
      </w:r>
      <w:r w:rsidRPr="000D3432">
        <w:rPr>
          <w:rFonts w:asciiTheme="minorHAnsi" w:hAnsiTheme="minorHAnsi"/>
          <w:bCs/>
          <w:color w:val="000000"/>
          <w:szCs w:val="24"/>
          <w:lang w:val="es-ES_tradnl" w:eastAsia="es-PE"/>
        </w:rPr>
        <w:t> </w:t>
      </w:r>
      <w:r w:rsidRPr="000D3432">
        <w:rPr>
          <w:rFonts w:asciiTheme="minorHAnsi" w:hAnsiTheme="minorHAnsi" w:cs="Arial"/>
          <w:color w:val="000000"/>
          <w:szCs w:val="24"/>
          <w:lang w:val="es-ES_tradnl" w:eastAsia="es-PE"/>
        </w:rPr>
        <w:t>El que causa desorden en la sala de sesiones del Congreso o de las Cámaras Legislativas, de las Asambleas Regionales, de los Consejos Municipales o de los Tribunales de Justicia u otro lugar donde las autoridades públicas ejercen sus funciones o el que entra armado en dichos lugares, será reprimido con pena privativa de libertad no mayor de un año o con prestación de servicio comunitario de veinte a treinta jornadas.”.</w:t>
      </w:r>
    </w:p>
    <w:p w14:paraId="5BAA56A1" w14:textId="77777777" w:rsidR="009E6E2E" w:rsidRPr="000D3432" w:rsidRDefault="009E6E2E" w:rsidP="009E6E2E">
      <w:pPr>
        <w:ind w:left="2832"/>
        <w:rPr>
          <w:rFonts w:asciiTheme="minorHAnsi" w:hAnsiTheme="minorHAnsi"/>
          <w:szCs w:val="24"/>
          <w:lang w:val="es-ES_tradnl"/>
        </w:rPr>
      </w:pPr>
    </w:p>
    <w:p w14:paraId="30CA3914" w14:textId="77777777" w:rsidR="009E6E2E" w:rsidRPr="000D3432" w:rsidRDefault="009E6E2E" w:rsidP="009E6E2E">
      <w:pPr>
        <w:jc w:val="center"/>
        <w:rPr>
          <w:rFonts w:asciiTheme="minorHAnsi" w:hAnsiTheme="minorHAnsi" w:cs="Arial"/>
          <w:b/>
          <w:szCs w:val="24"/>
          <w:lang w:val="es-ES_tradnl"/>
        </w:rPr>
      </w:pPr>
    </w:p>
    <w:p w14:paraId="58FC7EE5"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TITULO VII</w:t>
      </w:r>
    </w:p>
    <w:p w14:paraId="699CEDBB"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DELITOS COMETIDOS POR FUNCIONARIOS PÚBLICOS</w:t>
      </w:r>
    </w:p>
    <w:p w14:paraId="44591745" w14:textId="77777777" w:rsidR="009E6E2E" w:rsidRPr="000D3432" w:rsidRDefault="009E6E2E" w:rsidP="009E6E2E">
      <w:pPr>
        <w:jc w:val="both"/>
        <w:rPr>
          <w:rFonts w:asciiTheme="minorHAnsi" w:hAnsiTheme="minorHAnsi" w:cs="Arial"/>
          <w:b/>
          <w:szCs w:val="24"/>
          <w:lang w:val="es-ES_tradnl"/>
        </w:rPr>
      </w:pPr>
    </w:p>
    <w:p w14:paraId="28DE80F8" w14:textId="77777777" w:rsidR="009E6E2E" w:rsidRPr="000D3432" w:rsidRDefault="009E6E2E" w:rsidP="009E6E2E">
      <w:pPr>
        <w:jc w:val="both"/>
        <w:rPr>
          <w:rFonts w:asciiTheme="minorHAnsi" w:hAnsiTheme="minorHAnsi" w:cs="Arial"/>
          <w:b/>
          <w:szCs w:val="24"/>
          <w:lang w:val="es-ES_tradnl"/>
        </w:rPr>
      </w:pPr>
    </w:p>
    <w:p w14:paraId="7B0667D5" w14:textId="77777777" w:rsidR="009E6E2E" w:rsidRPr="000D3432" w:rsidRDefault="009E6E2E" w:rsidP="009E6E2E">
      <w:pPr>
        <w:rPr>
          <w:rFonts w:asciiTheme="minorHAnsi" w:hAnsiTheme="minorHAnsi"/>
          <w:b/>
          <w:szCs w:val="24"/>
          <w:lang w:val="es-ES_tradnl"/>
        </w:rPr>
      </w:pPr>
    </w:p>
    <w:p w14:paraId="3FCA49FE"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FUNCIONARIOS PÚBLICOS</w:t>
      </w:r>
    </w:p>
    <w:p w14:paraId="4E85799A" w14:textId="77777777" w:rsidR="009E6E2E" w:rsidRPr="000D3432" w:rsidRDefault="009E6E2E" w:rsidP="009E6E2E">
      <w:pPr>
        <w:jc w:val="both"/>
        <w:rPr>
          <w:rFonts w:asciiTheme="minorHAnsi" w:hAnsiTheme="minorHAnsi"/>
          <w:szCs w:val="24"/>
          <w:lang w:val="es-ES_tradnl"/>
        </w:rPr>
      </w:pPr>
    </w:p>
    <w:p w14:paraId="7196EB1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 acuerdo con la normatividad Penal son Funcionarios públicos o servidores públicos: 1. Los que están comprendidos en la carrera administrativa. 2. Los que desempeñan cargos políticos o de confianza, incluso si emanan de elección popular.  3.Todo aquel que independientemente del régimen laboral en que se encuentre, mantiene vínculo laboral o contractual de cualquier naturaleza con entidades u organismos del Estado y que en virtud de ello ejerce funciones en dichas entidades u organismos. 4. Los administradores y depositarios de caudales embargados o depositados por autoridad competente, aunque pertenezcan a particulares. 5. Los miembros de las Fuerzas Armadas y Policía Nacional. 6. Los demás indicados por la Constitución Política y la ley.</w:t>
      </w:r>
    </w:p>
    <w:p w14:paraId="45C61C56" w14:textId="77777777" w:rsidR="009E6E2E" w:rsidRPr="000D3432" w:rsidRDefault="009E6E2E" w:rsidP="009E6E2E">
      <w:pPr>
        <w:rPr>
          <w:rFonts w:asciiTheme="minorHAnsi" w:hAnsiTheme="minorHAnsi"/>
          <w:szCs w:val="24"/>
          <w:lang w:val="es-ES_tradnl"/>
        </w:rPr>
      </w:pPr>
    </w:p>
    <w:p w14:paraId="5C39EBA1" w14:textId="77777777" w:rsidR="009E6E2E" w:rsidRPr="000D3432" w:rsidRDefault="009E6E2E" w:rsidP="009E6E2E">
      <w:pPr>
        <w:rPr>
          <w:rFonts w:asciiTheme="minorHAnsi" w:hAnsiTheme="minorHAnsi"/>
          <w:b/>
          <w:szCs w:val="24"/>
          <w:lang w:val="es-ES_tradnl"/>
        </w:rPr>
      </w:pPr>
      <w:r w:rsidRPr="000D3432">
        <w:rPr>
          <w:rFonts w:asciiTheme="minorHAnsi" w:hAnsiTheme="minorHAnsi"/>
          <w:b/>
          <w:szCs w:val="24"/>
          <w:lang w:val="es-ES_tradnl"/>
        </w:rPr>
        <w:t>LOS DELITOS COMETIDOS POR LOS FUNCIONARIOS</w:t>
      </w:r>
    </w:p>
    <w:p w14:paraId="351157E8" w14:textId="77777777" w:rsidR="009E6E2E" w:rsidRPr="000D3432" w:rsidRDefault="009E6E2E" w:rsidP="009E6E2E">
      <w:pPr>
        <w:rPr>
          <w:rFonts w:asciiTheme="minorHAnsi" w:hAnsiTheme="minorHAnsi"/>
          <w:szCs w:val="24"/>
          <w:lang w:val="es-ES_tradnl"/>
        </w:rPr>
      </w:pPr>
    </w:p>
    <w:p w14:paraId="75661FA4"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Los delitos cometidos por los funcionarios públicos se clasifican de la siguiente manera: </w:t>
      </w:r>
    </w:p>
    <w:p w14:paraId="69D8D7E7" w14:textId="77777777" w:rsidR="009E6E2E" w:rsidRPr="000D3432" w:rsidRDefault="009E6E2E" w:rsidP="009E6E2E">
      <w:pPr>
        <w:rPr>
          <w:rFonts w:asciiTheme="minorHAnsi" w:hAnsiTheme="minorHAnsi"/>
          <w:szCs w:val="24"/>
          <w:lang w:val="es-ES_tradnl"/>
        </w:rPr>
      </w:pPr>
    </w:p>
    <w:p w14:paraId="3EDFA68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I: ABUSO DE AUTORIDAD: 1.- Abuso de Autoridad; 2.- Abuso de Autoridad condicionando ilegalmente la entrega; 3.- Omisión, rehusamiento o demora de actos funcionales; 4.- Denegación o deficiente apoyo policial; 5.- Requerimiento indebido de la fuerza pública; 6.- Abandono de cargo; 7.- Nombramiento o aceptación ilegal.</w:t>
      </w:r>
    </w:p>
    <w:p w14:paraId="2504CC02" w14:textId="77777777" w:rsidR="009E6E2E" w:rsidRPr="000D3432" w:rsidRDefault="009E6E2E" w:rsidP="009E6E2E">
      <w:pPr>
        <w:rPr>
          <w:rFonts w:asciiTheme="minorHAnsi" w:hAnsiTheme="minorHAnsi"/>
          <w:szCs w:val="24"/>
          <w:lang w:val="es-ES_tradnl"/>
        </w:rPr>
      </w:pPr>
    </w:p>
    <w:p w14:paraId="4413345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II: CONCUSIÓN: 1.- Concusión; 2.- Cobro Indebido; 3.- Colusión; 4.- Patrocinio ilegal; 5.- Responsabilidad e peritos, árbitros y contadores particulares</w:t>
      </w:r>
    </w:p>
    <w:p w14:paraId="2FCB5EEC" w14:textId="77777777" w:rsidR="009E6E2E" w:rsidRPr="000D3432" w:rsidRDefault="009E6E2E" w:rsidP="009E6E2E">
      <w:pPr>
        <w:rPr>
          <w:rFonts w:asciiTheme="minorHAnsi" w:hAnsiTheme="minorHAnsi"/>
          <w:szCs w:val="24"/>
          <w:lang w:val="es-ES_tradnl"/>
        </w:rPr>
      </w:pPr>
    </w:p>
    <w:p w14:paraId="2805467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III: PECULADO: 1.- Peculado; 2.- Peculado por uso; 3.- Malversación; 4.- Retardo injustificado de pago; 5.- Rehusamiento a entrega de bienes depositados o puestos en custodia. </w:t>
      </w:r>
    </w:p>
    <w:p w14:paraId="6D6E49E7" w14:textId="77777777" w:rsidR="009E6E2E" w:rsidRPr="000D3432" w:rsidRDefault="009E6E2E" w:rsidP="009E6E2E">
      <w:pPr>
        <w:rPr>
          <w:rFonts w:asciiTheme="minorHAnsi" w:hAnsiTheme="minorHAnsi"/>
          <w:szCs w:val="24"/>
          <w:lang w:val="es-ES_tradnl"/>
        </w:rPr>
      </w:pPr>
    </w:p>
    <w:p w14:paraId="3B1625F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IV: CORRUPCIÓN DE FUNCIONARIOS: 1.- Cohecho pasivo propio; 2.- Cohecho pasivo impropio; 3.- Cohecho pasivo específico; 4.- Corrupción pasiva de auxiliares jurisdiccionales; 5.- Cohecho activo transnacional; 6.- Cohecho activo específico; 7.- Negociación incompatible o aprovechamiento indebido de cargo; 8.- Tráfico de Influencias; 9.- Enriquecimiento Ilícito. </w:t>
      </w:r>
    </w:p>
    <w:p w14:paraId="5BBB6918" w14:textId="77777777" w:rsidR="009E6E2E" w:rsidRPr="000D3432" w:rsidRDefault="009E6E2E" w:rsidP="009E6E2E">
      <w:pPr>
        <w:jc w:val="both"/>
        <w:rPr>
          <w:rFonts w:asciiTheme="minorHAnsi" w:hAnsiTheme="minorHAnsi" w:cs="Arial"/>
          <w:b/>
          <w:szCs w:val="24"/>
          <w:lang w:val="es-ES_tradnl"/>
        </w:rPr>
      </w:pPr>
    </w:p>
    <w:p w14:paraId="3FBB9AEE" w14:textId="77777777" w:rsidR="009E6E2E" w:rsidRPr="000D3432" w:rsidRDefault="009E6E2E" w:rsidP="009E6E2E">
      <w:pPr>
        <w:jc w:val="both"/>
        <w:rPr>
          <w:rFonts w:asciiTheme="minorHAnsi" w:hAnsiTheme="minorHAnsi" w:cs="Arial"/>
          <w:b/>
          <w:szCs w:val="24"/>
          <w:lang w:val="es-ES_tradnl"/>
        </w:rPr>
      </w:pPr>
    </w:p>
    <w:p w14:paraId="1B3374CE"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w:t>
      </w:r>
    </w:p>
    <w:p w14:paraId="2014BC3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ABUSO DE AUTORIDAD</w:t>
      </w:r>
    </w:p>
    <w:p w14:paraId="56860284" w14:textId="77777777" w:rsidR="009E6E2E" w:rsidRPr="000D3432" w:rsidRDefault="009E6E2E" w:rsidP="009E6E2E">
      <w:pPr>
        <w:rPr>
          <w:rFonts w:asciiTheme="minorHAnsi" w:hAnsiTheme="minorHAnsi"/>
          <w:szCs w:val="24"/>
          <w:lang w:val="es-ES_tradnl"/>
        </w:rPr>
      </w:pPr>
    </w:p>
    <w:p w14:paraId="6E1B6F0C" w14:textId="77777777" w:rsidR="009E6E2E" w:rsidRPr="000D3432" w:rsidRDefault="009E6E2E" w:rsidP="009E6E2E">
      <w:pPr>
        <w:rPr>
          <w:rFonts w:asciiTheme="minorHAnsi" w:hAnsiTheme="minorHAnsi"/>
          <w:szCs w:val="24"/>
          <w:lang w:val="es-ES_tradnl"/>
        </w:rPr>
      </w:pPr>
    </w:p>
    <w:p w14:paraId="2D800B2F"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1.- Concepto doctrinal del Delito de Abuso de Autoridad</w:t>
      </w:r>
    </w:p>
    <w:p w14:paraId="2439CC3D" w14:textId="77777777" w:rsidR="009E6E2E" w:rsidRPr="000D3432" w:rsidRDefault="009E6E2E" w:rsidP="009E6E2E">
      <w:pPr>
        <w:jc w:val="both"/>
        <w:rPr>
          <w:rFonts w:asciiTheme="minorHAnsi" w:hAnsiTheme="minorHAnsi"/>
          <w:szCs w:val="24"/>
          <w:lang w:val="es-ES_tradnl"/>
        </w:rPr>
      </w:pPr>
    </w:p>
    <w:p w14:paraId="585D028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Según escribe Fidel Rojas Vargas: "La </w:t>
      </w:r>
      <w:r w:rsidRPr="000D3432">
        <w:rPr>
          <w:rFonts w:asciiTheme="minorHAnsi" w:hAnsiTheme="minorHAnsi"/>
          <w:color w:val="000000"/>
          <w:szCs w:val="24"/>
          <w:lang w:val="es-ES_tradnl"/>
        </w:rPr>
        <w:t>autoridad</w:t>
      </w:r>
      <w:r w:rsidRPr="000D3432">
        <w:rPr>
          <w:rFonts w:asciiTheme="minorHAnsi" w:hAnsiTheme="minorHAnsi"/>
          <w:szCs w:val="24"/>
          <w:lang w:val="es-ES_tradnl"/>
        </w:rPr>
        <w:t>, (...), es una modalidad institucionalizada de poder cuya fuente de origen deriva de la soberanía popular y del Estado como expresión jurídico-política de aquella. (...) el término de "autoridad" puedo gquirida (concepción subjetiva) y como concepto institucionalizado en un ente público o persona física legitimada (concepción orgánica-objetiva) (...). Hemos definido también a esta segunda acepción como aquella persona dotada de capacidad de decisión pública, que ejerce jurisdicción y mando. La autoridad, entonces, como forma de poder, deriva del pueblo o del Estado, mientras que el poder en general tiene múltiples fuentes de origen: la economía, la ciencia, la tecnología, el conocimiento, las creencias, la fuerza, el temor, el avasallamiento, el sexo, la política, las posiciones de privilegio, etc."</w:t>
      </w:r>
    </w:p>
    <w:p w14:paraId="03378C28" w14:textId="77777777" w:rsidR="009E6E2E" w:rsidRPr="000D3432" w:rsidRDefault="009E6E2E" w:rsidP="009E6E2E">
      <w:pPr>
        <w:jc w:val="both"/>
        <w:rPr>
          <w:rFonts w:asciiTheme="minorHAnsi" w:hAnsiTheme="minorHAnsi"/>
          <w:szCs w:val="24"/>
          <w:lang w:val="es-ES_tradnl"/>
        </w:rPr>
      </w:pPr>
    </w:p>
    <w:p w14:paraId="05087F1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"Resumiendo: la autoridad entidad subjetivo-funcionalmente como facultad, es atributo de cierta clase de sujetos que condensan con sus actividades la voluntad del Estado, el poder público. Estos sujetos son los funcionarios públicos y más propiamente las autoridades en cuanto concepto orgánico. En el ámbito privado-particular y en general en el contexto no público, el uso del vocablo autoridad posee una connotación impropia, al no tener legitimación jurídica."</w:t>
      </w:r>
    </w:p>
    <w:p w14:paraId="3200AE23" w14:textId="77777777" w:rsidR="009E6E2E" w:rsidRPr="000D3432" w:rsidRDefault="009E6E2E" w:rsidP="009E6E2E">
      <w:pPr>
        <w:jc w:val="both"/>
        <w:rPr>
          <w:rFonts w:asciiTheme="minorHAnsi" w:hAnsiTheme="minorHAnsi"/>
          <w:szCs w:val="24"/>
          <w:lang w:val="es-ES_tradnl"/>
        </w:rPr>
      </w:pPr>
    </w:p>
    <w:p w14:paraId="5F254D32"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abuso de autoridad es (..) mal uso del poder público vinculados a expresos ámbitos de competencia que nacen en la función o el cargo y que el funcionario público quebranta mediante acciones u omisiones que resultan perjudiciales a la administración pública y a las partes directamente agraviadas (personas naturales o jurídicas) o a la sociedad misma."(pág. 117,118)</w:t>
      </w:r>
    </w:p>
    <w:p w14:paraId="350F559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  (Rojas Vargas, Fidel. Delitos contra la Administración Pública. Editorial Grijley. Pág. 116, 117.)</w:t>
      </w:r>
    </w:p>
    <w:p w14:paraId="28542D1F" w14:textId="77777777" w:rsidR="009E6E2E" w:rsidRPr="000D3432" w:rsidRDefault="009E6E2E" w:rsidP="009E6E2E">
      <w:pPr>
        <w:jc w:val="both"/>
        <w:rPr>
          <w:rFonts w:asciiTheme="minorHAnsi" w:hAnsiTheme="minorHAnsi"/>
          <w:szCs w:val="24"/>
          <w:lang w:val="es-ES_tradnl"/>
        </w:rPr>
      </w:pPr>
    </w:p>
    <w:p w14:paraId="4053C3D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abuso de autoridad es un delito porque rompe el equilibrio establecido por el Estado para las relaciones de convivencia, y porque se altera, perturba, excede el uso de la fuerza o poder público delegada a una persona, quien sólo por este poder delegado puede concretizar dicho abuso de poder implícito en su condición de "autoridad". </w:t>
      </w:r>
    </w:p>
    <w:p w14:paraId="688E1208" w14:textId="77777777" w:rsidR="009E6E2E" w:rsidRPr="000D3432" w:rsidRDefault="009E6E2E" w:rsidP="009E6E2E">
      <w:pPr>
        <w:jc w:val="both"/>
        <w:rPr>
          <w:rFonts w:asciiTheme="minorHAnsi" w:hAnsiTheme="minorHAnsi"/>
          <w:szCs w:val="24"/>
          <w:lang w:val="es-ES_tradnl"/>
        </w:rPr>
      </w:pPr>
    </w:p>
    <w:p w14:paraId="2D56BCC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abuso de autoridad puede darse en forma directa y personal así como en forma impersonal e indirectamente. </w:t>
      </w:r>
    </w:p>
    <w:p w14:paraId="73962D5C" w14:textId="77777777" w:rsidR="009E6E2E" w:rsidRPr="000D3432" w:rsidRDefault="009E6E2E" w:rsidP="009E6E2E">
      <w:pPr>
        <w:jc w:val="both"/>
        <w:rPr>
          <w:rFonts w:asciiTheme="minorHAnsi" w:hAnsiTheme="minorHAnsi"/>
          <w:szCs w:val="24"/>
          <w:lang w:val="es-ES_tradnl"/>
        </w:rPr>
      </w:pPr>
    </w:p>
    <w:p w14:paraId="63570C4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En forma directa puede convertirse en "instigación laboral". </w:t>
      </w:r>
    </w:p>
    <w:p w14:paraId="1D7F8C6A" w14:textId="77777777" w:rsidR="009E6E2E" w:rsidRPr="000D3432" w:rsidRDefault="009E6E2E" w:rsidP="009E6E2E">
      <w:pPr>
        <w:jc w:val="both"/>
        <w:rPr>
          <w:rFonts w:asciiTheme="minorHAnsi" w:hAnsiTheme="minorHAnsi"/>
          <w:szCs w:val="24"/>
          <w:lang w:val="es-ES_tradnl"/>
        </w:rPr>
      </w:pPr>
    </w:p>
    <w:p w14:paraId="413A78F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Para que se pueda configurar dicho delito tiene que existir la "condición de autoridad" del agente infractor, pues si no es "autoridad", sería otro tipo de delito.</w:t>
      </w:r>
    </w:p>
    <w:p w14:paraId="7B3EF630" w14:textId="77777777" w:rsidR="009E6E2E" w:rsidRPr="000D3432" w:rsidRDefault="009E6E2E" w:rsidP="009E6E2E">
      <w:pPr>
        <w:jc w:val="both"/>
        <w:rPr>
          <w:rFonts w:asciiTheme="minorHAnsi" w:hAnsiTheme="minorHAnsi"/>
          <w:szCs w:val="24"/>
          <w:lang w:val="es-ES_tradnl"/>
        </w:rPr>
      </w:pPr>
    </w:p>
    <w:p w14:paraId="39778F9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este tipo de abuso o exceso del uso del poder público se pueden desprender otros delitos contra la administración pública, como por ejemplo direccionar los resultados de una licitación o proceso público a favor o en contra de algún postor, direccionar la falsedad de las rendiciones económicas de la institución pública. </w:t>
      </w:r>
    </w:p>
    <w:p w14:paraId="3ACB7888" w14:textId="77777777" w:rsidR="009E6E2E" w:rsidRPr="000D3432" w:rsidRDefault="009E6E2E" w:rsidP="009E6E2E">
      <w:pPr>
        <w:jc w:val="both"/>
        <w:rPr>
          <w:rFonts w:asciiTheme="minorHAnsi" w:hAnsiTheme="minorHAnsi"/>
          <w:szCs w:val="24"/>
          <w:lang w:val="es-ES_tradnl"/>
        </w:rPr>
      </w:pPr>
    </w:p>
    <w:p w14:paraId="2ADBBE7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Ahora bien, el concepto de autoridad está monopolizado para el sector público? Un gerente de una empresa privada puede tener autoridad sobre sus trabajadores? La diferencia es que mientras que la autoridad en el sector público es un concepto que alude a cargo público, a condición pública, derivada en tal sentido por una delegación pública, dentro del sistema del Estado, y que por lo tanto es una representación teóricamente nacida en el pacto social, en el acuerdo de toda la sociedad para la organización social, y para el ejercicio de la organización pública; en el sector privado hace referencia a "potestad nacida de una entidad privada, de un acuerdo privado, que no pertenece a la delegación de toda la sociedad, representada por el Estado. El concepto de autoridad está reservado así para el sector público, como cargo funcional, o servicio social, con facultades y atribuciones sociales y no privadas, así como el cargo de responsabilidades también públicas. </w:t>
      </w:r>
    </w:p>
    <w:p w14:paraId="4B27AD62" w14:textId="77777777" w:rsidR="009E6E2E" w:rsidRPr="000D3432" w:rsidRDefault="009E6E2E" w:rsidP="009E6E2E">
      <w:pPr>
        <w:jc w:val="both"/>
        <w:rPr>
          <w:rFonts w:asciiTheme="minorHAnsi" w:hAnsiTheme="minorHAnsi"/>
          <w:szCs w:val="24"/>
          <w:lang w:val="es-ES_tradnl"/>
        </w:rPr>
      </w:pPr>
    </w:p>
    <w:p w14:paraId="4C3358A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Expuesto de esta forma, ser una "autoridad", es tener un cargo público por el cual una persona, investida por ciertos mecanismos que han pasado el matiz de la representación social, y que cumple o ejerce servicios sociales, la misma persona tiene atribuido como una facultad o atribución más la facultad de poder "decidir" respecto a ciertos aspectos de la organización social, del servicio público. </w:t>
      </w:r>
    </w:p>
    <w:p w14:paraId="68DBCBA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Una autoridad, entonces, tiene que tener legitimidad para obrar o no obrar respecto a un sector o parte del servicio público, del manejo u organización de los bienes y servicios públicos.</w:t>
      </w:r>
    </w:p>
    <w:p w14:paraId="532114EB" w14:textId="77777777" w:rsidR="009E6E2E" w:rsidRPr="000D3432" w:rsidRDefault="009E6E2E" w:rsidP="009E6E2E">
      <w:pPr>
        <w:jc w:val="both"/>
        <w:rPr>
          <w:rFonts w:asciiTheme="minorHAnsi" w:hAnsiTheme="minorHAnsi"/>
          <w:szCs w:val="24"/>
          <w:lang w:val="es-ES_tradnl"/>
        </w:rPr>
      </w:pPr>
    </w:p>
    <w:p w14:paraId="372C653F"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Características para ser una autoridad:</w:t>
      </w:r>
    </w:p>
    <w:p w14:paraId="3D34EE9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1.- Ser un funcionario o servidor publico </w:t>
      </w:r>
    </w:p>
    <w:p w14:paraId="32B2D6E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2.- Haber sido elegido, designado o elegido de acuerdo a un mecanismo público de selección.</w:t>
      </w:r>
    </w:p>
    <w:p w14:paraId="11EA210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3.- Tener capacidad de decisión respecto a una parte o sector de la organización o manejo de los servicios y/o bienes públicos.</w:t>
      </w:r>
    </w:p>
    <w:p w14:paraId="5E02A2B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4.- Tener adherida la carga de la responsabilidad pública por los actos, hechos u omisiones en el desempeño de  sus funciones públicas</w:t>
      </w:r>
    </w:p>
    <w:p w14:paraId="262A6DFA" w14:textId="77777777" w:rsidR="009E6E2E" w:rsidRPr="000D3432" w:rsidRDefault="009E6E2E" w:rsidP="009E6E2E">
      <w:pPr>
        <w:jc w:val="both"/>
        <w:rPr>
          <w:rFonts w:asciiTheme="minorHAnsi" w:hAnsiTheme="minorHAnsi"/>
          <w:szCs w:val="24"/>
          <w:lang w:val="es-ES_tradnl"/>
        </w:rPr>
      </w:pPr>
    </w:p>
    <w:p w14:paraId="44C9DB9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En este tipo delictivo existen partes sujetos, el "abusador", el agraviado social (El Estado), y el agraviado particular (el directamente agraviado por la acción u omisión de las funciones públicas </w:t>
      </w:r>
    </w:p>
    <w:p w14:paraId="0EF96262" w14:textId="77777777" w:rsidR="009E6E2E" w:rsidRPr="000D3432" w:rsidRDefault="009E6E2E" w:rsidP="009E6E2E">
      <w:pPr>
        <w:jc w:val="both"/>
        <w:rPr>
          <w:rFonts w:asciiTheme="minorHAnsi" w:hAnsiTheme="minorHAnsi"/>
          <w:szCs w:val="24"/>
          <w:lang w:val="es-ES_tradnl"/>
        </w:rPr>
      </w:pPr>
    </w:p>
    <w:p w14:paraId="10400420"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Pero la potestad para usar, acción u omisión, de la autoridad se convierte en delito cuando aquel acto u omisión daña, violenta, vulnera, viola de alugna forma los derechos de una persona o entidad privada o pública. Por ejemplo, existirií abuso de autoridad cuando se utiliza el servicio público en beneficio particular y no social.</w:t>
      </w:r>
    </w:p>
    <w:p w14:paraId="02EAEDC9" w14:textId="77777777" w:rsidR="009E6E2E" w:rsidRPr="000D3432" w:rsidRDefault="009E6E2E" w:rsidP="009E6E2E">
      <w:pPr>
        <w:jc w:val="both"/>
        <w:rPr>
          <w:rFonts w:asciiTheme="minorHAnsi" w:hAnsiTheme="minorHAnsi"/>
          <w:szCs w:val="24"/>
          <w:lang w:val="es-ES_tradnl"/>
        </w:rPr>
      </w:pPr>
    </w:p>
    <w:p w14:paraId="09B0E74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Este tipo de delito es la matriz, la madre, de todos los otros delitos contra la administración pública por ejemplo, el delito de peculado es el abuso del poder o autoridad para utilizar bienes puúlicos a favor personal o de alguna persona que no corresponda; asi también, la malversacioó de fondos, es el abuso de la autoridad, o del poder, para utilizar los bienes públicos en una direccioó contraria a la establecida por la ley; o también, el cohecho pasivo o el cohecho activo, es el abuso de la posición de la autoridad o cargo para direccionar u obtener un beneficio ilegal, ilegiíimo o usar el cargo como producto de comercio privado. </w:t>
      </w:r>
    </w:p>
    <w:p w14:paraId="62A6400D" w14:textId="77777777" w:rsidR="009E6E2E" w:rsidRPr="000D3432" w:rsidRDefault="009E6E2E" w:rsidP="009E6E2E">
      <w:pPr>
        <w:jc w:val="both"/>
        <w:rPr>
          <w:rFonts w:asciiTheme="minorHAnsi" w:hAnsiTheme="minorHAnsi"/>
          <w:szCs w:val="24"/>
          <w:lang w:val="es-ES_tradnl"/>
        </w:rPr>
      </w:pPr>
    </w:p>
    <w:p w14:paraId="1EF423B5" w14:textId="77777777" w:rsidR="009E6E2E" w:rsidRPr="000D3432" w:rsidRDefault="009E6E2E" w:rsidP="009E6E2E">
      <w:pPr>
        <w:jc w:val="center"/>
        <w:rPr>
          <w:rFonts w:asciiTheme="minorHAnsi" w:hAnsiTheme="minorHAnsi"/>
          <w:szCs w:val="24"/>
          <w:lang w:val="es-ES_tradnl"/>
        </w:rPr>
      </w:pPr>
      <w:r w:rsidRPr="000D3432">
        <w:rPr>
          <w:rFonts w:asciiTheme="minorHAnsi" w:hAnsiTheme="minorHAnsi"/>
          <w:szCs w:val="24"/>
          <w:lang w:val="es-ES_tradnl"/>
        </w:rPr>
        <w:t>***</w:t>
      </w:r>
    </w:p>
    <w:p w14:paraId="170A9E0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la dirección electrónica URL, http://www.monografias.com/trabajos-pdf3/violacion-derechos-humanos-abuso-autoridad/violacion-derechos-humanos-abuso-autoridad.pdf, se indica: </w:t>
      </w:r>
    </w:p>
    <w:p w14:paraId="0D5CA8F8" w14:textId="77777777" w:rsidR="009E6E2E" w:rsidRPr="000D3432" w:rsidRDefault="009E6E2E" w:rsidP="009E6E2E">
      <w:pPr>
        <w:rPr>
          <w:rFonts w:asciiTheme="minorHAnsi" w:hAnsiTheme="minorHAnsi"/>
          <w:szCs w:val="24"/>
          <w:lang w:val="es-ES_tradnl"/>
        </w:rPr>
      </w:pPr>
    </w:p>
    <w:p w14:paraId="36CAD756" w14:textId="77777777" w:rsidR="009E6E2E" w:rsidRPr="000D3432" w:rsidRDefault="009E6E2E" w:rsidP="009E6E2E">
      <w:pPr>
        <w:rPr>
          <w:rFonts w:asciiTheme="minorHAnsi" w:hAnsiTheme="minorHAnsi"/>
          <w:i/>
          <w:szCs w:val="24"/>
          <w:lang w:val="es-ES_tradnl"/>
        </w:rPr>
      </w:pPr>
      <w:r w:rsidRPr="000D3432">
        <w:rPr>
          <w:rFonts w:asciiTheme="minorHAnsi" w:hAnsiTheme="minorHAnsi"/>
          <w:i/>
          <w:szCs w:val="24"/>
          <w:lang w:val="es-ES_tradnl"/>
        </w:rPr>
        <w:t>«La página Web del Poder Judicial de Perú dice: Abuso de autoridad: Def. 1: Arbitrariedad cometida en el ejercicio de atribuciones funcionales, administrativas o jerárquicas al rehusar hacer, retardar o exceder la potestad atribuida a su cargo o función, perjudicando a los sometidos a su autoridad(2)»</w:t>
      </w:r>
    </w:p>
    <w:p w14:paraId="1EB3BC49" w14:textId="77777777" w:rsidR="009E6E2E" w:rsidRPr="000D3432" w:rsidRDefault="009E6E2E" w:rsidP="009E6E2E">
      <w:pPr>
        <w:jc w:val="both"/>
        <w:rPr>
          <w:rFonts w:asciiTheme="minorHAnsi" w:hAnsiTheme="minorHAnsi"/>
          <w:szCs w:val="24"/>
          <w:lang w:val="es-ES_tradnl"/>
        </w:rPr>
      </w:pPr>
    </w:p>
    <w:p w14:paraId="704AFF47" w14:textId="77777777" w:rsidR="009E6E2E" w:rsidRPr="000D3432" w:rsidRDefault="009E6E2E" w:rsidP="009E6E2E">
      <w:pPr>
        <w:jc w:val="both"/>
        <w:rPr>
          <w:rFonts w:asciiTheme="minorHAnsi" w:hAnsiTheme="minorHAnsi"/>
          <w:szCs w:val="24"/>
          <w:lang w:val="es-ES_tradnl"/>
        </w:rPr>
      </w:pPr>
    </w:p>
    <w:p w14:paraId="083040E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De acuerdo con el Diccionario Enciclopédico Jurídico (http://www.cubc.mx/biblioteca/libros/42.-%20Diccionario%20Enciclopedico%20Juridico%20-%20%20Diccionario.pdf): </w:t>
      </w:r>
    </w:p>
    <w:p w14:paraId="3E37A0EF" w14:textId="77777777" w:rsidR="009E6E2E" w:rsidRPr="000D3432" w:rsidRDefault="009E6E2E" w:rsidP="009E6E2E">
      <w:pPr>
        <w:jc w:val="both"/>
        <w:rPr>
          <w:rFonts w:asciiTheme="minorHAnsi" w:hAnsiTheme="minorHAnsi"/>
          <w:szCs w:val="24"/>
          <w:lang w:val="es-ES_tradnl"/>
        </w:rPr>
      </w:pPr>
    </w:p>
    <w:p w14:paraId="7725CCAF" w14:textId="77777777" w:rsidR="009E6E2E" w:rsidRPr="000D3432" w:rsidRDefault="009E6E2E" w:rsidP="009E6E2E">
      <w:pPr>
        <w:jc w:val="both"/>
        <w:rPr>
          <w:rFonts w:asciiTheme="minorHAnsi" w:hAnsiTheme="minorHAnsi"/>
          <w:i/>
          <w:szCs w:val="24"/>
          <w:lang w:val="es-ES_tradnl"/>
        </w:rPr>
      </w:pPr>
      <w:r w:rsidRPr="000D3432">
        <w:rPr>
          <w:rFonts w:asciiTheme="minorHAnsi" w:hAnsiTheme="minorHAnsi"/>
          <w:i/>
          <w:szCs w:val="24"/>
          <w:lang w:val="es-ES_tradnl"/>
        </w:rPr>
        <w:t xml:space="preserve">“Abuso de Autoridad. Se produce cuando un magistrado o un funcionario ejerce su autoridad o sus facultades más allá de los límites que le fijen la ley o la naturaleza de las propias funciones. La configuración del delito requiere tres circunstancias de hecho: </w:t>
      </w:r>
    </w:p>
    <w:p w14:paraId="002A49F1" w14:textId="77777777" w:rsidR="009E6E2E" w:rsidRPr="000D3432" w:rsidRDefault="009E6E2E" w:rsidP="009E6E2E">
      <w:pPr>
        <w:jc w:val="both"/>
        <w:rPr>
          <w:rFonts w:asciiTheme="minorHAnsi" w:hAnsiTheme="minorHAnsi"/>
          <w:i/>
          <w:szCs w:val="24"/>
          <w:lang w:val="es-ES_tradnl"/>
        </w:rPr>
      </w:pPr>
      <w:r w:rsidRPr="000D3432">
        <w:rPr>
          <w:rFonts w:asciiTheme="minorHAnsi" w:hAnsiTheme="minorHAnsi"/>
          <w:i/>
          <w:szCs w:val="24"/>
          <w:lang w:val="es-ES_tradnl"/>
        </w:rPr>
        <w:t xml:space="preserve">a) El autor debe ser funcionario público. Esta condición objetiva de autor lleva consigo el presupuesto indispensable para que el delito pueda configurarse: la autoridad, es decir, las facultades, poderes y medios inherentes al cargo, de los cuales se abusa. /Bien se ha dicho que no puede abusar de su autoridad quien no tiene autoridad. </w:t>
      </w:r>
    </w:p>
    <w:p w14:paraId="71635978" w14:textId="77777777" w:rsidR="009E6E2E" w:rsidRPr="000D3432" w:rsidRDefault="009E6E2E" w:rsidP="009E6E2E">
      <w:pPr>
        <w:jc w:val="both"/>
        <w:rPr>
          <w:rFonts w:asciiTheme="minorHAnsi" w:hAnsiTheme="minorHAnsi"/>
          <w:i/>
          <w:szCs w:val="24"/>
          <w:lang w:val="es-ES_tradnl"/>
        </w:rPr>
      </w:pPr>
    </w:p>
    <w:p w14:paraId="0B6C5645" w14:textId="77777777" w:rsidR="009E6E2E" w:rsidRPr="000D3432" w:rsidRDefault="009E6E2E" w:rsidP="009E6E2E">
      <w:pPr>
        <w:jc w:val="both"/>
        <w:rPr>
          <w:rFonts w:asciiTheme="minorHAnsi" w:hAnsiTheme="minorHAnsi"/>
          <w:i/>
          <w:szCs w:val="24"/>
          <w:lang w:val="es-ES_tradnl"/>
        </w:rPr>
      </w:pPr>
      <w:r w:rsidRPr="000D3432">
        <w:rPr>
          <w:rFonts w:asciiTheme="minorHAnsi" w:hAnsiTheme="minorHAnsi"/>
          <w:i/>
          <w:szCs w:val="24"/>
          <w:lang w:val="es-ES_tradnl"/>
        </w:rPr>
        <w:t xml:space="preserve">b) el abuso, que en si mismo constituye el delito, puede resultar de dos situaciones: que el acto mismo sea contrario a la constitución o las leyes, es decir, que lo sea siempre, y que por tanto ningún funcionario pueda estar facultado para disponerlo o ejecutarlo; que el acto sea legítimo en determinadas condiciones y circunstancias que no se dan en el caso, es decir, actos que pueden ser ejecutados como legítimos, pero que no lo son en el caso concreto. </w:t>
      </w:r>
    </w:p>
    <w:p w14:paraId="563658BA" w14:textId="77777777" w:rsidR="009E6E2E" w:rsidRPr="000D3432" w:rsidRDefault="009E6E2E" w:rsidP="009E6E2E">
      <w:pPr>
        <w:jc w:val="both"/>
        <w:rPr>
          <w:rFonts w:asciiTheme="minorHAnsi" w:hAnsiTheme="minorHAnsi"/>
          <w:i/>
          <w:szCs w:val="24"/>
          <w:lang w:val="es-ES_tradnl"/>
        </w:rPr>
      </w:pPr>
    </w:p>
    <w:p w14:paraId="7DF6B23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i/>
          <w:szCs w:val="24"/>
          <w:lang w:val="es-ES_tradnl"/>
        </w:rPr>
        <w:t>c) la materialidad. El abuso de autoridad debe cometerse a través de uno de los actos que la ley indica. El hecho puede consistir tanto de uno de los actos que la ley indica. El hecho puede consistir tanto en dictar resoluciones u órdenes contrarias a las constituciones o a las leyes nacionales o provinciales, como en ejecutar las órdenes de esas clase ya existentes o en no ejecutar las leyes cuyo cumplimiento le incumbe al autor.”</w:t>
      </w:r>
    </w:p>
    <w:p w14:paraId="7C207964" w14:textId="77777777" w:rsidR="009E6E2E" w:rsidRPr="000D3432" w:rsidRDefault="009E6E2E" w:rsidP="009E6E2E">
      <w:pPr>
        <w:jc w:val="both"/>
        <w:rPr>
          <w:rFonts w:asciiTheme="minorHAnsi" w:hAnsiTheme="minorHAnsi"/>
          <w:szCs w:val="24"/>
          <w:lang w:val="es-ES_tradnl"/>
        </w:rPr>
      </w:pPr>
    </w:p>
    <w:p w14:paraId="04DDEA31" w14:textId="77777777" w:rsidR="009E6E2E" w:rsidRPr="000D3432" w:rsidRDefault="009E6E2E" w:rsidP="009E6E2E">
      <w:pPr>
        <w:rPr>
          <w:rFonts w:asciiTheme="minorHAnsi" w:hAnsiTheme="minorHAnsi"/>
          <w:szCs w:val="24"/>
          <w:lang w:val="es-ES_tradnl"/>
        </w:rPr>
      </w:pPr>
    </w:p>
    <w:p w14:paraId="506E0CD4" w14:textId="77777777" w:rsidR="009E6E2E" w:rsidRPr="000D3432" w:rsidRDefault="009E6E2E" w:rsidP="009E6E2E">
      <w:pPr>
        <w:rPr>
          <w:rFonts w:asciiTheme="minorHAnsi" w:hAnsiTheme="minorHAnsi"/>
          <w:b/>
          <w:szCs w:val="24"/>
        </w:rPr>
      </w:pPr>
      <w:r w:rsidRPr="000D3432">
        <w:rPr>
          <w:rFonts w:asciiTheme="minorHAnsi" w:hAnsiTheme="minorHAnsi"/>
          <w:b/>
          <w:szCs w:val="24"/>
        </w:rPr>
        <w:t>ABUSO DE AUTORIDAD:</w:t>
      </w:r>
    </w:p>
    <w:p w14:paraId="28EEEF3E" w14:textId="77777777" w:rsidR="009E6E2E" w:rsidRPr="000D3432" w:rsidRDefault="009E6E2E" w:rsidP="009E6E2E">
      <w:pPr>
        <w:rPr>
          <w:rFonts w:asciiTheme="minorHAnsi" w:hAnsiTheme="minorHAnsi"/>
          <w:szCs w:val="24"/>
        </w:rPr>
      </w:pPr>
    </w:p>
    <w:p w14:paraId="715CE946"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 xml:space="preserve">“El abuso de autoridad siendo un acto arbitrario o ilegal que realiza cualquier funcionario público (presidente, ministros, congresistas, magistrados, fiscales, policías, directores, et.) es un delito de función pública; es decir, sólo lo puede cometer un funcionario que tiene poder de decisión. Son éstos los que poseen cargos directivos y que legal y administrativamente están facultados para resolver asuntos de su competencia, de manera individual o como miembros de un cuerpo colegiado.” (Delitos cometidos por funcionarios públicos contra la Administración Pública. Jorge Hugo Alvarez. Gaceta Jurídica. Pág. 15). </w:t>
      </w:r>
    </w:p>
    <w:p w14:paraId="146E14C6" w14:textId="77777777" w:rsidR="009E6E2E" w:rsidRPr="000D3432" w:rsidRDefault="009E6E2E" w:rsidP="009E6E2E">
      <w:pPr>
        <w:jc w:val="both"/>
        <w:rPr>
          <w:rFonts w:asciiTheme="minorHAnsi" w:hAnsiTheme="minorHAnsi"/>
          <w:szCs w:val="24"/>
        </w:rPr>
      </w:pPr>
    </w:p>
    <w:p w14:paraId="5E1FAA99"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“La figura penal del abuso de autoridad puede ser definida jurídicamente como aquel delito genérico e innominado que castiga hechos abusivos del funcionario público que no se encuentran previstos, ni como delito autónomo ni como circunstancia agravante de otro delito en el Código penal ni en otra disposición especial de la ley. / La tendencia actual observable en las legislaciones penales europeas avanzadas, propias de Estados Sociales de Derecho, es el incluir como sujetos activos de delito a los empleados o servidores públicos en el tipo de abuso genérico de autoridad o empleo y por otro lado, a endurecer la gravedad de las penas así como –y esto es de gran importancia- ubicar el abuso de autoridad dentro del rubro de los delitos contra los derechos fundamentales de la persona” (Delitos contra la Administración Pública. Fidel Rojas Vargas. Grijley. Tercera Edición. Págs. 130 y 131.).</w:t>
      </w:r>
    </w:p>
    <w:p w14:paraId="7FE09209" w14:textId="77777777" w:rsidR="009E6E2E" w:rsidRPr="000D3432" w:rsidRDefault="009E6E2E" w:rsidP="009E6E2E">
      <w:pPr>
        <w:jc w:val="both"/>
        <w:rPr>
          <w:rFonts w:asciiTheme="minorHAnsi" w:hAnsiTheme="minorHAnsi"/>
          <w:szCs w:val="24"/>
          <w:lang w:val="es-ES_tradnl"/>
        </w:rPr>
      </w:pPr>
    </w:p>
    <w:p w14:paraId="654F5708" w14:textId="77777777" w:rsidR="009E6E2E" w:rsidRPr="000D3432" w:rsidRDefault="009E6E2E" w:rsidP="009E6E2E">
      <w:pPr>
        <w:jc w:val="both"/>
        <w:rPr>
          <w:rFonts w:asciiTheme="minorHAnsi" w:hAnsiTheme="minorHAnsi"/>
          <w:color w:val="008000"/>
          <w:szCs w:val="24"/>
          <w:lang w:val="es-ES_tradnl"/>
        </w:rPr>
      </w:pPr>
      <w:r w:rsidRPr="000D3432">
        <w:rPr>
          <w:rFonts w:asciiTheme="minorHAnsi" w:hAnsiTheme="minorHAnsi"/>
          <w:color w:val="008000"/>
          <w:szCs w:val="24"/>
          <w:lang w:val="es-ES_tradnl"/>
        </w:rPr>
        <w:t xml:space="preserve">b)  Concepto Legal: </w:t>
      </w:r>
    </w:p>
    <w:p w14:paraId="2FCAC02C" w14:textId="77777777" w:rsidR="009E6E2E" w:rsidRPr="000D3432" w:rsidRDefault="009E6E2E" w:rsidP="009E6E2E">
      <w:pPr>
        <w:jc w:val="both"/>
        <w:rPr>
          <w:rFonts w:asciiTheme="minorHAnsi" w:hAnsiTheme="minorHAnsi"/>
          <w:szCs w:val="24"/>
          <w:lang w:val="es-ES_tradnl"/>
        </w:rPr>
      </w:pPr>
    </w:p>
    <w:p w14:paraId="103B31E7" w14:textId="77777777" w:rsidR="009E6E2E" w:rsidRPr="000D3432" w:rsidRDefault="009E6E2E" w:rsidP="009E6E2E">
      <w:pPr>
        <w:jc w:val="both"/>
        <w:rPr>
          <w:rFonts w:asciiTheme="minorHAnsi" w:hAnsiTheme="minorHAnsi" w:cs="Arial"/>
          <w:i/>
          <w:color w:val="000000"/>
          <w:szCs w:val="24"/>
        </w:rPr>
      </w:pPr>
      <w:r w:rsidRPr="000D3432">
        <w:rPr>
          <w:rFonts w:asciiTheme="minorHAnsi" w:hAnsiTheme="minorHAnsi"/>
          <w:szCs w:val="24"/>
          <w:lang w:val="es-ES_tradnl"/>
        </w:rPr>
        <w:t xml:space="preserve">De acuerdo con el Código Penal (D.Leg. Nº 635), se prescribe: </w:t>
      </w:r>
      <w:r w:rsidRPr="000D3432">
        <w:rPr>
          <w:rFonts w:asciiTheme="minorHAnsi" w:hAnsiTheme="minorHAnsi"/>
          <w:i/>
          <w:szCs w:val="24"/>
        </w:rPr>
        <w:t>“</w:t>
      </w:r>
      <w:r w:rsidRPr="000D3432">
        <w:rPr>
          <w:rFonts w:asciiTheme="minorHAnsi" w:hAnsiTheme="minorHAnsi" w:cs="Arial"/>
          <w:b/>
          <w:bCs/>
          <w:i/>
          <w:color w:val="000000"/>
          <w:szCs w:val="24"/>
        </w:rPr>
        <w:t>“Artículo 376.- Abuso de autoridad.- j</w:t>
      </w:r>
      <w:r w:rsidRPr="000D3432">
        <w:rPr>
          <w:rFonts w:asciiTheme="minorHAnsi" w:hAnsiTheme="minorHAnsi" w:cs="Arial"/>
          <w:i/>
          <w:color w:val="000000"/>
          <w:szCs w:val="24"/>
        </w:rPr>
        <w:t>El funcionario público que, abusando de sus atribuciones, comete u ordena un acto arbitrario que cause perjuicio a alguien será reprimido con pena privativa de libertad no mayor de tres años. / Si los hechos derivan de un procedimiento de cobranza coactiva, la pena privativa de libertad será no menor de dos ni mayor de cuatro años.</w:t>
      </w:r>
      <w:r w:rsidRPr="000D3432">
        <w:rPr>
          <w:rFonts w:asciiTheme="minorHAnsi" w:hAnsiTheme="minorHAnsi" w:cs="Arial"/>
          <w:b/>
          <w:bCs/>
          <w:i/>
          <w:color w:val="000000"/>
          <w:szCs w:val="24"/>
        </w:rPr>
        <w:t>".</w:t>
      </w:r>
    </w:p>
    <w:p w14:paraId="49F61D32" w14:textId="77777777" w:rsidR="009E6E2E" w:rsidRPr="000D3432" w:rsidRDefault="009E6E2E" w:rsidP="009E6E2E">
      <w:pPr>
        <w:jc w:val="both"/>
        <w:rPr>
          <w:rFonts w:asciiTheme="minorHAnsi" w:hAnsiTheme="minorHAnsi"/>
          <w:i/>
          <w:szCs w:val="24"/>
          <w:lang w:val="es-ES_tradnl"/>
        </w:rPr>
      </w:pPr>
    </w:p>
    <w:p w14:paraId="01CADC70"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2.- Elementos legales del delito</w:t>
      </w:r>
    </w:p>
    <w:p w14:paraId="5E775CE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Los elementos que se encuentran en este tipo delictivo son: a) Abuso; b) Autoridad; c) Funcionario público; d) Servidor público; e) atribuciones; f) cometer u ordenar; g) acto arbitrario; h) perjuicio o daño de tercero; </w:t>
      </w:r>
    </w:p>
    <w:p w14:paraId="2434B855" w14:textId="77777777" w:rsidR="009E6E2E" w:rsidRPr="000D3432" w:rsidRDefault="009E6E2E" w:rsidP="009E6E2E">
      <w:pPr>
        <w:jc w:val="both"/>
        <w:rPr>
          <w:rFonts w:asciiTheme="minorHAnsi" w:hAnsiTheme="minorHAnsi"/>
          <w:szCs w:val="24"/>
          <w:lang w:val="es-ES_tradnl"/>
        </w:rPr>
      </w:pPr>
    </w:p>
    <w:p w14:paraId="15906342"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3.- Sanción a imponerse</w:t>
      </w:r>
    </w:p>
    <w:p w14:paraId="5F3C8E4D" w14:textId="77777777" w:rsidR="009E6E2E" w:rsidRPr="000D3432" w:rsidRDefault="009E6E2E" w:rsidP="009E6E2E">
      <w:pPr>
        <w:jc w:val="both"/>
        <w:rPr>
          <w:rFonts w:asciiTheme="minorHAnsi" w:hAnsiTheme="minorHAnsi"/>
          <w:b/>
          <w:szCs w:val="24"/>
          <w:lang w:val="es-ES_tradnl"/>
        </w:rPr>
      </w:pPr>
    </w:p>
    <w:p w14:paraId="312C0A13" w14:textId="77777777" w:rsidR="009E6E2E" w:rsidRPr="000D3432" w:rsidRDefault="009E6E2E" w:rsidP="009E6E2E">
      <w:pPr>
        <w:jc w:val="both"/>
        <w:rPr>
          <w:rFonts w:asciiTheme="minorHAnsi" w:hAnsiTheme="minorHAnsi" w:cs="Arial"/>
          <w:b/>
          <w:bCs/>
          <w:color w:val="000000"/>
          <w:szCs w:val="24"/>
          <w:shd w:val="clear" w:color="auto" w:fill="FFFFFF"/>
          <w:lang w:val="es-ES_tradnl"/>
        </w:rPr>
      </w:pPr>
      <w:r w:rsidRPr="000D3432">
        <w:rPr>
          <w:rFonts w:asciiTheme="minorHAnsi" w:hAnsiTheme="minorHAnsi"/>
          <w:szCs w:val="24"/>
          <w:lang w:val="es-ES_tradnl"/>
        </w:rPr>
        <w:t xml:space="preserve">La sanción ha imponerse ha ido variando: a) No mayor de dos años; b) </w:t>
      </w:r>
      <w:r w:rsidRPr="000D3432">
        <w:rPr>
          <w:rFonts w:asciiTheme="minorHAnsi" w:hAnsiTheme="minorHAnsi" w:cs="Arial"/>
          <w:color w:val="000000"/>
          <w:szCs w:val="24"/>
          <w:shd w:val="clear" w:color="auto" w:fill="FFFFFF"/>
          <w:lang w:val="es-ES_tradnl"/>
        </w:rPr>
        <w:t xml:space="preserve">no mayor de tres años (dispuesta por la modificación al </w:t>
      </w:r>
      <w:r w:rsidRPr="000D3432">
        <w:rPr>
          <w:rFonts w:asciiTheme="minorHAnsi" w:hAnsiTheme="minorHAnsi" w:cs="Arial"/>
          <w:b/>
          <w:bCs/>
          <w:color w:val="000000"/>
          <w:szCs w:val="24"/>
          <w:shd w:val="clear" w:color="auto" w:fill="FFFFFF"/>
          <w:lang w:val="es-ES_tradnl"/>
        </w:rPr>
        <w:t>“Artículo 1 de la Ley Nº 29703, publicada el 10 junio 2011”.</w:t>
      </w:r>
    </w:p>
    <w:p w14:paraId="018B362D" w14:textId="77777777" w:rsidR="009E6E2E" w:rsidRPr="000D3432" w:rsidRDefault="009E6E2E" w:rsidP="009E6E2E">
      <w:pPr>
        <w:jc w:val="both"/>
        <w:rPr>
          <w:rFonts w:asciiTheme="minorHAnsi" w:hAnsiTheme="minorHAnsi" w:cs="Arial"/>
          <w:b/>
          <w:bCs/>
          <w:color w:val="000000"/>
          <w:szCs w:val="24"/>
          <w:shd w:val="clear" w:color="auto" w:fill="FFFFFF"/>
          <w:lang w:val="es-ES_tradnl"/>
        </w:rPr>
      </w:pPr>
    </w:p>
    <w:p w14:paraId="54AA0376" w14:textId="77777777" w:rsidR="009E6E2E" w:rsidRPr="000D3432" w:rsidRDefault="009E6E2E" w:rsidP="009E6E2E">
      <w:pPr>
        <w:jc w:val="both"/>
        <w:rPr>
          <w:rFonts w:asciiTheme="minorHAnsi" w:hAnsiTheme="minorHAnsi"/>
          <w:b/>
          <w:szCs w:val="24"/>
          <w:lang w:val="es-ES_tradnl"/>
        </w:rPr>
      </w:pPr>
    </w:p>
    <w:p w14:paraId="195398AB"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4.- Argumentos para la defensa (Abogado)</w:t>
      </w:r>
    </w:p>
    <w:p w14:paraId="37148C0C" w14:textId="77777777" w:rsidR="009E6E2E" w:rsidRPr="000D3432" w:rsidRDefault="009E6E2E" w:rsidP="009E6E2E">
      <w:pPr>
        <w:jc w:val="both"/>
        <w:rPr>
          <w:rFonts w:asciiTheme="minorHAnsi" w:hAnsiTheme="minorHAnsi"/>
          <w:szCs w:val="24"/>
          <w:lang w:val="es-ES_tradnl"/>
        </w:rPr>
      </w:pPr>
    </w:p>
    <w:p w14:paraId="2A4D7D7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Un abogado, como defensor tiene que ver la perspectiva a fin de lograr: la absolución, declaración de inocencia, rebaja de la pena, negociación de la pena, etc. </w:t>
      </w:r>
    </w:p>
    <w:p w14:paraId="79D39858" w14:textId="77777777" w:rsidR="009E6E2E" w:rsidRPr="000D3432" w:rsidRDefault="009E6E2E" w:rsidP="009E6E2E">
      <w:pPr>
        <w:jc w:val="both"/>
        <w:rPr>
          <w:rFonts w:asciiTheme="minorHAnsi" w:hAnsiTheme="minorHAnsi"/>
          <w:szCs w:val="24"/>
          <w:lang w:val="es-ES_tradnl"/>
        </w:rPr>
      </w:pPr>
    </w:p>
    <w:p w14:paraId="45885EC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 xml:space="preserve">a) Elementos fácticos.- </w:t>
      </w:r>
      <w:r w:rsidRPr="000D3432">
        <w:rPr>
          <w:rFonts w:asciiTheme="minorHAnsi" w:hAnsiTheme="minorHAnsi"/>
          <w:szCs w:val="24"/>
          <w:lang w:val="es-ES_tradnl"/>
        </w:rPr>
        <w:t>Dentro de los elementos fácticos el abogado tiene que verificar si los hechos se han podido constituir como reales. Por ejemplo, si en los hechos, la persona se encontraba en el lugar indicado, si tenía el cargo aludido, si estaba en sus sentidos completos para ejercer, etc.</w:t>
      </w:r>
    </w:p>
    <w:p w14:paraId="1BA9E1F9" w14:textId="77777777" w:rsidR="009E6E2E" w:rsidRPr="000D3432" w:rsidRDefault="009E6E2E" w:rsidP="009E6E2E">
      <w:pPr>
        <w:jc w:val="both"/>
        <w:rPr>
          <w:rFonts w:asciiTheme="minorHAnsi" w:hAnsiTheme="minorHAnsi"/>
          <w:szCs w:val="24"/>
          <w:lang w:val="es-ES_tradnl"/>
        </w:rPr>
      </w:pPr>
    </w:p>
    <w:p w14:paraId="5F4EDED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b) Presupuestos jurídicos generales:</w:t>
      </w:r>
      <w:r w:rsidRPr="000D3432">
        <w:rPr>
          <w:rFonts w:asciiTheme="minorHAnsi" w:hAnsiTheme="minorHAnsi"/>
          <w:szCs w:val="24"/>
          <w:lang w:val="es-ES_tradnl"/>
        </w:rPr>
        <w:t xml:space="preserve"> 1) Configuración delictiva, 2) Autoría, 3) Prescripción</w:t>
      </w:r>
    </w:p>
    <w:p w14:paraId="6FC74EE4" w14:textId="77777777" w:rsidR="009E6E2E" w:rsidRPr="000D3432" w:rsidRDefault="009E6E2E" w:rsidP="009E6E2E">
      <w:pPr>
        <w:jc w:val="both"/>
        <w:rPr>
          <w:rFonts w:asciiTheme="minorHAnsi" w:hAnsiTheme="minorHAnsi"/>
          <w:szCs w:val="24"/>
          <w:lang w:val="es-ES_tradnl"/>
        </w:rPr>
      </w:pPr>
    </w:p>
    <w:p w14:paraId="4C2A85E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abogado debe verificar si se cumplen los presupuestos siguientes: b.1) Configuración delictiva.- Esto supone si se ha cumplido con la tipificación respectiva, tentativa; b.2) Autoría, si la persona ha participado, es autor, autor mediato, cómplice, causas eximentes o atenuantes, etc.; b.3) Prescripción.- El abogado deberá observar si de acuerdo a ley el delito imputado ha prescrito. Para lograr la prescriptibilidad se puede aducir varias formas, que el imputado se retire a otro país, a través de asilo político, etc. </w:t>
      </w:r>
    </w:p>
    <w:p w14:paraId="165FB92D" w14:textId="77777777" w:rsidR="009E6E2E" w:rsidRPr="000D3432" w:rsidRDefault="009E6E2E" w:rsidP="009E6E2E">
      <w:pPr>
        <w:jc w:val="both"/>
        <w:rPr>
          <w:rFonts w:asciiTheme="minorHAnsi" w:hAnsiTheme="minorHAnsi"/>
          <w:szCs w:val="24"/>
          <w:lang w:val="es-ES_tradnl"/>
        </w:rPr>
      </w:pPr>
    </w:p>
    <w:p w14:paraId="714FA70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abogado puede también recurrir a los sistemas de negociación, como el principio de oportunidad, la terminación anticipada.</w:t>
      </w:r>
    </w:p>
    <w:p w14:paraId="17C85DF0" w14:textId="77777777" w:rsidR="009E6E2E" w:rsidRPr="000D3432" w:rsidRDefault="009E6E2E" w:rsidP="009E6E2E">
      <w:pPr>
        <w:jc w:val="both"/>
        <w:rPr>
          <w:rFonts w:asciiTheme="minorHAnsi" w:hAnsiTheme="minorHAnsi"/>
          <w:szCs w:val="24"/>
          <w:lang w:val="es-ES_tradnl"/>
        </w:rPr>
      </w:pPr>
    </w:p>
    <w:p w14:paraId="7CC88D49"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c) Presupuestos atendiendo a la «condición» jurídica de la persona.- </w:t>
      </w:r>
    </w:p>
    <w:p w14:paraId="34E1263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 esta parte el abogado deberá revisar cuál ha sido la condición jurídica del imputado en el momento del supuesto delito, es decir, si su patrocinado tiene calidad de autoridad o no.</w:t>
      </w:r>
    </w:p>
    <w:p w14:paraId="3C8355F5" w14:textId="77777777" w:rsidR="009E6E2E" w:rsidRPr="000D3432" w:rsidRDefault="009E6E2E" w:rsidP="009E6E2E">
      <w:pPr>
        <w:jc w:val="both"/>
        <w:rPr>
          <w:rFonts w:asciiTheme="minorHAnsi" w:hAnsiTheme="minorHAnsi"/>
          <w:szCs w:val="24"/>
          <w:lang w:val="es-ES_tradnl"/>
        </w:rPr>
      </w:pPr>
    </w:p>
    <w:p w14:paraId="15857345"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d) Presupuestos atendiendo a la «conducta» jurídica de la persona</w:t>
      </w:r>
    </w:p>
    <w:p w14:paraId="3BA3DAAF"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En esta parte el abogado planteará el récord conductual de su cliente, felicitaciones, reconocimientos, etc., alegando que dichos elementos constituyan prueba de su historia legal de corrección y honestidad. Además puede agregar un informe psicológico, o cualquier documento que pruebe su historia de buena conducta. Pasar el polímetro, etc. </w:t>
      </w:r>
    </w:p>
    <w:p w14:paraId="18094365" w14:textId="77777777" w:rsidR="009E6E2E" w:rsidRPr="000D3432" w:rsidRDefault="009E6E2E" w:rsidP="009E6E2E">
      <w:pPr>
        <w:jc w:val="both"/>
        <w:rPr>
          <w:rFonts w:asciiTheme="minorHAnsi" w:hAnsiTheme="minorHAnsi"/>
          <w:szCs w:val="24"/>
          <w:lang w:val="es-ES_tradnl"/>
        </w:rPr>
      </w:pPr>
    </w:p>
    <w:p w14:paraId="366B28A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e) Presupuestos atendiendo al agraviado.-</w:t>
      </w:r>
      <w:r w:rsidRPr="000D3432">
        <w:rPr>
          <w:rFonts w:asciiTheme="minorHAnsi" w:hAnsiTheme="minorHAnsi"/>
          <w:szCs w:val="24"/>
          <w:lang w:val="es-ES_tradnl"/>
        </w:rPr>
        <w:t xml:space="preserve"> </w:t>
      </w:r>
    </w:p>
    <w:p w14:paraId="4804240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abogado debe atacar la calidad y conducta del agraviado y la falta de veracidad de su denuncia, con documentos que demuestren su mala conducta, preguntas, informe psiquiátrico, etc. </w:t>
      </w:r>
    </w:p>
    <w:p w14:paraId="61E7F132" w14:textId="77777777" w:rsidR="009E6E2E" w:rsidRPr="000D3432" w:rsidRDefault="009E6E2E" w:rsidP="009E6E2E">
      <w:pPr>
        <w:jc w:val="both"/>
        <w:rPr>
          <w:rFonts w:asciiTheme="minorHAnsi" w:hAnsiTheme="minorHAnsi"/>
          <w:szCs w:val="24"/>
          <w:lang w:val="es-ES_tradnl"/>
        </w:rPr>
      </w:pPr>
    </w:p>
    <w:p w14:paraId="1A1CE947"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f) Presupuestos atendiendo a la Forma</w:t>
      </w:r>
    </w:p>
    <w:p w14:paraId="622E01A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abogado deberá escudriñar respecto a la forma, como el debido proceso, la legítima defensa, el principio de proporcionalidad, el principio de sólo llevar a juicioi cuestiones de última ratio, el principio de lesividad, el principio de legalidad, etc.</w:t>
      </w:r>
    </w:p>
    <w:p w14:paraId="1A02AB6E" w14:textId="77777777" w:rsidR="009E6E2E" w:rsidRPr="000D3432" w:rsidRDefault="009E6E2E" w:rsidP="009E6E2E">
      <w:pPr>
        <w:jc w:val="both"/>
        <w:rPr>
          <w:rFonts w:asciiTheme="minorHAnsi" w:hAnsiTheme="minorHAnsi"/>
          <w:szCs w:val="24"/>
          <w:lang w:val="es-ES_tradnl"/>
        </w:rPr>
      </w:pPr>
    </w:p>
    <w:p w14:paraId="7377582D"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g) Presupuestos atendiendo al Fondo</w:t>
      </w:r>
    </w:p>
    <w:p w14:paraId="447E9F8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 esta parte el abogado podrá aludir a que no hay delito, etc.</w:t>
      </w:r>
    </w:p>
    <w:p w14:paraId="48BB9899" w14:textId="77777777" w:rsidR="009E6E2E" w:rsidRPr="000D3432" w:rsidRDefault="009E6E2E" w:rsidP="009E6E2E">
      <w:pPr>
        <w:jc w:val="both"/>
        <w:rPr>
          <w:rFonts w:asciiTheme="minorHAnsi" w:hAnsiTheme="minorHAnsi"/>
          <w:szCs w:val="24"/>
          <w:lang w:val="es-ES_tradnl"/>
        </w:rPr>
      </w:pPr>
    </w:p>
    <w:p w14:paraId="5FD9FE25"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Actuaciones del abogado según se desprende de las Sentencias del Tribunal Constitucional.- </w:t>
      </w:r>
    </w:p>
    <w:p w14:paraId="48F7C61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abogado puede: </w:t>
      </w:r>
    </w:p>
    <w:p w14:paraId="6477CC87" w14:textId="77777777" w:rsidR="009E6E2E" w:rsidRPr="000D3432" w:rsidRDefault="009E6E2E" w:rsidP="009E6E2E">
      <w:pPr>
        <w:widowControl/>
        <w:numPr>
          <w:ilvl w:val="0"/>
          <w:numId w:val="56"/>
        </w:numPr>
        <w:overflowPunct/>
        <w:autoSpaceDE/>
        <w:autoSpaceDN/>
        <w:adjustRightInd/>
        <w:jc w:val="both"/>
        <w:textAlignment w:val="auto"/>
        <w:rPr>
          <w:rFonts w:asciiTheme="minorHAnsi" w:hAnsiTheme="minorHAnsi"/>
          <w:szCs w:val="24"/>
          <w:lang w:val="es-ES_tradnl"/>
        </w:rPr>
      </w:pPr>
      <w:r w:rsidRPr="000D3432">
        <w:rPr>
          <w:rFonts w:asciiTheme="minorHAnsi" w:hAnsiTheme="minorHAnsi"/>
          <w:szCs w:val="24"/>
          <w:lang w:val="es-ES_tradnl"/>
        </w:rPr>
        <w:t xml:space="preserve">interponer demanda de hábeas corpus contra el fiscal y el juez que hayan negado la libertad de su defendido. El abogado sabe que la demanda de hábeas corpus no debe ser dirigida contra el fiscal, puesto que este sólo participa en la fase postulatoria, pero no decide sobre la libertad. Con esto estaría logrando agruesar su petición, hacer que el juez se pronuncie respecto de dicho punto; pero cabe la posibilidad que el juez puede concebir que dicho abogado –conocedor de que dicha petición contra el abogado es incorrecta- le imponga una sanción –multa- por “dilación del proceso”, o “conducta maliciosa”. </w:t>
      </w:r>
    </w:p>
    <w:p w14:paraId="62EE4543" w14:textId="77777777" w:rsidR="009E6E2E" w:rsidRPr="000D3432" w:rsidRDefault="009E6E2E" w:rsidP="009E6E2E">
      <w:pPr>
        <w:widowControl/>
        <w:numPr>
          <w:ilvl w:val="0"/>
          <w:numId w:val="56"/>
        </w:numPr>
        <w:overflowPunct/>
        <w:autoSpaceDE/>
        <w:autoSpaceDN/>
        <w:adjustRightInd/>
        <w:jc w:val="both"/>
        <w:textAlignment w:val="auto"/>
        <w:rPr>
          <w:rFonts w:asciiTheme="minorHAnsi" w:hAnsiTheme="minorHAnsi"/>
          <w:szCs w:val="24"/>
          <w:lang w:val="es-ES_tradnl"/>
        </w:rPr>
      </w:pPr>
      <w:r w:rsidRPr="000D3432">
        <w:rPr>
          <w:rFonts w:asciiTheme="minorHAnsi" w:hAnsiTheme="minorHAnsi"/>
          <w:szCs w:val="24"/>
          <w:lang w:val="es-ES_tradnl"/>
        </w:rPr>
        <w:t xml:space="preserve">Poner habeas corpus indicando que se ha afectado los derechos de defensa, debido proceso, y a la motivación de las resoluciones en conexidad con la libertad individual. </w:t>
      </w:r>
    </w:p>
    <w:p w14:paraId="69E3FC98" w14:textId="77777777" w:rsidR="009E6E2E" w:rsidRPr="000D3432" w:rsidRDefault="009E6E2E" w:rsidP="009E6E2E">
      <w:pPr>
        <w:widowControl/>
        <w:numPr>
          <w:ilvl w:val="0"/>
          <w:numId w:val="56"/>
        </w:numPr>
        <w:overflowPunct/>
        <w:autoSpaceDE/>
        <w:autoSpaceDN/>
        <w:adjustRightInd/>
        <w:jc w:val="both"/>
        <w:textAlignment w:val="auto"/>
        <w:rPr>
          <w:rFonts w:asciiTheme="minorHAnsi" w:hAnsiTheme="minorHAnsi"/>
          <w:szCs w:val="24"/>
          <w:lang w:val="es-ES_tradnl"/>
        </w:rPr>
      </w:pPr>
      <w:r w:rsidRPr="000D3432">
        <w:rPr>
          <w:rFonts w:asciiTheme="minorHAnsi" w:hAnsiTheme="minorHAnsi"/>
          <w:szCs w:val="24"/>
          <w:lang w:val="es-ES_tradnl"/>
        </w:rPr>
        <w:t>Aludir denuncia arbitraria del denunciante particular, empresa o del fiscal,</w:t>
      </w:r>
    </w:p>
    <w:p w14:paraId="6A5E4A94" w14:textId="77777777" w:rsidR="009E6E2E" w:rsidRPr="000D3432" w:rsidRDefault="009E6E2E" w:rsidP="009E6E2E">
      <w:pPr>
        <w:widowControl/>
        <w:numPr>
          <w:ilvl w:val="0"/>
          <w:numId w:val="56"/>
        </w:numPr>
        <w:overflowPunct/>
        <w:autoSpaceDE/>
        <w:autoSpaceDN/>
        <w:adjustRightInd/>
        <w:jc w:val="both"/>
        <w:textAlignment w:val="auto"/>
        <w:rPr>
          <w:rFonts w:asciiTheme="minorHAnsi" w:hAnsiTheme="minorHAnsi"/>
          <w:szCs w:val="24"/>
          <w:lang w:val="es-ES_tradnl"/>
        </w:rPr>
      </w:pPr>
      <w:r w:rsidRPr="000D3432">
        <w:rPr>
          <w:rFonts w:asciiTheme="minorHAnsi" w:hAnsiTheme="minorHAnsi"/>
          <w:szCs w:val="24"/>
          <w:lang w:val="es-ES_tradnl"/>
        </w:rPr>
        <w:t>Alegar que la denuncia del fiscal fue arbitraria por adolecer de no expresión de los hechos y conducta realizada que encuadre con el tipo penal</w:t>
      </w:r>
    </w:p>
    <w:p w14:paraId="3E5FF72B" w14:textId="77777777" w:rsidR="009E6E2E" w:rsidRPr="000D3432" w:rsidRDefault="009E6E2E" w:rsidP="009E6E2E">
      <w:pPr>
        <w:jc w:val="both"/>
        <w:rPr>
          <w:rFonts w:asciiTheme="minorHAnsi" w:hAnsiTheme="minorHAnsi"/>
          <w:szCs w:val="24"/>
          <w:lang w:val="es-ES_tradnl"/>
        </w:rPr>
      </w:pPr>
    </w:p>
    <w:p w14:paraId="0299F994"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Jurisprudencia:</w:t>
      </w:r>
    </w:p>
    <w:p w14:paraId="680844C8" w14:textId="77777777" w:rsidR="009E6E2E" w:rsidRPr="000D3432" w:rsidRDefault="009E6E2E" w:rsidP="009E6E2E">
      <w:pPr>
        <w:jc w:val="both"/>
        <w:rPr>
          <w:rFonts w:asciiTheme="minorHAnsi" w:hAnsiTheme="minorHAnsi"/>
          <w:b/>
          <w:szCs w:val="24"/>
          <w:lang w:val="es-ES_tradnl"/>
        </w:rPr>
      </w:pPr>
    </w:p>
    <w:p w14:paraId="2043985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 acuerdo con la Sentencia recaída en el expediente nro. EXP N ° 03382 2012-PHC/TC (</w:t>
      </w:r>
      <w:hyperlink r:id="rId12" w:history="1">
        <w:r w:rsidRPr="000D3432">
          <w:rPr>
            <w:rStyle w:val="Hipervnculo"/>
            <w:rFonts w:asciiTheme="minorHAnsi" w:hAnsiTheme="minorHAnsi"/>
            <w:szCs w:val="24"/>
            <w:lang w:val="es-ES_tradnl"/>
          </w:rPr>
          <w:t>http://www.tc.gob.pe/jurisprudencia/2014/03382-2012-HC.pdf</w:t>
        </w:r>
      </w:hyperlink>
      <w:r w:rsidRPr="000D3432">
        <w:rPr>
          <w:rFonts w:asciiTheme="minorHAnsi" w:hAnsiTheme="minorHAnsi"/>
          <w:szCs w:val="24"/>
          <w:lang w:val="es-ES_tradnl"/>
        </w:rPr>
        <w:t>), se expresa: “Refiere la recurrente que el representante legal de la empresa Aliconh Perú S.A.C. interpuso denuncia penal contra el Alcalde de la Municipalidad Provincial de Yrowilca por el delito de abuso de autoridad y colusión desleal. Expresa que pese a que no fue denunciada directamente, el fiscal emplazado la comprendió en la investigación sin haberla notificado respecto a la investigación realizada, formalizando la denuncia penal en su contra de manera arbitraria, puesto que no se expresa cuáles son lo hechos y la conducta realizada que se encuadra en el hecho punible, ni los medios indiciarios que conllevan a determinar la materialidad del delito instruido.”.</w:t>
      </w:r>
    </w:p>
    <w:p w14:paraId="5C37C008" w14:textId="77777777" w:rsidR="009E6E2E" w:rsidRPr="000D3432" w:rsidRDefault="009E6E2E" w:rsidP="009E6E2E">
      <w:pPr>
        <w:jc w:val="both"/>
        <w:rPr>
          <w:rFonts w:asciiTheme="minorHAnsi" w:hAnsiTheme="minorHAnsi"/>
          <w:szCs w:val="24"/>
          <w:lang w:val="es-ES_tradnl"/>
        </w:rPr>
      </w:pPr>
    </w:p>
    <w:p w14:paraId="61CED3D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De donde se puede apreciar que el abogado alega: 1) Arbitrariedad de la denuncia; 2) Falta de notificación de la denuncia; 3) No expresión de la denuncia formalizada de los hechos y conducta realizada que se encuadre en tipo delictivo; 4) Falta de medios indiciarios para determinación de la materialidad del delito.</w:t>
      </w:r>
    </w:p>
    <w:p w14:paraId="56A2A0C6" w14:textId="77777777" w:rsidR="009E6E2E" w:rsidRPr="000D3432" w:rsidRDefault="009E6E2E" w:rsidP="009E6E2E">
      <w:pPr>
        <w:jc w:val="both"/>
        <w:rPr>
          <w:rFonts w:asciiTheme="minorHAnsi" w:hAnsiTheme="minorHAnsi"/>
          <w:b/>
          <w:szCs w:val="24"/>
          <w:lang w:val="es-ES_tradnl"/>
        </w:rPr>
      </w:pPr>
    </w:p>
    <w:p w14:paraId="37FE9D7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El abogado además puede presentar recurso de agravio constitucional, ante la negativa de la Sala Penal o de Apelaciones de acceder al hábeas corpus.</w:t>
      </w:r>
    </w:p>
    <w:p w14:paraId="3DEB3698" w14:textId="77777777" w:rsidR="009E6E2E" w:rsidRPr="000D3432" w:rsidRDefault="009E6E2E" w:rsidP="009E6E2E">
      <w:pPr>
        <w:jc w:val="both"/>
        <w:rPr>
          <w:rFonts w:asciiTheme="minorHAnsi" w:hAnsiTheme="minorHAnsi"/>
          <w:b/>
          <w:szCs w:val="24"/>
          <w:lang w:val="es-ES_tradnl"/>
        </w:rPr>
      </w:pPr>
    </w:p>
    <w:p w14:paraId="039A3BB1"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5.- Argumentos para la Denuncia (Fiscal, Procurador Público)</w:t>
      </w:r>
    </w:p>
    <w:p w14:paraId="4EF099F1" w14:textId="77777777" w:rsidR="009E6E2E" w:rsidRPr="000D3432" w:rsidRDefault="009E6E2E" w:rsidP="009E6E2E">
      <w:pPr>
        <w:jc w:val="both"/>
        <w:rPr>
          <w:rFonts w:asciiTheme="minorHAnsi" w:hAnsiTheme="minorHAnsi"/>
          <w:szCs w:val="24"/>
          <w:lang w:val="es-ES_tradnl"/>
        </w:rPr>
      </w:pPr>
    </w:p>
    <w:p w14:paraId="7F4E859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Fiscal puede alegar los siguientes argumentos o presupuestos: a) Elementos fácticos; b) Presupuestos generales: 1) Configuración delictiva, 2) Autoría, 3) Prescripción. c) Presupuestos atendiendo a la condición jurídica de la persona; d) Presupuestos atendiendo a la conducta jurídica de la persona; e) Presupuestos atendiendo al agraviado; f) Presupuestos atendiendo a la Forma; g) Presupuestos atendiendo al Fondo. </w:t>
      </w:r>
    </w:p>
    <w:p w14:paraId="026715C6" w14:textId="77777777" w:rsidR="009E6E2E" w:rsidRPr="000D3432" w:rsidRDefault="009E6E2E" w:rsidP="009E6E2E">
      <w:pPr>
        <w:jc w:val="both"/>
        <w:rPr>
          <w:rFonts w:asciiTheme="minorHAnsi" w:hAnsiTheme="minorHAnsi"/>
          <w:szCs w:val="24"/>
          <w:lang w:val="es-ES_tradnl"/>
        </w:rPr>
      </w:pPr>
    </w:p>
    <w:p w14:paraId="47BAF76A"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Datos y actuaciones:</w:t>
      </w:r>
    </w:p>
    <w:p w14:paraId="6AB276F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1.- El fiscal puede indicar que la denuncia ha sido realizada por persona particular, policía, o por el representante legal de una empresa. </w:t>
      </w:r>
    </w:p>
    <w:p w14:paraId="5B8B1AA7" w14:textId="77777777" w:rsidR="009E6E2E" w:rsidRPr="000D3432" w:rsidRDefault="009E6E2E" w:rsidP="009E6E2E">
      <w:pPr>
        <w:jc w:val="both"/>
        <w:rPr>
          <w:rFonts w:asciiTheme="minorHAnsi" w:hAnsiTheme="minorHAnsi"/>
          <w:szCs w:val="24"/>
          <w:lang w:val="es-ES_tradnl"/>
        </w:rPr>
      </w:pPr>
    </w:p>
    <w:p w14:paraId="028A5D9A"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6.- Argumentos para el Juzgamiento (Juez)</w:t>
      </w:r>
    </w:p>
    <w:p w14:paraId="113583C3"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Los argumentos para el juzgamiento que puede utilizar el juez son: a) Elementos fácticos; b) Presupuestos generales: 1) Configuración delictiva, 2) Autoría, 3) Prescripción; c) Presupuestos atendiendo a la condición jurídica de la persona; d) Presupuestos atendiendo a la conducta jurídica de la persona; e) Presupuestos atendiendo al agraviado; f) Presupuestos atendiendo a la Forma; g) Presupuestos atendiendo al Fondo.</w:t>
      </w:r>
    </w:p>
    <w:p w14:paraId="4D0C86C4" w14:textId="77777777" w:rsidR="009E6E2E" w:rsidRPr="000D3432" w:rsidRDefault="009E6E2E" w:rsidP="009E6E2E">
      <w:pPr>
        <w:jc w:val="both"/>
        <w:rPr>
          <w:rFonts w:asciiTheme="minorHAnsi" w:hAnsiTheme="minorHAnsi"/>
          <w:szCs w:val="24"/>
          <w:lang w:val="es-ES_tradnl"/>
        </w:rPr>
      </w:pPr>
    </w:p>
    <w:p w14:paraId="749ADD2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2.-</w:t>
      </w:r>
    </w:p>
    <w:p w14:paraId="7422F3B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ABUSO DE AUTORIDAD CONDICIONANDO ILEGALMENTE LA ENTREGA</w:t>
      </w:r>
    </w:p>
    <w:p w14:paraId="7BED7A17" w14:textId="77777777"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Abuso de Autoridad condicionando ilegalmente la entrega</w:t>
      </w:r>
    </w:p>
    <w:p w14:paraId="6071BBDD"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376-A.- Abuso de autoridad condicionando ilegalmente la entrega de bienes y servicios.- </w:t>
      </w:r>
      <w:r w:rsidRPr="000D3432">
        <w:rPr>
          <w:rFonts w:asciiTheme="minorHAnsi" w:hAnsiTheme="minorHAnsi" w:cs="Arial"/>
          <w:color w:val="000000"/>
          <w:szCs w:val="24"/>
          <w:lang w:val="es-ES_tradnl" w:eastAsia="es-PE"/>
        </w:rPr>
        <w:t>El que, valiéndose de su condición de funcionario o servidor público, condiciona la distribución de bienes o la prestación de servicios correspondientes a programas públicos de apoyo o desarrollo social, con la finalidad de obtener ventaja política y/o electoral de cualquier tipo en favor propio o de terceros, será reprimido con pena privativa de libertad no menor de tres ni mayor de seis años e inhabilitación conforme a los incisos 1 y 2 del artículo 36 del Código Penal.</w:t>
      </w:r>
      <w:r w:rsidRPr="000D3432">
        <w:rPr>
          <w:rFonts w:asciiTheme="minorHAnsi" w:hAnsiTheme="minorHAnsi" w:cs="Arial"/>
          <w:b/>
          <w:bCs/>
          <w:color w:val="000000"/>
          <w:szCs w:val="24"/>
          <w:lang w:val="es-ES_tradnl" w:eastAsia="es-PE"/>
        </w:rPr>
        <w:t xml:space="preserve">” </w:t>
      </w:r>
      <w:r w:rsidRPr="000D3432">
        <w:rPr>
          <w:rFonts w:asciiTheme="minorHAnsi" w:hAnsiTheme="minorHAnsi" w:cs="Arial"/>
          <w:bCs/>
          <w:color w:val="000000"/>
          <w:szCs w:val="24"/>
          <w:lang w:val="es-ES_tradnl" w:eastAsia="es-PE"/>
        </w:rPr>
        <w:t>(*) Artículo reubicado y reformado por el Artículo 2 de la Ley N° 28355, publicada el 06-10-2004.</w:t>
      </w:r>
    </w:p>
    <w:p w14:paraId="064102B4" w14:textId="77777777" w:rsidR="009E6E2E" w:rsidRPr="000D3432" w:rsidRDefault="009E6E2E" w:rsidP="009E6E2E">
      <w:pPr>
        <w:ind w:left="2832"/>
        <w:rPr>
          <w:rFonts w:asciiTheme="minorHAnsi" w:hAnsiTheme="minorHAnsi"/>
          <w:szCs w:val="24"/>
          <w:lang w:val="es-ES_tradnl"/>
        </w:rPr>
      </w:pPr>
    </w:p>
    <w:p w14:paraId="071158B5" w14:textId="77777777" w:rsidR="009E6E2E" w:rsidRPr="000D3432" w:rsidRDefault="009E6E2E" w:rsidP="009E6E2E">
      <w:pPr>
        <w:ind w:left="1416"/>
        <w:rPr>
          <w:rFonts w:asciiTheme="minorHAnsi" w:hAnsiTheme="minorHAnsi" w:cs="Arial"/>
          <w:szCs w:val="24"/>
          <w:lang w:val="es-ES_tradnl"/>
        </w:rPr>
      </w:pPr>
    </w:p>
    <w:p w14:paraId="3F84DCC3"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3</w:t>
      </w:r>
    </w:p>
    <w:p w14:paraId="671609D7"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OMISIÓN, REHUSAMIENTO O DEMORA DE ACTOS FUNCIONALES</w:t>
      </w:r>
    </w:p>
    <w:p w14:paraId="5384779D" w14:textId="77777777" w:rsidR="009E6E2E" w:rsidRPr="000D3432" w:rsidRDefault="009E6E2E" w:rsidP="009E6E2E">
      <w:pPr>
        <w:rPr>
          <w:rFonts w:asciiTheme="minorHAnsi" w:hAnsiTheme="minorHAnsi"/>
          <w:szCs w:val="24"/>
          <w:lang w:val="es-ES_tradnl"/>
        </w:rPr>
      </w:pPr>
    </w:p>
    <w:p w14:paraId="1BED9B34" w14:textId="77777777" w:rsidR="009E6E2E" w:rsidRPr="000D3432" w:rsidRDefault="009E6E2E" w:rsidP="009E6E2E">
      <w:pPr>
        <w:rPr>
          <w:rFonts w:asciiTheme="minorHAnsi" w:hAnsiTheme="minorHAnsi"/>
          <w:szCs w:val="24"/>
          <w:lang w:val="es-ES_tradnl"/>
        </w:rPr>
      </w:pPr>
    </w:p>
    <w:p w14:paraId="0567D337" w14:textId="77777777"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
          <w:bCs/>
          <w:color w:val="000000"/>
          <w:szCs w:val="24"/>
          <w:lang w:val="es-ES_tradnl" w:eastAsia="es-PE"/>
        </w:rPr>
        <w:t>1.- Concepto doctrinal del delito de omisión, rehusamiento o demora de actos funcionales</w:t>
      </w:r>
    </w:p>
    <w:p w14:paraId="7B1E96BB" w14:textId="77777777" w:rsidR="009E6E2E" w:rsidRPr="000D3432" w:rsidRDefault="009E6E2E" w:rsidP="009E6E2E">
      <w:pPr>
        <w:jc w:val="both"/>
        <w:rPr>
          <w:rFonts w:asciiTheme="minorHAnsi" w:hAnsiTheme="minorHAnsi"/>
          <w:szCs w:val="24"/>
        </w:rPr>
      </w:pPr>
      <w:r w:rsidRPr="000D3432">
        <w:rPr>
          <w:rFonts w:asciiTheme="minorHAnsi" w:hAnsiTheme="minorHAnsi" w:cs="Arial"/>
          <w:bCs/>
          <w:color w:val="000000"/>
          <w:szCs w:val="24"/>
          <w:lang w:val="es-ES_tradnl" w:eastAsia="es-PE"/>
        </w:rPr>
        <w:t xml:space="preserve">Jorge hugo Alvarez, escribe sobre el Delito de Abuso de autoridad por omisión, rehusamiento y retardo de función: </w:t>
      </w:r>
      <w:r w:rsidRPr="000D3432">
        <w:rPr>
          <w:rFonts w:asciiTheme="minorHAnsi" w:hAnsiTheme="minorHAnsi"/>
          <w:szCs w:val="24"/>
        </w:rPr>
        <w:t>“Es un delito en que incurren los funcionarios públicos que maliciosamente omiten, rehúsan o retarden cumplir con sus atribuciones y/o funciones. Así como no se puede abusar del cargo ordenando o ejecutando un acto arbitrario, tampoco se puede omitir, rehusar o retardar su función. La Ley no ampara ninguno de los extremos de conductas, todo lo contrario, los reprime.” (Delitos cometidos por funcionarios públicos contra la Administración Pública. Jorge Hugo Alvarez. Gaceta Jurídica. Pág. 27).</w:t>
      </w:r>
    </w:p>
    <w:p w14:paraId="5F89752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2.- Conceto legal del delito de Omisión, rehusamiento o demora de actos funcionales</w:t>
      </w:r>
    </w:p>
    <w:p w14:paraId="37601E54" w14:textId="77777777" w:rsidR="009E6E2E" w:rsidRPr="000D3432" w:rsidRDefault="009E6E2E" w:rsidP="009E6E2E">
      <w:pPr>
        <w:jc w:val="both"/>
        <w:rPr>
          <w:rFonts w:asciiTheme="minorHAnsi" w:hAnsiTheme="minorHAnsi" w:cs="Arial"/>
          <w:color w:val="000000"/>
          <w:szCs w:val="24"/>
          <w:lang w:val="es-ES_tradnl" w:eastAsia="es-PE"/>
        </w:rPr>
      </w:pPr>
      <w:bookmarkStart w:id="176" w:name="JD_art377"/>
      <w:bookmarkEnd w:id="176"/>
      <w:r w:rsidRPr="000D3432">
        <w:rPr>
          <w:rFonts w:asciiTheme="minorHAnsi" w:hAnsiTheme="minorHAnsi" w:cs="Arial"/>
          <w:color w:val="000000"/>
          <w:szCs w:val="24"/>
          <w:lang w:val="es-ES_tradnl" w:eastAsia="es-PE"/>
        </w:rPr>
        <w:t>De acuerdo con el Código Penal se establece: “</w:t>
      </w:r>
      <w:r w:rsidRPr="000D3432">
        <w:rPr>
          <w:rFonts w:asciiTheme="minorHAnsi" w:hAnsiTheme="minorHAnsi" w:cs="Arial"/>
          <w:b/>
          <w:bCs/>
          <w:color w:val="000000"/>
          <w:szCs w:val="24"/>
          <w:lang w:val="es-ES_tradnl" w:eastAsia="es-PE"/>
        </w:rPr>
        <w:t>Artículo 377.-</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público que, ilegalmente, omite, rehusa o retarda algún acto de su cargo, será reprimido con pena privativa de libertad no mayor de dos años y con treinta a sesenta días-multa.”.</w:t>
      </w:r>
    </w:p>
    <w:p w14:paraId="7D784917"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4</w:t>
      </w:r>
    </w:p>
    <w:p w14:paraId="0A98E9A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DENEGACIÓN O DEFICIENTE APOYO POLICIAL</w:t>
      </w:r>
    </w:p>
    <w:p w14:paraId="274752C1"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63E6F5B"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1.- Concepto doctrinario sobre el delito de denegación o deficiente apoyo policial</w:t>
      </w:r>
    </w:p>
    <w:p w14:paraId="5442ED91"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Hugo Alvarez el Delito de Omisión injustificada de auxilio policial consiste en: “Este delito sólo puede ser cometido por policías y consiste en conductas omisivas que no pueden ser consideradas como un simple ‘no hacer’; se trata de un no hacer en relación a una acción posible por exigencia, ya que detrás de un delito de omisión hay un mandato determinado (prestación de auxilio); es decir, una norma preceptiva que ordena actuar.” (Delitos cometidos por funcionarios públicos contra la Administración Pública. Jorge Hugo Alvarez. Gaceta Jurídica. Pág. 35).</w:t>
      </w:r>
    </w:p>
    <w:p w14:paraId="26A0C917" w14:textId="77777777" w:rsidR="009E6E2E" w:rsidRPr="000D3432" w:rsidRDefault="009E6E2E" w:rsidP="009E6E2E">
      <w:pPr>
        <w:rPr>
          <w:rFonts w:asciiTheme="minorHAnsi" w:hAnsiTheme="minorHAnsi"/>
          <w:szCs w:val="24"/>
          <w:lang w:val="es-ES_tradnl"/>
        </w:rPr>
      </w:pPr>
    </w:p>
    <w:p w14:paraId="014F430A"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LA POLICÍA</w:t>
      </w:r>
    </w:p>
    <w:p w14:paraId="58CB7547" w14:textId="77777777" w:rsidR="009E6E2E" w:rsidRPr="000D3432" w:rsidRDefault="009E6E2E" w:rsidP="009E6E2E">
      <w:pPr>
        <w:jc w:val="both"/>
        <w:rPr>
          <w:rFonts w:asciiTheme="minorHAnsi" w:hAnsiTheme="minorHAnsi"/>
          <w:szCs w:val="24"/>
          <w:lang w:val="es-ES_tradnl"/>
        </w:rPr>
      </w:pPr>
    </w:p>
    <w:p w14:paraId="105F09CD"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La Policía es una institución del Estado, que tiene como finalidad garantizar, mantener y restablecer el orden interno; garantizar la seguridad de los ciudadanos; prestar protección y ayuda a las personas; hacer cumplir las leyes; garantizar la seguridad del patrimonio público y privado; prevenir, investigar, reprimir y combatir la delincuencia. La Policía es una fuerza estatal que monopoliza el uso de la fuerza para mantener el orden público.</w:t>
      </w:r>
    </w:p>
    <w:p w14:paraId="2907B6B8" w14:textId="77777777" w:rsidR="009E6E2E" w:rsidRPr="000D3432" w:rsidRDefault="009E6E2E" w:rsidP="009E6E2E">
      <w:pPr>
        <w:jc w:val="both"/>
        <w:rPr>
          <w:rFonts w:asciiTheme="minorHAnsi" w:hAnsiTheme="minorHAnsi"/>
          <w:szCs w:val="24"/>
          <w:lang w:val="es-ES_tradnl"/>
        </w:rPr>
      </w:pPr>
    </w:p>
    <w:p w14:paraId="27F981FE"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FUNCIONES DE LA POLICÍA</w:t>
      </w:r>
    </w:p>
    <w:p w14:paraId="29FCBC40" w14:textId="77777777" w:rsidR="009E6E2E" w:rsidRPr="000D3432" w:rsidRDefault="009E6E2E" w:rsidP="009E6E2E">
      <w:pPr>
        <w:jc w:val="both"/>
        <w:rPr>
          <w:rFonts w:asciiTheme="minorHAnsi" w:hAnsiTheme="minorHAnsi"/>
          <w:szCs w:val="24"/>
          <w:lang w:val="es-ES_tradnl"/>
        </w:rPr>
      </w:pPr>
    </w:p>
    <w:p w14:paraId="5FCEA7F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Son funciones de la Policía Nacional del Perú: 1) Mantener la seguridad y tranquilidad públicas para permitir el libre ejercicio de los derechos fundamentales de la persona consagrados en la Constitución Política del Perú; 2) Prevenir, combatir, investigar y denunciar los delitos y faltas previstos en el Código Penal y leyes especiales, perseguibles de oficio; así como aplicar las sanciones que señale el Código Administrativo de Contravenciones de Policía; 3) Garantizar la seguridad ciudadana. Capacita en esta materia a las entidades vecinales organizadas; 4) Brindar protección al niño, al adolescente, al anciano y a la mujer que se encuentran en situación de riesgo de su libertad e integridad personal, previniendo las infracciones penales y colaborando en la ejecución de las medidas socio-educativas correspondientes; 5. Investigar la desaparición de personas naturales;  6) Garantizar y controlar la libre circulación vehicular y peatonal en la vía pública y en las carreteras, asegurar el transporte automotor y ferroviario, investigar y denunciar los accidentes de tránsito, así como llevarlos registros del parque automotor con fines policiales, en coordinación con la autoridad competente; 7) Intervenir en el transporte aéreo, marítimo, fluvial y lacustre en acciones de su competencia; 8) Vigilar y controlar las fronteras, así como velar por el cumplimiento de las disposiciones legales sobre control migratorio de nacionales y extranjeros; 9) Brindar seguridad al Presidente de la República en ejercicio o electo, a los Jefes de Estado en visita oficial, a los Presidentes de los Poderes Públicos y de los organismos constitucionalmente autónomos, a los Congresistas de la República, Ministros de Estado, así como a diplomáticos, dignatarios y otras personalidades que determine su reglamento; 10) Cumplir con los mandatos escritos del Poder Judicial, Tribunal Constitucional, Jurado Nacional de Elecciones, Ministerio Público y de la Oficina Nacional de Procesos Electorales, en el ejercicio de sus funciones; 11) Participar en la seguridad de los establecimientos penitenciarios, así como en el traslado de los procesados y sentenciados de conformidad con la ley; 12) Participar en el cumplimiento de las disposiciones relativas a la protección y conservación de los recursos naturales y del medio ambiente, la seguridad del patrimonio arqueológico y cultural de la Nación; 13) Velar por la seguridad de los bienes y servicios públicos, en coordinación con las entidades estatales correspondientes; 14) Participar en la Defensa Nacional, Defensa Civil y en el desarrollo económico y social del país; 15) Ejercer la identificación de las personas con fines policiales; 16) Ejercer las demás funciones que le señalen la Constitución y las leyes. (Esto de acuerdo con su Ley Orgánica).</w:t>
      </w:r>
    </w:p>
    <w:p w14:paraId="160E5180" w14:textId="77777777" w:rsidR="009E6E2E" w:rsidRPr="000D3432" w:rsidRDefault="009E6E2E" w:rsidP="009E6E2E">
      <w:pPr>
        <w:jc w:val="both"/>
        <w:rPr>
          <w:rFonts w:asciiTheme="minorHAnsi" w:hAnsiTheme="minorHAnsi"/>
          <w:szCs w:val="24"/>
          <w:lang w:val="es-ES_tradnl"/>
        </w:rPr>
      </w:pPr>
    </w:p>
    <w:p w14:paraId="3E5959C4"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Delito de denegación o deficiente apoyo policial</w:t>
      </w:r>
    </w:p>
    <w:p w14:paraId="04D58BE0" w14:textId="77777777" w:rsidR="009E6E2E" w:rsidRPr="000D3432" w:rsidRDefault="009E6E2E" w:rsidP="009E6E2E">
      <w:pPr>
        <w:jc w:val="both"/>
        <w:rPr>
          <w:rFonts w:asciiTheme="minorHAnsi" w:hAnsiTheme="minorHAnsi"/>
          <w:szCs w:val="24"/>
          <w:lang w:val="es-ES_tradnl"/>
        </w:rPr>
      </w:pPr>
    </w:p>
    <w:p w14:paraId="0F63B16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Comete delito de Denegación o deficiente apoyo policial, aquel policía que reúsa, omite o retarda, sin causa justificada, la prestación de un auxilio legalmente requerido por la autoridad civil competente; o si el policía se niega a la prestación de auxilio requerida por un particular en situación de peligro.</w:t>
      </w:r>
    </w:p>
    <w:p w14:paraId="7E9A33AE"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Denegación o deficiente apoyo policial</w:t>
      </w:r>
    </w:p>
    <w:p w14:paraId="7CBD83EE"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xml:space="preserve">De acuerdo con el Código Penal se establece: </w:t>
      </w:r>
      <w:r w:rsidRPr="000D3432">
        <w:rPr>
          <w:rFonts w:asciiTheme="minorHAnsi" w:hAnsiTheme="minorHAnsi" w:cs="Arial"/>
          <w:color w:val="000000"/>
          <w:szCs w:val="24"/>
          <w:lang w:val="es-ES_tradnl" w:eastAsia="es-PE"/>
        </w:rPr>
        <w:t>“</w:t>
      </w:r>
      <w:r w:rsidRPr="000D3432">
        <w:rPr>
          <w:rFonts w:asciiTheme="minorHAnsi" w:hAnsiTheme="minorHAnsi" w:cs="Arial"/>
          <w:b/>
          <w:bCs/>
          <w:color w:val="000000"/>
          <w:szCs w:val="24"/>
          <w:lang w:val="es-ES_tradnl" w:eastAsia="es-PE"/>
        </w:rPr>
        <w:t>Artículo 378.-</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policía que rehúsa, omite o retarda, sin causa justificada, la prestación de un auxilio legalmente requerido por la autoridad civil competente, será reprimido con pena privativa de libertad no mayor de dos años. / Si la prestación de auxilio es requerida por un particular en situación de peligro, la pena será no menor de dos ni mayor de cuatro años.”</w:t>
      </w:r>
    </w:p>
    <w:p w14:paraId="0D7B4D0E" w14:textId="77777777" w:rsidR="009E6E2E" w:rsidRPr="000D3432" w:rsidRDefault="009E6E2E" w:rsidP="009E6E2E">
      <w:pPr>
        <w:ind w:left="1416"/>
        <w:rPr>
          <w:rFonts w:asciiTheme="minorHAnsi" w:hAnsiTheme="minorHAnsi" w:cs="Arial"/>
          <w:szCs w:val="24"/>
          <w:lang w:val="es-ES_tradnl"/>
        </w:rPr>
      </w:pPr>
    </w:p>
    <w:p w14:paraId="4E47D4D9"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5</w:t>
      </w:r>
    </w:p>
    <w:p w14:paraId="34BD5C9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REQUERIMIENTO INDEBIDO DE LA FUERZA PÚBLICA</w:t>
      </w:r>
    </w:p>
    <w:p w14:paraId="5F965CA1"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Requerimiento indebido de la fuerza pública</w:t>
      </w:r>
    </w:p>
    <w:p w14:paraId="266C80C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“Artículo 379.-</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público que requiere la asistencia de la fuerza pública para oponerse a la ejecución de disposiciones u órdenes legales de la autoridad o contra la ejecución de sentencia o mandato judicial, será reprimido con pena privativa de libertad no mayor de tres años.”.</w:t>
      </w:r>
    </w:p>
    <w:p w14:paraId="2B952889"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6</w:t>
      </w:r>
    </w:p>
    <w:p w14:paraId="1440EC3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ABANDONO DE CARGO</w:t>
      </w:r>
    </w:p>
    <w:p w14:paraId="19B372D2"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1.- Concepto doctrinario del delito de abandono de cargo</w:t>
      </w:r>
    </w:p>
    <w:p w14:paraId="14489E89"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Hugo Alvarez explica que el delito de Abandono de cargo: “Es un delito que sólo puede ser cometido por el funcionario o servidor público que, con daño del servicio, abandona su cargo sin haber cesado legalmente en el desempeño del mismo. Sin la existencia del daño no hay delito. /Es necesario, también, en el funcionario o servidor público el propósito doloso de causar daño evidente, entorpeciendo, produciendo descrédito o menoscabo para los intereses morales y materiales del estado o de sus Instituciones. / En suma, el abandono del cargo o de la función pública se produce con el apartamiento efectivo del servicio en circunstancias tales que el hecho provoca perjuicio a la Administración y a los servicios que ella presta.” (Delitos cometidos por funcionarios públicos contra la Administración Pública. Jorge Hugo Álvarez. Gaceta Jurídica. Pág. 47.).</w:t>
      </w:r>
    </w:p>
    <w:p w14:paraId="40F6A2BE" w14:textId="77777777" w:rsidR="009E6E2E" w:rsidRPr="000D3432" w:rsidRDefault="009E6E2E" w:rsidP="009E6E2E">
      <w:pPr>
        <w:jc w:val="both"/>
        <w:rPr>
          <w:rFonts w:asciiTheme="minorHAnsi" w:hAnsiTheme="minorHAnsi"/>
          <w:b/>
          <w:szCs w:val="24"/>
        </w:rPr>
      </w:pPr>
    </w:p>
    <w:p w14:paraId="50CE3CF9"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b/>
          <w:szCs w:val="24"/>
        </w:rPr>
        <w:t xml:space="preserve">2.- Concepto Legal del delito de </w:t>
      </w:r>
      <w:r w:rsidRPr="000D3432">
        <w:rPr>
          <w:rFonts w:asciiTheme="minorHAnsi" w:hAnsiTheme="minorHAnsi" w:cs="Arial"/>
          <w:b/>
          <w:bCs/>
          <w:color w:val="000000"/>
          <w:szCs w:val="24"/>
          <w:lang w:val="es-ES_tradnl" w:eastAsia="es-PE"/>
        </w:rPr>
        <w:t>Abandono de cargo</w:t>
      </w:r>
    </w:p>
    <w:p w14:paraId="1305F02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De acuerdo con el Código Penal se establece: “</w:t>
      </w:r>
      <w:r w:rsidRPr="000D3432">
        <w:rPr>
          <w:rFonts w:asciiTheme="minorHAnsi" w:hAnsiTheme="minorHAnsi" w:cs="Arial"/>
          <w:b/>
          <w:bCs/>
          <w:color w:val="000000"/>
          <w:szCs w:val="24"/>
          <w:lang w:val="es-ES_tradnl" w:eastAsia="es-PE"/>
        </w:rPr>
        <w:t>Artículo 380.-</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o servidor público que, con daño del servicio, abandona su cargo sin haber cesado legalmente en el desempeño del mismo, será reprimido con pena privativa de libertad no mayor de dos años. / Si el agente incita al abandono colectivo del trabajo a los funcionarios o servidores públicos la pena será privativa de libertad no mayor de tres años.”</w:t>
      </w:r>
    </w:p>
    <w:p w14:paraId="65DADDE2" w14:textId="77777777" w:rsidR="009E6E2E" w:rsidRPr="000D3432" w:rsidRDefault="009E6E2E" w:rsidP="009E6E2E">
      <w:pPr>
        <w:ind w:left="2832"/>
        <w:rPr>
          <w:rFonts w:asciiTheme="minorHAnsi" w:hAnsiTheme="minorHAnsi"/>
          <w:szCs w:val="24"/>
          <w:lang w:val="es-ES_tradnl"/>
        </w:rPr>
      </w:pPr>
    </w:p>
    <w:p w14:paraId="187F1F84" w14:textId="77777777" w:rsidR="009E6E2E" w:rsidRPr="000D3432" w:rsidRDefault="009E6E2E" w:rsidP="009E6E2E">
      <w:pPr>
        <w:ind w:left="1416"/>
        <w:rPr>
          <w:rFonts w:asciiTheme="minorHAnsi" w:hAnsiTheme="minorHAnsi" w:cs="Arial"/>
          <w:szCs w:val="24"/>
          <w:lang w:val="es-ES_tradnl"/>
        </w:rPr>
      </w:pPr>
    </w:p>
    <w:p w14:paraId="5FE8BA7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7</w:t>
      </w:r>
    </w:p>
    <w:p w14:paraId="7E45FA7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NOMBRAMIENTO O ACEPTACIÓN ILEGAL</w:t>
      </w:r>
    </w:p>
    <w:p w14:paraId="5DA75B09"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1.- Concepto doctrinal del delito de nombramiento o aceptación ilegal</w:t>
      </w:r>
    </w:p>
    <w:p w14:paraId="785C4900" w14:textId="77777777" w:rsidR="009E6E2E" w:rsidRPr="000D3432" w:rsidRDefault="009E6E2E" w:rsidP="009E6E2E">
      <w:pPr>
        <w:jc w:val="both"/>
        <w:rPr>
          <w:rFonts w:asciiTheme="minorHAnsi" w:hAnsiTheme="minorHAnsi"/>
          <w:szCs w:val="24"/>
        </w:rPr>
      </w:pPr>
    </w:p>
    <w:p w14:paraId="076971F3"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Hugo Álvarez el delito de Nombramiento Ilegal “(...) consiste en nombrar o designar para ocupar un cargo público a persona particular que no reúne los requisitos exigidos legalmente. /El legislador utiliza como verbo rector en el tipo el vocablo `nombrar`, sinónimo de designar, para denotar la conducta dolosa del funcionario que hace un nombramiento ilegal, por no concurrir los requisitos exigidos por ley. / Lo ilícito de la acción viene determinado por el hecho de carecer la persona designada de las condiciones requeridas de manera específica para el cargo que fue nombrado. Estas condiciones suelen estar referidas a la edad, inhabilitación judicial, profesión, nacionalidad, etc., ...” (Delitos cometidos por funcionarios públicos contra la Administración Pública. Jorge Hugo Álvarez. Gaceta Jurídica. Pág. 55).</w:t>
      </w:r>
    </w:p>
    <w:p w14:paraId="73452EF2" w14:textId="77777777" w:rsidR="009E6E2E" w:rsidRPr="000D3432" w:rsidRDefault="009E6E2E" w:rsidP="009E6E2E">
      <w:pPr>
        <w:rPr>
          <w:rFonts w:asciiTheme="minorHAnsi" w:hAnsiTheme="minorHAnsi"/>
          <w:szCs w:val="24"/>
          <w:lang w:val="es-ES_tradnl"/>
        </w:rPr>
      </w:pPr>
    </w:p>
    <w:p w14:paraId="4026F88B"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 xml:space="preserve">En qué consiste el delito de nombramiento y aceptación ilegal de cargo </w:t>
      </w:r>
    </w:p>
    <w:p w14:paraId="3219C570" w14:textId="77777777" w:rsidR="009E6E2E" w:rsidRPr="000D3432" w:rsidRDefault="009E6E2E" w:rsidP="009E6E2E">
      <w:pPr>
        <w:jc w:val="both"/>
        <w:rPr>
          <w:rFonts w:asciiTheme="minorHAnsi" w:hAnsiTheme="minorHAnsi"/>
          <w:szCs w:val="24"/>
          <w:lang w:val="es-ES_tradnl"/>
        </w:rPr>
      </w:pPr>
    </w:p>
    <w:p w14:paraId="21B82478"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El buen funcionamiento de la administración pública es el bien jurídico tutelado en este tipo penal; y para que esto sea así, el Estado ha creado ciertos requisitos para ingresar a trabajar dentro del aparato estatal; por ello, aquellos funcionarios que nombren a personas que no cumplan con dichos requisitos estarán incurriendo en este delito. </w:t>
      </w:r>
    </w:p>
    <w:p w14:paraId="305BCDB6" w14:textId="77777777" w:rsidR="009E6E2E" w:rsidRPr="000D3432" w:rsidRDefault="009E6E2E" w:rsidP="009E6E2E">
      <w:pPr>
        <w:jc w:val="both"/>
        <w:rPr>
          <w:rFonts w:asciiTheme="minorHAnsi" w:hAnsiTheme="minorHAnsi"/>
          <w:szCs w:val="24"/>
          <w:lang w:val="es-ES_tradnl"/>
        </w:rPr>
      </w:pPr>
    </w:p>
    <w:p w14:paraId="4CEF88D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Así, por este medio el Estado se asegura que cada plaza dentro de su organización este ocupada por gente capaz, idónea, apta; debiendo ser esta capacidad sustentada en título legítimo, de derecho, y no de hecho necesariamente. El Estado con ello pretende garantizar el buen funcionamiento de la entidad, y el logro de sus objetivos. De tal forma que para acceder a un cargo público, el Estado utiliza sistemas de medición mediante la elaboración de un perfil profesional, técnico y personal, como garantía del buen rendimiento de quien asuma un cargo estatal. </w:t>
      </w:r>
    </w:p>
    <w:p w14:paraId="1C61BC7C" w14:textId="77777777" w:rsidR="009E6E2E" w:rsidRPr="000D3432" w:rsidRDefault="009E6E2E" w:rsidP="009E6E2E">
      <w:pPr>
        <w:jc w:val="both"/>
        <w:rPr>
          <w:rFonts w:asciiTheme="minorHAnsi" w:hAnsiTheme="minorHAnsi"/>
          <w:szCs w:val="24"/>
          <w:lang w:val="es-ES_tradnl"/>
        </w:rPr>
      </w:pPr>
    </w:p>
    <w:p w14:paraId="6C8897BE"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Entretanto, el Nombramiento en cargo público –actividad comprendida en la Administración Pública- significa “aquel acto funcional, emitido por un funcionario público, mediante el cual, a través de una resolución administrativa, se designa a una persona en un cargo público. Para ello, el funcionario que nombra debe tener legítima facultad o atribución para tal acto.</w:t>
      </w:r>
    </w:p>
    <w:p w14:paraId="4F3244CA" w14:textId="77777777" w:rsidR="009E6E2E" w:rsidRPr="000D3432" w:rsidRDefault="009E6E2E" w:rsidP="009E6E2E">
      <w:pPr>
        <w:jc w:val="both"/>
        <w:rPr>
          <w:rFonts w:asciiTheme="minorHAnsi" w:hAnsiTheme="minorHAnsi"/>
          <w:szCs w:val="24"/>
          <w:lang w:val="es-ES_tradnl"/>
        </w:rPr>
      </w:pPr>
    </w:p>
    <w:p w14:paraId="5685E17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Por lo que sancionar este tipo de delitos supone, entre otros aspectos, lo siguiente: 1.- Que las plazas o puestos públicos estén ocupados por las personas idóneas, aptas y capacitadas para dicho cargo. 2.- Que se evite designaciones arbitrarias (sin el cumplimiento de los requisitos de ley) de personas que no tengan las capacidades adecuadas para ejercer el cargo, y por lo tal sólo perjudiquen el desarrollo y operatividad de la administración pública. 3.- Que exista indebido uso de las potestades o facultades de un funcionario público para nombrar a una persona en cargo público. 4.- Que se acepten cargos para los cuales no se está preparado, y por lo tanto se perjudica a la institución y al derecho a los demás de acceder a cargo público por mérito y capacitación.</w:t>
      </w:r>
    </w:p>
    <w:p w14:paraId="69272ACE" w14:textId="77777777" w:rsidR="009E6E2E" w:rsidRPr="000D3432" w:rsidRDefault="009E6E2E" w:rsidP="009E6E2E">
      <w:pPr>
        <w:jc w:val="both"/>
        <w:rPr>
          <w:rFonts w:asciiTheme="minorHAnsi" w:hAnsiTheme="minorHAnsi"/>
          <w:szCs w:val="24"/>
          <w:lang w:val="es-ES_tradnl"/>
        </w:rPr>
      </w:pPr>
    </w:p>
    <w:p w14:paraId="1EA210DB"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Delito de nombramiento ilegal del cargo</w:t>
      </w:r>
    </w:p>
    <w:p w14:paraId="4A6D6A3D" w14:textId="77777777" w:rsidR="009E6E2E" w:rsidRPr="000D3432" w:rsidRDefault="009E6E2E" w:rsidP="009E6E2E">
      <w:pPr>
        <w:jc w:val="both"/>
        <w:rPr>
          <w:rFonts w:asciiTheme="minorHAnsi" w:hAnsiTheme="minorHAnsi"/>
          <w:szCs w:val="24"/>
          <w:lang w:val="es-ES_tradnl"/>
        </w:rPr>
      </w:pPr>
    </w:p>
    <w:p w14:paraId="6291875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Comete el Delito de nombramiento del cargo aquel funcionario público que hace un nombramiento para cargo público a persona en quien no concurren los requisitos legales para tal efecto.</w:t>
      </w:r>
    </w:p>
    <w:p w14:paraId="04020500" w14:textId="77777777" w:rsidR="009E6E2E" w:rsidRPr="000D3432" w:rsidRDefault="009E6E2E" w:rsidP="009E6E2E">
      <w:pPr>
        <w:jc w:val="both"/>
        <w:rPr>
          <w:rFonts w:asciiTheme="minorHAnsi" w:hAnsiTheme="minorHAnsi"/>
          <w:szCs w:val="24"/>
          <w:lang w:val="es-ES_tradnl"/>
        </w:rPr>
      </w:pPr>
    </w:p>
    <w:p w14:paraId="5C869628" w14:textId="77777777" w:rsidR="009E6E2E" w:rsidRPr="000D3432" w:rsidRDefault="009E6E2E" w:rsidP="009E6E2E">
      <w:pPr>
        <w:jc w:val="both"/>
        <w:rPr>
          <w:rFonts w:asciiTheme="minorHAnsi" w:hAnsiTheme="minorHAnsi"/>
          <w:szCs w:val="24"/>
          <w:lang w:val="es-ES_tradnl"/>
        </w:rPr>
      </w:pPr>
    </w:p>
    <w:p w14:paraId="323B6F79" w14:textId="77777777" w:rsidR="009E6E2E" w:rsidRPr="000D3432" w:rsidRDefault="009E6E2E" w:rsidP="009E6E2E">
      <w:pPr>
        <w:jc w:val="both"/>
        <w:rPr>
          <w:rFonts w:asciiTheme="minorHAnsi" w:hAnsiTheme="minorHAnsi"/>
          <w:b/>
          <w:szCs w:val="24"/>
          <w:lang w:val="es-ES_tradnl"/>
        </w:rPr>
      </w:pPr>
      <w:r w:rsidRPr="000D3432">
        <w:rPr>
          <w:rFonts w:asciiTheme="minorHAnsi" w:hAnsiTheme="minorHAnsi"/>
          <w:b/>
          <w:szCs w:val="24"/>
          <w:lang w:val="es-ES_tradnl"/>
        </w:rPr>
        <w:t>Quién comete delito de aceptaciónde ilegal de cargo</w:t>
      </w:r>
    </w:p>
    <w:p w14:paraId="2D3040DC" w14:textId="77777777" w:rsidR="009E6E2E" w:rsidRPr="000D3432" w:rsidRDefault="009E6E2E" w:rsidP="009E6E2E">
      <w:pPr>
        <w:jc w:val="both"/>
        <w:rPr>
          <w:rFonts w:asciiTheme="minorHAnsi" w:hAnsiTheme="minorHAnsi"/>
          <w:szCs w:val="24"/>
          <w:lang w:val="es-ES_tradnl"/>
        </w:rPr>
      </w:pPr>
    </w:p>
    <w:p w14:paraId="2F3511D6"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 xml:space="preserve">Comete el delito de aceptación ilegal de cargo aquella persona que sin contar con los requisitos legales acepta dicho nombramiento. </w:t>
      </w:r>
    </w:p>
    <w:p w14:paraId="21FA1762" w14:textId="77777777" w:rsidR="009E6E2E" w:rsidRPr="000D3432" w:rsidRDefault="009E6E2E" w:rsidP="009E6E2E">
      <w:pPr>
        <w:jc w:val="both"/>
        <w:rPr>
          <w:rFonts w:asciiTheme="minorHAnsi" w:hAnsiTheme="minorHAnsi" w:cs="Arial"/>
          <w:b/>
          <w:bCs/>
          <w:color w:val="000000"/>
          <w:szCs w:val="24"/>
          <w:lang w:val="es-ES_tradnl" w:eastAsia="es-PE"/>
        </w:rPr>
      </w:pPr>
    </w:p>
    <w:p w14:paraId="125FDFE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2.- Concepto legal del delito de Nombramiento o aceptación ilegal</w:t>
      </w:r>
    </w:p>
    <w:p w14:paraId="031C3C9E" w14:textId="77777777" w:rsidR="009E6E2E" w:rsidRPr="000D3432" w:rsidRDefault="009E6E2E" w:rsidP="009E6E2E">
      <w:pPr>
        <w:jc w:val="both"/>
        <w:rPr>
          <w:rFonts w:asciiTheme="minorHAnsi" w:hAnsiTheme="minorHAnsi" w:cs="Arial"/>
          <w:color w:val="000000"/>
          <w:szCs w:val="24"/>
          <w:lang w:val="es-ES_tradnl" w:eastAsia="es-PE"/>
        </w:rPr>
      </w:pPr>
    </w:p>
    <w:p w14:paraId="6D4E1B43"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De acuerdo con el Código Penal se establece: “</w:t>
      </w:r>
      <w:r w:rsidRPr="000D3432">
        <w:rPr>
          <w:rFonts w:asciiTheme="minorHAnsi" w:hAnsiTheme="minorHAnsi" w:cs="Arial"/>
          <w:b/>
          <w:bCs/>
          <w:color w:val="000000"/>
          <w:szCs w:val="24"/>
          <w:lang w:val="es-ES_tradnl" w:eastAsia="es-PE"/>
        </w:rPr>
        <w:t>Artículo 381.-</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público que hace un nombramiento para cargo público a persona en quien no concurren los requisitos legales, será reprimido con sesenta a ciento veinte días-multa. / El que acepta el cargo sin contar con los requisitos legales será reprimido con la misma pena.”.</w:t>
      </w:r>
    </w:p>
    <w:p w14:paraId="6878DD70" w14:textId="77777777" w:rsidR="009E6E2E" w:rsidRPr="000D3432" w:rsidRDefault="009E6E2E" w:rsidP="009E6E2E">
      <w:pPr>
        <w:ind w:left="1416"/>
        <w:rPr>
          <w:rFonts w:asciiTheme="minorHAnsi" w:hAnsiTheme="minorHAnsi" w:cs="Arial"/>
          <w:szCs w:val="24"/>
          <w:lang w:val="es-ES_tradnl"/>
        </w:rPr>
      </w:pPr>
    </w:p>
    <w:p w14:paraId="7FD40B71" w14:textId="77777777" w:rsidR="009E6E2E" w:rsidRPr="000D3432" w:rsidRDefault="009E6E2E" w:rsidP="009E6E2E">
      <w:pPr>
        <w:ind w:left="1416"/>
        <w:rPr>
          <w:rFonts w:asciiTheme="minorHAnsi" w:hAnsiTheme="minorHAnsi" w:cs="Arial"/>
          <w:szCs w:val="24"/>
          <w:lang w:val="es-ES_tradnl"/>
        </w:rPr>
      </w:pPr>
    </w:p>
    <w:p w14:paraId="04C7F4A0" w14:textId="77777777" w:rsidR="009E6E2E" w:rsidRPr="000D3432" w:rsidRDefault="009E6E2E" w:rsidP="009E6E2E">
      <w:pPr>
        <w:ind w:left="1416"/>
        <w:rPr>
          <w:rFonts w:asciiTheme="minorHAnsi" w:hAnsiTheme="minorHAnsi" w:cs="Arial"/>
          <w:szCs w:val="24"/>
          <w:lang w:val="es-ES_tradnl"/>
        </w:rPr>
      </w:pPr>
    </w:p>
    <w:p w14:paraId="06005A4C" w14:textId="77777777" w:rsidR="009E6E2E" w:rsidRPr="000D3432" w:rsidRDefault="009E6E2E" w:rsidP="009E6E2E">
      <w:pPr>
        <w:ind w:left="1416"/>
        <w:rPr>
          <w:rFonts w:asciiTheme="minorHAnsi" w:hAnsiTheme="minorHAnsi" w:cs="Arial"/>
          <w:szCs w:val="24"/>
          <w:lang w:val="es-ES_tradnl"/>
        </w:rPr>
      </w:pPr>
    </w:p>
    <w:p w14:paraId="5694C39D" w14:textId="77777777" w:rsidR="009E6E2E" w:rsidRPr="000D3432" w:rsidRDefault="009E6E2E" w:rsidP="009E6E2E">
      <w:pPr>
        <w:ind w:left="1416"/>
        <w:rPr>
          <w:rFonts w:asciiTheme="minorHAnsi" w:hAnsiTheme="minorHAnsi" w:cs="Arial"/>
          <w:szCs w:val="24"/>
          <w:lang w:val="es-ES_tradnl"/>
        </w:rPr>
      </w:pPr>
    </w:p>
    <w:p w14:paraId="24214C1B"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II</w:t>
      </w:r>
    </w:p>
    <w:p w14:paraId="2C717B2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DELITO DE CONCUSIÓN</w:t>
      </w:r>
    </w:p>
    <w:p w14:paraId="188D7A3B" w14:textId="77777777" w:rsidR="009E6E2E" w:rsidRPr="000D3432" w:rsidRDefault="009E6E2E" w:rsidP="009E6E2E">
      <w:pPr>
        <w:ind w:left="1416"/>
        <w:rPr>
          <w:rFonts w:asciiTheme="minorHAnsi" w:hAnsiTheme="minorHAnsi" w:cs="Arial"/>
          <w:szCs w:val="24"/>
          <w:lang w:val="es-ES_tradnl"/>
        </w:rPr>
      </w:pPr>
    </w:p>
    <w:p w14:paraId="0696E9BA" w14:textId="77777777" w:rsidR="009E6E2E" w:rsidRPr="000D3432" w:rsidRDefault="009E6E2E" w:rsidP="009E6E2E">
      <w:pPr>
        <w:jc w:val="both"/>
        <w:rPr>
          <w:rFonts w:asciiTheme="minorHAnsi" w:hAnsiTheme="minorHAnsi" w:cs="Arial"/>
          <w:b/>
          <w:color w:val="000000"/>
          <w:szCs w:val="24"/>
          <w:u w:val="single"/>
          <w:lang w:val="es-ES_tradnl" w:eastAsia="es-PE"/>
        </w:rPr>
      </w:pPr>
      <w:r w:rsidRPr="000D3432">
        <w:rPr>
          <w:rFonts w:asciiTheme="minorHAnsi" w:hAnsiTheme="minorHAnsi" w:cs="Arial"/>
          <w:b/>
          <w:color w:val="000000"/>
          <w:szCs w:val="24"/>
          <w:u w:val="single"/>
          <w:lang w:val="es-ES_tradnl" w:eastAsia="es-PE"/>
        </w:rPr>
        <w:t>1.- Concepto doctrinario del delito de concusión</w:t>
      </w:r>
    </w:p>
    <w:p w14:paraId="66913233"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De acuerdo con lo escrito por Jorge Hugo Álvarez, “La concusión es un delito que sólo puede ser cometido por un funcionario o servidor público que abusando de su cargo, obliga o induce a una persona a dar o prometer indebidamente, para sí o para otro, un bien o un beneficio patrimonial. Ahora bien, la acción concusionaria no se concibe sin la `violencia moral`, elemento orientador, insustituible en la creación y estructuración del tipo legal. / Entendemos por violencia a toda acción que provenga del funcionario o servidor público quien abusando de su cargo infunde temor en el sujeto pasivo, obligándole, exigiéndole, induciéndole, etc., a dar o prometer indebidamente para sí o para otro, un bien o un beneficio patrimonial. / Es evidente en estas acciones concusionadas la indebida utilización de la preeminencia que entraña el cargo público y el poder intimidante que suscita su mal uso, para obligar o inducir al agraviado a algo que no está obligado; de manera que no es posible entender una modalidad de acción concusionaria que no entrañe el uso de la violencia.” (Delitos cometidos por funcionarios públicos contra la Administración Pública. Jorge Hugo Alvarez. Gaceta Jurídica. Pág. 65.).</w:t>
      </w:r>
    </w:p>
    <w:p w14:paraId="6B3FC01E" w14:textId="77777777" w:rsidR="009E6E2E" w:rsidRPr="000D3432" w:rsidRDefault="009E6E2E" w:rsidP="009E6E2E">
      <w:pPr>
        <w:jc w:val="both"/>
        <w:rPr>
          <w:rFonts w:asciiTheme="minorHAnsi" w:hAnsiTheme="minorHAnsi"/>
          <w:szCs w:val="24"/>
        </w:rPr>
      </w:pPr>
    </w:p>
    <w:p w14:paraId="07BA26D4"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 xml:space="preserve">Jorge Álvarez amplia su concepto al delito de concusión explícita e implícita atenuada: “Esta modalidad de delito de concusión ha sido tipificada por el legislador por la acción finalista del funcionario o servidor público, quien orienta su acción, abusando del cargo, a la `exigencia` o `hacer pagar o entregar contribuciones no debidas o en cantidad que excede a la tarifa legal, y en beneficio indebido a favor del Estado. / El tipo de comentario no admite el </w:t>
      </w:r>
      <w:r w:rsidRPr="000D3432">
        <w:rPr>
          <w:rFonts w:asciiTheme="minorHAnsi" w:hAnsiTheme="minorHAnsi"/>
          <w:i/>
          <w:szCs w:val="24"/>
        </w:rPr>
        <w:t xml:space="preserve">animus lucrandi  </w:t>
      </w:r>
      <w:r w:rsidRPr="000D3432">
        <w:rPr>
          <w:rFonts w:asciiTheme="minorHAnsi" w:hAnsiTheme="minorHAnsi"/>
          <w:szCs w:val="24"/>
        </w:rPr>
        <w:t>del agente ni de un tercero; admite la acción dolosa (explícita o implícita) en beneficio indebido para la Administración Pública o el Estado, beneficiando de esa manera económicamente al Estado pero perjudicándole en su imagen.”. (Delitos cometidos por funcionarios públicos contra la Administración Pública. Jorge Hugo Álvarez. Gaceta Jurídica. Pág. 73.).</w:t>
      </w:r>
    </w:p>
    <w:p w14:paraId="0B704419" w14:textId="77777777" w:rsidR="009E6E2E" w:rsidRPr="000D3432" w:rsidRDefault="009E6E2E" w:rsidP="009E6E2E">
      <w:pPr>
        <w:jc w:val="both"/>
        <w:rPr>
          <w:rFonts w:asciiTheme="minorHAnsi" w:hAnsiTheme="minorHAnsi"/>
          <w:szCs w:val="24"/>
        </w:rPr>
      </w:pPr>
    </w:p>
    <w:p w14:paraId="6CF12595" w14:textId="77777777" w:rsidR="009E6E2E" w:rsidRPr="000D3432" w:rsidRDefault="009E6E2E" w:rsidP="009E6E2E">
      <w:pPr>
        <w:rPr>
          <w:rFonts w:asciiTheme="minorHAnsi" w:hAnsiTheme="minorHAnsi"/>
          <w:szCs w:val="24"/>
          <w:lang w:val="es-ES_tradnl"/>
        </w:rPr>
      </w:pPr>
      <w:r w:rsidRPr="000D3432">
        <w:rPr>
          <w:rFonts w:asciiTheme="minorHAnsi" w:hAnsiTheme="minorHAnsi"/>
          <w:b/>
          <w:szCs w:val="24"/>
          <w:lang w:val="es-ES_tradnl"/>
        </w:rPr>
        <w:t>DELITO DE CONCUSIÓN</w:t>
      </w:r>
    </w:p>
    <w:p w14:paraId="7A3BAF4D" w14:textId="77777777" w:rsidR="009E6E2E" w:rsidRPr="000D3432" w:rsidRDefault="009E6E2E" w:rsidP="009E6E2E">
      <w:pPr>
        <w:rPr>
          <w:rFonts w:asciiTheme="minorHAnsi" w:hAnsiTheme="minorHAnsi"/>
          <w:szCs w:val="24"/>
          <w:lang w:val="es-ES_tradnl"/>
        </w:rPr>
      </w:pPr>
    </w:p>
    <w:p w14:paraId="5EC105A5"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szCs w:val="24"/>
          <w:lang w:val="es-ES_tradnl"/>
        </w:rPr>
        <w:t>Comete delito de Concusión aquel funcionario o servidor público que, abusando de su cargo, obliga o induce a una persona a dar o prometer indebidamente, para sí o para otro, un bien o un beneficio patrimonial.</w:t>
      </w:r>
    </w:p>
    <w:p w14:paraId="2E0281B4" w14:textId="77777777" w:rsidR="009E6E2E" w:rsidRPr="000D3432" w:rsidRDefault="009E6E2E" w:rsidP="009E6E2E">
      <w:pPr>
        <w:rPr>
          <w:rFonts w:asciiTheme="minorHAnsi" w:hAnsiTheme="minorHAnsi"/>
          <w:szCs w:val="24"/>
          <w:lang w:val="es-ES_tradnl"/>
        </w:rPr>
      </w:pPr>
    </w:p>
    <w:p w14:paraId="3136AC69" w14:textId="77777777" w:rsidR="009E6E2E" w:rsidRPr="000D3432" w:rsidRDefault="009E6E2E" w:rsidP="009E6E2E">
      <w:pPr>
        <w:rPr>
          <w:rFonts w:asciiTheme="minorHAnsi" w:hAnsiTheme="minorHAnsi"/>
          <w:szCs w:val="24"/>
          <w:lang w:val="es-ES_tradnl"/>
        </w:rPr>
      </w:pPr>
      <w:r w:rsidRPr="000D3432">
        <w:rPr>
          <w:rFonts w:asciiTheme="minorHAnsi" w:hAnsiTheme="minorHAnsi"/>
          <w:b/>
          <w:szCs w:val="24"/>
          <w:lang w:val="es-ES_tradnl"/>
        </w:rPr>
        <w:t>ELEMENTOS DE TIPO DE DELITO DE CONCUSIÓN</w:t>
      </w:r>
    </w:p>
    <w:p w14:paraId="1980FFB4"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w:t>
      </w:r>
    </w:p>
    <w:p w14:paraId="04DE61C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 xml:space="preserve">1.- Cometido por un funcionario o servidor público.- </w:t>
      </w:r>
      <w:r w:rsidRPr="000D3432">
        <w:rPr>
          <w:rFonts w:asciiTheme="minorHAnsi" w:hAnsiTheme="minorHAnsi"/>
          <w:szCs w:val="24"/>
          <w:lang w:val="es-ES_tradnl"/>
        </w:rPr>
        <w:t>Este tipo de delito sólo puede ser cometido por un funcionario público (una persona con autoridad pública, que trabaja para una institución pública, que tiene capacidad de decisión en asuntos públicos) o por un servidor público, es decir, un trabajador del Estado, que no tiene autoridad pública, pero que cumple un rol determinado en la organización estatal, es parte en el trámite y movimiento de todo el aparato estatal, es decir, en la repartición de bienes y servicios públicos (justicia, salud, educación, etc). En sínteis, este delito sólo puede ser cometido por cualquier trabajador del Estado.</w:t>
      </w:r>
    </w:p>
    <w:p w14:paraId="6259CA69" w14:textId="77777777" w:rsidR="009E6E2E" w:rsidRPr="000D3432" w:rsidRDefault="009E6E2E" w:rsidP="009E6E2E">
      <w:pPr>
        <w:jc w:val="both"/>
        <w:rPr>
          <w:rFonts w:asciiTheme="minorHAnsi" w:hAnsiTheme="minorHAnsi"/>
          <w:szCs w:val="24"/>
          <w:lang w:val="es-ES_tradnl"/>
        </w:rPr>
      </w:pPr>
    </w:p>
    <w:p w14:paraId="29B7040C"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2.- Abuso del cargo</w:t>
      </w:r>
      <w:r w:rsidRPr="000D3432">
        <w:rPr>
          <w:rFonts w:asciiTheme="minorHAnsi" w:hAnsiTheme="minorHAnsi"/>
          <w:szCs w:val="24"/>
          <w:lang w:val="es-ES_tradnl"/>
        </w:rPr>
        <w:t>.- El delito de concusión se configura siempre y cuando se abuse (uso excesivo e ilegítimo de la fuerza física o mental) de las potestades que da el cargo público, las condición de funcionario o servidor público, como por ejemplo poder decidir en la procedibilidad, dirección, rapidez, resolución final, etc., de un trámite o acto, que signifique la concreción o promesa de un beneficio o patrimonio indebido para si o para otro.</w:t>
      </w:r>
    </w:p>
    <w:p w14:paraId="6D231B65" w14:textId="77777777" w:rsidR="009E6E2E" w:rsidRPr="000D3432" w:rsidRDefault="009E6E2E" w:rsidP="009E6E2E">
      <w:pPr>
        <w:jc w:val="both"/>
        <w:rPr>
          <w:rFonts w:asciiTheme="minorHAnsi" w:hAnsiTheme="minorHAnsi"/>
          <w:szCs w:val="24"/>
          <w:lang w:val="es-ES_tradnl"/>
        </w:rPr>
      </w:pPr>
    </w:p>
    <w:p w14:paraId="76DEE621"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3.- Coaccionar (obligar) ilegítimamente a dar o prometer un beneficio patrimonial.-</w:t>
      </w:r>
      <w:r w:rsidRPr="000D3432">
        <w:rPr>
          <w:rFonts w:asciiTheme="minorHAnsi" w:hAnsiTheme="minorHAnsi"/>
          <w:szCs w:val="24"/>
          <w:lang w:val="es-ES_tradnl"/>
        </w:rPr>
        <w:t xml:space="preserve"> Esto implica que el funcionario o servidor público, obliga (coarta, restringe, limita, anula, la libre voluntad) a otra persona a dar o prometer (un acto de hecho o de futuro hecho) un bien o beneficio patrimonial. Importando aquí, no tanto el resultado del acto (promesa) sino la coacción ilegítima para adoptar una conducta ilegítima y sin libre voluntad. Así también el beneficio tiene que ser patrimonial para configurarse dentro de este tipo delictivo.</w:t>
      </w:r>
    </w:p>
    <w:p w14:paraId="602F6451" w14:textId="77777777" w:rsidR="009E6E2E" w:rsidRPr="000D3432" w:rsidRDefault="009E6E2E" w:rsidP="009E6E2E">
      <w:pPr>
        <w:rPr>
          <w:rFonts w:asciiTheme="minorHAnsi" w:hAnsiTheme="minorHAnsi"/>
          <w:szCs w:val="24"/>
          <w:lang w:val="es-ES_tradnl"/>
        </w:rPr>
      </w:pPr>
    </w:p>
    <w:p w14:paraId="152859A9"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 xml:space="preserve">4.- Inducir a una persona a dar o prometer un bien o beneficio patrimonial.- </w:t>
      </w:r>
      <w:r w:rsidRPr="000D3432">
        <w:rPr>
          <w:rFonts w:asciiTheme="minorHAnsi" w:hAnsiTheme="minorHAnsi"/>
          <w:szCs w:val="24"/>
          <w:lang w:val="es-ES_tradnl"/>
        </w:rPr>
        <w:t>La inducción, o dirección de una voluntad, de una conducta implica un atentado contra nuestro derecho a nuestra libre voluntad y conducta. La conducta se ve direccionada, y promovida por el funcionario o servidor público, vulnerando el derecho a elección y dirección de nuestra vida o conductas.</w:t>
      </w:r>
    </w:p>
    <w:p w14:paraId="480460E4" w14:textId="77777777" w:rsidR="009E6E2E" w:rsidRPr="000D3432" w:rsidRDefault="009E6E2E" w:rsidP="009E6E2E">
      <w:pPr>
        <w:rPr>
          <w:rFonts w:asciiTheme="minorHAnsi" w:hAnsiTheme="minorHAnsi"/>
          <w:szCs w:val="24"/>
          <w:lang w:val="es-ES_tradnl"/>
        </w:rPr>
      </w:pPr>
    </w:p>
    <w:p w14:paraId="6B05E30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 xml:space="preserve">5.- Que el bien o beneficio patrimonial sea para el funcionario, servidor, o para otra persona.-  </w:t>
      </w:r>
      <w:r w:rsidRPr="000D3432">
        <w:rPr>
          <w:rFonts w:asciiTheme="minorHAnsi" w:hAnsiTheme="minorHAnsi"/>
          <w:szCs w:val="24"/>
          <w:lang w:val="es-ES_tradnl"/>
        </w:rPr>
        <w:t>Este elemento determina que no importa para quien sea el beneficio, sino que este bien o beneficio patrimonial sea ilegítimo ilícito, producto de un acto ilícito.</w:t>
      </w:r>
    </w:p>
    <w:p w14:paraId="5BE308A3" w14:textId="77777777" w:rsidR="009E6E2E" w:rsidRPr="000D3432" w:rsidRDefault="009E6E2E" w:rsidP="009E6E2E">
      <w:pPr>
        <w:rPr>
          <w:rFonts w:asciiTheme="minorHAnsi" w:hAnsiTheme="minorHAnsi"/>
          <w:szCs w:val="24"/>
          <w:lang w:val="es-ES_tradnl"/>
        </w:rPr>
      </w:pPr>
    </w:p>
    <w:p w14:paraId="2FCF3C8B"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b/>
          <w:szCs w:val="24"/>
          <w:lang w:val="es-ES_tradnl"/>
        </w:rPr>
        <w:t xml:space="preserve">SANCIÓN: </w:t>
      </w:r>
      <w:r w:rsidRPr="000D3432">
        <w:rPr>
          <w:rFonts w:asciiTheme="minorHAnsi" w:hAnsiTheme="minorHAnsi"/>
          <w:szCs w:val="24"/>
          <w:lang w:val="es-ES_tradnl"/>
        </w:rPr>
        <w:t>Aquel funcionario o servidor público que comete este tipo de delito será reprimido con pena privativa de libertad (cárcel) de dos a ocho años.</w:t>
      </w:r>
    </w:p>
    <w:p w14:paraId="3C52667B" w14:textId="77777777" w:rsidR="009E6E2E" w:rsidRPr="000D3432" w:rsidRDefault="009E6E2E" w:rsidP="009E6E2E">
      <w:pPr>
        <w:jc w:val="both"/>
        <w:rPr>
          <w:rFonts w:asciiTheme="minorHAnsi" w:hAnsiTheme="minorHAnsi" w:cs="Arial"/>
          <w:color w:val="000000"/>
          <w:szCs w:val="24"/>
          <w:lang w:val="es-ES_tradnl" w:eastAsia="es-PE"/>
        </w:rPr>
      </w:pPr>
    </w:p>
    <w:p w14:paraId="40324930" w14:textId="77777777" w:rsidR="009E6E2E" w:rsidRPr="000D3432" w:rsidRDefault="009E6E2E" w:rsidP="009E6E2E">
      <w:pPr>
        <w:jc w:val="both"/>
        <w:rPr>
          <w:rFonts w:asciiTheme="minorHAnsi" w:hAnsiTheme="minorHAnsi" w:cs="Arial"/>
          <w:bCs/>
          <w:color w:val="000000"/>
          <w:szCs w:val="24"/>
          <w:u w:val="single"/>
          <w:lang w:val="es-ES_tradnl" w:eastAsia="es-PE"/>
        </w:rPr>
      </w:pPr>
      <w:r w:rsidRPr="000D3432">
        <w:rPr>
          <w:rFonts w:asciiTheme="minorHAnsi" w:hAnsiTheme="minorHAnsi" w:cs="Arial"/>
          <w:b/>
          <w:bCs/>
          <w:color w:val="000000"/>
          <w:szCs w:val="24"/>
          <w:u w:val="single"/>
          <w:lang w:val="es-ES_tradnl" w:eastAsia="es-PE"/>
        </w:rPr>
        <w:t>2.- Concepto legal del delito de concusión</w:t>
      </w:r>
    </w:p>
    <w:p w14:paraId="642E7B5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382. Concusión.- </w:t>
      </w:r>
      <w:r w:rsidRPr="000D3432">
        <w:rPr>
          <w:rFonts w:asciiTheme="minorHAnsi" w:hAnsiTheme="minorHAnsi" w:cs="Arial"/>
          <w:color w:val="000000"/>
          <w:szCs w:val="24"/>
          <w:lang w:val="es-ES_tradnl" w:eastAsia="es-PE"/>
        </w:rPr>
        <w:t>El funcionario o servidor público que, abusando de su cargo, obliga o induce a una persona a dar o prometer indebidamente, para sí o para otro, un bien o un beneficio patrimonial, será reprimido con pena privativa de libertad no menor de dos ni mayor de ocho años y con ciento ochenta a trescientos sesenta y cinco días-multa.</w:t>
      </w:r>
      <w:r w:rsidRPr="000D3432">
        <w:rPr>
          <w:rFonts w:asciiTheme="minorHAnsi" w:hAnsiTheme="minorHAnsi" w:cs="Arial"/>
          <w:b/>
          <w:bCs/>
          <w:color w:val="000000"/>
          <w:szCs w:val="24"/>
          <w:lang w:val="es-ES_tradnl" w:eastAsia="es-PE"/>
        </w:rPr>
        <w:t>"</w:t>
      </w:r>
    </w:p>
    <w:p w14:paraId="663FC98B" w14:textId="77777777" w:rsidR="009E6E2E" w:rsidRPr="000D3432" w:rsidRDefault="009E6E2E" w:rsidP="009E6E2E">
      <w:pPr>
        <w:rPr>
          <w:rFonts w:asciiTheme="minorHAnsi" w:hAnsiTheme="minorHAnsi" w:cs="Arial"/>
          <w:szCs w:val="24"/>
          <w:lang w:val="es-ES_tradnl"/>
        </w:rPr>
      </w:pPr>
    </w:p>
    <w:p w14:paraId="3823D820" w14:textId="77777777" w:rsidR="009E6E2E" w:rsidRPr="000D3432" w:rsidRDefault="009E6E2E" w:rsidP="009E6E2E">
      <w:pPr>
        <w:ind w:left="1416"/>
        <w:rPr>
          <w:rFonts w:asciiTheme="minorHAnsi" w:hAnsiTheme="minorHAnsi" w:cs="Arial"/>
          <w:szCs w:val="24"/>
          <w:lang w:val="es-ES_tradnl"/>
        </w:rPr>
      </w:pPr>
    </w:p>
    <w:p w14:paraId="52271C6A" w14:textId="77777777" w:rsidR="009E6E2E" w:rsidRPr="000D3432" w:rsidRDefault="009E6E2E" w:rsidP="009E6E2E">
      <w:pPr>
        <w:ind w:left="1416"/>
        <w:rPr>
          <w:rFonts w:asciiTheme="minorHAnsi" w:hAnsiTheme="minorHAnsi" w:cs="Arial"/>
          <w:szCs w:val="24"/>
          <w:lang w:val="es-ES_tradnl"/>
        </w:rPr>
      </w:pPr>
    </w:p>
    <w:p w14:paraId="4179F1B7"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2</w:t>
      </w:r>
    </w:p>
    <w:p w14:paraId="7E3ABFD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COBRO INDEBIDO</w:t>
      </w:r>
    </w:p>
    <w:p w14:paraId="2EDE6416"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cobro indebido</w:t>
      </w:r>
    </w:p>
    <w:p w14:paraId="24B276D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“Cobro indebido.- Artículo 383.-</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o servidor público que, abusando de su cargo, exige o hace pagar o entregar contribuciones o emolumentos no debidos o en cantidad que excede a la tarifa legal, será reprimido con pena privativa de libertad no menor de uno ni mayor de cuatro años.”.</w:t>
      </w:r>
    </w:p>
    <w:p w14:paraId="6D85B739" w14:textId="77777777" w:rsidR="009E6E2E" w:rsidRPr="000D3432" w:rsidRDefault="009E6E2E" w:rsidP="009E6E2E">
      <w:pPr>
        <w:jc w:val="both"/>
        <w:rPr>
          <w:rFonts w:asciiTheme="minorHAnsi" w:hAnsiTheme="minorHAnsi" w:cs="Arial"/>
          <w:color w:val="000000"/>
          <w:szCs w:val="24"/>
          <w:lang w:val="es-ES_tradnl" w:eastAsia="es-PE"/>
        </w:rPr>
      </w:pPr>
    </w:p>
    <w:p w14:paraId="3DD2EA7C"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SECCION 3</w:t>
      </w:r>
    </w:p>
    <w:p w14:paraId="5F7A7CB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DELITO DE COLUSIÓN</w:t>
      </w:r>
    </w:p>
    <w:p w14:paraId="790FB1B3" w14:textId="77777777" w:rsidR="009E6E2E" w:rsidRPr="000D3432" w:rsidRDefault="009E6E2E" w:rsidP="009E6E2E">
      <w:pPr>
        <w:jc w:val="both"/>
        <w:rPr>
          <w:rFonts w:asciiTheme="minorHAnsi" w:hAnsiTheme="minorHAnsi" w:cs="Arial"/>
          <w:color w:val="000000"/>
          <w:szCs w:val="24"/>
          <w:lang w:val="es-ES_tradnl" w:eastAsia="es-PE"/>
        </w:rPr>
      </w:pPr>
    </w:p>
    <w:p w14:paraId="6A2120D4"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doctrinario de delito de colusión</w:t>
      </w:r>
    </w:p>
    <w:p w14:paraId="13F54826"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Hugo Álvarez, el delito de Colusión “Es un delito que consiste en un acuerdo secreto y engañoso, que realizan el funcionario o servidor público con terceras personas, con el fin de defraudar al Estado. / El verbo rector en el tipo es el vocablo `DEFRAUDAR`, y `fraude, en el estilo corriente, es lo mismo que engaño o dolo. / Además de engaño genérico con perjuicio económico concreto, la defraudación se emplea de modo especial en los abusos cometidos contra el fisco. / Defraudar es privar a otro con abuso de confianza o con infidelidad de aquello que en derecho le corresponde. Éstas y otras definiciones tienen un significado común referidos siempre al perjuicio público. / No se concibe una defraudación sin perjuicio económico del patrimonio del Estado. / El tipo prescribe el medio de que se vale el agente para defraudar (concertación), pero no señala expresamente en qué deben consistir estos `actos fraudulentos`, lo cierto es que se trata de todo aquello que prive al Estado de lo que le corresponde por derecho. Así, por ejemplo, el funcionario o servidor público que en razón de su cargo interviniese en un contrato representando al Estado, beneficiando al cocontratante en los convenios que celebra concediéndole ventajas particulares, que normalmente no hubiere obtenido.”.  (Delitos cometidos por funcionarios públicos contra la Administración Pública. Jorge Hugo Alvarez. Gaceta Jurídica. Pág. 79).</w:t>
      </w:r>
    </w:p>
    <w:p w14:paraId="43DD9932" w14:textId="77777777" w:rsidR="009E6E2E" w:rsidRPr="000D3432" w:rsidRDefault="009E6E2E" w:rsidP="009E6E2E">
      <w:pPr>
        <w:jc w:val="both"/>
        <w:rPr>
          <w:rFonts w:asciiTheme="minorHAnsi" w:hAnsiTheme="minorHAnsi" w:cs="Arial"/>
          <w:color w:val="000000"/>
          <w:szCs w:val="24"/>
          <w:lang w:val="es-ES_tradnl" w:eastAsia="es-PE"/>
        </w:rPr>
      </w:pPr>
    </w:p>
    <w:p w14:paraId="274AE044"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colusión</w:t>
      </w:r>
    </w:p>
    <w:p w14:paraId="7E8A670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w:t>
      </w:r>
      <w:r w:rsidRPr="000D3432">
        <w:rPr>
          <w:rFonts w:asciiTheme="minorHAnsi" w:hAnsiTheme="minorHAnsi" w:cs="Arial"/>
          <w:b/>
          <w:bCs/>
          <w:color w:val="000000"/>
          <w:szCs w:val="24"/>
          <w:lang w:val="es-ES_tradnl" w:eastAsia="es-PE"/>
        </w:rPr>
        <w:t xml:space="preserve"> "Artículo 384. Colusión simple y agravada.- </w:t>
      </w:r>
      <w:r w:rsidRPr="000D3432">
        <w:rPr>
          <w:rFonts w:asciiTheme="minorHAnsi" w:hAnsiTheme="minorHAnsi" w:cs="Arial"/>
          <w:color w:val="000000"/>
          <w:szCs w:val="24"/>
          <w:lang w:val="es-ES_tradnl" w:eastAsia="es-PE"/>
        </w:rPr>
        <w:t>El funcionario o servidor público que, interviniendo directa o indirectamente, por razón de su cargo, en cualquier etapa de las modalidades de adquisición o contratación pública de bienes, obras o servicios, concesiones o cualquier operación a cargo del Estado concierta con los interesados para defraudar al Estado o entidad u organismo del Estado, según ley, será reprimido con pena privativa de libertad no menor de tres ni mayor de seis años y con ciento ochenta a trescientos sesenta y cinco días-multa. / El funcionario o servidor público que, interviniendo directa o indirectamente, por razón de su cargo, en las contrataciones y adquisiciones de bienes, obras o servicios, concesiones o cualquier operación a cargo del Estado mediante concertación con los interesados, defraudare patrimonialmente al Estado o entidad u organismo del Estado, según ley, será reprimido con pena privativa de libertad no menor de seis ni mayor de quince años y con trescientos sesenta y cinco a setecientos treinta días-multa.</w:t>
      </w:r>
      <w:r w:rsidRPr="000D3432">
        <w:rPr>
          <w:rFonts w:asciiTheme="minorHAnsi" w:hAnsiTheme="minorHAnsi" w:cs="Arial"/>
          <w:b/>
          <w:bCs/>
          <w:color w:val="000000"/>
          <w:szCs w:val="24"/>
          <w:lang w:val="es-ES_tradnl" w:eastAsia="es-PE"/>
        </w:rPr>
        <w:t>"</w:t>
      </w:r>
    </w:p>
    <w:p w14:paraId="1E9F0E4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56F26239" w14:textId="77777777" w:rsidR="009E6E2E" w:rsidRPr="000D3432" w:rsidRDefault="009E6E2E" w:rsidP="009E6E2E">
      <w:pPr>
        <w:ind w:left="1416"/>
        <w:rPr>
          <w:rFonts w:asciiTheme="minorHAnsi" w:hAnsiTheme="minorHAnsi" w:cs="Arial"/>
          <w:szCs w:val="24"/>
          <w:lang w:val="es-ES_tradnl"/>
        </w:rPr>
      </w:pPr>
    </w:p>
    <w:p w14:paraId="2BAF0EA8"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SECCIÓN 4</w:t>
      </w:r>
    </w:p>
    <w:p w14:paraId="75D216B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PATROCINIO ILEGAL</w:t>
      </w:r>
    </w:p>
    <w:p w14:paraId="17BEB34B"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09F0EFEF"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1.- Concepto doctrinario del delito de patrocinio ilegal</w:t>
      </w:r>
    </w:p>
    <w:p w14:paraId="7B315353" w14:textId="77777777" w:rsidR="009E6E2E" w:rsidRPr="000D3432" w:rsidRDefault="009E6E2E" w:rsidP="009E6E2E">
      <w:pPr>
        <w:jc w:val="both"/>
        <w:rPr>
          <w:rFonts w:asciiTheme="minorHAnsi" w:hAnsiTheme="minorHAnsi" w:cs="Arial"/>
          <w:bCs/>
          <w:color w:val="000000"/>
          <w:szCs w:val="24"/>
          <w:lang w:val="es-ES_tradnl" w:eastAsia="es-PE"/>
        </w:rPr>
      </w:pPr>
    </w:p>
    <w:p w14:paraId="2E569D80" w14:textId="77777777" w:rsidR="009E6E2E" w:rsidRPr="000D3432" w:rsidRDefault="009E6E2E" w:rsidP="009E6E2E">
      <w:pPr>
        <w:jc w:val="both"/>
        <w:rPr>
          <w:rFonts w:asciiTheme="minorHAnsi" w:hAnsiTheme="minorHAnsi"/>
          <w:szCs w:val="24"/>
        </w:rPr>
      </w:pPr>
      <w:r w:rsidRPr="000D3432">
        <w:rPr>
          <w:rFonts w:asciiTheme="minorHAnsi" w:hAnsiTheme="minorHAnsi" w:cs="Arial"/>
          <w:bCs/>
          <w:color w:val="000000"/>
          <w:szCs w:val="24"/>
          <w:lang w:val="es-ES_tradnl" w:eastAsia="es-PE"/>
        </w:rPr>
        <w:t xml:space="preserve">Según Jorge H. Álvarez el delito de patrocinio ilegal, </w:t>
      </w:r>
      <w:r w:rsidRPr="000D3432">
        <w:rPr>
          <w:rFonts w:asciiTheme="minorHAnsi" w:hAnsiTheme="minorHAnsi"/>
          <w:szCs w:val="24"/>
        </w:rPr>
        <w:t>“Es un delito de acción dolosa, cuya conducta del agente consiste en valerse de su calidad o condición de funcionario o servidor público par apatrocinar intereses particulares ante la Administración Pública. /  El verbo rector en el tipo es el vocablo: `patrocinar`, que es sinónimo de defender, asesorar o la acción de abogar, litigar. El verbo rector utilizando por el legislador en la configuración del tipo debe interpretarse asociado a la expresión: “El que valiéndose de su calidad de funcionario o servidor público...” para precisar o delimitar la conducta quer realmente se desea reprimir. Lo reprochable radica en la acción del agente que haciendop uso indebido del cargo defiende, asesora, intercede, etc., intereses de particular. / El concepto `patrocinar`que utiliza el legislador debe interpretarse extensivamente y no sólo referido a la actuación del funcionario abogado que se vale del cargo, sino a cualquier otro funciionario independiente de la profesión que pueda tener. De allí que la conducta puede ser cualquier comportamiento que denote abogar, defender, asesorar, litigar, por intereses particulares ante la Administración Pública; no requiriéndose necesariamente de un resultado en sus actuaciones. / Todas estas actuaciones (patrocinio) se hacen haiendo prevalecer su calidad de funcionario o servidor público.”. (Delitos cometidos por funcionarios públicos contra la Administración Pública. Jorge Hugo Alvarez. Gaceta Jurídica. Pág. 91).</w:t>
      </w:r>
    </w:p>
    <w:p w14:paraId="4BE50533" w14:textId="77777777" w:rsidR="009E6E2E" w:rsidRPr="000D3432" w:rsidRDefault="009E6E2E" w:rsidP="009E6E2E">
      <w:pPr>
        <w:jc w:val="both"/>
        <w:rPr>
          <w:rFonts w:asciiTheme="minorHAnsi" w:hAnsiTheme="minorHAnsi" w:cs="Arial"/>
          <w:b/>
          <w:bCs/>
          <w:color w:val="000000"/>
          <w:szCs w:val="24"/>
          <w:lang w:val="es-ES_tradnl" w:eastAsia="es-PE"/>
        </w:rPr>
      </w:pPr>
    </w:p>
    <w:p w14:paraId="2C055D3B"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patrocinio ilegal</w:t>
      </w:r>
    </w:p>
    <w:p w14:paraId="64D662E5" w14:textId="77777777" w:rsidR="009E6E2E" w:rsidRPr="000D3432" w:rsidRDefault="009E6E2E" w:rsidP="009E6E2E">
      <w:pPr>
        <w:jc w:val="both"/>
        <w:rPr>
          <w:rFonts w:asciiTheme="minorHAnsi" w:hAnsiTheme="minorHAnsi" w:cs="Arial"/>
          <w:bCs/>
          <w:color w:val="000000"/>
          <w:szCs w:val="24"/>
          <w:lang w:val="es-ES_tradnl" w:eastAsia="es-PE"/>
        </w:rPr>
      </w:pPr>
    </w:p>
    <w:p w14:paraId="0F9CC97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“Patrocinio ilegal.- Artículo 385.-</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valiéndose de su calidad de funcionario o servidor público, patrocina intereses de particulares ante la administración pública, será reprimido con pena privativa de libertad no mayor de dos años o con prestación de servicio comunitario de veinte a cuarenta jornadas.”.</w:t>
      </w:r>
    </w:p>
    <w:p w14:paraId="0CE92DF4" w14:textId="77777777" w:rsidR="009E6E2E" w:rsidRPr="000D3432" w:rsidRDefault="009E6E2E" w:rsidP="009E6E2E">
      <w:pPr>
        <w:ind w:left="1416"/>
        <w:rPr>
          <w:rFonts w:asciiTheme="minorHAnsi" w:hAnsiTheme="minorHAnsi" w:cs="Arial"/>
          <w:szCs w:val="24"/>
          <w:lang w:val="es-ES_tradnl"/>
        </w:rPr>
      </w:pPr>
    </w:p>
    <w:p w14:paraId="68948FB4"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5</w:t>
      </w:r>
    </w:p>
    <w:p w14:paraId="2659D0B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RESPONSABILIDAD DE PERITOS, ÁRBITROS Y CONTADORES PARTICULARES</w:t>
      </w:r>
    </w:p>
    <w:p w14:paraId="5EA90500"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1.- Concepto doctrinal del delito de responsabilidad de peritos, árbitros y contadores particulares</w:t>
      </w:r>
    </w:p>
    <w:p w14:paraId="1531A8E5" w14:textId="77777777" w:rsidR="009E6E2E" w:rsidRPr="000D3432" w:rsidRDefault="009E6E2E" w:rsidP="009E6E2E">
      <w:pPr>
        <w:jc w:val="both"/>
        <w:rPr>
          <w:rFonts w:asciiTheme="minorHAnsi" w:hAnsiTheme="minorHAnsi" w:cs="Arial"/>
          <w:b/>
          <w:bCs/>
          <w:color w:val="000000"/>
          <w:szCs w:val="24"/>
          <w:lang w:val="es-ES_tradnl" w:eastAsia="es-PE"/>
        </w:rPr>
      </w:pPr>
    </w:p>
    <w:p w14:paraId="2D290F2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2.- Concepto legal del Delito Responsabilidad de peritos, árbitros y contadores particulares</w:t>
      </w:r>
    </w:p>
    <w:p w14:paraId="1B36A98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De acuerdo con el Código Penal se establece: “</w:t>
      </w:r>
      <w:r w:rsidRPr="000D3432">
        <w:rPr>
          <w:rFonts w:asciiTheme="minorHAnsi" w:hAnsiTheme="minorHAnsi" w:cs="Arial"/>
          <w:b/>
          <w:bCs/>
          <w:color w:val="000000"/>
          <w:szCs w:val="24"/>
          <w:lang w:val="es-ES_tradnl" w:eastAsia="es-PE"/>
        </w:rPr>
        <w:t>Artículo 386.-</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Las disposiciones de los Artículos 384 y 385  son aplicables a los Peritos, Arbitros y Contadores Particulares, respecto de los bienes en cuya tasación, adjudicación o partición intervienen; y, a los tutores, curadores y albaceas, respecto de los pertenecientes a incapaces o testamentarías.”</w:t>
      </w:r>
      <w:r w:rsidRPr="000D3432">
        <w:rPr>
          <w:rFonts w:asciiTheme="minorHAnsi" w:hAnsiTheme="minorHAnsi"/>
          <w:color w:val="000000"/>
          <w:szCs w:val="24"/>
          <w:lang w:val="es-ES_tradnl" w:eastAsia="es-PE"/>
        </w:rPr>
        <w:t> </w:t>
      </w:r>
    </w:p>
    <w:p w14:paraId="1B126488" w14:textId="77777777" w:rsidR="009E6E2E" w:rsidRPr="000D3432" w:rsidRDefault="009E6E2E" w:rsidP="009E6E2E">
      <w:pPr>
        <w:ind w:left="1416"/>
        <w:rPr>
          <w:rFonts w:asciiTheme="minorHAnsi" w:hAnsiTheme="minorHAnsi" w:cs="Arial"/>
          <w:szCs w:val="24"/>
          <w:lang w:val="es-ES_tradnl"/>
        </w:rPr>
      </w:pPr>
    </w:p>
    <w:p w14:paraId="2BA769A2"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III</w:t>
      </w:r>
    </w:p>
    <w:p w14:paraId="508C367B"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DELITO DE PECULADO</w:t>
      </w:r>
    </w:p>
    <w:p w14:paraId="2E12E33A"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doctrinario del delito de peculado</w:t>
      </w:r>
    </w:p>
    <w:p w14:paraId="25A3FA0B"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 Álvarez el delito de Peculado es: “La acción dolosa consiste en apropiarse o utilizar en cualquier forma, para sí o para otro, caudales o efectos cuya percepción, administración o custodia le estén confiados por razón de su cargo; entiéndase que estamos refiriéndonos como sujeto activo al funcionario o servidor público de manera que podríamos hablar de un peculado por apropiación y de un peculado por utilización. / La acción u omisión culposa se traduce en el comportamiento negligente del sujeto activo que da ocasión a que se efectúe por otra persona la SUSTRACCIÓN de caudales o efectos. / Estas acciones dolosas y culposas admiten circunstancias agravantes cuando los efectos o caudales apropiados, utilizados o sustraídos dolosamente por un tercero por negligencia del agente estuvieren destinados a fines asistenciales o a programas de apoyo social.”.  (Delitos cometidos por funcionarios públicos contra la Administración Pública. Jorge Hugo Alvarez. Gaceta Jurídica. Pág. 101, 102.).</w:t>
      </w:r>
    </w:p>
    <w:p w14:paraId="1EBC46E6" w14:textId="77777777" w:rsidR="009E6E2E" w:rsidRPr="000D3432" w:rsidRDefault="009E6E2E" w:rsidP="009E6E2E">
      <w:pPr>
        <w:jc w:val="both"/>
        <w:rPr>
          <w:rFonts w:asciiTheme="minorHAnsi" w:hAnsiTheme="minorHAnsi" w:cs="Arial"/>
          <w:b/>
          <w:bCs/>
          <w:color w:val="000000"/>
          <w:szCs w:val="24"/>
          <w:lang w:val="es-ES_tradnl" w:eastAsia="es-PE"/>
        </w:rPr>
      </w:pPr>
    </w:p>
    <w:p w14:paraId="37F8A34C"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del delito de peculado: </w:t>
      </w:r>
    </w:p>
    <w:p w14:paraId="589D67DC" w14:textId="77777777" w:rsidR="009E6E2E" w:rsidRPr="000D3432" w:rsidRDefault="009E6E2E" w:rsidP="009E6E2E">
      <w:pPr>
        <w:jc w:val="both"/>
        <w:rPr>
          <w:rFonts w:asciiTheme="minorHAnsi" w:hAnsiTheme="minorHAnsi" w:cs="Arial"/>
          <w:bCs/>
          <w:color w:val="000000"/>
          <w:szCs w:val="24"/>
          <w:lang w:val="es-ES_tradnl" w:eastAsia="es-PE"/>
        </w:rPr>
      </w:pPr>
    </w:p>
    <w:p w14:paraId="29A6472D"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387. Peculado doloso y culposo.- </w:t>
      </w:r>
      <w:r w:rsidRPr="000D3432">
        <w:rPr>
          <w:rFonts w:asciiTheme="minorHAnsi" w:hAnsiTheme="minorHAnsi" w:cs="Arial"/>
          <w:color w:val="000000"/>
          <w:szCs w:val="24"/>
          <w:lang w:val="es-ES_tradnl" w:eastAsia="es-PE"/>
        </w:rPr>
        <w:t>El funcionario o servidor público que se apropia o utiliza, en cualquier forma, para sí o para otro, caudales o efectos cuya percepción, administración o custodia le estén confiados por razón de su cargo, será reprimido con pena privativa de libertad no menor de cuatro ni mayor de ocho años y con ciento ochenta a trescientos sesenta y cinco días-multa. / Cuando el valor de lo apropiado o utilizado sobrepase diez unidades impositivas tributarias, será reprimido con pena privativa de libertad no menor de ocho ni mayor de doce años y con trescientos sesenta y cinco a setecientos treinta días-multa. / Constituye circunstancia agravante si los caudales o efectos estuvieran destinados a fines asistenciales o a programas de apoyo social. En estos casos, la pena privativa de libertad será no menor de ocho ni mayor de doce años y con trescientos sesenta y cinco a setecientos treinta días-multa. / Si el agente, por culpa, da ocasión a que se efectúe por otra persona la sustracción de caudales o efectos, será reprimido con pena privativa de libertad no mayor de dos años y con prestación de servicios comunitarios de veinte a cuarenta jornadas. Constituye circunstancia agravante si los caudales o efectos estuvieran destinados a fines asistenciales o a programas de apoyo social. En estos casos, la pena privativa de libertad será no menor de tres ni mayor de cinco años y con ciento cincuenta a doscientos treinta días-multa.</w:t>
      </w:r>
      <w:r w:rsidRPr="000D3432">
        <w:rPr>
          <w:rFonts w:asciiTheme="minorHAnsi" w:hAnsiTheme="minorHAnsi" w:cs="Arial"/>
          <w:b/>
          <w:bCs/>
          <w:color w:val="000000"/>
          <w:szCs w:val="24"/>
          <w:lang w:val="es-ES_tradnl" w:eastAsia="es-PE"/>
        </w:rPr>
        <w:t>"</w:t>
      </w:r>
    </w:p>
    <w:p w14:paraId="6B05648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48EEB7C8" w14:textId="77777777" w:rsidR="009E6E2E" w:rsidRPr="000D3432" w:rsidRDefault="009E6E2E" w:rsidP="009E6E2E">
      <w:pPr>
        <w:ind w:left="1416"/>
        <w:rPr>
          <w:rFonts w:asciiTheme="minorHAnsi" w:hAnsiTheme="minorHAnsi" w:cs="Arial"/>
          <w:szCs w:val="24"/>
          <w:lang w:val="es-ES_tradnl"/>
        </w:rPr>
      </w:pPr>
    </w:p>
    <w:p w14:paraId="090D4F9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2</w:t>
      </w:r>
    </w:p>
    <w:p w14:paraId="5EB34F3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PECULADO POR USO</w:t>
      </w:r>
    </w:p>
    <w:p w14:paraId="1FF1BD88"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doctrinal del delito de peculado de uso</w:t>
      </w:r>
    </w:p>
    <w:p w14:paraId="1800BCC3"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 Álvarez, el delito de Pecualdo de uso “El tipo está referido al uso para fines ajenos al servicio, de los que el legislador entiende por “efecto” vehículos, máquinas o cualquier  otro instrumento de trabajo provenientes a la Administración Pública o que se halla bajo la guarda del funcionario o servidor público. “(Delitos cometidos por funcionarios públicos contra la Administración Pública. Jorge Hugo Alvarez. Gaceta Jurídica. Pág. 115).</w:t>
      </w:r>
    </w:p>
    <w:p w14:paraId="6F563AB6" w14:textId="77777777" w:rsidR="009E6E2E" w:rsidRPr="000D3432" w:rsidRDefault="009E6E2E" w:rsidP="009E6E2E">
      <w:pPr>
        <w:jc w:val="both"/>
        <w:rPr>
          <w:rFonts w:asciiTheme="minorHAnsi" w:hAnsiTheme="minorHAnsi" w:cs="Arial"/>
          <w:color w:val="000000"/>
          <w:szCs w:val="24"/>
          <w:lang w:val="es-ES_tradnl" w:eastAsia="es-PE"/>
        </w:rPr>
      </w:pPr>
    </w:p>
    <w:p w14:paraId="5A1748F5" w14:textId="77777777" w:rsidR="009E6E2E" w:rsidRPr="000D3432" w:rsidRDefault="009E6E2E" w:rsidP="009E6E2E">
      <w:pPr>
        <w:jc w:val="both"/>
        <w:rPr>
          <w:rFonts w:asciiTheme="minorHAnsi" w:hAnsiTheme="minorHAnsi"/>
          <w:b/>
          <w:szCs w:val="24"/>
        </w:rPr>
      </w:pPr>
      <w:r w:rsidRPr="000D3432">
        <w:rPr>
          <w:rFonts w:asciiTheme="minorHAnsi" w:hAnsiTheme="minorHAnsi"/>
          <w:b/>
          <w:szCs w:val="24"/>
        </w:rPr>
        <w:t>Peculado por apropiación, peculado por utilización y peculado culposo</w:t>
      </w:r>
    </w:p>
    <w:p w14:paraId="4A56CE1F" w14:textId="77777777" w:rsidR="009E6E2E" w:rsidRPr="000D3432" w:rsidRDefault="009E6E2E" w:rsidP="009E6E2E">
      <w:pPr>
        <w:jc w:val="both"/>
        <w:rPr>
          <w:rFonts w:asciiTheme="minorHAnsi" w:hAnsiTheme="minorHAnsi"/>
          <w:szCs w:val="24"/>
        </w:rPr>
      </w:pPr>
    </w:p>
    <w:p w14:paraId="7F2E6369"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“La acción dolosa consiste en apropiarse o utilizar en cualquier forma, para sí o para otro, caudales o efectos, cuya percepcion, administración o custodia le estén confiados por razón de su cargo; entiéndase que nos estamos refiriendo como sujeto activo al funcionario o servidor público, de manera que podríamos hablar de un Peculado por Apropiación y de un Peculado por Utilización.”. (Delitos cometidos por funcionarios públicos contra la Administración Pública. Jorge Hugo Alvarez. Gaceta Jurídica. Pág. 105.).</w:t>
      </w:r>
    </w:p>
    <w:p w14:paraId="31A89F6B" w14:textId="77777777" w:rsidR="009E6E2E" w:rsidRPr="000D3432" w:rsidRDefault="009E6E2E" w:rsidP="009E6E2E">
      <w:pPr>
        <w:jc w:val="both"/>
        <w:rPr>
          <w:rFonts w:asciiTheme="minorHAnsi" w:hAnsiTheme="minorHAnsi"/>
          <w:szCs w:val="24"/>
        </w:rPr>
      </w:pPr>
    </w:p>
    <w:p w14:paraId="2CF8917B" w14:textId="77777777" w:rsidR="009E6E2E" w:rsidRPr="000D3432" w:rsidRDefault="009E6E2E" w:rsidP="009E6E2E">
      <w:pPr>
        <w:jc w:val="both"/>
        <w:rPr>
          <w:rFonts w:asciiTheme="minorHAnsi" w:hAnsiTheme="minorHAnsi"/>
          <w:szCs w:val="24"/>
        </w:rPr>
      </w:pPr>
    </w:p>
    <w:p w14:paraId="56F1EBB5" w14:textId="77777777" w:rsidR="009E6E2E" w:rsidRPr="000D3432" w:rsidRDefault="009E6E2E" w:rsidP="009E6E2E">
      <w:pPr>
        <w:jc w:val="both"/>
        <w:rPr>
          <w:rFonts w:asciiTheme="minorHAnsi" w:hAnsiTheme="minorHAnsi"/>
          <w:b/>
          <w:szCs w:val="24"/>
        </w:rPr>
      </w:pPr>
      <w:r w:rsidRPr="000D3432">
        <w:rPr>
          <w:rFonts w:asciiTheme="minorHAnsi" w:hAnsiTheme="minorHAnsi"/>
          <w:b/>
          <w:szCs w:val="24"/>
        </w:rPr>
        <w:t>Peculado por apropiación</w:t>
      </w:r>
    </w:p>
    <w:p w14:paraId="19EC584C" w14:textId="77777777" w:rsidR="009E6E2E" w:rsidRPr="000D3432" w:rsidRDefault="009E6E2E" w:rsidP="009E6E2E">
      <w:pPr>
        <w:jc w:val="both"/>
        <w:rPr>
          <w:rFonts w:asciiTheme="minorHAnsi" w:hAnsiTheme="minorHAnsi"/>
          <w:szCs w:val="24"/>
        </w:rPr>
      </w:pPr>
    </w:p>
    <w:p w14:paraId="1B041169"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“El delito de pecualdo por apropiación implica el apoderamiento en provecho del agente o de un tercero de los efecots o caudales cuya percepción, administración o custodia le estén confiados por razón de su cargo; no concebimos una apropiación sin provecho o beneficio alguno sea ésta económica o de naturleza diferente, porque un bien puede producir provecho o satisfacción de orden estético, cultural, etc. / La acción dolosa del sujeto activo en el peculado por apropiación va siempre dirigida al apoderamiento con el consiguiente beneficio propio o de un tercero así la norma no lo señale expresamente.”. (Delitos cometidos por funcionarios públicos contra la Administración Pública. Jorge Hugo Alvarez. Gaceta Jurídica. Pág. 107.).</w:t>
      </w:r>
    </w:p>
    <w:p w14:paraId="061CACA9" w14:textId="77777777" w:rsidR="009E6E2E" w:rsidRPr="000D3432" w:rsidRDefault="009E6E2E" w:rsidP="009E6E2E">
      <w:pPr>
        <w:jc w:val="both"/>
        <w:rPr>
          <w:rFonts w:asciiTheme="minorHAnsi" w:hAnsiTheme="minorHAnsi"/>
          <w:szCs w:val="24"/>
        </w:rPr>
      </w:pPr>
    </w:p>
    <w:p w14:paraId="151875C3" w14:textId="77777777" w:rsidR="009E6E2E" w:rsidRPr="000D3432" w:rsidRDefault="009E6E2E" w:rsidP="009E6E2E">
      <w:pPr>
        <w:jc w:val="both"/>
        <w:rPr>
          <w:rFonts w:asciiTheme="minorHAnsi" w:hAnsiTheme="minorHAnsi"/>
          <w:b/>
          <w:szCs w:val="24"/>
        </w:rPr>
      </w:pPr>
      <w:r w:rsidRPr="000D3432">
        <w:rPr>
          <w:rFonts w:asciiTheme="minorHAnsi" w:hAnsiTheme="minorHAnsi"/>
          <w:b/>
          <w:szCs w:val="24"/>
        </w:rPr>
        <w:t>Peculado por utilización</w:t>
      </w:r>
    </w:p>
    <w:p w14:paraId="666A6D50" w14:textId="77777777" w:rsidR="009E6E2E" w:rsidRPr="000D3432" w:rsidRDefault="009E6E2E" w:rsidP="009E6E2E">
      <w:pPr>
        <w:jc w:val="both"/>
        <w:rPr>
          <w:rFonts w:asciiTheme="minorHAnsi" w:hAnsiTheme="minorHAnsi"/>
          <w:szCs w:val="24"/>
        </w:rPr>
      </w:pPr>
    </w:p>
    <w:p w14:paraId="1BF08E1A"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“La acción dolosa se orienta a la utilización provechosa de los efectos o caudales por parte del agente o de un tercero, aunque no persiga necesariamente una ventaja patrimonial. Se trata en realidad de un uso indebido de los efectos o caudales, porque si el uso es conforme a la naturaleza del bien o con el destino específico asignado por la Administración Pública es irrelevante al Derecho Penal; pero si es empleado para labores ajenas al servicio en provecho propio o de un tercero estamos ante el tipo legal descrito. / Supone una acción de uso indebido, abusivo, inadecuado, etc.; con ánimos de restitución. En el peculado por utilización la intención de retituir es evidente. “(Delitos cometidos por funcionarios públicos contra la Administración Pública. Jorge Hugo Alvarez. Gaceta Jurídica. Pág. 108.).</w:t>
      </w:r>
    </w:p>
    <w:p w14:paraId="76882E78" w14:textId="77777777" w:rsidR="009E6E2E" w:rsidRPr="000D3432" w:rsidRDefault="009E6E2E" w:rsidP="009E6E2E">
      <w:pPr>
        <w:jc w:val="both"/>
        <w:rPr>
          <w:rFonts w:asciiTheme="minorHAnsi" w:hAnsiTheme="minorHAnsi"/>
          <w:szCs w:val="24"/>
        </w:rPr>
      </w:pPr>
    </w:p>
    <w:p w14:paraId="616BA62E" w14:textId="77777777" w:rsidR="009E6E2E" w:rsidRPr="000D3432" w:rsidRDefault="009E6E2E" w:rsidP="009E6E2E">
      <w:pPr>
        <w:jc w:val="both"/>
        <w:rPr>
          <w:rFonts w:asciiTheme="minorHAnsi" w:hAnsiTheme="minorHAnsi"/>
          <w:szCs w:val="24"/>
        </w:rPr>
      </w:pPr>
    </w:p>
    <w:p w14:paraId="79D324D3" w14:textId="77777777" w:rsidR="009E6E2E" w:rsidRPr="000D3432" w:rsidRDefault="009E6E2E" w:rsidP="009E6E2E">
      <w:pPr>
        <w:jc w:val="both"/>
        <w:rPr>
          <w:rFonts w:asciiTheme="minorHAnsi" w:hAnsiTheme="minorHAnsi"/>
          <w:b/>
          <w:szCs w:val="24"/>
        </w:rPr>
      </w:pPr>
      <w:r w:rsidRPr="000D3432">
        <w:rPr>
          <w:rFonts w:asciiTheme="minorHAnsi" w:hAnsiTheme="minorHAnsi"/>
          <w:b/>
          <w:szCs w:val="24"/>
        </w:rPr>
        <w:t>Peculado culposo</w:t>
      </w:r>
    </w:p>
    <w:p w14:paraId="3438A4FE" w14:textId="77777777" w:rsidR="009E6E2E" w:rsidRPr="000D3432" w:rsidRDefault="009E6E2E" w:rsidP="009E6E2E">
      <w:pPr>
        <w:jc w:val="both"/>
        <w:rPr>
          <w:rFonts w:asciiTheme="minorHAnsi" w:hAnsiTheme="minorHAnsi"/>
          <w:szCs w:val="24"/>
        </w:rPr>
      </w:pPr>
    </w:p>
    <w:p w14:paraId="7C1E854D"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 xml:space="preserve">“Se reprime el acto culposo del funcionario o servidor público que dio ocasión a que un tercero sustrajera los efectos o caudales, quedando consumados el hecho con la mera sustracción, sin que importar el </w:t>
      </w:r>
      <w:r w:rsidRPr="000D3432">
        <w:rPr>
          <w:rFonts w:asciiTheme="minorHAnsi" w:hAnsiTheme="minorHAnsi"/>
          <w:i/>
          <w:szCs w:val="24"/>
        </w:rPr>
        <w:t>animus</w:t>
      </w:r>
      <w:r w:rsidRPr="000D3432">
        <w:rPr>
          <w:rFonts w:asciiTheme="minorHAnsi" w:hAnsiTheme="minorHAnsi"/>
          <w:szCs w:val="24"/>
        </w:rPr>
        <w:t xml:space="preserve"> que tuvo el tercero en la acción dolosa; sea que lo sustrajo con la intención de apropiación o de utilización, sea que obtuvo o no un provecho. / Ese tercero puede ser un particular u otro funcionario o servidor público que no tenga la percepción, administración o custodia de los bienes sustraídos / Se requiere la intervención dolosa de un tercero para estructural el peculado culposo.”. (Delitos cometidos por funcionarios públicos contra la Administración Pública. Jorge Hugo Alvarez. Gaceta Jurídica. Pág. 109.).</w:t>
      </w:r>
    </w:p>
    <w:p w14:paraId="39ECE3CB" w14:textId="77777777" w:rsidR="009E6E2E" w:rsidRPr="000D3432" w:rsidRDefault="009E6E2E" w:rsidP="009E6E2E">
      <w:pPr>
        <w:jc w:val="both"/>
        <w:rPr>
          <w:rFonts w:asciiTheme="minorHAnsi" w:hAnsiTheme="minorHAnsi" w:cs="Arial"/>
          <w:color w:val="000000"/>
          <w:szCs w:val="24"/>
          <w:lang w:val="es-ES_tradnl" w:eastAsia="es-PE"/>
        </w:rPr>
      </w:pPr>
    </w:p>
    <w:p w14:paraId="4FEBB04C"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peculado de uso</w:t>
      </w:r>
    </w:p>
    <w:p w14:paraId="1FD72D60" w14:textId="77777777" w:rsidR="009E6E2E" w:rsidRPr="000D3432" w:rsidRDefault="009E6E2E" w:rsidP="009E6E2E">
      <w:pPr>
        <w:jc w:val="both"/>
        <w:rPr>
          <w:rFonts w:asciiTheme="minorHAnsi" w:hAnsiTheme="minorHAnsi" w:cs="Arial"/>
          <w:bCs/>
          <w:color w:val="000000"/>
          <w:szCs w:val="24"/>
          <w:lang w:val="es-ES_tradnl" w:eastAsia="es-PE"/>
        </w:rPr>
      </w:pPr>
    </w:p>
    <w:p w14:paraId="1CF4869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388. Peculado de uso.- </w:t>
      </w:r>
      <w:r w:rsidRPr="000D3432">
        <w:rPr>
          <w:rFonts w:asciiTheme="minorHAnsi" w:hAnsiTheme="minorHAnsi" w:cs="Arial"/>
          <w:color w:val="000000"/>
          <w:szCs w:val="24"/>
          <w:lang w:val="es-ES_tradnl" w:eastAsia="es-PE"/>
        </w:rPr>
        <w:t>El funcionario o servidor público que, para fines ajenos al servicio, usa o permite que otro use vehículos, máquinas o cualquier otro instrumento de trabajo pertenecientes a la administración pública o que se hallan bajo su guarda, será reprimido con pena privativa de libertad no menor de dos ni mayor de cuatro años y con ciento ochenta a trescientos sesenta y cinco días-multa. / Esta disposición es aplicable al contratista de una obra pública o a sus empleados cuando los efectos indicados pertenecen al Estado o a cualquier dependencia pública.</w:t>
      </w:r>
      <w:r w:rsidRPr="000D3432">
        <w:rPr>
          <w:rFonts w:asciiTheme="minorHAnsi" w:hAnsiTheme="minorHAnsi"/>
          <w:color w:val="000000"/>
          <w:szCs w:val="24"/>
          <w:lang w:val="es-ES_tradnl" w:eastAsia="es-PE"/>
        </w:rPr>
        <w:t xml:space="preserve"> / </w:t>
      </w:r>
      <w:r w:rsidRPr="000D3432">
        <w:rPr>
          <w:rFonts w:asciiTheme="minorHAnsi" w:hAnsiTheme="minorHAnsi" w:cs="Arial"/>
          <w:color w:val="000000"/>
          <w:szCs w:val="24"/>
          <w:lang w:val="es-ES_tradnl" w:eastAsia="es-PE"/>
        </w:rPr>
        <w:t>No están comprendidos en este artículo los vehículos motorizados destinados al servicio personal por razón del cargo.</w:t>
      </w:r>
      <w:r w:rsidRPr="000D3432">
        <w:rPr>
          <w:rFonts w:asciiTheme="minorHAnsi" w:hAnsiTheme="minorHAnsi" w:cs="Arial"/>
          <w:b/>
          <w:bCs/>
          <w:color w:val="000000"/>
          <w:szCs w:val="24"/>
          <w:lang w:val="es-ES_tradnl" w:eastAsia="es-PE"/>
        </w:rPr>
        <w:t>"</w:t>
      </w:r>
    </w:p>
    <w:p w14:paraId="6BDBB946" w14:textId="77777777" w:rsidR="009E6E2E" w:rsidRPr="000D3432" w:rsidRDefault="009E6E2E" w:rsidP="009E6E2E">
      <w:pPr>
        <w:ind w:left="1416"/>
        <w:rPr>
          <w:rFonts w:asciiTheme="minorHAnsi" w:hAnsiTheme="minorHAnsi" w:cs="Arial"/>
          <w:szCs w:val="24"/>
          <w:lang w:val="es-ES_tradnl"/>
        </w:rPr>
      </w:pPr>
    </w:p>
    <w:p w14:paraId="675FA6A4"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3</w:t>
      </w:r>
    </w:p>
    <w:p w14:paraId="5B88D74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MALVERSACIÓN</w:t>
      </w:r>
    </w:p>
    <w:p w14:paraId="2BB8196F"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50B49236"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doctrinal del Delito de Malversación</w:t>
      </w:r>
    </w:p>
    <w:p w14:paraId="3A5A081F"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PECULADO POR MALVERSACIÓN</w:t>
      </w:r>
    </w:p>
    <w:p w14:paraId="2AF65352"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“Etimológicamente, malversar viene del latín MAL y VERSARE que significa invertir mal”, figura típica conocida como peculado por malversación o peculado por aplicación oficial diferente ....”. (Delitos cometidos por funcionarios públicos contra la Administración Pública. Jorge Hugo Alvarez. Gaceta Jurídica. Pág. 124, 125).</w:t>
      </w:r>
    </w:p>
    <w:p w14:paraId="46E74442" w14:textId="77777777" w:rsidR="009E6E2E" w:rsidRPr="000D3432" w:rsidRDefault="009E6E2E" w:rsidP="009E6E2E">
      <w:pPr>
        <w:jc w:val="both"/>
        <w:rPr>
          <w:rFonts w:asciiTheme="minorHAnsi" w:hAnsiTheme="minorHAnsi"/>
          <w:szCs w:val="24"/>
        </w:rPr>
      </w:pPr>
    </w:p>
    <w:p w14:paraId="31327F27"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“El peculado por malversación de fondos o bienes es un delito de acción dolosa que consiste en dar al dinero o bienes que se administra, una aplicación definitiva diferente de aquella a la que estaban destinados previamente por ley, ello siempre que afecte al servicio o la función encomendada. Esta ultima ondición hace del tipo un delito caractarizado por el resultado, consecuentemente si se da eal dinero o biens aadministrados una aplicación provisional diferetne sin que se afecte al servicio o a la función encomendada, no se configura el tipo. Siendo esta conducta atípica.” (Delitos cometidos por funcionarios públicos contra la Administración Pública. Jorge Hugo Alvarez. Gaceta Jurídica. Pág. 125.).</w:t>
      </w:r>
    </w:p>
    <w:p w14:paraId="7944D993" w14:textId="77777777" w:rsidR="009E6E2E" w:rsidRPr="000D3432" w:rsidRDefault="009E6E2E" w:rsidP="009E6E2E">
      <w:pPr>
        <w:jc w:val="both"/>
        <w:rPr>
          <w:rFonts w:asciiTheme="minorHAnsi" w:hAnsiTheme="minorHAnsi" w:cs="Arial"/>
          <w:color w:val="000000"/>
          <w:szCs w:val="24"/>
          <w:lang w:val="es-ES_tradnl" w:eastAsia="es-PE"/>
        </w:rPr>
      </w:pPr>
    </w:p>
    <w:p w14:paraId="615BD782"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Malversación</w:t>
      </w:r>
    </w:p>
    <w:p w14:paraId="1B6780DA" w14:textId="77777777" w:rsidR="009E6E2E" w:rsidRPr="000D3432" w:rsidRDefault="009E6E2E" w:rsidP="009E6E2E">
      <w:pPr>
        <w:jc w:val="both"/>
        <w:rPr>
          <w:rFonts w:asciiTheme="minorHAnsi" w:hAnsiTheme="minorHAnsi" w:cs="Arial"/>
          <w:b/>
          <w:color w:val="000000"/>
          <w:szCs w:val="24"/>
          <w:lang w:val="es-ES_tradnl" w:eastAsia="es-PE"/>
        </w:rPr>
      </w:pPr>
    </w:p>
    <w:p w14:paraId="6CC6F0E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389. Malversación.- </w:t>
      </w:r>
      <w:r w:rsidRPr="000D3432">
        <w:rPr>
          <w:rFonts w:asciiTheme="minorHAnsi" w:hAnsiTheme="minorHAnsi" w:cs="Arial"/>
          <w:color w:val="000000"/>
          <w:szCs w:val="24"/>
          <w:lang w:val="es-ES_tradnl" w:eastAsia="es-PE"/>
        </w:rPr>
        <w:t>El funcionario o servidor público que da al dinero o bienes que administra una aplicación definitiva diferente de aquella a los que están destinados, afectando el servicio o la función encomendada, será reprimido con pena privativa de libertad no menor de uno ni mayor de cuatro años y con ciento ochenta a trescientos sesenta y cinco días-multa. / Si el dinero o bienes que administra corresponden a programas de apoyo social, de desarrollo o asistenciales y son destinados a una aplicación definitiva diferente, afectando el servicio o la función encomendada, la pena privativa de libertad será no menor de tres ni mayor de ocho años y con trescientos sesenta y cinco días-multa.</w:t>
      </w:r>
      <w:r w:rsidRPr="000D3432">
        <w:rPr>
          <w:rFonts w:asciiTheme="minorHAnsi" w:hAnsiTheme="minorHAnsi" w:cs="Arial"/>
          <w:b/>
          <w:bCs/>
          <w:color w:val="000000"/>
          <w:szCs w:val="24"/>
          <w:lang w:val="es-ES_tradnl" w:eastAsia="es-PE"/>
        </w:rPr>
        <w:t>"</w:t>
      </w:r>
    </w:p>
    <w:p w14:paraId="2713BEBB" w14:textId="77777777" w:rsidR="009E6E2E" w:rsidRPr="000D3432" w:rsidRDefault="009E6E2E" w:rsidP="009E6E2E">
      <w:pPr>
        <w:ind w:left="1416"/>
        <w:rPr>
          <w:rFonts w:asciiTheme="minorHAnsi" w:hAnsiTheme="minorHAnsi" w:cs="Arial"/>
          <w:szCs w:val="24"/>
          <w:lang w:val="es-ES_tradnl"/>
        </w:rPr>
      </w:pPr>
    </w:p>
    <w:p w14:paraId="3B88E16D"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4</w:t>
      </w:r>
    </w:p>
    <w:p w14:paraId="0D3CF61B"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RETARDO INJUSTIFICADO DE PAGO</w:t>
      </w:r>
    </w:p>
    <w:p w14:paraId="76BA25AC"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5E443CB5"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1.- Concepto doctrinal del delito de retardo injustificado de pago</w:t>
      </w:r>
    </w:p>
    <w:p w14:paraId="7AD9C417"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Según Jorge H. Álvarez, el delito de Peculado por demora injustificada de pago, “...se sanciona la simple demora injustificada toda vez que al fin y al cabo siempre va a pagar lo ordenado o decretado porque es un acto proio de su cargo, lo que hace el agente es sencillamente, retardar, dilatar o suspender, pero no desistirse de su obligación.” (Delitos cometidos por funcionarios públicos contra la Administración Pública. Jorge Hugo Alvarez. Gaceta Jurídica. Pág. 133.).</w:t>
      </w:r>
    </w:p>
    <w:p w14:paraId="0F44AC7B" w14:textId="77777777" w:rsidR="009E6E2E" w:rsidRPr="000D3432" w:rsidRDefault="009E6E2E" w:rsidP="009E6E2E">
      <w:pPr>
        <w:jc w:val="both"/>
        <w:rPr>
          <w:rFonts w:asciiTheme="minorHAnsi" w:hAnsiTheme="minorHAnsi" w:cs="Arial"/>
          <w:b/>
          <w:bCs/>
          <w:color w:val="000000"/>
          <w:szCs w:val="24"/>
          <w:lang w:val="es-ES_tradnl" w:eastAsia="es-PE"/>
        </w:rPr>
      </w:pPr>
    </w:p>
    <w:p w14:paraId="5899A38E"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retardo injustificado de pago</w:t>
      </w:r>
    </w:p>
    <w:p w14:paraId="19245342" w14:textId="77777777" w:rsidR="009E6E2E" w:rsidRPr="000D3432" w:rsidRDefault="009E6E2E" w:rsidP="009E6E2E">
      <w:pPr>
        <w:jc w:val="both"/>
        <w:rPr>
          <w:rFonts w:asciiTheme="minorHAnsi" w:hAnsiTheme="minorHAnsi" w:cs="Arial"/>
          <w:b/>
          <w:bCs/>
          <w:color w:val="000000"/>
          <w:szCs w:val="24"/>
          <w:lang w:val="es-ES_tradnl" w:eastAsia="es-PE"/>
        </w:rPr>
      </w:pPr>
    </w:p>
    <w:p w14:paraId="219AC83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“Retardo injustificado de pago.- Artículo 390.-</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o servidor público que, teniendo fondos expeditos, demora injustificadamente un pago ordinario o decretado por la autoridad competente, será reprimido con pena privativa de libertad no mayor de dos años.”</w:t>
      </w:r>
    </w:p>
    <w:p w14:paraId="49FEE900" w14:textId="77777777" w:rsidR="009E6E2E" w:rsidRPr="000D3432" w:rsidRDefault="009E6E2E" w:rsidP="009E6E2E">
      <w:pPr>
        <w:rPr>
          <w:rFonts w:asciiTheme="minorHAnsi" w:hAnsiTheme="minorHAnsi" w:cs="Arial"/>
          <w:szCs w:val="24"/>
          <w:lang w:val="es-ES_tradnl"/>
        </w:rPr>
      </w:pPr>
    </w:p>
    <w:p w14:paraId="533D7FBD"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5</w:t>
      </w:r>
    </w:p>
    <w:p w14:paraId="795A4E3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REHUSAMIENTO A ENTREGA DE BIENES DEPOSITADOS O PUESTOS EN CUSTODIA</w:t>
      </w:r>
    </w:p>
    <w:p w14:paraId="1877D560"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4841704F"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Rehusamiento a entrega de bienes depositados o puestos en custodia</w:t>
      </w:r>
    </w:p>
    <w:p w14:paraId="117E558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el delito de Rehusamiento a entrega de bienes depositados o puestos en custodia: “Artículo 391.-</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funcionario o servidor público que, requerido con las formalidades de ley por la autoridad competente, rehusa entregar dinero, cosas o efectos depositados o puestos bajo su custodia o administración, será reprimido con pena privativa de libertad no mayor de dos años.”</w:t>
      </w:r>
    </w:p>
    <w:p w14:paraId="36A3D2D1" w14:textId="77777777" w:rsidR="009E6E2E" w:rsidRPr="000D3432" w:rsidRDefault="009E6E2E" w:rsidP="009E6E2E">
      <w:pPr>
        <w:ind w:left="708"/>
        <w:rPr>
          <w:rFonts w:asciiTheme="minorHAnsi" w:hAnsiTheme="minorHAnsi" w:cs="Arial"/>
          <w:b/>
          <w:szCs w:val="24"/>
          <w:u w:val="single"/>
          <w:lang w:val="es-ES_tradnl"/>
        </w:rPr>
      </w:pPr>
    </w:p>
    <w:p w14:paraId="45DB6D4C"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IV</w:t>
      </w:r>
    </w:p>
    <w:p w14:paraId="0DFCE07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CORRUPCIÓN DE FUNCIONARIOS</w:t>
      </w:r>
    </w:p>
    <w:p w14:paraId="393CFA1F" w14:textId="77777777" w:rsidR="009E6E2E" w:rsidRPr="000D3432" w:rsidRDefault="009E6E2E" w:rsidP="009E6E2E">
      <w:pPr>
        <w:ind w:left="1416"/>
        <w:rPr>
          <w:rFonts w:asciiTheme="minorHAnsi" w:hAnsiTheme="minorHAnsi" w:cs="Arial"/>
          <w:szCs w:val="24"/>
          <w:lang w:val="es-ES_tradnl"/>
        </w:rPr>
      </w:pPr>
    </w:p>
    <w:p w14:paraId="73544183" w14:textId="77777777" w:rsidR="009E6E2E" w:rsidRPr="000D3432" w:rsidRDefault="009E6E2E" w:rsidP="009E6E2E">
      <w:pPr>
        <w:ind w:left="1416"/>
        <w:rPr>
          <w:rFonts w:asciiTheme="minorHAnsi" w:hAnsiTheme="minorHAnsi" w:cs="Arial"/>
          <w:szCs w:val="24"/>
          <w:lang w:val="es-ES_tradnl"/>
        </w:rPr>
      </w:pPr>
    </w:p>
    <w:p w14:paraId="02623F0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w:t>
      </w:r>
    </w:p>
    <w:p w14:paraId="0E18632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COHECHO PASIVO PROPIO</w:t>
      </w:r>
    </w:p>
    <w:p w14:paraId="58A1B6AD" w14:textId="77777777" w:rsidR="009E6E2E" w:rsidRPr="000D3432" w:rsidRDefault="009E6E2E" w:rsidP="009E6E2E">
      <w:pPr>
        <w:rPr>
          <w:rFonts w:asciiTheme="minorHAnsi" w:hAnsiTheme="minorHAnsi"/>
          <w:b/>
          <w:szCs w:val="24"/>
          <w:lang w:val="es-ES_tradnl"/>
        </w:rPr>
      </w:pPr>
    </w:p>
    <w:p w14:paraId="4EE9E8F5"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 </w:t>
      </w:r>
    </w:p>
    <w:p w14:paraId="7E9ADE3C"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 xml:space="preserve">1.- Concepto de delito de cohecho </w:t>
      </w:r>
    </w:p>
    <w:p w14:paraId="164C9ED5" w14:textId="77777777" w:rsidR="009E6E2E" w:rsidRPr="000D3432" w:rsidRDefault="009E6E2E" w:rsidP="009E6E2E">
      <w:pPr>
        <w:jc w:val="both"/>
        <w:rPr>
          <w:rFonts w:asciiTheme="minorHAnsi" w:hAnsiTheme="minorHAnsi"/>
          <w:szCs w:val="24"/>
        </w:rPr>
      </w:pPr>
    </w:p>
    <w:p w14:paraId="14760EC0"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DELITO DE COHECHO</w:t>
      </w:r>
    </w:p>
    <w:p w14:paraId="1020862A" w14:textId="77777777" w:rsidR="009E6E2E" w:rsidRPr="000D3432" w:rsidRDefault="009E6E2E" w:rsidP="009E6E2E">
      <w:pPr>
        <w:jc w:val="both"/>
        <w:rPr>
          <w:rFonts w:asciiTheme="minorHAnsi" w:hAnsiTheme="minorHAnsi"/>
          <w:szCs w:val="24"/>
        </w:rPr>
      </w:pPr>
    </w:p>
    <w:p w14:paraId="4AC7A564" w14:textId="77777777" w:rsidR="009E6E2E" w:rsidRPr="000D3432" w:rsidRDefault="009E6E2E" w:rsidP="009E6E2E">
      <w:pPr>
        <w:jc w:val="both"/>
        <w:rPr>
          <w:rFonts w:asciiTheme="minorHAnsi" w:hAnsiTheme="minorHAnsi" w:cs="Times"/>
          <w:i/>
          <w:szCs w:val="24"/>
        </w:rPr>
      </w:pPr>
      <w:r w:rsidRPr="000D3432">
        <w:rPr>
          <w:rFonts w:asciiTheme="minorHAnsi" w:hAnsiTheme="minorHAnsi"/>
          <w:i/>
          <w:szCs w:val="24"/>
        </w:rPr>
        <w:t>“</w:t>
      </w:r>
      <w:r w:rsidRPr="000D3432">
        <w:rPr>
          <w:rFonts w:asciiTheme="minorHAnsi" w:hAnsiTheme="minorHAnsi" w:cs="Times"/>
          <w:i/>
          <w:szCs w:val="24"/>
        </w:rPr>
        <w:t>Los delitos de cohecho, también denominados “delitos de corrupción de funcionarios”, vienen a representar un conjunto de delitos consistentes en la compra-venta de la función pública.279 La característica común de estos es su “bilateralidad” o la naturaleza de “delitos de participación necesaria” ya que, siempre, las partes que interviene son dos:280</w:t>
      </w:r>
    </w:p>
    <w:p w14:paraId="6820C6A4" w14:textId="77777777" w:rsidR="009E6E2E" w:rsidRPr="000D3432" w:rsidRDefault="009E6E2E" w:rsidP="009E6E2E">
      <w:pPr>
        <w:numPr>
          <w:ilvl w:val="0"/>
          <w:numId w:val="55"/>
        </w:numPr>
        <w:tabs>
          <w:tab w:val="clear" w:pos="0"/>
          <w:tab w:val="left" w:pos="220"/>
          <w:tab w:val="left" w:pos="720"/>
        </w:tabs>
        <w:overflowPunct/>
        <w:ind w:left="720" w:hanging="720"/>
        <w:jc w:val="both"/>
        <w:textAlignment w:val="auto"/>
        <w:rPr>
          <w:rFonts w:asciiTheme="minorHAnsi" w:hAnsiTheme="minorHAnsi" w:cs="Times"/>
          <w:i/>
          <w:szCs w:val="24"/>
        </w:rPr>
      </w:pPr>
      <w:r w:rsidRPr="000D3432">
        <w:rPr>
          <w:rFonts w:asciiTheme="minorHAnsi" w:hAnsiTheme="minorHAnsi" w:cs="Times"/>
          <w:i/>
          <w:szCs w:val="24"/>
        </w:rPr>
        <w:t xml:space="preserve">El funcionario que acepta o solicita el “pago” por la venta de la función pública </w:t>
      </w:r>
    </w:p>
    <w:p w14:paraId="4C716F33" w14:textId="77777777" w:rsidR="009E6E2E" w:rsidRPr="000D3432" w:rsidRDefault="009E6E2E" w:rsidP="009E6E2E">
      <w:pPr>
        <w:numPr>
          <w:ilvl w:val="0"/>
          <w:numId w:val="55"/>
        </w:numPr>
        <w:tabs>
          <w:tab w:val="clear" w:pos="0"/>
          <w:tab w:val="left" w:pos="220"/>
          <w:tab w:val="left" w:pos="720"/>
        </w:tabs>
        <w:overflowPunct/>
        <w:ind w:left="720" w:hanging="720"/>
        <w:jc w:val="both"/>
        <w:textAlignment w:val="auto"/>
        <w:rPr>
          <w:rFonts w:asciiTheme="minorHAnsi" w:hAnsiTheme="minorHAnsi" w:cs="Times"/>
          <w:i/>
          <w:szCs w:val="24"/>
        </w:rPr>
      </w:pPr>
      <w:r w:rsidRPr="000D3432">
        <w:rPr>
          <w:rFonts w:asciiTheme="minorHAnsi" w:hAnsiTheme="minorHAnsi" w:cs="Times"/>
          <w:i/>
          <w:szCs w:val="24"/>
        </w:rPr>
        <w:t xml:space="preserve">El sujeto que compra el “servicio” o recibe el ofrecimiento del funcionario  Los principales delitos de cohecho o corrupción de funcionarios son dos: </w:t>
      </w:r>
    </w:p>
    <w:p w14:paraId="36C3C767" w14:textId="77777777" w:rsidR="009E6E2E" w:rsidRPr="000D3432" w:rsidRDefault="009E6E2E" w:rsidP="009E6E2E">
      <w:pPr>
        <w:numPr>
          <w:ilvl w:val="0"/>
          <w:numId w:val="57"/>
        </w:numPr>
        <w:tabs>
          <w:tab w:val="left" w:pos="220"/>
          <w:tab w:val="left" w:pos="720"/>
        </w:tabs>
        <w:overflowPunct/>
        <w:ind w:left="720" w:hanging="390"/>
        <w:jc w:val="both"/>
        <w:textAlignment w:val="auto"/>
        <w:rPr>
          <w:rFonts w:asciiTheme="minorHAnsi" w:hAnsiTheme="minorHAnsi" w:cs="Times"/>
          <w:i/>
          <w:szCs w:val="24"/>
        </w:rPr>
      </w:pPr>
      <w:r w:rsidRPr="000D3432">
        <w:rPr>
          <w:rFonts w:asciiTheme="minorHAnsi" w:hAnsiTheme="minorHAnsi" w:cs="Times"/>
          <w:i/>
          <w:szCs w:val="24"/>
        </w:rPr>
        <w:t xml:space="preserve">Cohecho pasivo </w:t>
      </w:r>
    </w:p>
    <w:p w14:paraId="0FC58606" w14:textId="77777777" w:rsidR="009E6E2E" w:rsidRPr="000D3432" w:rsidRDefault="009E6E2E" w:rsidP="009E6E2E">
      <w:pPr>
        <w:numPr>
          <w:ilvl w:val="0"/>
          <w:numId w:val="57"/>
        </w:numPr>
        <w:tabs>
          <w:tab w:val="left" w:pos="220"/>
          <w:tab w:val="left" w:pos="720"/>
        </w:tabs>
        <w:overflowPunct/>
        <w:ind w:left="720" w:hanging="360"/>
        <w:jc w:val="both"/>
        <w:textAlignment w:val="auto"/>
        <w:rPr>
          <w:rFonts w:asciiTheme="minorHAnsi" w:hAnsiTheme="minorHAnsi" w:cs="Times"/>
          <w:szCs w:val="24"/>
        </w:rPr>
      </w:pPr>
      <w:r w:rsidRPr="000D3432">
        <w:rPr>
          <w:rFonts w:asciiTheme="minorHAnsi" w:hAnsiTheme="minorHAnsi" w:cs="Times"/>
          <w:i/>
          <w:szCs w:val="24"/>
        </w:rPr>
        <w:t>Cohecho activo”</w:t>
      </w:r>
      <w:r w:rsidRPr="000D3432">
        <w:rPr>
          <w:rFonts w:asciiTheme="minorHAnsi" w:hAnsiTheme="minorHAnsi" w:cs="Times"/>
          <w:szCs w:val="24"/>
        </w:rPr>
        <w:t xml:space="preserve"> </w:t>
      </w:r>
      <w:r w:rsidRPr="000D3432">
        <w:rPr>
          <w:rFonts w:asciiTheme="minorHAnsi" w:hAnsiTheme="minorHAnsi" w:cs="Times"/>
          <w:i/>
          <w:szCs w:val="24"/>
        </w:rPr>
        <w:t xml:space="preserve">(Manual de capacitación para operadores de justicia en delitos contra la administración pública. Yvan Montoya Vivanco y otros. </w:t>
      </w:r>
      <w:r w:rsidRPr="000D3432">
        <w:rPr>
          <w:rFonts w:asciiTheme="minorHAnsi" w:hAnsiTheme="minorHAnsi" w:cs="Times"/>
          <w:bCs/>
          <w:i/>
          <w:szCs w:val="24"/>
        </w:rPr>
        <w:t>Instituto de Democracia y Derechos Humanos de la Pontificia Universidad Católica del Perú (IDEHPUCP), 2013. Pág. 79.).</w:t>
      </w:r>
    </w:p>
    <w:p w14:paraId="27B35239" w14:textId="77777777" w:rsidR="009E6E2E" w:rsidRPr="000D3432" w:rsidRDefault="009E6E2E" w:rsidP="009E6E2E">
      <w:pPr>
        <w:tabs>
          <w:tab w:val="left" w:pos="220"/>
          <w:tab w:val="left" w:pos="720"/>
        </w:tabs>
        <w:jc w:val="both"/>
        <w:rPr>
          <w:rFonts w:asciiTheme="minorHAnsi" w:hAnsiTheme="minorHAnsi" w:cs="Times"/>
          <w:szCs w:val="24"/>
        </w:rPr>
      </w:pPr>
    </w:p>
    <w:p w14:paraId="25661778" w14:textId="77777777" w:rsidR="009E6E2E" w:rsidRPr="000D3432" w:rsidRDefault="009E6E2E" w:rsidP="009E6E2E">
      <w:pPr>
        <w:tabs>
          <w:tab w:val="left" w:pos="220"/>
          <w:tab w:val="left" w:pos="720"/>
        </w:tabs>
        <w:jc w:val="both"/>
        <w:rPr>
          <w:rFonts w:asciiTheme="minorHAnsi" w:hAnsiTheme="minorHAnsi" w:cs="Times"/>
          <w:szCs w:val="24"/>
        </w:rPr>
      </w:pPr>
      <w:r w:rsidRPr="000D3432">
        <w:rPr>
          <w:rFonts w:asciiTheme="minorHAnsi" w:hAnsiTheme="minorHAnsi" w:cs="Times"/>
          <w:szCs w:val="24"/>
        </w:rPr>
        <w:t>COHECHOS PASIVOS</w:t>
      </w:r>
    </w:p>
    <w:p w14:paraId="589F2A5D" w14:textId="77777777" w:rsidR="009E6E2E" w:rsidRPr="000D3432" w:rsidRDefault="009E6E2E" w:rsidP="009E6E2E">
      <w:pPr>
        <w:numPr>
          <w:ilvl w:val="0"/>
          <w:numId w:val="57"/>
        </w:numPr>
        <w:tabs>
          <w:tab w:val="left" w:pos="220"/>
          <w:tab w:val="left" w:pos="720"/>
        </w:tabs>
        <w:overflowPunct/>
        <w:ind w:left="720" w:hanging="360"/>
        <w:jc w:val="both"/>
        <w:textAlignment w:val="auto"/>
        <w:rPr>
          <w:rFonts w:asciiTheme="minorHAnsi" w:hAnsiTheme="minorHAnsi" w:cs="Times"/>
          <w:szCs w:val="24"/>
        </w:rPr>
      </w:pPr>
      <w:r w:rsidRPr="000D3432">
        <w:rPr>
          <w:rFonts w:asciiTheme="minorHAnsi" w:hAnsiTheme="minorHAnsi" w:cs="Times"/>
          <w:szCs w:val="24"/>
        </w:rPr>
        <w:t xml:space="preserve">“Las figuras delictivas de cohechos pasivos, a grandes rasgos, sancionan al funcionario que recibe, acepta, o solicita recibir de una persona una ventaja o beneficio de cualquier índole a cambio de realizar algún acto conforme o contrario a sus funciones públicas, o por haber realizado, anteriormente, uno de estos actos. Es decir, los cohechos pasivos se encargan de incriminar solo a una de las partes intervinientes en el contexto de compra-venta de la función pública: El funcionario público.  Existen dos tipos de cohecho pasivo: - El cohecho pasivo propio; - El cohecho pasivo impropio.” </w:t>
      </w:r>
      <w:r w:rsidRPr="000D3432">
        <w:rPr>
          <w:rFonts w:asciiTheme="minorHAnsi" w:hAnsiTheme="minorHAnsi" w:cs="Times"/>
          <w:i/>
          <w:szCs w:val="24"/>
        </w:rPr>
        <w:t>Cohecho activo”</w:t>
      </w:r>
      <w:r w:rsidRPr="000D3432">
        <w:rPr>
          <w:rFonts w:asciiTheme="minorHAnsi" w:hAnsiTheme="minorHAnsi" w:cs="Times"/>
          <w:szCs w:val="24"/>
        </w:rPr>
        <w:t xml:space="preserve"> </w:t>
      </w:r>
      <w:r w:rsidRPr="000D3432">
        <w:rPr>
          <w:rFonts w:asciiTheme="minorHAnsi" w:hAnsiTheme="minorHAnsi" w:cs="Times"/>
          <w:i/>
          <w:szCs w:val="24"/>
        </w:rPr>
        <w:t xml:space="preserve">(Manual de capacitación para operadores de justicia en delitos contra la administración pública. Yvan Montoya Vivanco y otros. </w:t>
      </w:r>
      <w:r w:rsidRPr="000D3432">
        <w:rPr>
          <w:rFonts w:asciiTheme="minorHAnsi" w:hAnsiTheme="minorHAnsi" w:cs="Times"/>
          <w:bCs/>
          <w:i/>
          <w:szCs w:val="24"/>
        </w:rPr>
        <w:t>Instituto de Democracia y Derechos Humanos de la Pontificia Universidad Católica del Perú (IDEHPUCP), 2013. Pág. 79.).</w:t>
      </w:r>
    </w:p>
    <w:p w14:paraId="6D290E78" w14:textId="77777777" w:rsidR="009E6E2E" w:rsidRPr="000D3432" w:rsidRDefault="009E6E2E" w:rsidP="009E6E2E">
      <w:pPr>
        <w:tabs>
          <w:tab w:val="left" w:pos="220"/>
          <w:tab w:val="left" w:pos="720"/>
        </w:tabs>
        <w:jc w:val="both"/>
        <w:rPr>
          <w:rFonts w:asciiTheme="minorHAnsi" w:hAnsiTheme="minorHAnsi" w:cs="Times"/>
          <w:szCs w:val="24"/>
        </w:rPr>
      </w:pPr>
    </w:p>
    <w:p w14:paraId="5B1D05E2" w14:textId="77777777" w:rsidR="009E6E2E" w:rsidRPr="000D3432" w:rsidRDefault="009E6E2E" w:rsidP="009E6E2E">
      <w:pPr>
        <w:jc w:val="both"/>
        <w:rPr>
          <w:rFonts w:asciiTheme="minorHAnsi" w:hAnsiTheme="minorHAnsi" w:cs="Times"/>
          <w:szCs w:val="24"/>
        </w:rPr>
      </w:pPr>
      <w:r w:rsidRPr="000D3432">
        <w:rPr>
          <w:rFonts w:asciiTheme="minorHAnsi" w:hAnsiTheme="minorHAnsi" w:cs="Times"/>
          <w:szCs w:val="24"/>
        </w:rPr>
        <w:t xml:space="preserve">“Como puede observarse, el cohecho pasivo propio, sanciona tanto al funcionario que recibe, acepta recibir o solicita recibir algún donativo, promesa de una ventaja o cualquier beneficio a cambio de realizar u omitir un acto en violación de sus obligaciones (cohecho pasivo propio “antecedente”), como al funcionario que recibe, acepta recibir o solicita recibir algún donativo, promesa de una ventaja o cualquier beneficio a consecuencia de haber faltado ya a sus deberes.282” </w:t>
      </w:r>
      <w:r w:rsidRPr="000D3432">
        <w:rPr>
          <w:rFonts w:asciiTheme="minorHAnsi" w:hAnsiTheme="minorHAnsi" w:cs="Times"/>
          <w:i/>
          <w:szCs w:val="24"/>
        </w:rPr>
        <w:t xml:space="preserve">(Manual de capacitación para operadores de justicia en delitos contra la administración pública. Yvan Montoya Vivanco y otros. </w:t>
      </w:r>
      <w:r w:rsidRPr="000D3432">
        <w:rPr>
          <w:rFonts w:asciiTheme="minorHAnsi" w:hAnsiTheme="minorHAnsi" w:cs="Times"/>
          <w:bCs/>
          <w:i/>
          <w:szCs w:val="24"/>
        </w:rPr>
        <w:t>Instituto de Democracia y Derechos Humanos de la Pontificia Universidad Católica del Perú (IDEHPUCP), 2013. Pág. 80.).</w:t>
      </w:r>
    </w:p>
    <w:p w14:paraId="03778559" w14:textId="77777777" w:rsidR="009E6E2E" w:rsidRPr="000D3432" w:rsidRDefault="009E6E2E" w:rsidP="009E6E2E">
      <w:pPr>
        <w:tabs>
          <w:tab w:val="left" w:pos="220"/>
          <w:tab w:val="left" w:pos="720"/>
        </w:tabs>
        <w:jc w:val="both"/>
        <w:rPr>
          <w:rFonts w:asciiTheme="minorHAnsi" w:hAnsiTheme="minorHAnsi" w:cs="Times"/>
          <w:szCs w:val="24"/>
        </w:rPr>
      </w:pPr>
    </w:p>
    <w:p w14:paraId="1B435D6F" w14:textId="77777777" w:rsidR="009E6E2E" w:rsidRPr="000D3432" w:rsidRDefault="009E6E2E" w:rsidP="009E6E2E">
      <w:pPr>
        <w:jc w:val="both"/>
        <w:rPr>
          <w:rFonts w:asciiTheme="minorHAnsi" w:hAnsiTheme="minorHAnsi"/>
          <w:szCs w:val="24"/>
        </w:rPr>
      </w:pPr>
    </w:p>
    <w:p w14:paraId="02642459" w14:textId="77777777" w:rsidR="009E6E2E" w:rsidRPr="000D3432" w:rsidRDefault="009E6E2E" w:rsidP="009E6E2E">
      <w:pPr>
        <w:jc w:val="both"/>
        <w:rPr>
          <w:rFonts w:asciiTheme="minorHAnsi" w:hAnsiTheme="minorHAnsi"/>
          <w:szCs w:val="24"/>
        </w:rPr>
      </w:pPr>
    </w:p>
    <w:p w14:paraId="56D32693" w14:textId="77777777" w:rsidR="009E6E2E" w:rsidRPr="000D3432" w:rsidRDefault="009E6E2E" w:rsidP="009E6E2E">
      <w:pPr>
        <w:jc w:val="both"/>
        <w:rPr>
          <w:rFonts w:asciiTheme="minorHAnsi" w:hAnsiTheme="minorHAnsi"/>
          <w:szCs w:val="24"/>
        </w:rPr>
      </w:pPr>
    </w:p>
    <w:p w14:paraId="7D7BB0BD" w14:textId="77777777" w:rsidR="009E6E2E" w:rsidRPr="000D3432" w:rsidRDefault="009E6E2E" w:rsidP="009E6E2E">
      <w:pPr>
        <w:jc w:val="both"/>
        <w:rPr>
          <w:rFonts w:asciiTheme="minorHAnsi" w:hAnsiTheme="minorHAnsi"/>
          <w:szCs w:val="24"/>
        </w:rPr>
      </w:pPr>
    </w:p>
    <w:p w14:paraId="0D38439D"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COHECHO POR ACCIÓN U OMISIÓN EN VIOLACIÓN DE OBLIGACIÓN</w:t>
      </w:r>
    </w:p>
    <w:p w14:paraId="4286A8BD"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“El cohecho es un delito de acción u omisión dolosa cuya connotación básica, en algunos casos, radica en la codelincuencia o coparticipación necesaria pero al mismo tiempo, de naturaleza unilateral en su acción, sea en la solicitud, aceptación u ofrecimiento. /Para nuestro Derecho positivo la concepción bilateral del cohecho es insuficiente, habiendo el legislador peruano asumido un concepto ecléctico que mantiene la bilateralidad y unilateralidad al mismo tiempo de esas conductas reprochables. No siendo necesariamente exigible un pactum sceleris o convenio corruptor para que se configure el tipo, basta la acción unilateral de solicitar, u ofrecer. Obviamente, que tratándose del verbo rector “aceptación” estamos hablando de una acción bilateral o coparticipación necesaria.”. (Delitos cometidos por funcionarios públicos contra la Administración Pública. Jorge Hugo Alvarez. Gaceta Jurídica. Pág. 153.).</w:t>
      </w:r>
    </w:p>
    <w:p w14:paraId="4304382C" w14:textId="77777777" w:rsidR="009E6E2E" w:rsidRPr="000D3432" w:rsidRDefault="009E6E2E" w:rsidP="009E6E2E">
      <w:pPr>
        <w:jc w:val="both"/>
        <w:rPr>
          <w:rFonts w:asciiTheme="minorHAnsi" w:hAnsiTheme="minorHAnsi"/>
          <w:szCs w:val="24"/>
        </w:rPr>
      </w:pPr>
    </w:p>
    <w:p w14:paraId="13EBBDD6"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CRITERIOS DE DIFERENCIACIÓN EN EL COHECHO</w:t>
      </w:r>
    </w:p>
    <w:p w14:paraId="55DE8A04"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“El cohecho como hecho ilícito de acción u omisión dolosa se clasificó en función de la cualidad o calidad personal del sujeto activo. Así, el cohecho pasivo era propio del funcionario  o servidor público y el cohecho activo del particular. Otro criterio diferenciador, lo constituye quiénes se dejan corromper según la modalidad típica de la acción; atendiendo, evidentemente para esta consideración sólo al acto ejecutado por el sujeto activo del tipo. Es activo quien inicia, dando u ofreciendo, y pasivo quien acepta. Algunos autores aluden a las modalidades típicas del cohecho impropio y propio, según que el acto realizado por el funcioanario o servidor público sea justo (conforme a los deberes del cargo) o injusto (contrario a tales obligaciones).” (Delitos cometidos por funcionarios públicos contra la Administración Pública. Jorge Hugo Alvarez. Gaceta Jurídica. Pág. 155.).</w:t>
      </w:r>
    </w:p>
    <w:p w14:paraId="55619C09" w14:textId="77777777" w:rsidR="009E6E2E" w:rsidRPr="000D3432" w:rsidRDefault="009E6E2E" w:rsidP="009E6E2E">
      <w:pPr>
        <w:jc w:val="both"/>
        <w:rPr>
          <w:rFonts w:asciiTheme="minorHAnsi" w:hAnsiTheme="minorHAnsi"/>
          <w:szCs w:val="24"/>
        </w:rPr>
      </w:pPr>
    </w:p>
    <w:p w14:paraId="1CABE448"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COHECHO DE ACCIÓN DEBIDA POR PRECIO</w:t>
      </w:r>
    </w:p>
    <w:p w14:paraId="09615DED"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 xml:space="preserve">“Es un delito especial cometido por funcionario o servidor público que “solicita” o “acepta” donativo, promesa o cualquier otra ventaja indebida para practicas un acto propio de su cargo; es decir, para cumplir con un acto que debe ejecutar en el desempeño de sus funciones.”. (Delitos cometidos por funcionarios públicos contra la Administración Pública. Jorge Hugo Alvarez. Gaceta Jurídica. Pág. 163.).  </w:t>
      </w:r>
    </w:p>
    <w:p w14:paraId="775CF050" w14:textId="77777777" w:rsidR="009E6E2E" w:rsidRPr="000D3432" w:rsidRDefault="009E6E2E" w:rsidP="009E6E2E">
      <w:pPr>
        <w:jc w:val="both"/>
        <w:rPr>
          <w:rFonts w:asciiTheme="minorHAnsi" w:hAnsiTheme="minorHAnsi"/>
          <w:szCs w:val="24"/>
        </w:rPr>
      </w:pPr>
    </w:p>
    <w:p w14:paraId="437C1523" w14:textId="77777777" w:rsidR="009E6E2E" w:rsidRPr="000D3432" w:rsidRDefault="009E6E2E" w:rsidP="009E6E2E">
      <w:pPr>
        <w:jc w:val="both"/>
        <w:rPr>
          <w:rFonts w:asciiTheme="minorHAnsi" w:hAnsiTheme="minorHAnsi"/>
          <w:szCs w:val="24"/>
        </w:rPr>
      </w:pPr>
    </w:p>
    <w:p w14:paraId="0A43C519"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NEGOCIACIÓN INCOMPATIBLE CON EL CARGO</w:t>
      </w:r>
    </w:p>
    <w:p w14:paraId="64ECFA57"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“Es un delito de acción dolosa cuyo verbo rector son los vocablos “interesarse” o “interesa”, que definen la conducta del agente configurada como un ilícito penal (...) / Se interesa en un contrato u opración quien pide que se resuelva con rapidez, en la jerga administrativa, quien inquiere en qué estado se encuentra. Y también se interesa el funcionario que pone atención preferente en las condiciones y el trámite de un negocio jurídico. Pero a nada de esto ha podido quererse referir la ley, sino al caso en que el autor es al mismo tiempo interesado personalmente en el negocio y funcionario que interviene en él por razón de su cargo. / Interesante es participar en un contrato o negocio en que interviene por razón de su cargo, como necesario y favorable, anteponiendo una pretensión propia o particular, beneficiándose “a sí mismo” o a un tercero. Es decir, intervinioendo como funcionario, interviene al mismo tiempo como beneficiario o parte; bien sea directamente o a través de un tercero en cualquier contrato u operación. (...) / Esta dualidad de participación simultánea del agente (como funcionario y como parte interesada) es la nota característica de la incompatibilidad entre el cargo y el negocio o contrato. / La acción dolosa del sujeto se orienta a lograr que el contrato o negocio se configure en un interés particular o beneficio propio.” (Delitos cometidos por funcionarios públicos contra la Administración Pública. Jorge Hugo Alvarez. Gaceta Jurídica. Pág. 183.).</w:t>
      </w:r>
    </w:p>
    <w:p w14:paraId="724CC687" w14:textId="77777777" w:rsidR="009E6E2E" w:rsidRPr="000D3432" w:rsidRDefault="009E6E2E" w:rsidP="009E6E2E">
      <w:pPr>
        <w:jc w:val="both"/>
        <w:rPr>
          <w:rFonts w:asciiTheme="minorHAnsi" w:hAnsiTheme="minorHAnsi"/>
          <w:szCs w:val="24"/>
        </w:rPr>
      </w:pPr>
    </w:p>
    <w:p w14:paraId="06690A9A"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COHECHO ACTIVO DEL PARTICULAR</w:t>
      </w:r>
    </w:p>
    <w:p w14:paraId="06C87C9B" w14:textId="77777777" w:rsidR="009E6E2E" w:rsidRPr="000D3432" w:rsidRDefault="009E6E2E" w:rsidP="009E6E2E">
      <w:pPr>
        <w:jc w:val="both"/>
        <w:rPr>
          <w:rFonts w:asciiTheme="minorHAnsi" w:hAnsiTheme="minorHAnsi"/>
          <w:szCs w:val="24"/>
        </w:rPr>
      </w:pPr>
    </w:p>
    <w:p w14:paraId="546104CC"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“Es un ilícito penal de acción dolosa, cualificada por la condición especialísima de uno de los agentes del acto corruptor (magistrado, fiscal, perito, etc.) pero referida a las conductas o acciones dolosas de los particulares; que hacen donativo, promesa o cualquier otra ventaja con el objeto de influir en la decisión de un proceso pendiente de fallo. El verbo rector que utiliza el legislador en el tipo es el vocablo “hace” para denotar la s conductas reprochables tanto en su figura básica como en la atenuada; en esta última cuando el particular corrompe o trata de corromper, o bien acepta la solicitud de un testigo, perito, traductor o intérprete.” (Delitos cometidos por funcionarios públicos contra la Administración Pública. Jorge Hugo Alvarez. Gaceta Jurídica. Pág. 191).</w:t>
      </w:r>
    </w:p>
    <w:p w14:paraId="2901F2AF" w14:textId="77777777" w:rsidR="009E6E2E" w:rsidRPr="000D3432" w:rsidRDefault="009E6E2E" w:rsidP="009E6E2E">
      <w:pPr>
        <w:jc w:val="both"/>
        <w:rPr>
          <w:rFonts w:asciiTheme="minorHAnsi" w:hAnsiTheme="minorHAnsi" w:cs="Arial"/>
          <w:color w:val="000000"/>
          <w:szCs w:val="24"/>
          <w:lang w:val="es-ES_tradnl" w:eastAsia="es-PE"/>
        </w:rPr>
      </w:pPr>
    </w:p>
    <w:p w14:paraId="4AC7DE9E"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Cohecho pasivo propio</w:t>
      </w:r>
    </w:p>
    <w:p w14:paraId="70B43254" w14:textId="77777777" w:rsidR="009E6E2E" w:rsidRPr="000D3432" w:rsidRDefault="009E6E2E" w:rsidP="009E6E2E">
      <w:pPr>
        <w:jc w:val="both"/>
        <w:rPr>
          <w:rFonts w:asciiTheme="minorHAnsi" w:hAnsiTheme="minorHAnsi" w:cs="Arial"/>
          <w:b/>
          <w:bCs/>
          <w:color w:val="000000"/>
          <w:szCs w:val="24"/>
          <w:lang w:val="es-ES_tradnl" w:eastAsia="es-PE"/>
        </w:rPr>
      </w:pPr>
    </w:p>
    <w:p w14:paraId="4BFBC60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w:t>
      </w:r>
      <w:r w:rsidRPr="000D3432">
        <w:rPr>
          <w:rFonts w:asciiTheme="minorHAnsi" w:hAnsiTheme="minorHAnsi" w:cs="Arial"/>
          <w:b/>
          <w:bCs/>
          <w:color w:val="000000"/>
          <w:szCs w:val="24"/>
          <w:lang w:val="es-ES_tradnl" w:eastAsia="es-PE"/>
        </w:rPr>
        <w:t xml:space="preserve"> "Artículo 393. Cohecho pasivo propio.- </w:t>
      </w:r>
      <w:r w:rsidRPr="000D3432">
        <w:rPr>
          <w:rFonts w:asciiTheme="minorHAnsi" w:hAnsiTheme="minorHAnsi" w:cs="Arial"/>
          <w:color w:val="000000"/>
          <w:szCs w:val="24"/>
          <w:lang w:val="es-ES_tradnl" w:eastAsia="es-PE"/>
        </w:rPr>
        <w:t>El funcionario o servidor público que acepte o reciba donativo, promesa o cualquier otra ventaja o beneficio, para realizar u omitir un acto en violación de sus obligaciones o el que las acepta a consecuencia de haber faltado a ellas, será reprimido con pena privativa de libertad no menor de cinco ni mayor de ocho años e inhabilitación conforme a los incisos 1 y 2 del artículo 36 del Código Penal y con ciento ochenta a trescientos sesenta y cinco días-multa. / El funcionario o servidor público que solicita, directa o indirectamente, donativo, promesa o cualquier otra ventaja o beneficio, para realizar u omitir un acto en violación de sus obligaciones o a consecuencia de haber faltado a ellas, será reprimido con pena privativa de libertad no menor de seis ni mayor de ocho años e inhabilitación conforme a los incisos 1 y 2 del artículo 36 del Código Penal y con trescientos sesenta y cinco a setecientos treinta días-multa. / El funcionario o servidor público que condiciona su conducta funcional derivada del cargo o empleo a la entrega o promesa de donativo o ventaja, será reprimido con pena privativa de libertad no menor de ocho ni mayor de diez años e inhabilitación conforme a los incisos 1 y 2 del artículo 36 del Código Penal y con trescientos sesenta y cinco a setecientos treinta días-multa.</w:t>
      </w:r>
      <w:r w:rsidRPr="000D3432">
        <w:rPr>
          <w:rFonts w:asciiTheme="minorHAnsi" w:hAnsiTheme="minorHAnsi" w:cs="Arial"/>
          <w:b/>
          <w:bCs/>
          <w:color w:val="000000"/>
          <w:szCs w:val="24"/>
          <w:lang w:val="es-ES_tradnl" w:eastAsia="es-PE"/>
        </w:rPr>
        <w:t>"</w:t>
      </w:r>
    </w:p>
    <w:p w14:paraId="14E93B7C"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529BD35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393-A. Soborno internacional pasivo</w:t>
      </w:r>
    </w:p>
    <w:p w14:paraId="3F06D15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funcionario o servidor público de otro Estado o funcionario de organismo internacional público que acepta, recibe o solicita, directa o indirectamente, donativo, promesa o cualquier otra ventaja o beneficio, para realizar u omitir un acto en el ejercicio de sus funciones Oficiales, en violación de sus obligaciones, o las acepta como consecuencia de haber faltado a ellas, para obtener o retener un negocio u otra ventaja indebida, en la realización de actividades económicas internacionales, será reprimido con pena privativa de libertad no menor de cinco ni mayor de ocho años y con trescientos sesenta y cinco a setecientos treinta días-multa.</w:t>
      </w:r>
      <w:r w:rsidRPr="000D3432">
        <w:rPr>
          <w:rFonts w:asciiTheme="minorHAnsi" w:hAnsiTheme="minorHAnsi" w:cs="Arial"/>
          <w:b/>
          <w:bCs/>
          <w:color w:val="000000"/>
          <w:szCs w:val="24"/>
          <w:lang w:val="es-ES_tradnl" w:eastAsia="es-PE"/>
        </w:rPr>
        <w:t>"</w:t>
      </w:r>
    </w:p>
    <w:p w14:paraId="039B0886" w14:textId="77777777" w:rsidR="009E6E2E" w:rsidRPr="000D3432" w:rsidRDefault="009E6E2E" w:rsidP="009E6E2E">
      <w:pPr>
        <w:ind w:left="1416"/>
        <w:rPr>
          <w:rFonts w:asciiTheme="minorHAnsi" w:hAnsiTheme="minorHAnsi" w:cs="Arial"/>
          <w:szCs w:val="24"/>
          <w:lang w:val="es-ES_tradnl"/>
        </w:rPr>
      </w:pPr>
    </w:p>
    <w:p w14:paraId="6DA2BC7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2</w:t>
      </w:r>
    </w:p>
    <w:p w14:paraId="17242AF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COHECHO PASIVO IMPROPIO</w:t>
      </w:r>
    </w:p>
    <w:p w14:paraId="61923A7F"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41DB0D60"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Cohecho pasivo impropio</w:t>
      </w:r>
    </w:p>
    <w:p w14:paraId="0B9D03A7" w14:textId="77777777" w:rsidR="009E6E2E" w:rsidRPr="000D3432" w:rsidRDefault="009E6E2E" w:rsidP="009E6E2E">
      <w:pPr>
        <w:jc w:val="both"/>
        <w:rPr>
          <w:rFonts w:asciiTheme="minorHAnsi" w:hAnsiTheme="minorHAnsi" w:cs="Arial"/>
          <w:color w:val="000000"/>
          <w:szCs w:val="24"/>
          <w:lang w:val="es-ES_tradnl" w:eastAsia="es-PE"/>
        </w:rPr>
      </w:pPr>
    </w:p>
    <w:p w14:paraId="21A1E71A"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394. Cohecho pasivo impropio.- </w:t>
      </w:r>
      <w:r w:rsidRPr="000D3432">
        <w:rPr>
          <w:rFonts w:asciiTheme="minorHAnsi" w:hAnsiTheme="minorHAnsi" w:cs="Arial"/>
          <w:color w:val="000000"/>
          <w:szCs w:val="24"/>
          <w:lang w:val="es-ES_tradnl" w:eastAsia="es-PE"/>
        </w:rPr>
        <w:t>El funcionario o servidor público que acepte o reciba donativo, promesa o cualquier otra ventaja o beneficio indebido para realizar un acto propio de su cargo o empleo, sin faltar a su obligación, o como consecuencia del ya realizado, será reprimido con pena privativa de libertad no menor de cuatro ni mayor de seis años e inhabilitación conforme a los incisos 1 y 2 del artículo 36 del Código Penal y con ciento ochenta a trescientos sesenta y cinco días-multa. / El funcionario o servidor público que solicita, directa o indirectamente, donativo, promesa o cualquier otra ventaja indebida para realizar un acto propio de su cargo o empleo, sin faltar a su obligación, o como consecuencia del ya realizado, será reprimido con pena privativa de libertad no menor de cinco ni mayor de ocho años e inhabilitación conforme a los incisos 1 y 2 del artículo 36 del Código Penal y con trescientos sesenta y cinco a setecientos treinta días-multa.</w:t>
      </w:r>
      <w:r w:rsidRPr="000D3432">
        <w:rPr>
          <w:rFonts w:asciiTheme="minorHAnsi" w:hAnsiTheme="minorHAnsi" w:cs="Arial"/>
          <w:b/>
          <w:bCs/>
          <w:color w:val="000000"/>
          <w:szCs w:val="24"/>
          <w:lang w:val="es-ES_tradnl" w:eastAsia="es-PE"/>
        </w:rPr>
        <w:t>"</w:t>
      </w:r>
    </w:p>
    <w:p w14:paraId="5B2B843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2F7C45E4" w14:textId="77777777" w:rsidR="009E6E2E" w:rsidRPr="000D3432" w:rsidRDefault="009E6E2E" w:rsidP="009E6E2E">
      <w:pPr>
        <w:ind w:left="1416"/>
        <w:rPr>
          <w:rFonts w:asciiTheme="minorHAnsi" w:hAnsiTheme="minorHAnsi" w:cs="Arial"/>
          <w:szCs w:val="24"/>
          <w:lang w:val="es-ES_tradnl"/>
        </w:rPr>
      </w:pPr>
    </w:p>
    <w:p w14:paraId="4D9204B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3</w:t>
      </w:r>
    </w:p>
    <w:p w14:paraId="75CC700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COHECHO PASIVO ESPECÍFICO</w:t>
      </w:r>
    </w:p>
    <w:p w14:paraId="3EF253D9" w14:textId="77777777" w:rsidR="009E6E2E" w:rsidRPr="000D3432" w:rsidRDefault="009E6E2E" w:rsidP="009E6E2E">
      <w:pPr>
        <w:jc w:val="both"/>
        <w:rPr>
          <w:rFonts w:asciiTheme="minorHAnsi" w:hAnsiTheme="minorHAnsi" w:cs="Arial"/>
          <w:b/>
          <w:bCs/>
          <w:color w:val="000000"/>
          <w:szCs w:val="24"/>
          <w:lang w:val="es-ES_tradnl" w:eastAsia="es-PE"/>
        </w:rPr>
      </w:pPr>
    </w:p>
    <w:p w14:paraId="71877230"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de Delito de cohecho pasivo específico</w:t>
      </w:r>
    </w:p>
    <w:p w14:paraId="74348AC7" w14:textId="77777777" w:rsidR="009E6E2E" w:rsidRPr="000D3432" w:rsidRDefault="009E6E2E" w:rsidP="009E6E2E">
      <w:pPr>
        <w:jc w:val="both"/>
        <w:rPr>
          <w:rFonts w:asciiTheme="minorHAnsi" w:hAnsiTheme="minorHAnsi" w:cs="Arial"/>
          <w:b/>
          <w:bCs/>
          <w:color w:val="000000"/>
          <w:szCs w:val="24"/>
          <w:lang w:val="es-ES_tradnl" w:eastAsia="es-PE"/>
        </w:rPr>
      </w:pPr>
    </w:p>
    <w:p w14:paraId="1EBCF18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xml:space="preserve">De acuerdo con el Código Penal, se establece: "Artículo 395.- Cohecho pasivo específico.- </w:t>
      </w:r>
      <w:r w:rsidRPr="000D3432">
        <w:rPr>
          <w:rFonts w:asciiTheme="minorHAnsi" w:hAnsiTheme="minorHAnsi" w:cs="Arial"/>
          <w:color w:val="000000"/>
          <w:szCs w:val="24"/>
          <w:lang w:val="es-ES_tradnl" w:eastAsia="es-PE"/>
        </w:rPr>
        <w:t>El Magistrado, Árbitro, Fiscal, Perito, Miembro de Tribunal Administrativo o cualquier otro análogo a los anteriores que bajo cualquier modalidad acepte o reciba donativo, promesa o cualquier otra ventaja o beneficio, a sabiendas que es hecho con el fin de influir o decidir en asunto sometido a su conocimiento o competencia, será reprimido con pena privativa de libertad no menor de seis ni mayor de quince años e inhabilitación conforme a los incisos 1 y 2 del artículo 36 del Código Penal y con ciento ochenta a trescientos sesenta y cinco días-multa. / El Magistrado, Árbitro, Fiscal, Perito, Miembro de Tribunal Administrativo o cualquier otro análogo a los anteriores que bajo cualquier modalidad solicite, directa o indirectamente, donativo, promesa o cualquier otra ventaja o beneficio, con el fin de influir en la decisión de un asunto que esté sometido a su conocimiento, será reprimido con pena privativa de libertad no menor de ocho ni mayor de quince años e inhabilitación conforme a los incisos 1 y 2 del artículo 36 del Código Penal y con trescientos sesenta y cinco a setecientos días-multa."</w:t>
      </w:r>
    </w:p>
    <w:p w14:paraId="5189830E"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23759BD6" w14:textId="77777777" w:rsidR="009E6E2E" w:rsidRPr="000D3432" w:rsidRDefault="009E6E2E" w:rsidP="009E6E2E">
      <w:pPr>
        <w:ind w:left="1416"/>
        <w:rPr>
          <w:rFonts w:asciiTheme="minorHAnsi" w:hAnsiTheme="minorHAnsi" w:cs="Arial"/>
          <w:szCs w:val="24"/>
          <w:lang w:val="es-ES_tradnl"/>
        </w:rPr>
      </w:pPr>
    </w:p>
    <w:p w14:paraId="71E81BD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4</w:t>
      </w:r>
    </w:p>
    <w:p w14:paraId="7081ACD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CORRUPCIÓN PASIVA DE AUXILIARES JURISDICCIONALES</w:t>
      </w:r>
    </w:p>
    <w:p w14:paraId="39CFF5B1"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A115573"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corrupción pasiva de auxiliares jurisdiccionales</w:t>
      </w:r>
    </w:p>
    <w:p w14:paraId="060807EE" w14:textId="77777777" w:rsidR="009E6E2E" w:rsidRPr="000D3432" w:rsidRDefault="009E6E2E" w:rsidP="009E6E2E">
      <w:pPr>
        <w:jc w:val="both"/>
        <w:rPr>
          <w:rFonts w:asciiTheme="minorHAnsi" w:hAnsiTheme="minorHAnsi" w:cs="Arial"/>
          <w:bCs/>
          <w:color w:val="000000"/>
          <w:szCs w:val="24"/>
          <w:lang w:val="es-ES_tradnl" w:eastAsia="es-PE"/>
        </w:rPr>
      </w:pPr>
    </w:p>
    <w:p w14:paraId="7D24DF5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396. Corrupción pasiva de auxiliares jurisdiccionales.- </w:t>
      </w:r>
      <w:r w:rsidRPr="000D3432">
        <w:rPr>
          <w:rFonts w:asciiTheme="minorHAnsi" w:hAnsiTheme="minorHAnsi" w:cs="Arial"/>
          <w:color w:val="000000"/>
          <w:szCs w:val="24"/>
          <w:lang w:val="es-ES_tradnl" w:eastAsia="es-PE"/>
        </w:rPr>
        <w:t>Si en el caso del artículo 395, el agente es secretario judicial, relator, especialista, auxiliar jurisdiccional o cualquier otro análogo a los anteriores, será reprimido con pena privativa de libertad no menor de cinco ni mayor de ocho años e inhabilitación conforme a los incisos 1 y 2 del artículo 36 del Código Penal y con ciento ochenta a trescientos sesenta y cinco días-multa.</w:t>
      </w:r>
      <w:r w:rsidRPr="000D3432">
        <w:rPr>
          <w:rFonts w:asciiTheme="minorHAnsi" w:hAnsiTheme="minorHAnsi" w:cs="Arial"/>
          <w:b/>
          <w:bCs/>
          <w:color w:val="000000"/>
          <w:szCs w:val="24"/>
          <w:lang w:val="es-ES_tradnl" w:eastAsia="es-PE"/>
        </w:rPr>
        <w:t>"</w:t>
      </w:r>
    </w:p>
    <w:p w14:paraId="0A99216B"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2FA3AF75" w14:textId="77777777" w:rsidR="009E6E2E" w:rsidRPr="000D3432" w:rsidRDefault="009E6E2E" w:rsidP="009E6E2E">
      <w:pPr>
        <w:ind w:left="2832"/>
        <w:rPr>
          <w:rFonts w:asciiTheme="minorHAnsi" w:hAnsiTheme="minorHAnsi"/>
          <w:szCs w:val="24"/>
          <w:lang w:val="es-ES_tradnl"/>
        </w:rPr>
      </w:pPr>
    </w:p>
    <w:p w14:paraId="358EEE13"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397. Cohecho activo genérico</w:t>
      </w:r>
    </w:p>
    <w:p w14:paraId="47502F2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que, bajo cualquier modalidad, ofrece, da o promete a un funcionario o servidor público donativo, promesa, ventaja o beneficio para que realice u omita actos en violación de sus obligaciones, será reprimido con pena privativa de libertad no menor de cuatro ni mayor de seis años y con trescientos sesenta y cinco a setecientos treinta días-multa.</w:t>
      </w:r>
    </w:p>
    <w:p w14:paraId="6A2F079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El que, bajo cualquier modalidad, ofrece, da o promete donativo, ventaja o beneficio para que el funcionario o servidor público realice u omita actos propios del cargo o empleo, sin faltar a su obligación, será reprimido con pena privativa de libertad no menor de tres ni mayor de cinco años y con trescientos sesenta y cinco a setecientos treinta días-multa.</w:t>
      </w:r>
      <w:r w:rsidRPr="000D3432">
        <w:rPr>
          <w:rFonts w:asciiTheme="minorHAnsi" w:hAnsiTheme="minorHAnsi" w:cs="Arial"/>
          <w:b/>
          <w:bCs/>
          <w:color w:val="000000"/>
          <w:szCs w:val="24"/>
          <w:lang w:val="es-ES_tradnl" w:eastAsia="es-PE"/>
        </w:rPr>
        <w:t>"</w:t>
      </w:r>
    </w:p>
    <w:p w14:paraId="294262A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72CF68BF" w14:textId="77777777" w:rsidR="009E6E2E" w:rsidRPr="000D3432" w:rsidRDefault="009E6E2E" w:rsidP="009E6E2E">
      <w:pPr>
        <w:ind w:left="1416"/>
        <w:rPr>
          <w:rFonts w:asciiTheme="minorHAnsi" w:hAnsiTheme="minorHAnsi" w:cs="Arial"/>
          <w:szCs w:val="24"/>
          <w:lang w:val="es-ES_tradnl"/>
        </w:rPr>
      </w:pPr>
    </w:p>
    <w:p w14:paraId="19F25D8D" w14:textId="77777777" w:rsidR="009E6E2E" w:rsidRPr="000D3432" w:rsidRDefault="009E6E2E" w:rsidP="009E6E2E">
      <w:pPr>
        <w:ind w:left="1416"/>
        <w:rPr>
          <w:rFonts w:asciiTheme="minorHAnsi" w:hAnsiTheme="minorHAnsi" w:cs="Arial"/>
          <w:szCs w:val="24"/>
          <w:lang w:val="es-ES_tradnl"/>
        </w:rPr>
      </w:pPr>
    </w:p>
    <w:p w14:paraId="01FBAEF0" w14:textId="77777777" w:rsidR="009E6E2E" w:rsidRPr="000D3432" w:rsidRDefault="009E6E2E" w:rsidP="009E6E2E">
      <w:pPr>
        <w:ind w:left="1416"/>
        <w:rPr>
          <w:rFonts w:asciiTheme="minorHAnsi" w:hAnsiTheme="minorHAnsi" w:cs="Arial"/>
          <w:szCs w:val="24"/>
          <w:lang w:val="es-ES_tradnl"/>
        </w:rPr>
      </w:pPr>
    </w:p>
    <w:p w14:paraId="2F72CFF5" w14:textId="77777777" w:rsidR="009E6E2E" w:rsidRPr="000D3432" w:rsidRDefault="009E6E2E" w:rsidP="009E6E2E">
      <w:pPr>
        <w:ind w:left="1416"/>
        <w:rPr>
          <w:rFonts w:asciiTheme="minorHAnsi" w:hAnsiTheme="minorHAnsi" w:cs="Arial"/>
          <w:szCs w:val="24"/>
          <w:lang w:val="es-ES_tradnl"/>
        </w:rPr>
      </w:pPr>
    </w:p>
    <w:p w14:paraId="62A0A84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5.-</w:t>
      </w:r>
    </w:p>
    <w:p w14:paraId="48644DB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COHECHO ACTIVO TRANSNACIONAL</w:t>
      </w:r>
    </w:p>
    <w:p w14:paraId="4B070A00"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681780A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397-A. Cohecho activo transnacional</w:t>
      </w:r>
    </w:p>
    <w:p w14:paraId="68AEB08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w:t>
      </w:r>
      <w:r w:rsidRPr="000D3432">
        <w:rPr>
          <w:rFonts w:asciiTheme="minorHAnsi" w:hAnsiTheme="minorHAnsi" w:cs="Arial"/>
          <w:color w:val="000000"/>
          <w:szCs w:val="24"/>
          <w:lang w:val="es-ES_tradnl" w:eastAsia="es-PE"/>
        </w:rPr>
        <w:t>El que, bajo cualquier modalidad, ofrezca, otorgue o prometa directa o indirectamente a un funcionario o servidor público de otro Estado o funcionario de organismo internacional público donativo, promesa, ventaja o beneficio indebido que redunde en su propio provecho o en el de otra persona, para que dicho servidor o funcionario público realice u omita actos propios de su cargo o empleo, en violación de sus obligaciones o sin faltar a su obligación para obtener o retener un negocio u otra ventaja indebida en la realización de actividades económicas o comerciales internacionales, será reprimido con pena privativa de la libertad no menor de cinco años ni mayor de ocho años y con trescientos sesenta y cinco a setecientos treinta días-multa.</w:t>
      </w:r>
      <w:r w:rsidRPr="000D3432">
        <w:rPr>
          <w:rFonts w:asciiTheme="minorHAnsi" w:hAnsiTheme="minorHAnsi" w:cs="Arial"/>
          <w:b/>
          <w:bCs/>
          <w:color w:val="000000"/>
          <w:szCs w:val="24"/>
          <w:lang w:val="es-ES_tradnl" w:eastAsia="es-PE"/>
        </w:rPr>
        <w:t>"</w:t>
      </w:r>
    </w:p>
    <w:p w14:paraId="10B5FCB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color w:val="000000"/>
          <w:szCs w:val="24"/>
          <w:lang w:val="es-ES_tradnl" w:eastAsia="es-PE"/>
        </w:rPr>
        <w:fldChar w:fldCharType="begin"/>
      </w:r>
      <w:r w:rsidRPr="000D3432">
        <w:rPr>
          <w:rFonts w:asciiTheme="minorHAnsi" w:hAnsiTheme="minorHAnsi" w:cs="Arial"/>
          <w:color w:val="000000"/>
          <w:szCs w:val="24"/>
          <w:lang w:val="es-ES_tradnl" w:eastAsia="es-PE"/>
        </w:rPr>
        <w:instrText xml:space="preserve"> HYPERLINK "http://spij.minjus.gob.pe/CLP/contenidos.dll/demo/coleccion00000.htm/tomo00006.htm/sumilla00011.htm?f=templates$fn=document-frame.htm$3.0$q=$x=" \t "_blank" </w:instrText>
      </w:r>
      <w:r w:rsidRPr="000D3432">
        <w:rPr>
          <w:rFonts w:asciiTheme="minorHAnsi" w:hAnsiTheme="minorHAnsi" w:cs="Arial"/>
          <w:color w:val="000000"/>
          <w:szCs w:val="24"/>
          <w:lang w:val="es-ES_tradnl" w:eastAsia="es-PE"/>
        </w:rPr>
      </w:r>
      <w:r w:rsidRPr="000D3432">
        <w:rPr>
          <w:rFonts w:asciiTheme="minorHAnsi" w:hAnsiTheme="minorHAnsi" w:cs="Arial"/>
          <w:color w:val="000000"/>
          <w:szCs w:val="24"/>
          <w:lang w:val="es-ES_tradnl" w:eastAsia="es-PE"/>
        </w:rPr>
        <w:fldChar w:fldCharType="separate"/>
      </w:r>
      <w:r w:rsidRPr="000D3432">
        <w:rPr>
          <w:rFonts w:asciiTheme="minorHAnsi" w:hAnsiTheme="minorHAnsi" w:cs="Arial"/>
          <w:color w:val="008080"/>
          <w:szCs w:val="24"/>
          <w:u w:val="single"/>
          <w:lang w:val="es-ES_tradnl" w:eastAsia="es-PE"/>
        </w:rPr>
        <w:t>CONCORDANCIAS CON EL TLC PERÚ - ESTADOS UNIDOS DE NORTEAMÉRICA</w:t>
      </w:r>
      <w:r w:rsidRPr="000D3432">
        <w:rPr>
          <w:rFonts w:asciiTheme="minorHAnsi" w:hAnsiTheme="minorHAnsi" w:cs="Arial"/>
          <w:color w:val="000000"/>
          <w:szCs w:val="24"/>
          <w:lang w:val="es-ES_tradnl" w:eastAsia="es-PE"/>
        </w:rPr>
        <w:fldChar w:fldCharType="end"/>
      </w:r>
    </w:p>
    <w:p w14:paraId="30ABABC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44E9C1D7" w14:textId="77777777" w:rsidR="009E6E2E" w:rsidRPr="000D3432" w:rsidRDefault="009E6E2E" w:rsidP="009E6E2E">
      <w:pPr>
        <w:ind w:left="1416"/>
        <w:rPr>
          <w:rFonts w:asciiTheme="minorHAnsi" w:hAnsiTheme="minorHAnsi" w:cs="Arial"/>
          <w:szCs w:val="24"/>
          <w:lang w:val="es-ES_tradnl"/>
        </w:rPr>
      </w:pPr>
    </w:p>
    <w:p w14:paraId="56BE390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6</w:t>
      </w:r>
    </w:p>
    <w:p w14:paraId="5A9FDA2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COHECHO ACTIVO ESPECÍFICO</w:t>
      </w:r>
    </w:p>
    <w:p w14:paraId="417FEA1F"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634581B3"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cohecho activo específico</w:t>
      </w:r>
    </w:p>
    <w:p w14:paraId="7C8D9314" w14:textId="77777777" w:rsidR="009E6E2E" w:rsidRPr="000D3432" w:rsidRDefault="009E6E2E" w:rsidP="009E6E2E">
      <w:pPr>
        <w:jc w:val="both"/>
        <w:rPr>
          <w:rFonts w:asciiTheme="minorHAnsi" w:hAnsiTheme="minorHAnsi" w:cs="Arial"/>
          <w:color w:val="000000"/>
          <w:szCs w:val="24"/>
          <w:lang w:val="es-ES_tradnl" w:eastAsia="es-PE"/>
        </w:rPr>
      </w:pPr>
    </w:p>
    <w:p w14:paraId="5E506B69"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xml:space="preserve">De acuerdo con el Código Penal se establece que: "Artículo 398. Cohecho activo específico.- </w:t>
      </w:r>
      <w:r w:rsidRPr="000D3432">
        <w:rPr>
          <w:rFonts w:asciiTheme="minorHAnsi" w:hAnsiTheme="minorHAnsi" w:cs="Arial"/>
          <w:color w:val="000000"/>
          <w:szCs w:val="24"/>
          <w:lang w:val="es-ES_tradnl" w:eastAsia="es-PE"/>
        </w:rPr>
        <w:t>El que, bajo cualquier modalidad, ofrece, da o promete donativo, ventaja o beneficio a un Magistrado, Fiscal, Perito, Árbitro, Miembro de Tribunal administrativo o análogo con el objeto de influir en la decisión de un asunto sometido a su conocimiento o competencia, será reprimido con pena privativa de libertad no menor de cinco ni mayor de ocho años e inhabilitación accesoria conforme a los incisos 2, 3 y 4 del artículo 36 del Código Penal y con trescientos sesenta y cinco a setecientos treinta días-multa. / Cuando el donativo, promesa, ventaja o beneficio se ofrece o entrega a un secretario, relator, especialista, auxiliar jurisdiccional, testigo, traductor o intérprete o análogo, la pena privativa de libertad será no menor de cuatro ni mayor de ocho años e inhabilitación accesoria conforme a los incisos 2, 3 y 4 del artículo 36 del Código Penal y con trescientos sesenta y cinco a setecientos treinta días-multa. / Si el que ofrece, da o corrompe es abogado o forma parte de un estudio de abogados, la pena privativa de libertad será no menor de cinco ni mayor de ocho años e inhabilitación accesoria conforme a los incisos 1, 2, 3 y 8 del Código Penal y con trescientos sesenta y cinco a setecientos treinta días-multa.</w:t>
      </w:r>
      <w:r w:rsidRPr="000D3432">
        <w:rPr>
          <w:rFonts w:asciiTheme="minorHAnsi" w:hAnsiTheme="minorHAnsi" w:cs="Arial"/>
          <w:b/>
          <w:bCs/>
          <w:color w:val="000000"/>
          <w:szCs w:val="24"/>
          <w:lang w:val="es-ES_tradnl" w:eastAsia="es-PE"/>
        </w:rPr>
        <w:t>"</w:t>
      </w:r>
    </w:p>
    <w:p w14:paraId="4E3592CE"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784DC5BE" w14:textId="77777777" w:rsidR="009E6E2E" w:rsidRPr="000D3432" w:rsidRDefault="009E6E2E" w:rsidP="009E6E2E">
      <w:pPr>
        <w:rPr>
          <w:rFonts w:asciiTheme="minorHAnsi" w:hAnsiTheme="minorHAnsi" w:cs="Arial"/>
          <w:szCs w:val="24"/>
          <w:lang w:val="es-ES_tradnl"/>
        </w:rPr>
      </w:pPr>
    </w:p>
    <w:p w14:paraId="5AA81337" w14:textId="77777777" w:rsidR="009E6E2E" w:rsidRPr="000D3432" w:rsidRDefault="009E6E2E" w:rsidP="009E6E2E">
      <w:pPr>
        <w:rPr>
          <w:rFonts w:asciiTheme="minorHAnsi" w:hAnsiTheme="minorHAnsi" w:cs="Arial"/>
          <w:szCs w:val="24"/>
          <w:lang w:val="es-ES_tradnl"/>
        </w:rPr>
      </w:pPr>
    </w:p>
    <w:p w14:paraId="7CF6154B" w14:textId="77777777" w:rsidR="009E6E2E" w:rsidRPr="000D3432" w:rsidRDefault="009E6E2E" w:rsidP="009E6E2E">
      <w:pPr>
        <w:rPr>
          <w:rFonts w:asciiTheme="minorHAnsi" w:hAnsiTheme="minorHAnsi" w:cs="Arial"/>
          <w:szCs w:val="24"/>
          <w:lang w:val="es-ES_tradnl"/>
        </w:rPr>
      </w:pPr>
    </w:p>
    <w:p w14:paraId="079BE92B" w14:textId="77777777" w:rsidR="009E6E2E" w:rsidRPr="000D3432" w:rsidRDefault="009E6E2E" w:rsidP="009E6E2E">
      <w:pPr>
        <w:rPr>
          <w:rFonts w:asciiTheme="minorHAnsi" w:hAnsiTheme="minorHAnsi" w:cs="Arial"/>
          <w:szCs w:val="24"/>
          <w:lang w:val="es-ES_tradnl"/>
        </w:rPr>
      </w:pPr>
    </w:p>
    <w:p w14:paraId="034CC11C" w14:textId="77777777" w:rsidR="009E6E2E" w:rsidRPr="000D3432" w:rsidRDefault="009E6E2E" w:rsidP="009E6E2E">
      <w:pPr>
        <w:rPr>
          <w:rFonts w:asciiTheme="minorHAnsi" w:hAnsiTheme="minorHAnsi" w:cs="Arial"/>
          <w:szCs w:val="24"/>
          <w:lang w:val="es-ES_tradnl"/>
        </w:rPr>
      </w:pPr>
    </w:p>
    <w:p w14:paraId="3299024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7</w:t>
      </w:r>
    </w:p>
    <w:p w14:paraId="32F90CA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NEGOCIACIÓN INCOMPATIBLE O APROVECHAMIENTO INDEBIDO DE CARGO</w:t>
      </w:r>
    </w:p>
    <w:p w14:paraId="176634C3"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Negociación incompatible o aprovechamiento indebido de cargo</w:t>
      </w:r>
    </w:p>
    <w:p w14:paraId="4702E020" w14:textId="77777777" w:rsidR="009E6E2E" w:rsidRPr="000D3432" w:rsidRDefault="009E6E2E" w:rsidP="009E6E2E">
      <w:pPr>
        <w:jc w:val="both"/>
        <w:rPr>
          <w:rFonts w:asciiTheme="minorHAnsi" w:hAnsiTheme="minorHAnsi" w:cs="Arial"/>
          <w:color w:val="000000"/>
          <w:szCs w:val="24"/>
          <w:lang w:val="es-ES_tradnl" w:eastAsia="es-PE"/>
        </w:rPr>
      </w:pPr>
    </w:p>
    <w:p w14:paraId="545D09C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399. Negociación incompatible o aprovechamiento indebido de cargo.- </w:t>
      </w:r>
      <w:r w:rsidRPr="000D3432">
        <w:rPr>
          <w:rFonts w:asciiTheme="minorHAnsi" w:hAnsiTheme="minorHAnsi" w:cs="Arial"/>
          <w:color w:val="000000"/>
          <w:szCs w:val="24"/>
          <w:lang w:val="es-ES_tradnl" w:eastAsia="es-PE"/>
        </w:rPr>
        <w:t>El funcionario o servidor público que indebidamente en forma directa o indirecta o por acto simulado se interesa, en provecho propio o de tercero, por cualquier contrato u operación en que interviene por razón de su cargo, será reprimido con pena privativa de libertad no menor de cuatro ni mayor de seis años e inhabilitación conforme a los incisos 1 y 2 del artículo 36 del Código Penal y con ciento ochenta a trescientos sesenta y cinco días-multa.</w:t>
      </w:r>
      <w:r w:rsidRPr="000D3432">
        <w:rPr>
          <w:rFonts w:asciiTheme="minorHAnsi" w:hAnsiTheme="minorHAnsi" w:cs="Arial"/>
          <w:b/>
          <w:bCs/>
          <w:color w:val="000000"/>
          <w:szCs w:val="24"/>
          <w:lang w:val="es-ES_tradnl" w:eastAsia="es-PE"/>
        </w:rPr>
        <w:t>"</w:t>
      </w:r>
    </w:p>
    <w:p w14:paraId="104E306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22A3AFF8" w14:textId="77777777" w:rsidR="009E6E2E" w:rsidRPr="000D3432" w:rsidRDefault="009E6E2E" w:rsidP="009E6E2E">
      <w:pPr>
        <w:rPr>
          <w:rFonts w:asciiTheme="minorHAnsi" w:hAnsiTheme="minorHAnsi" w:cs="Arial"/>
          <w:szCs w:val="24"/>
          <w:lang w:val="es-ES_tradnl"/>
        </w:rPr>
      </w:pPr>
    </w:p>
    <w:p w14:paraId="7CA27AA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8</w:t>
      </w:r>
    </w:p>
    <w:p w14:paraId="0049714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TRÁFICO DE INFLUENCIAS</w:t>
      </w:r>
    </w:p>
    <w:p w14:paraId="1C8A90D3"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0AE2A9B3"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doctrinario del delito de tráfico de influencias</w:t>
      </w:r>
    </w:p>
    <w:p w14:paraId="3494FEFC" w14:textId="77777777" w:rsidR="009E6E2E" w:rsidRPr="000D3432" w:rsidRDefault="009E6E2E" w:rsidP="009E6E2E">
      <w:pPr>
        <w:jc w:val="both"/>
        <w:rPr>
          <w:rFonts w:asciiTheme="minorHAnsi" w:hAnsiTheme="minorHAnsi" w:cs="Arial"/>
          <w:color w:val="000000"/>
          <w:szCs w:val="24"/>
          <w:lang w:val="es-ES_tradnl" w:eastAsia="es-PE"/>
        </w:rPr>
      </w:pPr>
    </w:p>
    <w:p w14:paraId="5306E3E9" w14:textId="77777777" w:rsidR="009E6E2E" w:rsidRPr="000D3432" w:rsidRDefault="009E6E2E" w:rsidP="009E6E2E">
      <w:pPr>
        <w:jc w:val="both"/>
        <w:rPr>
          <w:rFonts w:asciiTheme="minorHAnsi" w:hAnsiTheme="minorHAnsi"/>
          <w:szCs w:val="24"/>
        </w:rPr>
      </w:pPr>
      <w:r w:rsidRPr="000D3432">
        <w:rPr>
          <w:rFonts w:asciiTheme="minorHAnsi" w:hAnsiTheme="minorHAnsi" w:cs="Arial"/>
          <w:color w:val="000000"/>
          <w:szCs w:val="24"/>
          <w:lang w:val="es-ES_tradnl" w:eastAsia="es-PE"/>
        </w:rPr>
        <w:t xml:space="preserve">Según Jorge H. Álvarez, el delito de tráfico de influencias </w:t>
      </w:r>
      <w:r w:rsidRPr="000D3432">
        <w:rPr>
          <w:rFonts w:asciiTheme="minorHAnsi" w:hAnsiTheme="minorHAnsi"/>
          <w:szCs w:val="24"/>
        </w:rPr>
        <w:t>“Es un delito de acción dolosa cuya conducta consiste en invocr influencias sean –estas reales o simuladas, con el deliberado propósito de obtener un donativo, promesas, o cualquier otra ventaja, ofreciéndose interceder ante un funcionario o servidor público que esté conociendo o haya conocido un caso judicial o administrativo. / El agente invocando influencias, percibe un beneficio indebido cualquiera a cambio de su mediación directa; estos actos reprochables denotan un tráfico que tiene como objeto la función pública.” (Delitos cometidos por funcionarios públicos contra la Administración Pública. Jorge Hugo Alvarez. Gaceta Jurídica. Pág. 213.).</w:t>
      </w:r>
    </w:p>
    <w:p w14:paraId="4A623DBB" w14:textId="77777777" w:rsidR="009E6E2E" w:rsidRPr="000D3432" w:rsidRDefault="009E6E2E" w:rsidP="009E6E2E">
      <w:pPr>
        <w:jc w:val="both"/>
        <w:rPr>
          <w:rFonts w:asciiTheme="minorHAnsi" w:hAnsiTheme="minorHAnsi" w:cs="Arial"/>
          <w:color w:val="000000"/>
          <w:szCs w:val="24"/>
          <w:lang w:val="es-ES_tradnl" w:eastAsia="es-PE"/>
        </w:rPr>
      </w:pPr>
    </w:p>
    <w:p w14:paraId="35E711D7"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del delito de tráfico de influencias </w:t>
      </w:r>
    </w:p>
    <w:p w14:paraId="7CA435F3" w14:textId="77777777" w:rsidR="009E6E2E" w:rsidRPr="000D3432" w:rsidRDefault="009E6E2E" w:rsidP="009E6E2E">
      <w:pPr>
        <w:jc w:val="both"/>
        <w:rPr>
          <w:rFonts w:asciiTheme="minorHAnsi" w:hAnsiTheme="minorHAnsi" w:cs="Arial"/>
          <w:bCs/>
          <w:color w:val="000000"/>
          <w:szCs w:val="24"/>
          <w:lang w:val="es-ES_tradnl" w:eastAsia="es-PE"/>
        </w:rPr>
      </w:pPr>
    </w:p>
    <w:p w14:paraId="42B6AB1B"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400. Tráfico de influencias.- </w:t>
      </w:r>
      <w:r w:rsidRPr="000D3432">
        <w:rPr>
          <w:rFonts w:asciiTheme="minorHAnsi" w:hAnsiTheme="minorHAnsi" w:cs="Arial"/>
          <w:color w:val="000000"/>
          <w:szCs w:val="24"/>
          <w:lang w:val="es-ES_tradnl" w:eastAsia="es-PE"/>
        </w:rPr>
        <w:t>El que, invocando o teniendo influencias reales o simuladas, recibe, hace dar o prometer para sí o para un tercero, donativo o promesa o cualquier otra ventaja o beneficio con el ofrecimiento de interceder ante un funcionario o servidor público que ha de conocer, esté conociendo o haya conocido un caso judicial o administrativo, será reprimido con pena privativa de libertad no menor de cuatro ni mayor de seis años y con ciento ochenta a trescientos sesenta y cinco días-multa. Si el agente es un funcionario o servidor público, será reprimido con pena privativa de libertad no menor de cuatro ni mayor de ocho años e inhabilitación conforme a los incisos 1 y 2 del artículo 36 del Código Penal y con trescientos sesenta y cinco a setecientos treinta días-multa.</w:t>
      </w:r>
      <w:r w:rsidRPr="000D3432">
        <w:rPr>
          <w:rFonts w:asciiTheme="minorHAnsi" w:hAnsiTheme="minorHAnsi" w:cs="Arial"/>
          <w:b/>
          <w:bCs/>
          <w:color w:val="000000"/>
          <w:szCs w:val="24"/>
          <w:lang w:val="es-ES_tradnl" w:eastAsia="es-PE"/>
        </w:rPr>
        <w:t>"</w:t>
      </w:r>
    </w:p>
    <w:p w14:paraId="74CF002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4445ADBC" w14:textId="77777777" w:rsidR="009E6E2E" w:rsidRPr="000D3432" w:rsidRDefault="009E6E2E" w:rsidP="009E6E2E">
      <w:pPr>
        <w:ind w:left="2832"/>
        <w:rPr>
          <w:rFonts w:asciiTheme="minorHAnsi" w:hAnsiTheme="minorHAnsi"/>
          <w:szCs w:val="24"/>
          <w:lang w:val="es-ES_tradnl"/>
        </w:rPr>
      </w:pPr>
    </w:p>
    <w:p w14:paraId="4026EFEC" w14:textId="77777777" w:rsidR="009E6E2E" w:rsidRPr="000D3432" w:rsidRDefault="009E6E2E" w:rsidP="009E6E2E">
      <w:pPr>
        <w:ind w:left="1416"/>
        <w:rPr>
          <w:rFonts w:asciiTheme="minorHAnsi" w:hAnsiTheme="minorHAnsi" w:cs="Arial"/>
          <w:szCs w:val="24"/>
          <w:lang w:val="es-ES_tradnl"/>
        </w:rPr>
      </w:pPr>
    </w:p>
    <w:p w14:paraId="30CEF66B"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9</w:t>
      </w:r>
    </w:p>
    <w:p w14:paraId="0ED03DD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ENRIQUECIMIENTO ILÍCITO</w:t>
      </w:r>
    </w:p>
    <w:p w14:paraId="65E21CB4"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2E7401EE"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doctrinal del delito de enriquecimiento ilícito</w:t>
      </w:r>
    </w:p>
    <w:p w14:paraId="337AC773" w14:textId="77777777" w:rsidR="009E6E2E" w:rsidRPr="000D3432" w:rsidRDefault="009E6E2E" w:rsidP="009E6E2E">
      <w:pPr>
        <w:jc w:val="both"/>
        <w:rPr>
          <w:rFonts w:asciiTheme="minorHAnsi" w:hAnsiTheme="minorHAnsi" w:cs="Arial"/>
          <w:color w:val="000000"/>
          <w:szCs w:val="24"/>
          <w:lang w:val="es-ES_tradnl" w:eastAsia="es-PE"/>
        </w:rPr>
      </w:pPr>
    </w:p>
    <w:p w14:paraId="08426544" w14:textId="77777777" w:rsidR="009E6E2E" w:rsidRPr="000D3432" w:rsidRDefault="009E6E2E" w:rsidP="009E6E2E">
      <w:pPr>
        <w:jc w:val="both"/>
        <w:rPr>
          <w:rFonts w:asciiTheme="minorHAnsi" w:hAnsiTheme="minorHAnsi"/>
          <w:szCs w:val="24"/>
        </w:rPr>
      </w:pPr>
      <w:r w:rsidRPr="000D3432">
        <w:rPr>
          <w:rFonts w:asciiTheme="minorHAnsi" w:hAnsiTheme="minorHAnsi"/>
          <w:szCs w:val="24"/>
        </w:rPr>
        <w:t xml:space="preserve">Según Jorge H. Álvarez, el delito de Enriquecimiento ilícito “Es un delito de connotación genérica y subsidiara de acción dolosa que consiste en aprovecharse o hacer uso indebido del cargo para enriquecerse ilícitamente, mediante cualquier conducta que no esté tipificada como figura propia, tendiente a incrementar su patrimonio con significativo exceso respecto de sus ingresos legítimos durante el ejercicio de sus funciones, y que no puede ser razonablemente justificado por el mismo agente involucrado.” (Delitos cometidos por funcionarios públicos contra la Administración Pública. Jorge Hugo Alvarez. Gaceta Jurídica. Pág. 224.).  </w:t>
      </w:r>
    </w:p>
    <w:p w14:paraId="7633970D" w14:textId="77777777" w:rsidR="009E6E2E" w:rsidRPr="000D3432" w:rsidRDefault="009E6E2E" w:rsidP="009E6E2E">
      <w:pPr>
        <w:jc w:val="both"/>
        <w:rPr>
          <w:rFonts w:asciiTheme="minorHAnsi" w:hAnsiTheme="minorHAnsi" w:cs="Arial"/>
          <w:color w:val="000000"/>
          <w:szCs w:val="24"/>
          <w:lang w:val="es-ES_tradnl" w:eastAsia="es-PE"/>
        </w:rPr>
      </w:pPr>
    </w:p>
    <w:p w14:paraId="3436B427"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enriquecimiento ilícito</w:t>
      </w:r>
    </w:p>
    <w:p w14:paraId="31A9FB55" w14:textId="77777777" w:rsidR="009E6E2E" w:rsidRPr="000D3432" w:rsidRDefault="009E6E2E" w:rsidP="009E6E2E">
      <w:pPr>
        <w:jc w:val="both"/>
        <w:rPr>
          <w:rFonts w:asciiTheme="minorHAnsi" w:hAnsiTheme="minorHAnsi" w:cs="Arial"/>
          <w:bCs/>
          <w:color w:val="000000"/>
          <w:szCs w:val="24"/>
          <w:lang w:val="es-ES_tradnl" w:eastAsia="es-PE"/>
        </w:rPr>
      </w:pPr>
    </w:p>
    <w:p w14:paraId="611BCA7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Según el Código Penal se establece: </w:t>
      </w:r>
      <w:r w:rsidRPr="000D3432">
        <w:rPr>
          <w:rFonts w:asciiTheme="minorHAnsi" w:hAnsiTheme="minorHAnsi" w:cs="Arial"/>
          <w:b/>
          <w:bCs/>
          <w:color w:val="000000"/>
          <w:szCs w:val="24"/>
          <w:lang w:val="es-ES_tradnl" w:eastAsia="es-PE"/>
        </w:rPr>
        <w:t xml:space="preserve">"Artículo 401. Enriquecimiento ilícito.- </w:t>
      </w:r>
      <w:r w:rsidRPr="000D3432">
        <w:rPr>
          <w:rFonts w:asciiTheme="minorHAnsi" w:hAnsiTheme="minorHAnsi" w:cs="Arial"/>
          <w:color w:val="000000"/>
          <w:szCs w:val="24"/>
          <w:lang w:val="es-ES_tradnl" w:eastAsia="es-PE"/>
        </w:rPr>
        <w:t>El funcionario o servidor público que, abusando de su cargo, incrementa ilícitamente su patrimonio respecto de sus ingresos legítimos será reprimido con pena privativa de libertad no menor de cinco ni mayor de diez años y con trescientos sesenta y cinco a setecientos treinta días-multa. / Si el agente es un funcionario público que ha ocupado cargos de alta dirección en las entidades, organismos o empresas del Estado, o está sometido a la prerrogativa del antejuicio y la acusación constitucional, la pena privativa de libertad será no menor de diez ni mayor de quince años y con trescientos sesenta y cinco a setecientos treinta días-multa. / Se considera que existe indicio de enriquecimiento ilícito cuando el aumento del patrimonio o del gasto económico personal del funcionario o servidor público, en consideración a su declaración jurada de bienes y rentas, es notoriamente superior al que normalmente haya podido tener en virtud de sus sueldos o emolumentos percibidos o de los incrementos de su capital o de sus ingresos por cualquier otra causa lícita.</w:t>
      </w:r>
      <w:r w:rsidRPr="000D3432">
        <w:rPr>
          <w:rFonts w:asciiTheme="minorHAnsi" w:hAnsiTheme="minorHAnsi" w:cs="Arial"/>
          <w:b/>
          <w:bCs/>
          <w:color w:val="000000"/>
          <w:szCs w:val="24"/>
          <w:lang w:val="es-ES_tradnl" w:eastAsia="es-PE"/>
        </w:rPr>
        <w:t>”.</w:t>
      </w:r>
    </w:p>
    <w:p w14:paraId="02320D5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Nº 30077, Art. 3 (Delitos comprendidos)</w:t>
      </w:r>
    </w:p>
    <w:p w14:paraId="5537B174" w14:textId="77777777" w:rsidR="009E6E2E" w:rsidRPr="000D3432" w:rsidRDefault="009E6E2E" w:rsidP="009E6E2E">
      <w:pPr>
        <w:ind w:left="2832"/>
        <w:rPr>
          <w:rFonts w:asciiTheme="minorHAnsi" w:hAnsiTheme="minorHAnsi"/>
          <w:szCs w:val="24"/>
          <w:lang w:val="es-ES_tradnl"/>
        </w:rPr>
      </w:pPr>
    </w:p>
    <w:p w14:paraId="549F94F8" w14:textId="77777777" w:rsidR="009E6E2E" w:rsidRPr="000D3432" w:rsidRDefault="009E6E2E" w:rsidP="009E6E2E">
      <w:pPr>
        <w:ind w:left="1416"/>
        <w:rPr>
          <w:rFonts w:asciiTheme="minorHAnsi" w:hAnsiTheme="minorHAnsi" w:cs="Arial"/>
          <w:szCs w:val="24"/>
          <w:lang w:val="es-ES_tradnl"/>
        </w:rPr>
      </w:pPr>
    </w:p>
    <w:p w14:paraId="0922D92C" w14:textId="77777777" w:rsidR="009E6E2E" w:rsidRPr="000D3432" w:rsidRDefault="009E6E2E" w:rsidP="009E6E2E">
      <w:pPr>
        <w:ind w:left="1416"/>
        <w:rPr>
          <w:rFonts w:asciiTheme="minorHAnsi" w:hAnsiTheme="minorHAnsi" w:cs="Arial"/>
          <w:szCs w:val="24"/>
          <w:lang w:val="es-ES_tradnl"/>
        </w:rPr>
      </w:pPr>
      <w:r w:rsidRPr="000D3432">
        <w:rPr>
          <w:rFonts w:asciiTheme="minorHAnsi" w:hAnsiTheme="minorHAnsi" w:cs="Arial"/>
          <w:szCs w:val="24"/>
          <w:lang w:val="es-ES_tradnl"/>
        </w:rPr>
        <w:t>SECCION 10.- DECOMISO</w:t>
      </w:r>
    </w:p>
    <w:p w14:paraId="18F20FC1" w14:textId="77777777" w:rsidR="009E6E2E" w:rsidRPr="000D3432" w:rsidRDefault="009E6E2E" w:rsidP="009E6E2E">
      <w:pPr>
        <w:ind w:left="2124"/>
        <w:rPr>
          <w:rFonts w:asciiTheme="minorHAnsi" w:hAnsiTheme="minorHAnsi"/>
          <w:b/>
          <w:szCs w:val="24"/>
          <w:lang w:val="es-ES_tradnl"/>
        </w:rPr>
      </w:pPr>
      <w:r w:rsidRPr="000D3432">
        <w:rPr>
          <w:rFonts w:asciiTheme="minorHAnsi" w:hAnsiTheme="minorHAnsi"/>
          <w:b/>
          <w:szCs w:val="24"/>
          <w:lang w:val="es-ES_tradnl"/>
        </w:rPr>
        <w:t xml:space="preserve">1.- Conceptos </w:t>
      </w:r>
    </w:p>
    <w:p w14:paraId="19531D62"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a)  Concepto Doctrinal: </w:t>
      </w:r>
    </w:p>
    <w:p w14:paraId="249AE9E8"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b)  Concepto Legal: </w:t>
      </w:r>
    </w:p>
    <w:p w14:paraId="660C30B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Decomiso</w:t>
      </w:r>
    </w:p>
    <w:p w14:paraId="7CB4ADB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401 A.-</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En todo caso, los donativos, dádivas o presentes serán decomisados."</w:t>
      </w:r>
      <w:r w:rsidRPr="000D3432">
        <w:rPr>
          <w:rFonts w:asciiTheme="minorHAnsi" w:hAnsiTheme="minorHAnsi"/>
          <w:color w:val="000000"/>
          <w:szCs w:val="24"/>
          <w:lang w:val="es-ES_tradnl" w:eastAsia="es-PE"/>
        </w:rPr>
        <w:t> </w:t>
      </w:r>
      <w:r w:rsidRPr="000D3432">
        <w:rPr>
          <w:rFonts w:asciiTheme="minorHAnsi" w:hAnsiTheme="minorHAnsi" w:cs="Arial"/>
          <w:b/>
          <w:bCs/>
          <w:color w:val="000000"/>
          <w:szCs w:val="24"/>
          <w:lang w:val="es-ES_tradnl" w:eastAsia="es-PE"/>
        </w:rPr>
        <w:t>(*)</w:t>
      </w:r>
    </w:p>
    <w:p w14:paraId="3A7A621C"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Artículo incorporado por el Artículo 2 del Decreto Ley Nº 25489, publicado el 10-05-92.</w:t>
      </w:r>
    </w:p>
    <w:p w14:paraId="0412B167" w14:textId="77777777" w:rsidR="009E6E2E" w:rsidRPr="000D3432" w:rsidRDefault="009E6E2E" w:rsidP="009E6E2E">
      <w:pPr>
        <w:ind w:left="2832"/>
        <w:rPr>
          <w:rFonts w:asciiTheme="minorHAnsi" w:hAnsiTheme="minorHAnsi"/>
          <w:szCs w:val="24"/>
          <w:lang w:val="es-ES_tradnl"/>
        </w:rPr>
      </w:pPr>
    </w:p>
    <w:p w14:paraId="5C2C7F1A" w14:textId="77777777" w:rsidR="009E6E2E" w:rsidRPr="000D3432" w:rsidRDefault="009E6E2E" w:rsidP="009E6E2E">
      <w:pPr>
        <w:ind w:left="2832"/>
        <w:rPr>
          <w:rFonts w:asciiTheme="minorHAnsi" w:hAnsiTheme="minorHAnsi"/>
          <w:szCs w:val="24"/>
          <w:lang w:val="es-ES_tradnl"/>
        </w:rPr>
      </w:pPr>
    </w:p>
    <w:p w14:paraId="3214FB9C" w14:textId="77777777" w:rsidR="009E6E2E" w:rsidRPr="000D3432" w:rsidRDefault="009E6E2E" w:rsidP="009E6E2E">
      <w:pPr>
        <w:ind w:left="1416"/>
        <w:rPr>
          <w:rFonts w:asciiTheme="minorHAnsi" w:hAnsiTheme="minorHAnsi" w:cs="Arial"/>
          <w:szCs w:val="24"/>
          <w:lang w:val="es-ES_tradnl"/>
        </w:rPr>
      </w:pPr>
    </w:p>
    <w:p w14:paraId="6A05707A" w14:textId="77777777" w:rsidR="009E6E2E" w:rsidRPr="000D3432" w:rsidRDefault="009E6E2E" w:rsidP="009E6E2E">
      <w:pPr>
        <w:ind w:left="1416"/>
        <w:rPr>
          <w:rFonts w:asciiTheme="minorHAnsi" w:hAnsiTheme="minorHAnsi" w:cs="Arial"/>
          <w:szCs w:val="24"/>
          <w:lang w:val="es-ES_tradnl"/>
        </w:rPr>
      </w:pPr>
      <w:r w:rsidRPr="000D3432">
        <w:rPr>
          <w:rFonts w:asciiTheme="minorHAnsi" w:hAnsiTheme="minorHAnsi" w:cs="Arial"/>
          <w:szCs w:val="24"/>
          <w:lang w:val="es-ES_tradnl"/>
        </w:rPr>
        <w:t>SECCION 11.- ADJUDICACIÓN AL ESTADO DE BIENES DECOMISADOS</w:t>
      </w:r>
    </w:p>
    <w:p w14:paraId="6DB8EC3B" w14:textId="77777777" w:rsidR="009E6E2E" w:rsidRPr="000D3432" w:rsidRDefault="009E6E2E" w:rsidP="009E6E2E">
      <w:pPr>
        <w:ind w:left="2124"/>
        <w:rPr>
          <w:rFonts w:asciiTheme="minorHAnsi" w:hAnsiTheme="minorHAnsi"/>
          <w:b/>
          <w:szCs w:val="24"/>
          <w:lang w:val="es-ES_tradnl"/>
        </w:rPr>
      </w:pPr>
      <w:r w:rsidRPr="000D3432">
        <w:rPr>
          <w:rFonts w:asciiTheme="minorHAnsi" w:hAnsiTheme="minorHAnsi"/>
          <w:b/>
          <w:szCs w:val="24"/>
          <w:lang w:val="es-ES_tradnl"/>
        </w:rPr>
        <w:t xml:space="preserve">1.- Conceptos </w:t>
      </w:r>
    </w:p>
    <w:p w14:paraId="6A4B938F"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a)  Concepto Doctrinal: </w:t>
      </w:r>
    </w:p>
    <w:p w14:paraId="7068C62A"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b)  Concepto Legal: </w:t>
      </w:r>
    </w:p>
    <w:p w14:paraId="7E8724B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Adjudicación al Estado</w:t>
      </w:r>
      <w:r w:rsidRPr="000D3432">
        <w:rPr>
          <w:rFonts w:asciiTheme="minorHAnsi" w:hAnsiTheme="minorHAnsi"/>
          <w:color w:val="000000"/>
          <w:szCs w:val="24"/>
          <w:lang w:val="es-ES_tradnl" w:eastAsia="es-PE"/>
        </w:rPr>
        <w:t> </w:t>
      </w:r>
      <w:r w:rsidRPr="000D3432">
        <w:rPr>
          <w:rFonts w:asciiTheme="minorHAnsi" w:hAnsiTheme="minorHAnsi" w:cs="Arial"/>
          <w:b/>
          <w:bCs/>
          <w:color w:val="000000"/>
          <w:szCs w:val="24"/>
          <w:lang w:val="es-ES_tradnl" w:eastAsia="es-PE"/>
        </w:rPr>
        <w:t>de bienes decomisados</w:t>
      </w:r>
    </w:p>
    <w:p w14:paraId="2197F98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w:t>
      </w:r>
      <w:r w:rsidRPr="000D3432">
        <w:rPr>
          <w:rFonts w:asciiTheme="minorHAnsi" w:hAnsiTheme="minorHAnsi" w:cs="Arial"/>
          <w:b/>
          <w:bCs/>
          <w:color w:val="000000"/>
          <w:szCs w:val="24"/>
          <w:lang w:val="es-ES_tradnl" w:eastAsia="es-PE"/>
        </w:rPr>
        <w:t>Artículo 401-B.-</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Los bienes decomisados e incautados durante la investigación policial y proceso judicial, serán puestos a disposición del Ministerio de Justicia; el que los asignará para su uso en servicio oficial o</w:t>
      </w:r>
      <w:r w:rsidRPr="000D3432">
        <w:rPr>
          <w:rFonts w:asciiTheme="minorHAnsi" w:hAnsiTheme="minorHAnsi"/>
          <w:color w:val="000000"/>
          <w:szCs w:val="24"/>
          <w:lang w:val="es-ES_tradnl" w:eastAsia="es-PE"/>
        </w:rPr>
        <w:t> </w:t>
      </w:r>
      <w:r w:rsidRPr="000D3432">
        <w:rPr>
          <w:rFonts w:asciiTheme="minorHAnsi" w:hAnsiTheme="minorHAnsi" w:cs="Arial"/>
          <w:color w:val="000000"/>
          <w:szCs w:val="24"/>
          <w:lang w:val="es-ES_tradnl" w:eastAsia="es-PE"/>
        </w:rPr>
        <w:fldChar w:fldCharType="begin"/>
      </w:r>
      <w:r w:rsidRPr="000D3432">
        <w:rPr>
          <w:rFonts w:asciiTheme="minorHAnsi" w:hAnsiTheme="minorHAnsi" w:cs="Arial"/>
          <w:color w:val="000000"/>
          <w:szCs w:val="24"/>
          <w:lang w:val="es-ES_tradnl" w:eastAsia="es-PE"/>
        </w:rPr>
        <w:instrText xml:space="preserve"> HYPERLINK "http://spij.minjus.gob.pe/CLP/contenidos.dll/demo/coleccion00000.htm/tomo00006.htm/sumilla00011.htm?f=templates$fn=document-frame.htm$3.0$q=$x=" \t "_blank" </w:instrText>
      </w:r>
      <w:r w:rsidRPr="000D3432">
        <w:rPr>
          <w:rFonts w:asciiTheme="minorHAnsi" w:hAnsiTheme="minorHAnsi" w:cs="Arial"/>
          <w:color w:val="000000"/>
          <w:szCs w:val="24"/>
          <w:lang w:val="es-ES_tradnl" w:eastAsia="es-PE"/>
        </w:rPr>
      </w:r>
      <w:r w:rsidRPr="000D3432">
        <w:rPr>
          <w:rFonts w:asciiTheme="minorHAnsi" w:hAnsiTheme="minorHAnsi" w:cs="Arial"/>
          <w:color w:val="000000"/>
          <w:szCs w:val="24"/>
          <w:lang w:val="es-ES_tradnl" w:eastAsia="es-PE"/>
        </w:rPr>
        <w:fldChar w:fldCharType="separate"/>
      </w:r>
      <w:r w:rsidRPr="000D3432">
        <w:rPr>
          <w:rFonts w:asciiTheme="minorHAnsi" w:hAnsiTheme="minorHAnsi" w:cs="Arial"/>
          <w:color w:val="0000FF"/>
          <w:szCs w:val="24"/>
          <w:u w:val="single"/>
          <w:lang w:val="es-ES_tradnl" w:eastAsia="es-PE"/>
        </w:rPr>
        <w:t>(*) RECTIFICADO POR FE DE ERRATAS</w:t>
      </w:r>
      <w:r w:rsidRPr="000D3432">
        <w:rPr>
          <w:rFonts w:asciiTheme="minorHAnsi" w:hAnsiTheme="minorHAnsi" w:cs="Arial"/>
          <w:color w:val="000000"/>
          <w:szCs w:val="24"/>
          <w:lang w:val="es-ES_tradnl" w:eastAsia="es-PE"/>
        </w:rPr>
        <w:fldChar w:fldCharType="end"/>
      </w:r>
      <w:r w:rsidRPr="000D3432">
        <w:rPr>
          <w:rFonts w:asciiTheme="minorHAnsi" w:hAnsiTheme="minorHAnsi" w:cs="Arial"/>
          <w:b/>
          <w:bCs/>
          <w:color w:val="000000"/>
          <w:szCs w:val="24"/>
          <w:lang w:val="es-ES_tradnl" w:eastAsia="es-PE"/>
        </w:rPr>
        <w:t> </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del Poder Judicial y el Ministerio Público, en su caso, bajo responsabilidad."</w:t>
      </w:r>
      <w:r w:rsidRPr="000D3432">
        <w:rPr>
          <w:rFonts w:asciiTheme="minorHAnsi" w:hAnsiTheme="minorHAnsi"/>
          <w:color w:val="000000"/>
          <w:szCs w:val="24"/>
          <w:lang w:val="es-ES_tradnl" w:eastAsia="es-PE"/>
        </w:rPr>
        <w:t> </w:t>
      </w:r>
    </w:p>
    <w:p w14:paraId="5E4BF4A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De dictarse sentencia judicial absolutoria se dispondrá la devolución del bien a su propietario.</w:t>
      </w:r>
    </w:p>
    <w:p w14:paraId="22F4766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Los bienes decomisados o incautados definitivamente serán adjudicados al Estado y afectados en uso a los mencionados organismos públicos. Aquellos bienes que no sirvan para este fin serán vendidos en pública subasta y su producto constituirá ingresos del Tesoro Público.</w:t>
      </w:r>
      <w:r w:rsidRPr="000D3432">
        <w:rPr>
          <w:rFonts w:asciiTheme="minorHAnsi" w:hAnsiTheme="minorHAnsi"/>
          <w:color w:val="000000"/>
          <w:szCs w:val="24"/>
          <w:lang w:val="es-ES_tradnl" w:eastAsia="es-PE"/>
        </w:rPr>
        <w:t> </w:t>
      </w:r>
      <w:r w:rsidRPr="000D3432">
        <w:rPr>
          <w:rFonts w:asciiTheme="minorHAnsi" w:hAnsiTheme="minorHAnsi" w:cs="Arial"/>
          <w:b/>
          <w:bCs/>
          <w:color w:val="000000"/>
          <w:szCs w:val="24"/>
          <w:lang w:val="es-ES_tradnl" w:eastAsia="es-PE"/>
        </w:rPr>
        <w:t>(*)</w:t>
      </w:r>
    </w:p>
    <w:p w14:paraId="176EB31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Artículo incorporado por el Artículo 2 del Decreto Ley Nº 25489, publicado el 10-05-92</w:t>
      </w:r>
    </w:p>
    <w:p w14:paraId="0CDA691B"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D.S. Nº 029-2001-JUS (Comisión de Administración de Bienes Incautados y Decomisados - COMABID)</w:t>
      </w:r>
    </w:p>
    <w:p w14:paraId="31FEF72B" w14:textId="77777777" w:rsidR="009E6E2E" w:rsidRPr="000D3432" w:rsidRDefault="009E6E2E" w:rsidP="009E6E2E">
      <w:pPr>
        <w:ind w:left="2832"/>
        <w:rPr>
          <w:rFonts w:asciiTheme="minorHAnsi" w:hAnsiTheme="minorHAnsi"/>
          <w:szCs w:val="24"/>
          <w:lang w:val="es-ES_tradnl"/>
        </w:rPr>
      </w:pPr>
    </w:p>
    <w:p w14:paraId="1D5CF59B" w14:textId="77777777" w:rsidR="009E6E2E" w:rsidRPr="000D3432" w:rsidRDefault="009E6E2E" w:rsidP="009E6E2E">
      <w:pPr>
        <w:ind w:left="1416"/>
        <w:rPr>
          <w:rFonts w:asciiTheme="minorHAnsi" w:hAnsiTheme="minorHAnsi" w:cs="Arial"/>
          <w:szCs w:val="24"/>
          <w:lang w:val="es-ES_tradnl"/>
        </w:rPr>
      </w:pPr>
      <w:r w:rsidRPr="000D3432">
        <w:rPr>
          <w:rFonts w:asciiTheme="minorHAnsi" w:hAnsiTheme="minorHAnsi" w:cs="Arial"/>
          <w:szCs w:val="24"/>
          <w:lang w:val="es-ES_tradnl"/>
        </w:rPr>
        <w:br w:type="page"/>
      </w:r>
    </w:p>
    <w:p w14:paraId="1246EBA4" w14:textId="77777777" w:rsidR="009E6E2E" w:rsidRPr="000D3432" w:rsidRDefault="009E6E2E" w:rsidP="009E6E2E">
      <w:pPr>
        <w:rPr>
          <w:rFonts w:asciiTheme="minorHAnsi" w:hAnsiTheme="minorHAnsi" w:cs="Arial"/>
          <w:b/>
          <w:szCs w:val="24"/>
          <w:u w:val="single"/>
          <w:lang w:val="es-ES_tradnl"/>
        </w:rPr>
      </w:pPr>
    </w:p>
    <w:p w14:paraId="45CAAC1F" w14:textId="77777777" w:rsidR="009E6E2E" w:rsidRPr="000D3432" w:rsidRDefault="009E6E2E" w:rsidP="009E6E2E">
      <w:pPr>
        <w:rPr>
          <w:rFonts w:asciiTheme="minorHAnsi" w:hAnsiTheme="minorHAnsi" w:cs="Arial"/>
          <w:b/>
          <w:szCs w:val="24"/>
          <w:u w:val="single"/>
          <w:lang w:val="es-ES_tradnl"/>
        </w:rPr>
      </w:pPr>
    </w:p>
    <w:p w14:paraId="0B3A0E49" w14:textId="77777777" w:rsidR="009E6E2E" w:rsidRPr="000D3432" w:rsidRDefault="009E6E2E" w:rsidP="009E6E2E">
      <w:pPr>
        <w:rPr>
          <w:rFonts w:asciiTheme="minorHAnsi" w:hAnsiTheme="minorHAnsi" w:cs="Arial"/>
          <w:b/>
          <w:szCs w:val="24"/>
          <w:u w:val="single"/>
          <w:lang w:val="es-ES_tradnl"/>
        </w:rPr>
      </w:pPr>
    </w:p>
    <w:p w14:paraId="4D42C502" w14:textId="77777777" w:rsidR="009E6E2E" w:rsidRPr="000D3432" w:rsidRDefault="009E6E2E" w:rsidP="009E6E2E">
      <w:pPr>
        <w:rPr>
          <w:rFonts w:asciiTheme="minorHAnsi" w:hAnsiTheme="minorHAnsi" w:cs="Arial"/>
          <w:b/>
          <w:szCs w:val="24"/>
          <w:u w:val="single"/>
          <w:lang w:val="es-ES_tradnl"/>
        </w:rPr>
      </w:pPr>
    </w:p>
    <w:p w14:paraId="158CCA4D" w14:textId="77777777" w:rsidR="009E6E2E" w:rsidRPr="000D3432" w:rsidRDefault="009E6E2E" w:rsidP="009E6E2E">
      <w:pPr>
        <w:rPr>
          <w:rFonts w:asciiTheme="minorHAnsi" w:hAnsiTheme="minorHAnsi" w:cs="Arial"/>
          <w:b/>
          <w:szCs w:val="24"/>
          <w:u w:val="single"/>
          <w:lang w:val="es-ES_tradnl"/>
        </w:rPr>
      </w:pPr>
    </w:p>
    <w:p w14:paraId="5539A704" w14:textId="77777777" w:rsidR="009E6E2E" w:rsidRPr="000D3432" w:rsidRDefault="009E6E2E" w:rsidP="009E6E2E">
      <w:pPr>
        <w:rPr>
          <w:rFonts w:asciiTheme="minorHAnsi" w:hAnsiTheme="minorHAnsi" w:cs="Arial"/>
          <w:b/>
          <w:szCs w:val="24"/>
          <w:u w:val="single"/>
          <w:lang w:val="es-ES_tradnl"/>
        </w:rPr>
      </w:pPr>
    </w:p>
    <w:p w14:paraId="1FC92364" w14:textId="77777777" w:rsidR="009E6E2E" w:rsidRPr="000D3432" w:rsidRDefault="009E6E2E" w:rsidP="009E6E2E">
      <w:pPr>
        <w:jc w:val="center"/>
        <w:rPr>
          <w:rFonts w:asciiTheme="minorHAnsi" w:hAnsiTheme="minorHAnsi" w:cs="Arial"/>
          <w:b/>
          <w:color w:val="C0504D" w:themeColor="accent2"/>
          <w:szCs w:val="24"/>
          <w:u w:val="single"/>
          <w:lang w:val="es-ES_tradnl"/>
        </w:rPr>
      </w:pPr>
      <w:r w:rsidRPr="000D3432">
        <w:rPr>
          <w:rFonts w:asciiTheme="minorHAnsi" w:hAnsiTheme="minorHAnsi" w:cs="Arial"/>
          <w:b/>
          <w:color w:val="C0504D" w:themeColor="accent2"/>
          <w:szCs w:val="24"/>
          <w:u w:val="single"/>
          <w:lang w:val="es-ES_tradnl"/>
        </w:rPr>
        <w:t>TITULO VIII</w:t>
      </w:r>
    </w:p>
    <w:p w14:paraId="025F6C21" w14:textId="77777777" w:rsidR="009E6E2E" w:rsidRPr="000D3432" w:rsidRDefault="009E6E2E" w:rsidP="009E6E2E">
      <w:pPr>
        <w:jc w:val="center"/>
        <w:rPr>
          <w:rFonts w:asciiTheme="minorHAnsi" w:hAnsiTheme="minorHAnsi" w:cs="Arial"/>
          <w:b/>
          <w:color w:val="C0504D" w:themeColor="accent2"/>
          <w:szCs w:val="24"/>
          <w:lang w:val="es-ES_tradnl"/>
        </w:rPr>
      </w:pPr>
      <w:r w:rsidRPr="000D3432">
        <w:rPr>
          <w:rFonts w:asciiTheme="minorHAnsi" w:hAnsiTheme="minorHAnsi" w:cs="Arial"/>
          <w:b/>
          <w:color w:val="C0504D" w:themeColor="accent2"/>
          <w:szCs w:val="24"/>
          <w:lang w:val="es-ES_tradnl"/>
        </w:rPr>
        <w:t>DELITOS CONTRA LA ADMINISTRACIÓN DE JUSTICIA</w:t>
      </w:r>
    </w:p>
    <w:p w14:paraId="21C3D554" w14:textId="77777777" w:rsidR="009E6E2E" w:rsidRPr="000D3432" w:rsidRDefault="009E6E2E" w:rsidP="009E6E2E">
      <w:pPr>
        <w:ind w:left="708"/>
        <w:rPr>
          <w:rFonts w:asciiTheme="minorHAnsi" w:hAnsiTheme="minorHAnsi" w:cs="Arial"/>
          <w:b/>
          <w:color w:val="C0504D" w:themeColor="accent2"/>
          <w:szCs w:val="24"/>
          <w:lang w:val="es-ES_tradnl"/>
        </w:rPr>
      </w:pPr>
    </w:p>
    <w:p w14:paraId="70DBB8DA"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w:t>
      </w:r>
    </w:p>
    <w:p w14:paraId="384F830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DELITOS CONTRA LA FUNCIÓN JURISDICCIONAL</w:t>
      </w:r>
    </w:p>
    <w:p w14:paraId="5D625286" w14:textId="77777777" w:rsidR="009E6E2E" w:rsidRPr="000D3432" w:rsidRDefault="009E6E2E" w:rsidP="009E6E2E">
      <w:pPr>
        <w:rPr>
          <w:rFonts w:asciiTheme="minorHAnsi" w:hAnsiTheme="minorHAnsi" w:cs="Arial"/>
          <w:b/>
          <w:szCs w:val="24"/>
          <w:lang w:val="es-ES_tradnl"/>
        </w:rPr>
      </w:pPr>
    </w:p>
    <w:p w14:paraId="2004B440" w14:textId="77777777" w:rsidR="009E6E2E" w:rsidRPr="000D3432" w:rsidRDefault="009E6E2E" w:rsidP="009E6E2E">
      <w:pPr>
        <w:ind w:left="1416"/>
        <w:rPr>
          <w:rFonts w:asciiTheme="minorHAnsi" w:hAnsiTheme="minorHAnsi" w:cs="Arial"/>
          <w:b/>
          <w:szCs w:val="24"/>
          <w:lang w:val="es-ES_tradnl"/>
        </w:rPr>
      </w:pPr>
    </w:p>
    <w:p w14:paraId="6F83BF5B"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w:t>
      </w:r>
    </w:p>
    <w:p w14:paraId="2C510A8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DENUNCIA CALUMNIOSA</w:t>
      </w:r>
    </w:p>
    <w:p w14:paraId="3C0DE2A4" w14:textId="485293C5" w:rsidR="009E6E2E" w:rsidRPr="000D3432" w:rsidRDefault="009E6E2E" w:rsidP="009E6E2E">
      <w:pPr>
        <w:rPr>
          <w:rFonts w:asciiTheme="minorHAnsi" w:hAnsiTheme="minorHAnsi"/>
          <w:szCs w:val="24"/>
          <w:lang w:val="es-ES_tradnl"/>
        </w:rPr>
      </w:pPr>
    </w:p>
    <w:p w14:paraId="7BBC823E" w14:textId="77777777" w:rsidR="009E6E2E" w:rsidRPr="000D3432" w:rsidRDefault="009E6E2E" w:rsidP="009E6E2E">
      <w:pPr>
        <w:jc w:val="both"/>
        <w:rPr>
          <w:rFonts w:asciiTheme="minorHAnsi" w:hAnsiTheme="minorHAnsi" w:cs="Arial"/>
          <w:b/>
          <w:bCs/>
          <w:color w:val="000000"/>
          <w:szCs w:val="24"/>
          <w:lang w:val="es-ES_tradnl" w:eastAsia="es-PE"/>
        </w:rPr>
      </w:pPr>
    </w:p>
    <w:p w14:paraId="1FD15BA2" w14:textId="77777777" w:rsidR="00334674" w:rsidRPr="00334674" w:rsidRDefault="00334674" w:rsidP="009E6E2E">
      <w:pPr>
        <w:jc w:val="both"/>
        <w:rPr>
          <w:rFonts w:asciiTheme="minorHAnsi" w:hAnsiTheme="minorHAnsi" w:cs="Arial"/>
          <w:b/>
          <w:bCs/>
          <w:color w:val="000000"/>
          <w:szCs w:val="24"/>
          <w:lang w:val="es-ES_tradnl" w:eastAsia="es-PE"/>
        </w:rPr>
      </w:pPr>
      <w:r w:rsidRPr="00334674">
        <w:rPr>
          <w:rFonts w:asciiTheme="minorHAnsi" w:hAnsiTheme="minorHAnsi" w:cs="Arial"/>
          <w:b/>
          <w:bCs/>
          <w:color w:val="000000"/>
          <w:szCs w:val="24"/>
          <w:lang w:val="es-ES_tradnl" w:eastAsia="es-PE"/>
        </w:rPr>
        <w:t>1.- Concepto doctrinario del delito de denuncia calumniosa</w:t>
      </w:r>
    </w:p>
    <w:p w14:paraId="68D70349" w14:textId="77777777" w:rsidR="00334674" w:rsidRDefault="00334674" w:rsidP="009E6E2E">
      <w:pPr>
        <w:jc w:val="both"/>
        <w:rPr>
          <w:rFonts w:asciiTheme="minorHAnsi" w:hAnsiTheme="minorHAnsi" w:cs="Arial"/>
          <w:bCs/>
          <w:color w:val="000000"/>
          <w:szCs w:val="24"/>
          <w:lang w:val="es-ES_tradnl" w:eastAsia="es-PE"/>
        </w:rPr>
      </w:pPr>
    </w:p>
    <w:p w14:paraId="4F87477C" w14:textId="3DB5219B"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Cs/>
          <w:color w:val="000000"/>
          <w:szCs w:val="24"/>
          <w:lang w:val="es-ES_tradnl" w:eastAsia="es-PE"/>
        </w:rPr>
        <w:t xml:space="preserve">Las nociones de denuncia calumniosa tiene que ver con varios factores, la conciencia o conocimiento de la verdad y la calumnia o perjuicio en el honor de la persona, «imputación falsa de un delito». La denuncia es un acto mediante el cual a través de un instrumento de comunicación (oral, escrito, virtual) se afirma ser conocedor de un hecho ilícito, delictivo, y que se sabe e imputa quién es el responsable, autor, coautor, de dicho acto ilícito. </w:t>
      </w:r>
    </w:p>
    <w:p w14:paraId="13CE2EB9" w14:textId="77777777" w:rsidR="009E6E2E" w:rsidRPr="000D3432" w:rsidRDefault="009E6E2E" w:rsidP="009E6E2E">
      <w:pPr>
        <w:jc w:val="both"/>
        <w:rPr>
          <w:rFonts w:asciiTheme="minorHAnsi" w:hAnsiTheme="minorHAnsi" w:cs="Arial"/>
          <w:bCs/>
          <w:color w:val="000000"/>
          <w:szCs w:val="24"/>
          <w:lang w:val="es-ES_tradnl" w:eastAsia="es-PE"/>
        </w:rPr>
      </w:pPr>
    </w:p>
    <w:p w14:paraId="13DDF566" w14:textId="2FF75574" w:rsidR="009E6E2E" w:rsidRPr="00334674" w:rsidRDefault="009E6E2E" w:rsidP="00334674">
      <w:pPr>
        <w:spacing w:after="240"/>
        <w:jc w:val="both"/>
        <w:rPr>
          <w:rFonts w:asciiTheme="minorHAnsi" w:hAnsiTheme="minorHAnsi" w:cs="Times"/>
          <w:szCs w:val="24"/>
        </w:rPr>
      </w:pPr>
      <w:r w:rsidRPr="000D3432">
        <w:rPr>
          <w:rFonts w:asciiTheme="minorHAnsi" w:hAnsiTheme="minorHAnsi" w:cs="Helvetica"/>
          <w:bCs/>
          <w:i/>
          <w:iCs/>
          <w:szCs w:val="24"/>
        </w:rPr>
        <w:t>“Para la existencia del delito de denuncia calumniosa se requiere que la persona efectúe la denuncia sabiendo que el delito no existe, por lo que al existir este, pero no haberse demostrado la responsabilidad del denunciado, no se configura el mismo.” Según url: http://sistemas.amag.edu.pe/publicaciones/dere_pen_proce_penal/serie_jurisprud4/467-492.pdf</w:t>
      </w:r>
    </w:p>
    <w:p w14:paraId="5F3E8C0A" w14:textId="77777777" w:rsidR="009E6E2E" w:rsidRDefault="009E6E2E" w:rsidP="009E6E2E">
      <w:pPr>
        <w:jc w:val="both"/>
        <w:rPr>
          <w:rFonts w:asciiTheme="minorHAnsi" w:hAnsiTheme="minorHAnsi" w:cs="Arial"/>
          <w:b/>
          <w:bCs/>
          <w:color w:val="000000"/>
          <w:szCs w:val="24"/>
          <w:lang w:val="es-ES_tradnl" w:eastAsia="es-PE"/>
        </w:rPr>
      </w:pPr>
    </w:p>
    <w:p w14:paraId="6FF24BD4" w14:textId="77777777" w:rsidR="00A546D0" w:rsidRDefault="00A546D0" w:rsidP="009E6E2E">
      <w:pPr>
        <w:jc w:val="both"/>
        <w:rPr>
          <w:rFonts w:asciiTheme="minorHAnsi" w:hAnsiTheme="minorHAnsi" w:cs="Arial"/>
          <w:b/>
          <w:bCs/>
          <w:color w:val="000000"/>
          <w:szCs w:val="24"/>
          <w:lang w:val="es-ES_tradnl" w:eastAsia="es-PE"/>
        </w:rPr>
      </w:pPr>
    </w:p>
    <w:p w14:paraId="7659D2C5" w14:textId="77547188" w:rsidR="00A546D0" w:rsidRDefault="00A546D0" w:rsidP="00A546D0">
      <w:pPr>
        <w:jc w:val="center"/>
        <w:rPr>
          <w:rFonts w:asciiTheme="minorHAnsi" w:hAnsiTheme="minorHAnsi" w:cs="Arial"/>
          <w:b/>
          <w:bCs/>
          <w:color w:val="000000"/>
          <w:szCs w:val="24"/>
          <w:lang w:val="es-ES_tradnl" w:eastAsia="es-PE"/>
        </w:rPr>
      </w:pPr>
      <w:r>
        <w:rPr>
          <w:rFonts w:asciiTheme="minorHAnsi" w:hAnsiTheme="minorHAnsi" w:cs="Arial"/>
          <w:b/>
          <w:bCs/>
          <w:color w:val="000000"/>
          <w:szCs w:val="24"/>
          <w:lang w:val="es-ES_tradnl" w:eastAsia="es-PE"/>
        </w:rPr>
        <w:t>(***)</w:t>
      </w:r>
    </w:p>
    <w:p w14:paraId="1CFB7F6E" w14:textId="77777777" w:rsidR="00A546D0" w:rsidRDefault="00A546D0" w:rsidP="00A546D0">
      <w:pPr>
        <w:jc w:val="center"/>
        <w:rPr>
          <w:rFonts w:asciiTheme="minorHAnsi" w:hAnsiTheme="minorHAnsi" w:cs="Arial"/>
          <w:b/>
          <w:bCs/>
          <w:color w:val="000000"/>
          <w:szCs w:val="24"/>
          <w:lang w:val="es-ES_tradnl" w:eastAsia="es-PE"/>
        </w:rPr>
      </w:pPr>
    </w:p>
    <w:p w14:paraId="19182C88" w14:textId="3C85DC1B" w:rsidR="00A546D0" w:rsidRDefault="00A546D0" w:rsidP="009E6E2E">
      <w:pPr>
        <w:jc w:val="both"/>
        <w:rPr>
          <w:rFonts w:asciiTheme="minorHAnsi" w:hAnsiTheme="minorHAnsi" w:cs="Arial"/>
          <w:b/>
          <w:bCs/>
          <w:color w:val="000000"/>
          <w:szCs w:val="24"/>
          <w:lang w:val="es-ES_tradnl" w:eastAsia="es-PE"/>
        </w:rPr>
      </w:pPr>
      <w:r>
        <w:rPr>
          <w:rFonts w:asciiTheme="minorHAnsi" w:hAnsiTheme="minorHAnsi" w:cs="Arial"/>
          <w:b/>
          <w:bCs/>
          <w:color w:val="000000"/>
          <w:szCs w:val="24"/>
          <w:lang w:val="es-ES_tradnl" w:eastAsia="es-PE"/>
        </w:rPr>
        <w:t xml:space="preserve">De acuerdo con la url: </w:t>
      </w:r>
      <w:hyperlink r:id="rId13" w:history="1">
        <w:r w:rsidRPr="006C68DD">
          <w:rPr>
            <w:rStyle w:val="Hipervnculo"/>
            <w:rFonts w:asciiTheme="minorHAnsi" w:hAnsiTheme="minorHAnsi" w:cs="Arial"/>
            <w:b/>
            <w:bCs/>
            <w:szCs w:val="24"/>
            <w:lang w:val="es-ES_tradnl" w:eastAsia="es-PE"/>
          </w:rPr>
          <w:t>http://sistemas.amag.edu.pe/publicaciones/derecho_civil/serie_jurisp_02/159-194.pdf</w:t>
        </w:r>
      </w:hyperlink>
      <w:r>
        <w:rPr>
          <w:rFonts w:asciiTheme="minorHAnsi" w:hAnsiTheme="minorHAnsi" w:cs="Arial"/>
          <w:b/>
          <w:bCs/>
          <w:color w:val="000000"/>
          <w:szCs w:val="24"/>
          <w:lang w:val="es-ES_tradnl" w:eastAsia="es-PE"/>
        </w:rPr>
        <w:t xml:space="preserve">, </w:t>
      </w:r>
    </w:p>
    <w:p w14:paraId="64F2D625" w14:textId="77777777" w:rsidR="00A546D0" w:rsidRDefault="00A546D0" w:rsidP="009E6E2E">
      <w:pPr>
        <w:jc w:val="both"/>
        <w:rPr>
          <w:rFonts w:asciiTheme="minorHAnsi" w:hAnsiTheme="minorHAnsi" w:cs="Arial"/>
          <w:b/>
          <w:bCs/>
          <w:color w:val="000000"/>
          <w:szCs w:val="24"/>
          <w:lang w:val="es-ES_tradnl" w:eastAsia="es-PE"/>
        </w:rPr>
      </w:pPr>
    </w:p>
    <w:p w14:paraId="7D9465B0" w14:textId="4E02B6B4" w:rsidR="00A546D0" w:rsidRDefault="00A546D0" w:rsidP="009E6E2E">
      <w:pPr>
        <w:jc w:val="both"/>
        <w:rPr>
          <w:rFonts w:asciiTheme="minorHAnsi" w:hAnsiTheme="minorHAnsi" w:cs="Arial"/>
          <w:b/>
          <w:bCs/>
          <w:color w:val="000000"/>
          <w:szCs w:val="24"/>
          <w:lang w:val="es-ES_tradnl" w:eastAsia="es-PE"/>
        </w:rPr>
      </w:pPr>
      <w:r>
        <w:rPr>
          <w:rFonts w:asciiTheme="minorHAnsi" w:hAnsiTheme="minorHAnsi" w:cs="Arial"/>
          <w:b/>
          <w:bCs/>
          <w:color w:val="000000"/>
          <w:szCs w:val="24"/>
          <w:lang w:val="es-ES_tradnl" w:eastAsia="es-PE"/>
        </w:rPr>
        <w:t xml:space="preserve">En el Exp. </w:t>
      </w:r>
      <w:r w:rsidRPr="00A546D0">
        <w:rPr>
          <w:rFonts w:ascii="Times" w:hAnsi="Times"/>
          <w:sz w:val="20"/>
          <w:lang w:val="es-ES_tradnl"/>
        </w:rPr>
        <w:t>N.° 98-0531-HUARAZ. Huaraz</w:t>
      </w:r>
      <w:r>
        <w:rPr>
          <w:rFonts w:ascii="Times" w:hAnsi="Times"/>
          <w:sz w:val="20"/>
          <w:lang w:val="es-ES_tradnl"/>
        </w:rPr>
        <w:t xml:space="preserve">, de fecha 23 de marzo de 1999, del Distrito Judicial de Ancash, se desprendería: </w:t>
      </w:r>
    </w:p>
    <w:p w14:paraId="25D9E2C0" w14:textId="77777777" w:rsidR="00A546D0" w:rsidRDefault="00A546D0" w:rsidP="009E6E2E">
      <w:pPr>
        <w:jc w:val="both"/>
        <w:rPr>
          <w:rFonts w:asciiTheme="minorHAnsi" w:hAnsiTheme="minorHAnsi" w:cs="Arial"/>
          <w:b/>
          <w:bCs/>
          <w:color w:val="000000"/>
          <w:szCs w:val="24"/>
          <w:lang w:val="es-ES_tradnl" w:eastAsia="es-PE"/>
        </w:rPr>
      </w:pPr>
    </w:p>
    <w:p w14:paraId="1904DD37" w14:textId="3E653474" w:rsidR="00A546D0" w:rsidRPr="00A546D0" w:rsidRDefault="00A546D0" w:rsidP="00A546D0">
      <w:pPr>
        <w:widowControl/>
        <w:overflowPunct/>
        <w:autoSpaceDE/>
        <w:autoSpaceDN/>
        <w:adjustRightInd/>
        <w:jc w:val="both"/>
        <w:textAlignment w:val="auto"/>
        <w:rPr>
          <w:rFonts w:ascii="Times" w:hAnsi="Times"/>
          <w:sz w:val="20"/>
          <w:lang w:val="es-ES_tradnl"/>
        </w:rPr>
      </w:pPr>
      <w:r>
        <w:rPr>
          <w:rFonts w:ascii="Times" w:hAnsi="Times"/>
          <w:sz w:val="20"/>
          <w:lang w:val="es-ES_tradnl"/>
        </w:rPr>
        <w:t>“</w:t>
      </w:r>
      <w:r w:rsidRPr="00A546D0">
        <w:rPr>
          <w:rFonts w:ascii="Times" w:hAnsi="Times"/>
          <w:sz w:val="20"/>
          <w:lang w:val="es-ES_tradnl"/>
        </w:rPr>
        <w:t xml:space="preserve">CASO 36 </w:t>
      </w:r>
      <w:r>
        <w:rPr>
          <w:rFonts w:ascii="Times" w:hAnsi="Times"/>
          <w:sz w:val="20"/>
          <w:lang w:val="es-ES_tradnl"/>
        </w:rPr>
        <w:t xml:space="preserve">/ </w:t>
      </w:r>
      <w:r w:rsidRPr="00A546D0">
        <w:rPr>
          <w:rFonts w:ascii="Times" w:hAnsi="Times"/>
          <w:sz w:val="20"/>
          <w:lang w:val="es-ES_tradnl"/>
        </w:rPr>
        <w:t>RESPONSABILIDAD CIVIL EXTRACONTRACTUAL RESPONSABILIDAD POR DENUNCIA CALUMNIOSA En aplicación de lo dispuesto en el artículo 1982° del Código Civil, no corresponde exigir indemnización de daños y perjuicios contra quien, ante la existencia de motivos razonables, denuncia ante autoridad competente a alguna persona, atribuyéndole la comisión de un hecho punible. Se presume la existencia de «motivos atendibles» cuando la denuncia presentada es formalizada por el Ministerio Público.</w:t>
      </w:r>
      <w:r>
        <w:rPr>
          <w:rFonts w:ascii="Times" w:hAnsi="Times"/>
          <w:sz w:val="20"/>
          <w:lang w:val="es-ES_tradnl"/>
        </w:rPr>
        <w:t xml:space="preserve">”. </w:t>
      </w:r>
    </w:p>
    <w:p w14:paraId="530E27DA" w14:textId="77777777" w:rsidR="00A546D0" w:rsidRDefault="00A546D0" w:rsidP="009E6E2E">
      <w:pPr>
        <w:jc w:val="both"/>
        <w:rPr>
          <w:rFonts w:asciiTheme="minorHAnsi" w:hAnsiTheme="minorHAnsi" w:cs="Arial"/>
          <w:b/>
          <w:bCs/>
          <w:color w:val="000000"/>
          <w:szCs w:val="24"/>
          <w:lang w:val="es-ES_tradnl" w:eastAsia="es-PE"/>
        </w:rPr>
      </w:pPr>
    </w:p>
    <w:p w14:paraId="6BA315F5" w14:textId="77777777" w:rsidR="00A546D0" w:rsidRDefault="00A546D0" w:rsidP="009E6E2E">
      <w:pPr>
        <w:jc w:val="both"/>
        <w:rPr>
          <w:rFonts w:asciiTheme="minorHAnsi" w:hAnsiTheme="minorHAnsi" w:cs="Arial"/>
          <w:b/>
          <w:bCs/>
          <w:color w:val="000000"/>
          <w:szCs w:val="24"/>
          <w:lang w:val="es-ES_tradnl" w:eastAsia="es-PE"/>
        </w:rPr>
      </w:pPr>
    </w:p>
    <w:p w14:paraId="428B6106" w14:textId="65E78D96" w:rsidR="002313AD" w:rsidRDefault="002313AD" w:rsidP="00C41014">
      <w:pPr>
        <w:jc w:val="center"/>
        <w:rPr>
          <w:rFonts w:asciiTheme="minorHAnsi" w:hAnsiTheme="minorHAnsi" w:cs="Arial"/>
          <w:b/>
          <w:bCs/>
          <w:color w:val="000000"/>
          <w:szCs w:val="24"/>
          <w:lang w:val="es-ES_tradnl" w:eastAsia="es-PE"/>
        </w:rPr>
      </w:pPr>
      <w:r>
        <w:rPr>
          <w:rFonts w:asciiTheme="minorHAnsi" w:hAnsiTheme="minorHAnsi" w:cs="Arial"/>
          <w:b/>
          <w:bCs/>
          <w:color w:val="000000"/>
          <w:szCs w:val="24"/>
          <w:lang w:val="es-ES_tradnl" w:eastAsia="es-PE"/>
        </w:rPr>
        <w:t>(***)</w:t>
      </w:r>
    </w:p>
    <w:p w14:paraId="7F2F9EC9" w14:textId="77777777" w:rsidR="002313AD" w:rsidRPr="00C41014" w:rsidRDefault="002313AD" w:rsidP="00C41014">
      <w:pPr>
        <w:jc w:val="both"/>
        <w:rPr>
          <w:rFonts w:asciiTheme="minorHAnsi" w:hAnsiTheme="minorHAnsi" w:cs="Arial"/>
          <w:bCs/>
          <w:color w:val="000000"/>
          <w:szCs w:val="24"/>
          <w:lang w:val="es-ES_tradnl" w:eastAsia="es-PE"/>
        </w:rPr>
      </w:pPr>
    </w:p>
    <w:p w14:paraId="60EB896B" w14:textId="1EE1CBA0" w:rsidR="002313AD" w:rsidRPr="00C41014" w:rsidRDefault="00C41014" w:rsidP="00C41014">
      <w:pPr>
        <w:jc w:val="both"/>
        <w:rPr>
          <w:rFonts w:asciiTheme="minorHAnsi" w:hAnsiTheme="minorHAnsi" w:cs="Arial"/>
          <w:bCs/>
          <w:color w:val="000000"/>
          <w:szCs w:val="24"/>
          <w:lang w:val="es-ES_tradnl" w:eastAsia="es-PE"/>
        </w:rPr>
      </w:pPr>
      <w:r w:rsidRPr="00C41014">
        <w:rPr>
          <w:rFonts w:ascii="Times" w:eastAsiaTheme="minorEastAsia" w:hAnsi="Times" w:cs="Times"/>
          <w:bCs/>
          <w:szCs w:val="24"/>
        </w:rPr>
        <w:t xml:space="preserve">Según Jairo Cieza Mora, en su artículo denominado: “La responsablidad civil por denuncia calumniosa y el abuso del denominado `ejercicio regular de un derecho`”, escrito en el la revista “Diálogo con la Jurisprudencia”, Nro. 165”, escribe: </w:t>
      </w:r>
    </w:p>
    <w:p w14:paraId="4703A636" w14:textId="77777777" w:rsidR="002313AD" w:rsidRDefault="002313AD" w:rsidP="009E6E2E">
      <w:pPr>
        <w:jc w:val="both"/>
        <w:rPr>
          <w:rFonts w:asciiTheme="minorHAnsi" w:hAnsiTheme="minorHAnsi" w:cs="Arial"/>
          <w:b/>
          <w:bCs/>
          <w:color w:val="000000"/>
          <w:szCs w:val="24"/>
          <w:lang w:val="es-ES_tradnl" w:eastAsia="es-PE"/>
        </w:rPr>
      </w:pPr>
    </w:p>
    <w:p w14:paraId="2EDBD51C" w14:textId="2E96B50F" w:rsidR="002313AD" w:rsidRDefault="002313AD" w:rsidP="00C41014">
      <w:pPr>
        <w:overflowPunct/>
        <w:spacing w:after="240"/>
        <w:jc w:val="both"/>
        <w:textAlignment w:val="auto"/>
        <w:rPr>
          <w:rFonts w:eastAsiaTheme="minorEastAsia"/>
          <w:sz w:val="26"/>
          <w:szCs w:val="26"/>
        </w:rPr>
      </w:pPr>
      <w:r>
        <w:rPr>
          <w:rFonts w:eastAsiaTheme="minorEastAsia"/>
          <w:sz w:val="26"/>
          <w:szCs w:val="26"/>
        </w:rPr>
        <w:t>“Si bien en materia penal el tema de la denominada de- nuncia calumniosa ha sido poco tratado debo referirme a una conversación sobre el particular con el Dr. José Anto- nio Caro Jhon, profesor de esta materia quien me señala- ba: “este es un tema escasamente tratado en lo penal. Lo cierto es que una denuncia calumniosa solo procede pe- nalmente luego que el proceso ha concluido con una sen- tencia, naturalmente absolutoria, donde se vea claramen- te que era forzada la imputación, sin pruebas. Mientras esté en trámite el proceso principal es imposible presentar, accionar por denuncia calumniosa, ya que al imputado le asiste la prognosis de una condena posible, lo que no ener- va su estado de inocencia. Se tiene que contar con el pro- ceso principal fenecido y con una absolución para pasar a un nuevo proceso por denuncia calumniosa. Repito, pero es necesario demostrar que ese proceso concluyó en ab- solución porque la calumnia era tal que no tenía otra for- ma de fenecer precisamente por la pura calumnia sin base probatoria. Porque si la absolución es por duda razonable, se caerá la denuncia calumniosa, ya que había la probabi- lidad razonable de una posible condena, basada en prue- bas”(2) (resaltado mío).” (</w:t>
      </w:r>
      <w:r w:rsidRPr="002313AD">
        <w:rPr>
          <w:rFonts w:eastAsiaTheme="minorEastAsia"/>
          <w:sz w:val="26"/>
          <w:szCs w:val="26"/>
        </w:rPr>
        <w:t>http://www.cyc-abogados.com/publicaciones/2.5.responsabilidad_civil_por_denuncia_calumniosa.pdf</w:t>
      </w:r>
      <w:r>
        <w:rPr>
          <w:rFonts w:eastAsiaTheme="minorEastAsia"/>
          <w:sz w:val="26"/>
          <w:szCs w:val="26"/>
        </w:rPr>
        <w:t>).</w:t>
      </w:r>
      <w:r w:rsidR="003E27F4">
        <w:rPr>
          <w:rFonts w:eastAsiaTheme="minorEastAsia"/>
          <w:sz w:val="26"/>
          <w:szCs w:val="26"/>
        </w:rPr>
        <w:t xml:space="preserve"> (pág. 65).</w:t>
      </w:r>
    </w:p>
    <w:p w14:paraId="0B56A6C6" w14:textId="77777777" w:rsidR="003E27F4" w:rsidRDefault="003E27F4" w:rsidP="002313AD">
      <w:pPr>
        <w:overflowPunct/>
        <w:spacing w:after="240"/>
        <w:textAlignment w:val="auto"/>
        <w:rPr>
          <w:rFonts w:eastAsiaTheme="minorEastAsia"/>
          <w:sz w:val="26"/>
          <w:szCs w:val="26"/>
        </w:rPr>
      </w:pPr>
    </w:p>
    <w:p w14:paraId="123EFE6D" w14:textId="78BDA8BA" w:rsidR="003E27F4" w:rsidRDefault="003E27F4" w:rsidP="003E27F4">
      <w:pPr>
        <w:overflowPunct/>
        <w:spacing w:after="240"/>
        <w:jc w:val="both"/>
        <w:textAlignment w:val="auto"/>
        <w:rPr>
          <w:rFonts w:ascii="Times" w:eastAsiaTheme="minorEastAsia" w:hAnsi="Times" w:cs="Times"/>
          <w:szCs w:val="24"/>
        </w:rPr>
      </w:pPr>
      <w:r>
        <w:rPr>
          <w:rFonts w:eastAsiaTheme="minorEastAsia"/>
          <w:sz w:val="26"/>
          <w:szCs w:val="26"/>
        </w:rPr>
        <w:t>“El artículo 1982 del Código Civil señala: “Corresponde exigir indemnización de daños y per- juicios contra quien a sabiendas de la falsedad de la imputación o de la ausencia de motivo razonable, de- nuncia ante autoridad competente a alguna persona atribuyéndole la comisión de un hecho punible”.” (</w:t>
      </w:r>
      <w:r w:rsidR="00D6617F" w:rsidRPr="002313AD">
        <w:rPr>
          <w:rFonts w:eastAsiaTheme="minorEastAsia"/>
          <w:sz w:val="26"/>
          <w:szCs w:val="26"/>
        </w:rPr>
        <w:t>http://www.cyc-abogados.com/publicaciones/2.5.responsabilidad_civil_por_denuncia_calumniosa.pdf</w:t>
      </w:r>
      <w:r>
        <w:rPr>
          <w:rFonts w:eastAsiaTheme="minorEastAsia"/>
          <w:sz w:val="26"/>
          <w:szCs w:val="26"/>
        </w:rPr>
        <w:t>) (pág. 65)</w:t>
      </w:r>
    </w:p>
    <w:p w14:paraId="1648B44D" w14:textId="77777777" w:rsidR="003E27F4" w:rsidRDefault="003E27F4" w:rsidP="002313AD">
      <w:pPr>
        <w:overflowPunct/>
        <w:spacing w:after="240"/>
        <w:textAlignment w:val="auto"/>
        <w:rPr>
          <w:rFonts w:ascii="Times" w:eastAsiaTheme="minorEastAsia" w:hAnsi="Times" w:cs="Times"/>
          <w:szCs w:val="24"/>
        </w:rPr>
      </w:pPr>
    </w:p>
    <w:p w14:paraId="04869905" w14:textId="2FCC6A8B" w:rsidR="0015531D" w:rsidRDefault="0015531D" w:rsidP="0015531D">
      <w:pPr>
        <w:overflowPunct/>
        <w:spacing w:after="240"/>
        <w:jc w:val="both"/>
        <w:textAlignment w:val="auto"/>
        <w:rPr>
          <w:rFonts w:ascii="Times" w:eastAsiaTheme="minorEastAsia" w:hAnsi="Times" w:cs="Times"/>
          <w:szCs w:val="24"/>
        </w:rPr>
      </w:pPr>
      <w:r>
        <w:rPr>
          <w:rFonts w:eastAsiaTheme="minorEastAsia"/>
          <w:sz w:val="26"/>
          <w:szCs w:val="26"/>
        </w:rPr>
        <w:t>“Con referencia al tipo de responsabilidad es claro que es- tamos ante una responsabilidad de carácter subjetiva. Así se puede apreciar de la estructura del artículo 1982 del CC que dos son los presupuestos para que se configure la res- ponsabilidad civil por denuncia calumniosa:</w:t>
      </w:r>
    </w:p>
    <w:p w14:paraId="3AA8FB7B" w14:textId="7C27D937" w:rsidR="0015531D" w:rsidRDefault="0015531D" w:rsidP="0015531D">
      <w:pPr>
        <w:overflowPunct/>
        <w:spacing w:after="240"/>
        <w:textAlignment w:val="auto"/>
        <w:rPr>
          <w:rFonts w:ascii="Times" w:eastAsiaTheme="minorEastAsia" w:hAnsi="Times" w:cs="Times"/>
          <w:szCs w:val="24"/>
        </w:rPr>
      </w:pPr>
      <w:r>
        <w:rPr>
          <w:rFonts w:eastAsiaTheme="minorEastAsia"/>
          <w:sz w:val="26"/>
          <w:szCs w:val="26"/>
        </w:rPr>
        <w:t>a) Que se conozca de la falsedad de la imputación efectuada.</w:t>
      </w:r>
    </w:p>
    <w:p w14:paraId="35CF24EB" w14:textId="18B43ED9" w:rsidR="0015531D" w:rsidRDefault="0015531D" w:rsidP="002313AD">
      <w:pPr>
        <w:overflowPunct/>
        <w:spacing w:after="240"/>
        <w:textAlignment w:val="auto"/>
        <w:rPr>
          <w:rFonts w:ascii="Times" w:eastAsiaTheme="minorEastAsia" w:hAnsi="Times" w:cs="Times"/>
          <w:szCs w:val="24"/>
        </w:rPr>
      </w:pPr>
      <w:r>
        <w:rPr>
          <w:rFonts w:eastAsiaTheme="minorEastAsia"/>
          <w:sz w:val="26"/>
          <w:szCs w:val="26"/>
        </w:rPr>
        <w:t>b) Que se carezca de un motivo razonable para denunciar.”  (</w:t>
      </w:r>
      <w:r w:rsidRPr="0015531D">
        <w:rPr>
          <w:rFonts w:eastAsiaTheme="minorEastAsia"/>
          <w:sz w:val="26"/>
          <w:szCs w:val="26"/>
        </w:rPr>
        <w:t>http://www.cyc-abogados.com/publicaciones/2.5.responsabilidad_civil_por_denuncia_calumniosa.pdf</w:t>
      </w:r>
      <w:r>
        <w:rPr>
          <w:rFonts w:eastAsiaTheme="minorEastAsia"/>
          <w:sz w:val="26"/>
          <w:szCs w:val="26"/>
        </w:rPr>
        <w:t>) (pág. 66)</w:t>
      </w:r>
    </w:p>
    <w:p w14:paraId="29660DDD" w14:textId="77777777" w:rsidR="002313AD" w:rsidRDefault="002313AD" w:rsidP="009E6E2E">
      <w:pPr>
        <w:jc w:val="both"/>
        <w:rPr>
          <w:rFonts w:asciiTheme="minorHAnsi" w:hAnsiTheme="minorHAnsi" w:cs="Arial"/>
          <w:b/>
          <w:bCs/>
          <w:color w:val="000000"/>
          <w:szCs w:val="24"/>
          <w:lang w:val="es-ES_tradnl" w:eastAsia="es-PE"/>
        </w:rPr>
      </w:pPr>
    </w:p>
    <w:p w14:paraId="7D8F4F18" w14:textId="3E961C88" w:rsidR="009E6E2E" w:rsidRPr="000D3432" w:rsidRDefault="009E6E2E" w:rsidP="009E6E2E">
      <w:pPr>
        <w:jc w:val="both"/>
        <w:rPr>
          <w:rFonts w:asciiTheme="minorHAnsi" w:hAnsiTheme="minorHAnsi" w:cs="Arial"/>
          <w:bCs/>
          <w:color w:val="000000"/>
          <w:szCs w:val="24"/>
          <w:lang w:val="es-ES_tradnl" w:eastAsia="es-PE"/>
        </w:rPr>
      </w:pPr>
      <w:r w:rsidRPr="000D3432">
        <w:rPr>
          <w:rFonts w:asciiTheme="minorHAnsi" w:hAnsiTheme="minorHAnsi" w:cs="Arial"/>
          <w:b/>
          <w:bCs/>
          <w:color w:val="000000"/>
          <w:szCs w:val="24"/>
          <w:lang w:val="es-ES_tradnl" w:eastAsia="es-PE"/>
        </w:rPr>
        <w:t xml:space="preserve">2.- Concepto </w:t>
      </w:r>
      <w:r w:rsidR="00334674">
        <w:rPr>
          <w:rFonts w:asciiTheme="minorHAnsi" w:hAnsiTheme="minorHAnsi" w:cs="Arial"/>
          <w:b/>
          <w:bCs/>
          <w:color w:val="000000"/>
          <w:szCs w:val="24"/>
          <w:lang w:val="es-ES_tradnl" w:eastAsia="es-PE"/>
        </w:rPr>
        <w:t xml:space="preserve">legal </w:t>
      </w:r>
      <w:r w:rsidRPr="000D3432">
        <w:rPr>
          <w:rFonts w:asciiTheme="minorHAnsi" w:hAnsiTheme="minorHAnsi" w:cs="Arial"/>
          <w:b/>
          <w:bCs/>
          <w:color w:val="000000"/>
          <w:szCs w:val="24"/>
          <w:lang w:val="es-ES_tradnl" w:eastAsia="es-PE"/>
        </w:rPr>
        <w:t>del delito de denuncia calumniosa</w:t>
      </w:r>
    </w:p>
    <w:p w14:paraId="7DDA4865" w14:textId="77777777" w:rsidR="009E6E2E" w:rsidRPr="000D3432" w:rsidRDefault="009E6E2E" w:rsidP="009E6E2E">
      <w:pPr>
        <w:jc w:val="both"/>
        <w:rPr>
          <w:rFonts w:asciiTheme="minorHAnsi" w:hAnsiTheme="minorHAnsi" w:cs="Arial"/>
          <w:bCs/>
          <w:color w:val="000000"/>
          <w:szCs w:val="24"/>
          <w:lang w:val="es-ES_tradnl" w:eastAsia="es-PE"/>
        </w:rPr>
      </w:pPr>
    </w:p>
    <w:p w14:paraId="3A18547C"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 “</w:t>
      </w:r>
      <w:r w:rsidRPr="000D3432">
        <w:rPr>
          <w:rFonts w:asciiTheme="minorHAnsi" w:hAnsiTheme="minorHAnsi" w:cs="Arial"/>
          <w:b/>
          <w:bCs/>
          <w:color w:val="000000"/>
          <w:szCs w:val="24"/>
          <w:lang w:val="es-ES_tradnl" w:eastAsia="es-PE"/>
        </w:rPr>
        <w:t>Denuncia calumniosa.- Artículo 402.-</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denuncia a la autoridad un hecho punible, a sabiendas que no se ha cometido, o el que simula pruebas o indicios de su comisión que puedan servir de motivo para un proceso penal o el que falsamente se atribuye delito no cometido o que ha sido cometido por otro, será reprimido con pena privativa de libertad no mayor de tres años. / </w:t>
      </w:r>
      <w:bookmarkStart w:id="177" w:name="JD_DLEG635-A402"/>
      <w:bookmarkEnd w:id="177"/>
      <w:r w:rsidRPr="000D3432">
        <w:rPr>
          <w:rFonts w:asciiTheme="minorHAnsi" w:hAnsiTheme="minorHAnsi" w:cs="Arial"/>
          <w:color w:val="000000"/>
          <w:szCs w:val="24"/>
          <w:lang w:val="es-ES_tradnl" w:eastAsia="es-PE"/>
        </w:rPr>
        <w:t>"Cuando la simulación directa o indirecta de pruebas o indicios de su comisión sea efectuada por miembros de la Policía Nacional u otro funcionario o servidor público encargado de la prevención del delito, y que puedan servir de sustento para un proceso penal por tráfico ilícito de drogas, la pena privativa de libertad será no menor de tres ni mayor de seis años."</w:t>
      </w:r>
      <w:r w:rsidRPr="000D3432">
        <w:rPr>
          <w:rFonts w:asciiTheme="minorHAnsi" w:hAnsiTheme="minorHAnsi"/>
          <w:color w:val="000000"/>
          <w:szCs w:val="24"/>
          <w:lang w:val="es-ES_tradnl" w:eastAsia="es-PE"/>
        </w:rPr>
        <w:t> </w:t>
      </w:r>
      <w:r w:rsidRPr="000D3432">
        <w:rPr>
          <w:rFonts w:asciiTheme="minorHAnsi" w:hAnsiTheme="minorHAnsi" w:cs="Arial"/>
          <w:b/>
          <w:bCs/>
          <w:color w:val="000000"/>
          <w:szCs w:val="24"/>
          <w:lang w:val="es-ES_tradnl" w:eastAsia="es-PE"/>
        </w:rPr>
        <w:t>(*) Párrafo adicionado por el Artículo Unico de la Ley Nº 27225, publicada el 17-12-99.</w:t>
      </w:r>
    </w:p>
    <w:p w14:paraId="526DF46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Ley N° 28611, Art. 149, num. 149.2</w:t>
      </w:r>
    </w:p>
    <w:p w14:paraId="5F453D8C" w14:textId="77777777" w:rsidR="009E6E2E" w:rsidRPr="000D3432" w:rsidRDefault="009E6E2E" w:rsidP="009E6E2E">
      <w:pPr>
        <w:jc w:val="both"/>
        <w:rPr>
          <w:rFonts w:asciiTheme="minorHAnsi" w:hAnsiTheme="minorHAnsi" w:cs="Arial"/>
          <w:color w:val="000000"/>
          <w:szCs w:val="24"/>
          <w:lang w:val="es-ES_tradnl" w:eastAsia="es-PE"/>
        </w:rPr>
      </w:pPr>
    </w:p>
    <w:p w14:paraId="7E571DEA" w14:textId="77777777" w:rsidR="009E6E2E" w:rsidRPr="000D3432" w:rsidRDefault="009E6E2E" w:rsidP="009E6E2E">
      <w:pPr>
        <w:jc w:val="both"/>
        <w:rPr>
          <w:rFonts w:asciiTheme="minorHAnsi" w:hAnsiTheme="minorHAnsi" w:cs="Arial"/>
          <w:color w:val="000000"/>
          <w:szCs w:val="24"/>
          <w:lang w:val="es-ES_tradnl" w:eastAsia="es-PE"/>
        </w:rPr>
      </w:pPr>
    </w:p>
    <w:p w14:paraId="6F23961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2.-</w:t>
      </w:r>
    </w:p>
    <w:p w14:paraId="4341C267"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OCULTAMIENTO DE MENOR A LAS INVESTIGACIONES</w:t>
      </w:r>
    </w:p>
    <w:p w14:paraId="55DBD5A6" w14:textId="77777777" w:rsidR="00B30904" w:rsidRDefault="00B30904" w:rsidP="009E6E2E">
      <w:pPr>
        <w:jc w:val="both"/>
        <w:rPr>
          <w:rFonts w:asciiTheme="minorHAnsi" w:hAnsiTheme="minorHAnsi" w:cs="Arial"/>
          <w:b/>
          <w:bCs/>
          <w:color w:val="000000"/>
          <w:szCs w:val="24"/>
          <w:lang w:val="es-ES_tradnl" w:eastAsia="es-PE"/>
        </w:rPr>
      </w:pPr>
    </w:p>
    <w:p w14:paraId="6DA01615" w14:textId="77777777" w:rsidR="00B30904" w:rsidRDefault="00B30904" w:rsidP="009E6E2E">
      <w:pPr>
        <w:jc w:val="both"/>
        <w:rPr>
          <w:rFonts w:asciiTheme="minorHAnsi" w:hAnsiTheme="minorHAnsi" w:cs="Arial"/>
          <w:b/>
          <w:bCs/>
          <w:color w:val="000000"/>
          <w:szCs w:val="24"/>
          <w:lang w:val="es-ES_tradnl" w:eastAsia="es-PE"/>
        </w:rPr>
      </w:pPr>
    </w:p>
    <w:p w14:paraId="317C24CE" w14:textId="77777777" w:rsidR="00B30904" w:rsidRDefault="00B30904" w:rsidP="009E6E2E">
      <w:pPr>
        <w:jc w:val="both"/>
        <w:rPr>
          <w:rFonts w:asciiTheme="minorHAnsi" w:hAnsiTheme="minorHAnsi" w:cs="Arial"/>
          <w:b/>
          <w:bCs/>
          <w:color w:val="000000"/>
          <w:szCs w:val="24"/>
          <w:lang w:val="es-ES_tradnl" w:eastAsia="es-PE"/>
        </w:rPr>
      </w:pPr>
    </w:p>
    <w:p w14:paraId="029CD260" w14:textId="77777777" w:rsidR="00B30904" w:rsidRDefault="00B30904" w:rsidP="009E6E2E">
      <w:pPr>
        <w:jc w:val="both"/>
        <w:rPr>
          <w:rFonts w:asciiTheme="minorHAnsi" w:hAnsiTheme="minorHAnsi" w:cs="Arial"/>
          <w:b/>
          <w:bCs/>
          <w:color w:val="000000"/>
          <w:szCs w:val="24"/>
          <w:lang w:val="es-ES_tradnl" w:eastAsia="es-PE"/>
        </w:rPr>
      </w:pPr>
    </w:p>
    <w:p w14:paraId="4CCBBF5C"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ocultamiento de menor a las investigaciones</w:t>
      </w:r>
    </w:p>
    <w:p w14:paraId="3F791360" w14:textId="77777777" w:rsidR="009E6E2E" w:rsidRPr="000D3432" w:rsidRDefault="009E6E2E" w:rsidP="009E6E2E">
      <w:pPr>
        <w:jc w:val="both"/>
        <w:rPr>
          <w:rFonts w:asciiTheme="minorHAnsi" w:hAnsiTheme="minorHAnsi" w:cs="Arial"/>
          <w:bCs/>
          <w:color w:val="000000"/>
          <w:szCs w:val="24"/>
          <w:lang w:val="es-ES_tradnl" w:eastAsia="es-PE"/>
        </w:rPr>
      </w:pPr>
    </w:p>
    <w:p w14:paraId="22E9136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 se establece “Ocultamiento de menor a las investigaciones.- </w:t>
      </w:r>
      <w:r w:rsidRPr="000D3432">
        <w:rPr>
          <w:rFonts w:asciiTheme="minorHAnsi" w:hAnsiTheme="minorHAnsi" w:cs="Arial"/>
          <w:b/>
          <w:bCs/>
          <w:color w:val="000000"/>
          <w:szCs w:val="24"/>
          <w:lang w:val="es-ES_tradnl" w:eastAsia="es-PE"/>
        </w:rPr>
        <w:t>Artículo 403.-</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oculta a un menor de edad a las investigaciones de la justicia o de la que realiza la autoridad competente, será reprimido con pena privativa de libertad no menor de uno ni mayor de tres años.”</w:t>
      </w:r>
    </w:p>
    <w:p w14:paraId="62995158" w14:textId="77777777" w:rsidR="009E6E2E" w:rsidRPr="000D3432" w:rsidRDefault="009E6E2E" w:rsidP="009E6E2E">
      <w:pPr>
        <w:ind w:left="2832"/>
        <w:rPr>
          <w:rFonts w:asciiTheme="minorHAnsi" w:hAnsiTheme="minorHAnsi"/>
          <w:szCs w:val="24"/>
          <w:lang w:val="es-ES_tradnl"/>
        </w:rPr>
      </w:pPr>
    </w:p>
    <w:p w14:paraId="2ED2866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3</w:t>
      </w:r>
    </w:p>
    <w:p w14:paraId="5D7A99F8"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ENCUBRIMIENTO PERSONAL</w:t>
      </w:r>
    </w:p>
    <w:p w14:paraId="4371B1A9" w14:textId="77777777" w:rsidR="009E6E2E" w:rsidRDefault="009E6E2E" w:rsidP="009E6E2E">
      <w:pPr>
        <w:jc w:val="both"/>
        <w:rPr>
          <w:rFonts w:asciiTheme="minorHAnsi" w:hAnsiTheme="minorHAnsi" w:cs="Arial"/>
          <w:b/>
          <w:color w:val="000000"/>
          <w:szCs w:val="24"/>
          <w:lang w:val="es-ES_tradnl" w:eastAsia="es-PE"/>
        </w:rPr>
      </w:pPr>
      <w:bookmarkStart w:id="178" w:name="JD_DLEG635-A404"/>
      <w:bookmarkEnd w:id="178"/>
    </w:p>
    <w:p w14:paraId="173BD774" w14:textId="77777777" w:rsidR="00444BC9" w:rsidRDefault="00444BC9" w:rsidP="009E6E2E">
      <w:pPr>
        <w:jc w:val="both"/>
        <w:rPr>
          <w:rFonts w:asciiTheme="minorHAnsi" w:hAnsiTheme="minorHAnsi" w:cs="Arial"/>
          <w:b/>
          <w:color w:val="000000"/>
          <w:szCs w:val="24"/>
          <w:lang w:val="es-ES_tradnl" w:eastAsia="es-PE"/>
        </w:rPr>
      </w:pPr>
    </w:p>
    <w:p w14:paraId="6DC54020" w14:textId="03FE691E" w:rsidR="00444BC9" w:rsidRDefault="00444BC9" w:rsidP="009E6E2E">
      <w:pPr>
        <w:jc w:val="both"/>
        <w:rPr>
          <w:rFonts w:asciiTheme="minorHAnsi" w:hAnsiTheme="minorHAnsi" w:cs="Arial"/>
          <w:b/>
          <w:color w:val="000000"/>
          <w:szCs w:val="24"/>
          <w:lang w:val="es-ES_tradnl" w:eastAsia="es-PE"/>
        </w:rPr>
      </w:pPr>
      <w:r>
        <w:rPr>
          <w:rFonts w:asciiTheme="minorHAnsi" w:hAnsiTheme="minorHAnsi" w:cs="Arial"/>
          <w:b/>
          <w:color w:val="000000"/>
          <w:szCs w:val="24"/>
          <w:lang w:val="es-ES_tradnl" w:eastAsia="es-PE"/>
        </w:rPr>
        <w:t>1.- Concepto doctrinario del delito de encubrimiento personal</w:t>
      </w:r>
    </w:p>
    <w:p w14:paraId="2DF45888" w14:textId="77777777" w:rsidR="00444BC9" w:rsidRDefault="00444BC9" w:rsidP="009E6E2E">
      <w:pPr>
        <w:jc w:val="both"/>
        <w:rPr>
          <w:rFonts w:asciiTheme="minorHAnsi" w:hAnsiTheme="minorHAnsi" w:cs="Arial"/>
          <w:b/>
          <w:color w:val="000000"/>
          <w:szCs w:val="24"/>
          <w:lang w:val="es-ES_tradnl" w:eastAsia="es-PE"/>
        </w:rPr>
      </w:pPr>
    </w:p>
    <w:p w14:paraId="52135F04" w14:textId="77777777" w:rsidR="00444BC9" w:rsidRDefault="00444BC9" w:rsidP="009E6E2E">
      <w:pPr>
        <w:jc w:val="both"/>
        <w:rPr>
          <w:rFonts w:asciiTheme="minorHAnsi" w:hAnsiTheme="minorHAnsi" w:cs="Arial"/>
          <w:b/>
          <w:color w:val="000000"/>
          <w:szCs w:val="24"/>
          <w:lang w:val="es-ES_tradnl" w:eastAsia="es-PE"/>
        </w:rPr>
      </w:pPr>
    </w:p>
    <w:p w14:paraId="4C31025B" w14:textId="01F7B7D8" w:rsidR="00444BC9" w:rsidRDefault="00444BC9" w:rsidP="009E6E2E">
      <w:pPr>
        <w:jc w:val="both"/>
        <w:rPr>
          <w:rFonts w:asciiTheme="minorHAnsi" w:hAnsiTheme="minorHAnsi" w:cs="Arial"/>
          <w:b/>
          <w:color w:val="000000"/>
          <w:szCs w:val="24"/>
          <w:lang w:val="es-ES_tradnl" w:eastAsia="es-PE"/>
        </w:rPr>
      </w:pPr>
      <w:r>
        <w:rPr>
          <w:rFonts w:asciiTheme="minorHAnsi" w:hAnsiTheme="minorHAnsi" w:cs="Arial"/>
          <w:b/>
          <w:color w:val="000000"/>
          <w:szCs w:val="24"/>
          <w:lang w:val="es-ES_tradnl" w:eastAsia="es-PE"/>
        </w:rPr>
        <w:t xml:space="preserve">Según indica  Pedro Cornejo , en la url: </w:t>
      </w:r>
    </w:p>
    <w:p w14:paraId="296D0157" w14:textId="24A65DEA" w:rsidR="00444BC9" w:rsidRDefault="00444BC9" w:rsidP="009E6E2E">
      <w:pPr>
        <w:jc w:val="both"/>
        <w:rPr>
          <w:rFonts w:asciiTheme="minorHAnsi" w:hAnsiTheme="minorHAnsi" w:cs="Arial"/>
          <w:b/>
          <w:color w:val="000000"/>
          <w:szCs w:val="24"/>
          <w:lang w:val="es-ES_tradnl" w:eastAsia="es-PE"/>
        </w:rPr>
      </w:pPr>
      <w:hyperlink r:id="rId14" w:history="1">
        <w:r w:rsidRPr="006C68DD">
          <w:rPr>
            <w:rStyle w:val="Hipervnculo"/>
            <w:rFonts w:asciiTheme="minorHAnsi" w:hAnsiTheme="minorHAnsi" w:cs="Arial"/>
            <w:b/>
            <w:szCs w:val="24"/>
            <w:lang w:val="es-ES_tradnl" w:eastAsia="es-PE"/>
          </w:rPr>
          <w:t>http://cornejotimote.blogspot.pe/2015/03/encubrimiento-personal-peru.html</w:t>
        </w:r>
      </w:hyperlink>
      <w:r>
        <w:rPr>
          <w:rFonts w:asciiTheme="minorHAnsi" w:hAnsiTheme="minorHAnsi" w:cs="Arial"/>
          <w:b/>
          <w:color w:val="000000"/>
          <w:szCs w:val="24"/>
          <w:lang w:val="es-ES_tradnl" w:eastAsia="es-PE"/>
        </w:rPr>
        <w:t>, escribe un artículo denominado “</w:t>
      </w:r>
      <w:r w:rsidR="00F23615">
        <w:rPr>
          <w:rFonts w:asciiTheme="minorHAnsi" w:hAnsiTheme="minorHAnsi" w:cs="Arial"/>
          <w:b/>
          <w:color w:val="000000"/>
          <w:szCs w:val="24"/>
          <w:lang w:val="es-ES_tradnl" w:eastAsia="es-PE"/>
        </w:rPr>
        <w:t xml:space="preserve">Encubrimiento personal – Perú”: </w:t>
      </w:r>
    </w:p>
    <w:p w14:paraId="75003962" w14:textId="77777777" w:rsidR="00F23615" w:rsidRDefault="00F23615" w:rsidP="009E6E2E">
      <w:pPr>
        <w:jc w:val="both"/>
        <w:rPr>
          <w:rFonts w:asciiTheme="minorHAnsi" w:hAnsiTheme="minorHAnsi" w:cs="Arial"/>
          <w:b/>
          <w:color w:val="000000"/>
          <w:szCs w:val="24"/>
          <w:lang w:val="es-ES_tradnl" w:eastAsia="es-PE"/>
        </w:rPr>
      </w:pPr>
    </w:p>
    <w:p w14:paraId="1B277F68" w14:textId="22F07149" w:rsidR="00F23615" w:rsidRPr="00F23615" w:rsidRDefault="00F23615" w:rsidP="00F23615">
      <w:pPr>
        <w:widowControl/>
        <w:overflowPunct/>
        <w:autoSpaceDE/>
        <w:autoSpaceDN/>
        <w:adjustRightInd/>
        <w:jc w:val="both"/>
        <w:textAlignment w:val="auto"/>
        <w:rPr>
          <w:rFonts w:ascii="Times" w:hAnsi="Times"/>
          <w:i/>
          <w:sz w:val="20"/>
          <w:lang w:val="es-ES_tradnl"/>
        </w:rPr>
      </w:pPr>
      <w:r>
        <w:rPr>
          <w:rFonts w:ascii="Arial" w:hAnsi="Arial" w:cs="Arial"/>
          <w:color w:val="000000"/>
          <w:szCs w:val="24"/>
          <w:shd w:val="clear" w:color="auto" w:fill="FFFFFF"/>
          <w:lang w:val="es-ES_tradnl"/>
        </w:rPr>
        <w:t>“</w:t>
      </w:r>
      <w:r w:rsidRPr="00F23615">
        <w:rPr>
          <w:rFonts w:ascii="Arial" w:hAnsi="Arial" w:cs="Arial"/>
          <w:i/>
          <w:color w:val="000000"/>
          <w:szCs w:val="24"/>
          <w:shd w:val="clear" w:color="auto" w:fill="FFFFFF"/>
          <w:lang w:val="es-ES_tradnl"/>
        </w:rPr>
        <w:t>En palabras de QUINTERO OLIVARES, el encubrimiento es sin duda una conducía dotada de su propio contenido de injusto en la medida en que ayuda al autor o al participe en un delito a alcanzar el agotamiento material de sus propósitos o a conseguir burlar la acción de la justicia, con lo cual el injusto cometido cristaliza y hasta se agranda en lo material, amén de que se frustra la reacción punitiva. El encubridor es causa de un nexo que él mismo Inicia y que concluye en su propio resultado. El delincuente encubierto lo fue de su cadena causal que concluyó en su propio delito. Una y otra ni se cruzan ni se complementan. Tienen vida táctica y típica distinta. Dicho en nuestras propias palabras: el encubrimiento nace cuando el delito ya se consumo, es decir, el encubridor interviene cuando el autor y el participe ya agotaron la realización típica, dando lugar a un nuevo disvalor, que aparece cuando aquél sustrae a un sujeto infractor de la persecución por un delito distinto, no pudiendo darse esta figura en un delito propio.”</w:t>
      </w:r>
    </w:p>
    <w:p w14:paraId="1D6D907C" w14:textId="77777777" w:rsidR="00F23615" w:rsidRDefault="00F23615" w:rsidP="009E6E2E">
      <w:pPr>
        <w:jc w:val="both"/>
        <w:rPr>
          <w:rFonts w:asciiTheme="minorHAnsi" w:hAnsiTheme="minorHAnsi" w:cs="Arial"/>
          <w:b/>
          <w:color w:val="000000"/>
          <w:szCs w:val="24"/>
          <w:lang w:val="es-ES_tradnl" w:eastAsia="es-PE"/>
        </w:rPr>
      </w:pPr>
    </w:p>
    <w:p w14:paraId="0F34381A" w14:textId="77777777" w:rsidR="00444BC9" w:rsidRPr="000D3432" w:rsidRDefault="00444BC9" w:rsidP="009E6E2E">
      <w:pPr>
        <w:jc w:val="both"/>
        <w:rPr>
          <w:rFonts w:asciiTheme="minorHAnsi" w:hAnsiTheme="minorHAnsi" w:cs="Arial"/>
          <w:b/>
          <w:color w:val="000000"/>
          <w:szCs w:val="24"/>
          <w:lang w:val="es-ES_tradnl" w:eastAsia="es-PE"/>
        </w:rPr>
      </w:pPr>
    </w:p>
    <w:p w14:paraId="7BB96FD1"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encubrimiento personal</w:t>
      </w:r>
    </w:p>
    <w:p w14:paraId="14039373" w14:textId="77777777" w:rsidR="009E6E2E" w:rsidRPr="000D3432" w:rsidRDefault="009E6E2E" w:rsidP="009E6E2E">
      <w:pPr>
        <w:jc w:val="both"/>
        <w:rPr>
          <w:rFonts w:asciiTheme="minorHAnsi" w:hAnsiTheme="minorHAnsi" w:cs="Arial"/>
          <w:color w:val="000000"/>
          <w:szCs w:val="24"/>
          <w:lang w:val="es-ES_tradnl" w:eastAsia="es-PE"/>
        </w:rPr>
      </w:pPr>
    </w:p>
    <w:p w14:paraId="683C5341"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404.- Encubrimiento personal.- </w:t>
      </w:r>
      <w:r w:rsidRPr="000D3432">
        <w:rPr>
          <w:rFonts w:asciiTheme="minorHAnsi" w:hAnsiTheme="minorHAnsi" w:cs="Arial"/>
          <w:color w:val="000000"/>
          <w:szCs w:val="24"/>
          <w:lang w:val="es-ES_tradnl" w:eastAsia="es-PE"/>
        </w:rPr>
        <w:t>El que sustrae a una persona de la persecución penal o a la ejecución de una pena o de otra medida ordenada por la justicia, será reprimido con pena privativa de libertad no menor de tres ni mayor de seis años.</w:t>
      </w:r>
      <w:r w:rsidRPr="000D3432">
        <w:rPr>
          <w:rFonts w:asciiTheme="minorHAnsi" w:hAnsiTheme="minorHAnsi"/>
          <w:color w:val="000000"/>
          <w:szCs w:val="24"/>
          <w:lang w:val="es-ES_tradnl" w:eastAsia="es-PE"/>
        </w:rPr>
        <w:t> /</w:t>
      </w:r>
      <w:r w:rsidRPr="000D3432">
        <w:rPr>
          <w:rFonts w:asciiTheme="minorHAnsi" w:hAnsiTheme="minorHAnsi" w:cs="Arial"/>
          <w:color w:val="000000"/>
          <w:szCs w:val="24"/>
          <w:lang w:val="es-ES_tradnl" w:eastAsia="es-PE"/>
        </w:rPr>
        <w:t xml:space="preserve"> Si el Agente sustrae al autor de los delitos previstos en los artículos 152 al 153 A, 200, 273 al 279-D, 296 al 298, 315, 317, 318- A, 325 al 333; 346 al 350, en la Ley Nº 27765 (Ley Penal contra el Lavado de Activos) o en el Decreto Ley Nº 25475 (Establecen la penalidad para los delitos de terrorismo y los procedimientos para la investigación, la instrucción y el juicio), la pena privativa de libertad será no menor de siete ni mayor de diez años y de ciento ochenta a trescientos sesenticinco días-multa.</w:t>
      </w:r>
      <w:r w:rsidRPr="000D3432">
        <w:rPr>
          <w:rFonts w:asciiTheme="minorHAnsi" w:hAnsiTheme="minorHAnsi"/>
          <w:color w:val="000000"/>
          <w:szCs w:val="24"/>
          <w:lang w:val="es-ES_tradnl" w:eastAsia="es-PE"/>
        </w:rPr>
        <w:t xml:space="preserve"> / </w:t>
      </w:r>
      <w:r w:rsidRPr="000D3432">
        <w:rPr>
          <w:rFonts w:asciiTheme="minorHAnsi" w:hAnsiTheme="minorHAnsi" w:cs="Arial"/>
          <w:color w:val="000000"/>
          <w:szCs w:val="24"/>
          <w:lang w:val="es-ES_tradnl" w:eastAsia="es-PE"/>
        </w:rPr>
        <w:t>Si el autor del encubrimiento personal es funcionario o servidor público encargado de la investigación del delito o de la custodia del delincuente, la pena será privativa de libertad no menor de diez ni mayor de quince años.</w:t>
      </w:r>
      <w:r w:rsidRPr="000D3432">
        <w:rPr>
          <w:rFonts w:asciiTheme="minorHAnsi" w:hAnsiTheme="minorHAnsi" w:cs="Arial"/>
          <w:b/>
          <w:bCs/>
          <w:color w:val="000000"/>
          <w:szCs w:val="24"/>
          <w:lang w:val="es-ES_tradnl" w:eastAsia="es-PE"/>
        </w:rPr>
        <w:t>”</w:t>
      </w:r>
      <w:r w:rsidRPr="000D3432">
        <w:rPr>
          <w:rFonts w:asciiTheme="minorHAnsi" w:hAnsiTheme="minorHAnsi"/>
          <w:color w:val="000000"/>
          <w:szCs w:val="24"/>
          <w:lang w:val="es-ES_tradnl" w:eastAsia="es-PE"/>
        </w:rPr>
        <w:t> </w:t>
      </w:r>
    </w:p>
    <w:p w14:paraId="6D52D275"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D.S Nº 009-2010-JUS (Aprueban Procedimiento para el pago de la reparación civil a favor del Estado en casos de procesos seguidos sobre</w:t>
      </w:r>
      <w:r w:rsidRPr="000D3432">
        <w:rPr>
          <w:rFonts w:asciiTheme="minorHAnsi" w:hAnsiTheme="minorHAnsi" w:cs="Arial"/>
          <w:b/>
          <w:bCs/>
          <w:color w:val="000000"/>
          <w:szCs w:val="24"/>
          <w:lang w:val="es-ES_tradnl" w:eastAsia="es-PE"/>
        </w:rPr>
        <w:br/>
        <w:t>               delitos de corrupción y otros delitos conexos)</w:t>
      </w:r>
    </w:p>
    <w:p w14:paraId="1D60B749" w14:textId="77777777" w:rsidR="009E6E2E" w:rsidRPr="000D3432" w:rsidRDefault="009E6E2E" w:rsidP="009E6E2E">
      <w:pPr>
        <w:ind w:left="2832"/>
        <w:rPr>
          <w:rFonts w:asciiTheme="minorHAnsi" w:hAnsiTheme="minorHAnsi"/>
          <w:szCs w:val="24"/>
          <w:lang w:val="es-ES_tradnl"/>
        </w:rPr>
      </w:pPr>
    </w:p>
    <w:p w14:paraId="22642AD6" w14:textId="77777777" w:rsidR="009E6E2E" w:rsidRPr="000D3432" w:rsidRDefault="009E6E2E" w:rsidP="009E6E2E">
      <w:pPr>
        <w:ind w:left="1416"/>
        <w:rPr>
          <w:rFonts w:asciiTheme="minorHAnsi" w:hAnsiTheme="minorHAnsi" w:cs="Arial"/>
          <w:szCs w:val="24"/>
          <w:lang w:val="es-ES_tradnl"/>
        </w:rPr>
      </w:pPr>
    </w:p>
    <w:p w14:paraId="77CC19D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4</w:t>
      </w:r>
    </w:p>
    <w:p w14:paraId="6C0980D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ENCUBRIMIENTO REAL</w:t>
      </w:r>
      <w:r w:rsidRPr="000D3432">
        <w:rPr>
          <w:rFonts w:asciiTheme="minorHAnsi" w:hAnsiTheme="minorHAnsi"/>
          <w:szCs w:val="24"/>
          <w:lang w:val="es-ES_tradnl"/>
        </w:rPr>
        <w:t xml:space="preserve">: </w:t>
      </w:r>
    </w:p>
    <w:p w14:paraId="439F8EB1"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encubrimiento real</w:t>
      </w:r>
    </w:p>
    <w:p w14:paraId="5B320221" w14:textId="77777777" w:rsidR="009E6E2E" w:rsidRPr="000D3432" w:rsidRDefault="009E6E2E" w:rsidP="009E6E2E">
      <w:pPr>
        <w:jc w:val="both"/>
        <w:rPr>
          <w:rFonts w:asciiTheme="minorHAnsi" w:hAnsiTheme="minorHAnsi" w:cs="Arial"/>
          <w:color w:val="000000"/>
          <w:szCs w:val="24"/>
          <w:lang w:val="es-ES_tradnl" w:eastAsia="es-PE"/>
        </w:rPr>
      </w:pPr>
    </w:p>
    <w:p w14:paraId="2888800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w:t>
      </w:r>
      <w:r w:rsidRPr="000D3432">
        <w:rPr>
          <w:rFonts w:asciiTheme="minorHAnsi" w:hAnsiTheme="minorHAnsi" w:cs="Arial"/>
          <w:b/>
          <w:bCs/>
          <w:color w:val="000000"/>
          <w:szCs w:val="24"/>
          <w:lang w:val="es-ES_tradnl" w:eastAsia="es-PE"/>
        </w:rPr>
        <w:t xml:space="preserve"> “Artículo 405.- Encubrimiento real.- </w:t>
      </w:r>
      <w:r w:rsidRPr="000D3432">
        <w:rPr>
          <w:rFonts w:asciiTheme="minorHAnsi" w:hAnsiTheme="minorHAnsi" w:cs="Arial"/>
          <w:color w:val="000000"/>
          <w:szCs w:val="24"/>
          <w:lang w:val="es-ES_tradnl" w:eastAsia="es-PE"/>
        </w:rPr>
        <w:t>El que dificulta la acción de la justicia procurando la desaparición de las huellas o prueba del delito u ocultando los efectos del mismo, será reprimido con pena privativa de libertad no menor de dos ni mayor de cuatro años. Si el hecho se comete respecto a los delitos previstos en los artículos 152 al 153 A, 200, 273 al 279-D, 296 al 298, 315, 317, 318- A, 325 al 333; 346 al 350 o en el Decreto Ley Nº 25475 (Establecen la penalidad para los delitos de terrorismo o los procedimientos para la investigación, la instrucción y el juicio), la pena privativa de libertad será no menor de siete ni mayor de diez años y de ciento ochenta a trescientos sesenta y cinco días multa.</w:t>
      </w:r>
      <w:r w:rsidRPr="000D3432">
        <w:rPr>
          <w:rFonts w:asciiTheme="minorHAnsi" w:hAnsiTheme="minorHAnsi" w:cs="Arial"/>
          <w:b/>
          <w:bCs/>
          <w:color w:val="000000"/>
          <w:szCs w:val="24"/>
          <w:lang w:val="es-ES_tradnl" w:eastAsia="es-PE"/>
        </w:rPr>
        <w:t>”</w:t>
      </w:r>
    </w:p>
    <w:p w14:paraId="17A591A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CONCORDANCIAS:     D.S Nº 009-2010-JUS (Aprueban Procedimiento para el pago de la reparación civil a favor del Estado en casos de procesos seguidos sobre</w:t>
      </w:r>
      <w:r w:rsidRPr="000D3432">
        <w:rPr>
          <w:rFonts w:asciiTheme="minorHAnsi" w:hAnsiTheme="minorHAnsi" w:cs="Arial"/>
          <w:b/>
          <w:bCs/>
          <w:color w:val="000000"/>
          <w:szCs w:val="24"/>
          <w:lang w:val="es-ES_tradnl" w:eastAsia="es-PE"/>
        </w:rPr>
        <w:br/>
        <w:t>               delitos de corrupción y otros delitos conexos)</w:t>
      </w:r>
    </w:p>
    <w:p w14:paraId="45D14ABF" w14:textId="77777777" w:rsidR="009E6E2E" w:rsidRPr="000D3432" w:rsidRDefault="009E6E2E" w:rsidP="009E6E2E">
      <w:pPr>
        <w:rPr>
          <w:rFonts w:asciiTheme="minorHAnsi" w:hAnsiTheme="minorHAnsi" w:cs="Arial"/>
          <w:szCs w:val="24"/>
          <w:lang w:val="es-ES_tradnl"/>
        </w:rPr>
      </w:pPr>
    </w:p>
    <w:p w14:paraId="092D592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5</w:t>
      </w:r>
    </w:p>
    <w:p w14:paraId="2BC1155D"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EXCUSA ABSOLUTORIA</w:t>
      </w:r>
    </w:p>
    <w:p w14:paraId="295D6A7A"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FCA8E0D"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2.- Concepto legal del delito de Excusa absolutoria</w:t>
      </w:r>
    </w:p>
    <w:p w14:paraId="18B890B8"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color w:val="000000"/>
          <w:szCs w:val="24"/>
          <w:lang w:val="es-ES_tradnl" w:eastAsia="es-PE"/>
        </w:rPr>
        <w:t>De acuerdo con el Código Penal se establece: “</w:t>
      </w:r>
      <w:r w:rsidRPr="000D3432">
        <w:rPr>
          <w:rFonts w:asciiTheme="minorHAnsi" w:hAnsiTheme="minorHAnsi" w:cs="Arial"/>
          <w:b/>
          <w:bCs/>
          <w:color w:val="000000"/>
          <w:szCs w:val="24"/>
          <w:lang w:val="es-ES_tradnl" w:eastAsia="es-PE"/>
        </w:rPr>
        <w:t>Artículo 406.-</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Están exentos de pena los que ejecutan cualquiera de los hechos previstos en los artículos 404º y 405º si sus relaciones con la persona favorecida son tan estrechas como para excusar su conducta.”.</w:t>
      </w:r>
    </w:p>
    <w:p w14:paraId="7B94B064" w14:textId="77777777" w:rsidR="009E6E2E" w:rsidRPr="000D3432" w:rsidRDefault="009E6E2E" w:rsidP="009E6E2E">
      <w:pPr>
        <w:ind w:left="1416"/>
        <w:rPr>
          <w:rFonts w:asciiTheme="minorHAnsi" w:hAnsiTheme="minorHAnsi" w:cs="Arial"/>
          <w:szCs w:val="24"/>
          <w:lang w:val="es-ES_tradnl"/>
        </w:rPr>
      </w:pPr>
    </w:p>
    <w:p w14:paraId="123FEC7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6</w:t>
      </w:r>
    </w:p>
    <w:p w14:paraId="395F0F5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OMISIÓN DE DENUNCIA</w:t>
      </w:r>
    </w:p>
    <w:p w14:paraId="0EDD0182"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4F8F9DD6"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omisión de denuncia</w:t>
      </w:r>
    </w:p>
    <w:p w14:paraId="53A6EAC4"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w:t>
      </w:r>
      <w:r w:rsidRPr="000D3432">
        <w:rPr>
          <w:rFonts w:asciiTheme="minorHAnsi" w:hAnsiTheme="minorHAnsi" w:cs="Arial"/>
          <w:b/>
          <w:bCs/>
          <w:color w:val="000000"/>
          <w:szCs w:val="24"/>
          <w:lang w:val="es-ES_tradnl" w:eastAsia="es-PE"/>
        </w:rPr>
        <w:t xml:space="preserve">: “Artículo 407.- Omisión de denuncia.- </w:t>
      </w:r>
      <w:r w:rsidRPr="000D3432">
        <w:rPr>
          <w:rFonts w:asciiTheme="minorHAnsi" w:hAnsiTheme="minorHAnsi" w:cs="Arial"/>
          <w:color w:val="000000"/>
          <w:szCs w:val="24"/>
          <w:lang w:val="es-ES_tradnl" w:eastAsia="es-PE"/>
        </w:rPr>
        <w:t>El que omite comunicar a la autoridad las noticias que tenga acerca de la comisión de algún delito, cuando esté obligado a hacerlo por su profesión o empleo, será reprimido con pena privativa de libertad no mayor de dos años. / Si el hecho punible no denunciado tiene señalado en la ley pena privativa de libertad superior a cinco años, la pena será no menor de dos ni mayor de cuatro años. / Si la omisión está referida a los delitos de genocidio, tortura o desaparición forzada, la pena será no menor de dos ni mayor de seis años.</w:t>
      </w:r>
      <w:r w:rsidRPr="000D3432">
        <w:rPr>
          <w:rFonts w:asciiTheme="minorHAnsi" w:hAnsiTheme="minorHAnsi" w:cs="Arial"/>
          <w:b/>
          <w:bCs/>
          <w:color w:val="000000"/>
          <w:szCs w:val="24"/>
          <w:lang w:val="es-ES_tradnl" w:eastAsia="es-PE"/>
        </w:rPr>
        <w:t>”</w:t>
      </w:r>
    </w:p>
    <w:p w14:paraId="45893ABE" w14:textId="77777777" w:rsidR="009E6E2E" w:rsidRPr="000D3432" w:rsidRDefault="009E6E2E" w:rsidP="009E6E2E">
      <w:pPr>
        <w:ind w:left="1416"/>
        <w:rPr>
          <w:rFonts w:asciiTheme="minorHAnsi" w:hAnsiTheme="minorHAnsi" w:cs="Arial"/>
          <w:szCs w:val="24"/>
          <w:lang w:val="es-ES_tradnl"/>
        </w:rPr>
      </w:pPr>
    </w:p>
    <w:p w14:paraId="3C9F673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7</w:t>
      </w:r>
    </w:p>
    <w:p w14:paraId="4A465FF3"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FUGA DEL LUGAR DEL ACCIDENTE DE TRÁNSITO</w:t>
      </w:r>
    </w:p>
    <w:p w14:paraId="08DBBA02"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07B9233"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fuga del lugar del accidente de tránsito</w:t>
      </w:r>
    </w:p>
    <w:p w14:paraId="4FA4A69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408.- Fuga del lugar del accidente de tránsito.- </w:t>
      </w:r>
      <w:r w:rsidRPr="000D3432">
        <w:rPr>
          <w:rFonts w:asciiTheme="minorHAnsi" w:hAnsiTheme="minorHAnsi" w:cs="Arial"/>
          <w:color w:val="000000"/>
          <w:szCs w:val="24"/>
          <w:lang w:val="es-ES_tradnl" w:eastAsia="es-PE"/>
        </w:rPr>
        <w:t>El que, después de un accidente automovilístico o de otro similar en el que ha tenido parte y del que han resultado lesiones o muerte, se aleja del lugar para sustraerse a su identificación o para eludir las comprobaciones necesarias o se aleja por razones atendibles, pero omite dar cuenta inmediata a la autoridad, será reprimido con pena privativa de libertad no menor de seis meses ni mayor de cuatro años y con noventa a ciento veinte días- multa.</w:t>
      </w:r>
      <w:r w:rsidRPr="000D3432">
        <w:rPr>
          <w:rFonts w:asciiTheme="minorHAnsi" w:hAnsiTheme="minorHAnsi" w:cs="Arial"/>
          <w:b/>
          <w:bCs/>
          <w:color w:val="000000"/>
          <w:szCs w:val="24"/>
          <w:lang w:val="es-ES_tradnl" w:eastAsia="es-PE"/>
        </w:rPr>
        <w:t>”</w:t>
      </w:r>
      <w:r w:rsidRPr="000D3432">
        <w:rPr>
          <w:rFonts w:asciiTheme="minorHAnsi" w:hAnsiTheme="minorHAnsi"/>
          <w:color w:val="000000"/>
          <w:szCs w:val="24"/>
          <w:lang w:val="es-ES_tradnl" w:eastAsia="es-PE"/>
        </w:rPr>
        <w:t> </w:t>
      </w:r>
    </w:p>
    <w:p w14:paraId="7A96BBD9" w14:textId="77777777" w:rsidR="009E6E2E" w:rsidRPr="000D3432" w:rsidRDefault="009E6E2E" w:rsidP="009E6E2E">
      <w:pPr>
        <w:rPr>
          <w:rFonts w:asciiTheme="minorHAnsi" w:hAnsiTheme="minorHAnsi" w:cs="Arial"/>
          <w:szCs w:val="24"/>
          <w:lang w:val="es-ES_tradnl"/>
        </w:rPr>
      </w:pPr>
    </w:p>
    <w:p w14:paraId="03B1765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8</w:t>
      </w:r>
    </w:p>
    <w:p w14:paraId="4A166B1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FALSEDAD EN JUICIO</w:t>
      </w:r>
    </w:p>
    <w:p w14:paraId="5916DF4A"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5D8111D7"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falsedad en juicio</w:t>
      </w:r>
    </w:p>
    <w:p w14:paraId="3B965DE4"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cs="Arial"/>
          <w:b/>
          <w:bCs/>
          <w:color w:val="000000"/>
          <w:szCs w:val="24"/>
          <w:lang w:val="es-ES_tradnl" w:eastAsia="es-PE"/>
        </w:rPr>
        <w:t>De acuerdo con el Código Penal se establece: "Falsedad en juicio.- Artículo 409.-</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testigo, perito, traductor o intérprete que, en un procedimiento judicial, hace falsa declaración sobre los hechos de la causa o emite dictamen, traducción o interpretación falsos, será reprimido con pena privativa de libertad, no menor de dos ni mayor de cuatro años. / Si el testigo, en su declaración, atribuye a una persona haber cometido un delito, a sabiendas que es inocente, la pena será no menor de dos ni mayor de seis años. / El Juez puede atenuar la pena hasta límites inferiores al mínimo legal o eximir de sanción, si el agente rectifica espontáneamente su falsa declaración.”</w:t>
      </w:r>
    </w:p>
    <w:p w14:paraId="129CC62D"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9</w:t>
      </w:r>
    </w:p>
    <w:p w14:paraId="236B77B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OBSTRUCCIÓN DE LA JUSTICIA</w:t>
      </w:r>
    </w:p>
    <w:p w14:paraId="6CDCEA11"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20C83A9"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2.- Concepto legal del delito de obstrucción de la justicia</w:t>
      </w:r>
    </w:p>
    <w:p w14:paraId="6523E367" w14:textId="77777777" w:rsidR="009E6E2E" w:rsidRPr="000D3432" w:rsidRDefault="009E6E2E" w:rsidP="009E6E2E">
      <w:pPr>
        <w:jc w:val="both"/>
        <w:rPr>
          <w:rFonts w:asciiTheme="minorHAnsi" w:hAnsiTheme="minorHAnsi"/>
          <w:szCs w:val="24"/>
          <w:lang w:val="es-ES_tradnl"/>
        </w:rPr>
      </w:pPr>
      <w:r w:rsidRPr="000D3432">
        <w:rPr>
          <w:rFonts w:asciiTheme="minorHAnsi" w:hAnsiTheme="minorHAnsi" w:cs="Arial"/>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409-A.- Obstrucción de la justicia.- </w:t>
      </w:r>
      <w:r w:rsidRPr="000D3432">
        <w:rPr>
          <w:rFonts w:asciiTheme="minorHAnsi" w:hAnsiTheme="minorHAnsi" w:cs="Arial"/>
          <w:color w:val="000000"/>
          <w:szCs w:val="24"/>
          <w:lang w:val="es-ES_tradnl" w:eastAsia="es-PE"/>
        </w:rPr>
        <w:t>El que mediante el uso de fuerza física, amenaza, ofrecimiento o concesión de un beneficio indebido, impide u obstaculiza se preste un testimonio o la aportación de pruebas o induce a que se preste un falso testimonio o pruebas falsas, será sancionado con pena privativa de libertad no menor de tres ni mayor de cinco años.</w:t>
      </w:r>
      <w:r w:rsidRPr="000D3432">
        <w:rPr>
          <w:rFonts w:asciiTheme="minorHAnsi" w:hAnsiTheme="minorHAnsi"/>
          <w:color w:val="000000"/>
          <w:szCs w:val="24"/>
          <w:lang w:val="es-ES_tradnl" w:eastAsia="es-PE"/>
        </w:rPr>
        <w:t> /</w:t>
      </w:r>
      <w:r w:rsidRPr="000D3432">
        <w:rPr>
          <w:rFonts w:asciiTheme="minorHAnsi" w:hAnsiTheme="minorHAnsi" w:cs="Arial"/>
          <w:color w:val="000000"/>
          <w:szCs w:val="24"/>
          <w:lang w:val="es-ES_tradnl" w:eastAsia="es-PE"/>
        </w:rPr>
        <w:t xml:space="preserve"> Si el hecho se comete respecto en la investigación preliminar o proceso penal por delito previsto en los artículos 152 al 153-A, 200, 296 al 298 o en la Ley Nº 27765 (Ley Penal contra el Lavado de Activos), la pena privativa de libertad será no menor de cinco ni mayor de ocho años y de ciento ochenta a trescientos sesenta y cinco días multa.</w:t>
      </w:r>
      <w:r w:rsidRPr="000D3432">
        <w:rPr>
          <w:rFonts w:asciiTheme="minorHAnsi" w:hAnsiTheme="minorHAnsi" w:cs="Arial"/>
          <w:b/>
          <w:bCs/>
          <w:color w:val="000000"/>
          <w:szCs w:val="24"/>
          <w:lang w:val="es-ES_tradnl" w:eastAsia="es-PE"/>
        </w:rPr>
        <w:t>”</w:t>
      </w:r>
      <w:r w:rsidRPr="000D3432">
        <w:rPr>
          <w:rFonts w:asciiTheme="minorHAnsi" w:hAnsiTheme="minorHAnsi"/>
          <w:color w:val="000000"/>
          <w:szCs w:val="24"/>
          <w:lang w:val="es-ES_tradnl" w:eastAsia="es-PE"/>
        </w:rPr>
        <w:t xml:space="preserve"> </w:t>
      </w:r>
      <w:r w:rsidRPr="000D3432">
        <w:rPr>
          <w:rFonts w:asciiTheme="minorHAnsi" w:hAnsiTheme="minorHAnsi" w:cs="Arial"/>
          <w:b/>
          <w:bCs/>
          <w:color w:val="000000"/>
          <w:szCs w:val="24"/>
          <w:lang w:val="es-ES_tradnl" w:eastAsia="es-PE"/>
        </w:rPr>
        <w:t>(*) Artículo adicionado por el Artículo 2 del Decreto Legislativo N° 982, publicado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julio 2007.</w:t>
      </w:r>
      <w:r w:rsidRPr="000D3432">
        <w:rPr>
          <w:rFonts w:asciiTheme="minorHAnsi" w:hAnsiTheme="minorHAnsi" w:cs="Arial"/>
          <w:b/>
          <w:bCs/>
          <w:color w:val="000000"/>
          <w:szCs w:val="24"/>
          <w:lang w:val="es-ES_tradnl" w:eastAsia="es-PE"/>
        </w:rPr>
        <w:br/>
      </w:r>
    </w:p>
    <w:p w14:paraId="2CD7CDB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10</w:t>
      </w:r>
    </w:p>
    <w:p w14:paraId="6DFCDE5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REVELACIÓN INDEBIDA DE IDENTIDAD</w:t>
      </w:r>
      <w:r w:rsidRPr="000D3432">
        <w:rPr>
          <w:rFonts w:asciiTheme="minorHAnsi" w:hAnsiTheme="minorHAnsi"/>
          <w:szCs w:val="24"/>
          <w:lang w:val="es-ES_tradnl"/>
        </w:rPr>
        <w:t xml:space="preserve">: </w:t>
      </w:r>
    </w:p>
    <w:p w14:paraId="18EBAF04"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revelación indebida de identidad</w:t>
      </w:r>
    </w:p>
    <w:p w14:paraId="24A5F177"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De acuerdo con el Código Penal se establece: “Artículo 409-B.- Revelación indebida de identidad.- </w:t>
      </w:r>
      <w:r w:rsidRPr="000D3432">
        <w:rPr>
          <w:rFonts w:asciiTheme="minorHAnsi" w:hAnsiTheme="minorHAnsi" w:cs="Arial"/>
          <w:color w:val="000000"/>
          <w:szCs w:val="24"/>
          <w:lang w:val="es-ES_tradnl" w:eastAsia="es-PE"/>
        </w:rPr>
        <w:t>El que indebidamente revela la identidad de un colaborador eficaz, testigo, agraviado o perito protegido, Agente Encubierto o especial, o información que permita su identificación, será reprimido con pena privativa de libertad no menor de cuatro ni mayor de seis años.</w:t>
      </w:r>
      <w:r w:rsidRPr="000D3432">
        <w:rPr>
          <w:rFonts w:asciiTheme="minorHAnsi" w:hAnsiTheme="minorHAnsi"/>
          <w:color w:val="000000"/>
          <w:szCs w:val="24"/>
          <w:lang w:val="es-ES_tradnl" w:eastAsia="es-PE"/>
        </w:rPr>
        <w:t> </w:t>
      </w:r>
      <w:r w:rsidRPr="000D3432">
        <w:rPr>
          <w:rFonts w:asciiTheme="minorHAnsi" w:hAnsiTheme="minorHAnsi" w:cs="Arial"/>
          <w:color w:val="000000"/>
          <w:szCs w:val="24"/>
          <w:lang w:val="es-ES_tradnl" w:eastAsia="es-PE"/>
        </w:rPr>
        <w:t>Cuando el Agente es funcionario o servidor público y por el ejercicio de su cargo tiene acceso a la información, la pena será no menor de cinco ni mayor de siete años, e inhabilitación conforme al artículo 36, incisos 1, 2 y 4.</w:t>
      </w:r>
      <w:r w:rsidRPr="000D3432">
        <w:rPr>
          <w:rFonts w:asciiTheme="minorHAnsi" w:hAnsiTheme="minorHAnsi" w:cs="Arial"/>
          <w:b/>
          <w:bCs/>
          <w:color w:val="000000"/>
          <w:szCs w:val="24"/>
          <w:lang w:val="es-ES_tradnl" w:eastAsia="es-PE"/>
        </w:rPr>
        <w:t>” (*) Artículo adicionado por el Artículo 2 del Decreto Legislativo N° 982, publicado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julio 2007.</w:t>
      </w:r>
    </w:p>
    <w:p w14:paraId="0D2D20E0" w14:textId="77777777" w:rsidR="009E6E2E" w:rsidRPr="000D3432" w:rsidRDefault="009E6E2E" w:rsidP="009E6E2E">
      <w:pPr>
        <w:ind w:left="1416"/>
        <w:rPr>
          <w:rFonts w:asciiTheme="minorHAnsi" w:hAnsiTheme="minorHAnsi" w:cs="Arial"/>
          <w:szCs w:val="24"/>
          <w:lang w:val="es-ES_tradnl"/>
        </w:rPr>
      </w:pPr>
    </w:p>
    <w:p w14:paraId="1752DF2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11</w:t>
      </w:r>
    </w:p>
    <w:p w14:paraId="6147DAB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AVOCAMIENTO ILEGAL DE PROCESO EN TRÁMITE</w:t>
      </w:r>
    </w:p>
    <w:p w14:paraId="1C9DBE5A"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6A9C3472"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Avocamiento ilegal de proceso en trámite</w:t>
      </w:r>
    </w:p>
    <w:p w14:paraId="0594EAA2" w14:textId="77777777" w:rsidR="009E6E2E" w:rsidRPr="000D3432" w:rsidRDefault="009E6E2E" w:rsidP="009E6E2E">
      <w:pPr>
        <w:jc w:val="both"/>
        <w:rPr>
          <w:rFonts w:asciiTheme="minorHAnsi" w:hAnsiTheme="minorHAnsi" w:cs="Arial"/>
          <w:b/>
          <w:bCs/>
          <w:color w:val="000000"/>
          <w:szCs w:val="24"/>
          <w:lang w:val="es-ES_tradnl" w:eastAsia="es-PE"/>
        </w:rPr>
      </w:pPr>
    </w:p>
    <w:p w14:paraId="3CFA0DF0"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el Delito de avocamiento ilegal de proceso en trámite: “Artículo 410.-</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La autoridad que, a sabiendas, se avoque a procesos en trámite ante el órgano jurisdiccional, será reprimida con pena privativa de libertad no mayor de dos años e inhabilitación conforme al artículo 36,  incisos 1, 2 y 4.”</w:t>
      </w:r>
    </w:p>
    <w:p w14:paraId="5FF575CB" w14:textId="77777777" w:rsidR="009E6E2E" w:rsidRPr="000D3432" w:rsidRDefault="009E6E2E" w:rsidP="009E6E2E">
      <w:pPr>
        <w:ind w:left="1416"/>
        <w:rPr>
          <w:rFonts w:asciiTheme="minorHAnsi" w:hAnsiTheme="minorHAnsi" w:cs="Arial"/>
          <w:szCs w:val="24"/>
          <w:lang w:val="es-ES_tradnl"/>
        </w:rPr>
      </w:pPr>
    </w:p>
    <w:p w14:paraId="66B4E32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12</w:t>
      </w:r>
    </w:p>
    <w:p w14:paraId="447A68E4"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FALSA DECLARACIÓN EN PROCEDIMIENTO ADMINISTRATIVO</w:t>
      </w:r>
    </w:p>
    <w:p w14:paraId="2716CEFE"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falsa declaración en procedimiento administrativo</w:t>
      </w:r>
    </w:p>
    <w:p w14:paraId="310FA9C9" w14:textId="77777777" w:rsidR="009E6E2E" w:rsidRPr="000D3432" w:rsidRDefault="009E6E2E" w:rsidP="009E6E2E">
      <w:pPr>
        <w:jc w:val="both"/>
        <w:rPr>
          <w:rFonts w:asciiTheme="minorHAnsi" w:hAnsiTheme="minorHAnsi" w:cs="Arial"/>
          <w:b/>
          <w:bCs/>
          <w:color w:val="000000"/>
          <w:szCs w:val="24"/>
          <w:lang w:val="es-ES_tradnl" w:eastAsia="es-PE"/>
        </w:rPr>
      </w:pPr>
    </w:p>
    <w:p w14:paraId="40F150B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“Falsa declaración en procedimiento administrativo.- Artículo 411.-</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en un procedimiento administrativo, hace una falsa declaración en relación a hechos o circunstancias que le corresponde probar, violando la presunción de veracidad establecida por ley, será reprimido con pena privativa de libertad no menor de uno ni mayor de cuatro años.”</w:t>
      </w:r>
    </w:p>
    <w:p w14:paraId="04B3893B" w14:textId="77777777" w:rsidR="009E6E2E" w:rsidRPr="000D3432" w:rsidRDefault="009E6E2E" w:rsidP="009E6E2E">
      <w:pPr>
        <w:ind w:left="1416"/>
        <w:rPr>
          <w:rFonts w:asciiTheme="minorHAnsi" w:hAnsiTheme="minorHAnsi" w:cs="Arial"/>
          <w:szCs w:val="24"/>
          <w:lang w:val="es-ES_tradnl"/>
        </w:rPr>
      </w:pPr>
    </w:p>
    <w:p w14:paraId="76A447BD"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13</w:t>
      </w:r>
    </w:p>
    <w:p w14:paraId="17611D6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EXPEDICIÓN DE PRUEBA O INFORME FALSO EN PROCESO JUDICIAL</w:t>
      </w:r>
    </w:p>
    <w:p w14:paraId="03B239D0"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67608CEB"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 xml:space="preserve">2.- Concepto legal del delito de expedición de prueba o informe false en proceso judicial </w:t>
      </w:r>
    </w:p>
    <w:p w14:paraId="7E0B0196" w14:textId="77777777" w:rsidR="009E6E2E" w:rsidRPr="000D3432" w:rsidRDefault="009E6E2E" w:rsidP="009E6E2E">
      <w:pPr>
        <w:jc w:val="both"/>
        <w:rPr>
          <w:rFonts w:asciiTheme="minorHAnsi" w:hAnsiTheme="minorHAnsi" w:cs="Arial"/>
          <w:b/>
          <w:bCs/>
          <w:color w:val="000000"/>
          <w:szCs w:val="24"/>
          <w:lang w:val="es-ES_tradnl" w:eastAsia="es-PE"/>
        </w:rPr>
      </w:pPr>
    </w:p>
    <w:p w14:paraId="0748DF1E"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“Expedición de prueba o informe falso en proceso judicial.- Artículo 412.-</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legalmente requerido en causa judicial en la que no es parte, expide una prueba o un informe falsos, niega o calla la verdad, en todo o en parte, será reprimido con pena privativa de libertad no mayor de tres años.”</w:t>
      </w:r>
    </w:p>
    <w:p w14:paraId="11A42CB0" w14:textId="77777777" w:rsidR="009E6E2E" w:rsidRPr="000D3432" w:rsidRDefault="009E6E2E" w:rsidP="009E6E2E">
      <w:pPr>
        <w:ind w:left="1416"/>
        <w:rPr>
          <w:rFonts w:asciiTheme="minorHAnsi" w:hAnsiTheme="minorHAnsi" w:cs="Arial"/>
          <w:szCs w:val="24"/>
          <w:lang w:val="es-ES_tradnl"/>
        </w:rPr>
      </w:pPr>
    </w:p>
    <w:p w14:paraId="6253048C"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14</w:t>
      </w:r>
    </w:p>
    <w:p w14:paraId="25E259E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EVASIÓN MEDIANTE VIOLENCIA O AMENAZA</w:t>
      </w:r>
    </w:p>
    <w:p w14:paraId="77A0EEF3"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3FBEB44"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evasión mediante violencia o amenaza</w:t>
      </w:r>
    </w:p>
    <w:p w14:paraId="227D8DCF" w14:textId="77777777" w:rsidR="009E6E2E" w:rsidRPr="000D3432" w:rsidRDefault="009E6E2E" w:rsidP="009E6E2E">
      <w:pPr>
        <w:jc w:val="both"/>
        <w:rPr>
          <w:rFonts w:asciiTheme="minorHAnsi" w:hAnsiTheme="minorHAnsi" w:cs="Arial"/>
          <w:b/>
          <w:bCs/>
          <w:color w:val="000000"/>
          <w:szCs w:val="24"/>
          <w:lang w:val="es-ES_tradnl" w:eastAsia="es-PE"/>
        </w:rPr>
      </w:pPr>
    </w:p>
    <w:p w14:paraId="45B60CA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“Evasión mediante violencia o amenaza.- Artículo 413.-</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estando legalmente privado de su libertad, se evade por medio de violencia o amenaza, será reprimido con pena privativa de libertad no mayor de tres años.”</w:t>
      </w:r>
    </w:p>
    <w:p w14:paraId="74101CF6" w14:textId="77777777" w:rsidR="009E6E2E" w:rsidRPr="000D3432" w:rsidRDefault="009E6E2E" w:rsidP="009E6E2E">
      <w:pPr>
        <w:ind w:left="1416"/>
        <w:rPr>
          <w:rFonts w:asciiTheme="minorHAnsi" w:hAnsiTheme="minorHAnsi" w:cs="Arial"/>
          <w:szCs w:val="24"/>
          <w:lang w:val="es-ES_tradnl"/>
        </w:rPr>
      </w:pPr>
    </w:p>
    <w:p w14:paraId="2933EF5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15</w:t>
      </w:r>
    </w:p>
    <w:p w14:paraId="4871E50D"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FAVORECIMIENTO A LA FUGA</w:t>
      </w:r>
    </w:p>
    <w:p w14:paraId="546CF4A5"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72F23E5F"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favorecimiento a la fuga</w:t>
      </w:r>
    </w:p>
    <w:p w14:paraId="524FB9F2" w14:textId="77777777" w:rsidR="009E6E2E" w:rsidRPr="000D3432" w:rsidRDefault="009E6E2E" w:rsidP="009E6E2E">
      <w:pPr>
        <w:jc w:val="both"/>
        <w:rPr>
          <w:rFonts w:asciiTheme="minorHAnsi" w:hAnsiTheme="minorHAnsi" w:cs="Arial"/>
          <w:b/>
          <w:bCs/>
          <w:color w:val="000000"/>
          <w:szCs w:val="24"/>
          <w:lang w:val="es-ES_tradnl" w:eastAsia="es-PE"/>
        </w:rPr>
      </w:pPr>
    </w:p>
    <w:p w14:paraId="579D676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“Favorecimiento a la fuga.- Artículo 414.-</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por violencia, amenaza o astucia, hace evadir a un preso, detenido o interno o le presta asistencia en cualquier forma para evadirse, será reprimido con pena privativa de libertad no menor de dos ni mayor de cuatro años. / Si el agente que hace evadir, o presta asistencia para tal efecto, es funcionario o servidor público, la pena será privativa de libertad no menor de tres ni mayor de ocho años. / Si el agente actuó por culpa, la pena será no mayor de un año.”</w:t>
      </w:r>
    </w:p>
    <w:p w14:paraId="4C95E417" w14:textId="77777777" w:rsidR="009E6E2E" w:rsidRPr="000D3432" w:rsidRDefault="009E6E2E" w:rsidP="009E6E2E">
      <w:pPr>
        <w:ind w:left="2832"/>
        <w:rPr>
          <w:rFonts w:asciiTheme="minorHAnsi" w:hAnsiTheme="minorHAnsi"/>
          <w:szCs w:val="24"/>
          <w:lang w:val="es-ES_tradnl"/>
        </w:rPr>
      </w:pPr>
    </w:p>
    <w:p w14:paraId="2D5C2D3C" w14:textId="77777777" w:rsidR="009E6E2E" w:rsidRPr="000D3432" w:rsidRDefault="009E6E2E" w:rsidP="009E6E2E">
      <w:pPr>
        <w:ind w:left="2832"/>
        <w:rPr>
          <w:rFonts w:asciiTheme="minorHAnsi" w:hAnsiTheme="minorHAnsi"/>
          <w:szCs w:val="24"/>
          <w:lang w:val="es-ES_tradnl"/>
        </w:rPr>
      </w:pPr>
    </w:p>
    <w:p w14:paraId="44401955" w14:textId="77777777" w:rsidR="009E6E2E" w:rsidRPr="000D3432" w:rsidRDefault="009E6E2E" w:rsidP="009E6E2E">
      <w:pPr>
        <w:ind w:left="1416"/>
        <w:rPr>
          <w:rFonts w:asciiTheme="minorHAnsi" w:hAnsiTheme="minorHAnsi" w:cs="Arial"/>
          <w:szCs w:val="24"/>
          <w:lang w:val="es-ES_tradnl"/>
        </w:rPr>
      </w:pPr>
    </w:p>
    <w:p w14:paraId="6A18B71B" w14:textId="77777777" w:rsidR="009E6E2E" w:rsidRPr="000D3432" w:rsidRDefault="009E6E2E" w:rsidP="009E6E2E">
      <w:pPr>
        <w:ind w:left="1416"/>
        <w:rPr>
          <w:rFonts w:asciiTheme="minorHAnsi" w:hAnsiTheme="minorHAnsi" w:cs="Arial"/>
          <w:szCs w:val="24"/>
          <w:lang w:val="es-ES_tradnl"/>
        </w:rPr>
      </w:pPr>
      <w:r w:rsidRPr="000D3432">
        <w:rPr>
          <w:rFonts w:asciiTheme="minorHAnsi" w:hAnsiTheme="minorHAnsi" w:cs="Arial"/>
          <w:szCs w:val="24"/>
          <w:lang w:val="es-ES_tradnl"/>
        </w:rPr>
        <w:t>SECCION 16.- AMOTINAMIENTO DE DETENIDO O INTERNO</w:t>
      </w:r>
    </w:p>
    <w:p w14:paraId="51356FDB" w14:textId="77777777" w:rsidR="009E6E2E" w:rsidRPr="000D3432" w:rsidRDefault="009E6E2E" w:rsidP="009E6E2E">
      <w:pPr>
        <w:ind w:left="2124"/>
        <w:rPr>
          <w:rFonts w:asciiTheme="minorHAnsi" w:hAnsiTheme="minorHAnsi"/>
          <w:b/>
          <w:szCs w:val="24"/>
          <w:lang w:val="es-ES_tradnl"/>
        </w:rPr>
      </w:pPr>
      <w:r w:rsidRPr="000D3432">
        <w:rPr>
          <w:rFonts w:asciiTheme="minorHAnsi" w:hAnsiTheme="minorHAnsi"/>
          <w:b/>
          <w:szCs w:val="24"/>
          <w:lang w:val="es-ES_tradnl"/>
        </w:rPr>
        <w:t xml:space="preserve">1.- Conceptos </w:t>
      </w:r>
    </w:p>
    <w:p w14:paraId="0A1117BA"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a)  Concepto Doctrinal: </w:t>
      </w:r>
    </w:p>
    <w:p w14:paraId="4CC7F504"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b)  Concepto Legal: </w:t>
      </w:r>
    </w:p>
    <w:p w14:paraId="2E0F6801" w14:textId="77777777" w:rsidR="009E6E2E" w:rsidRPr="000D3432" w:rsidRDefault="009E6E2E" w:rsidP="009E6E2E">
      <w:pPr>
        <w:jc w:val="both"/>
        <w:rPr>
          <w:rFonts w:asciiTheme="minorHAnsi" w:hAnsiTheme="minorHAnsi" w:cs="Arial"/>
          <w:b/>
          <w:color w:val="000000"/>
          <w:szCs w:val="24"/>
          <w:lang w:val="es-ES_tradnl" w:eastAsia="es-PE"/>
        </w:rPr>
      </w:pPr>
      <w:r w:rsidRPr="000D3432">
        <w:rPr>
          <w:rFonts w:asciiTheme="minorHAnsi" w:hAnsiTheme="minorHAnsi" w:cs="Arial"/>
          <w:b/>
          <w:color w:val="000000"/>
          <w:szCs w:val="24"/>
          <w:lang w:val="es-ES_tradnl" w:eastAsia="es-PE"/>
        </w:rPr>
        <w:t>1.- Concepto legal del delito de Amotinamiento de detenido o interno</w:t>
      </w:r>
    </w:p>
    <w:p w14:paraId="2015C821"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415.- Amotinamiento de detenido o interno.- </w:t>
      </w:r>
      <w:r w:rsidRPr="000D3432">
        <w:rPr>
          <w:rFonts w:asciiTheme="minorHAnsi" w:hAnsiTheme="minorHAnsi" w:cs="Arial"/>
          <w:color w:val="000000"/>
          <w:szCs w:val="24"/>
          <w:lang w:val="es-ES_tradnl" w:eastAsia="es-PE"/>
        </w:rPr>
        <w:t>El detenido o interno que se amotina atacando a un funcionario del establecimiento o a cualquier persona encargada de su custodia, u obligando por la violencia o amenaza a un funcionario del establecimiento o a cualquier persona encargada de su custodia a practicar o abstenerse de un acto, con el fin de evadirse, será reprimido con pena privativa de libertad no menor de cuatro ni mayor de seis años. /  Si el agente provoca un motín, disturbio o cualquier violación contra la integridad física de cualquier persona o de la seguridad interna o externa del recinto, será reprimido con pena privativa de libertad no menor de seis ni mayor de ocho años. / Los cabecillas o dirigentes del motín serán sancionados con la pena señalada, aumentada en una tercera parte.</w:t>
      </w:r>
      <w:r w:rsidRPr="000D3432">
        <w:rPr>
          <w:rFonts w:asciiTheme="minorHAnsi" w:hAnsiTheme="minorHAnsi" w:cs="Arial"/>
          <w:b/>
          <w:bCs/>
          <w:color w:val="000000"/>
          <w:szCs w:val="24"/>
          <w:lang w:val="es-ES_tradnl" w:eastAsia="es-PE"/>
        </w:rPr>
        <w:t>”</w:t>
      </w:r>
    </w:p>
    <w:p w14:paraId="7EAB64B0" w14:textId="77777777" w:rsidR="009E6E2E" w:rsidRPr="000D3432" w:rsidRDefault="009E6E2E" w:rsidP="009E6E2E">
      <w:pPr>
        <w:ind w:left="1416"/>
        <w:rPr>
          <w:rFonts w:asciiTheme="minorHAnsi" w:hAnsiTheme="minorHAnsi" w:cs="Arial"/>
          <w:szCs w:val="24"/>
          <w:lang w:val="es-ES_tradnl"/>
        </w:rPr>
      </w:pPr>
    </w:p>
    <w:p w14:paraId="1042B7D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17</w:t>
      </w:r>
    </w:p>
    <w:p w14:paraId="6A92746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FRAUDE PROCESAL</w:t>
      </w:r>
    </w:p>
    <w:p w14:paraId="0F88D5C9"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0F7E3A3E"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del delito de Fraude procesal</w:t>
      </w:r>
    </w:p>
    <w:p w14:paraId="788D152B" w14:textId="77777777" w:rsidR="009E6E2E" w:rsidRPr="000D3432" w:rsidRDefault="009E6E2E" w:rsidP="009E6E2E">
      <w:pPr>
        <w:jc w:val="both"/>
        <w:rPr>
          <w:rFonts w:asciiTheme="minorHAnsi" w:hAnsiTheme="minorHAnsi" w:cs="Arial"/>
          <w:b/>
          <w:bCs/>
          <w:color w:val="000000"/>
          <w:szCs w:val="24"/>
          <w:lang w:val="es-ES_tradnl" w:eastAsia="es-PE"/>
        </w:rPr>
      </w:pPr>
    </w:p>
    <w:p w14:paraId="5771F8BF"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que el delito de Fraude procesal: “Artículo 416.-</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por cualquier medio fraudulento, induce a error a un funcionario o servidor público para obtener resolución contraria a la ley, será reprimido con pena privativa de libertad no menor de dos ni mayor de cuatro años.”.</w:t>
      </w:r>
    </w:p>
    <w:p w14:paraId="4A60A767" w14:textId="77777777" w:rsidR="009E6E2E" w:rsidRPr="000D3432" w:rsidRDefault="009E6E2E" w:rsidP="009E6E2E">
      <w:pPr>
        <w:ind w:left="2832"/>
        <w:rPr>
          <w:rFonts w:asciiTheme="minorHAnsi" w:hAnsiTheme="minorHAnsi"/>
          <w:szCs w:val="24"/>
          <w:lang w:val="es-ES_tradnl"/>
        </w:rPr>
      </w:pPr>
    </w:p>
    <w:p w14:paraId="79030975" w14:textId="77777777" w:rsidR="009E6E2E" w:rsidRPr="000D3432" w:rsidRDefault="009E6E2E" w:rsidP="009E6E2E">
      <w:pPr>
        <w:rPr>
          <w:rFonts w:asciiTheme="minorHAnsi" w:hAnsiTheme="minorHAnsi" w:cs="Arial"/>
          <w:szCs w:val="24"/>
          <w:lang w:val="es-ES_tradnl"/>
        </w:rPr>
      </w:pPr>
    </w:p>
    <w:p w14:paraId="048ED50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18</w:t>
      </w:r>
    </w:p>
    <w:p w14:paraId="76901DD3"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EJERCICIO ARBITRARIO DE DERECHO. JUSTICIA POR PROPIA MANO</w:t>
      </w:r>
    </w:p>
    <w:p w14:paraId="11D51A25" w14:textId="77777777" w:rsidR="009E6E2E" w:rsidRPr="000D3432" w:rsidRDefault="009E6E2E" w:rsidP="009E6E2E">
      <w:pPr>
        <w:ind w:left="2124"/>
        <w:rPr>
          <w:rFonts w:asciiTheme="minorHAnsi" w:hAnsiTheme="minorHAnsi"/>
          <w:b/>
          <w:szCs w:val="24"/>
          <w:lang w:val="es-ES_tradnl"/>
        </w:rPr>
      </w:pPr>
    </w:p>
    <w:p w14:paraId="3758C5E6"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63ACD4D4"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ejercicio arbitrario de derecho. Justicia por propia mano</w:t>
      </w:r>
    </w:p>
    <w:p w14:paraId="786DC5C5" w14:textId="77777777" w:rsidR="009E6E2E" w:rsidRPr="000D3432" w:rsidRDefault="009E6E2E" w:rsidP="009E6E2E">
      <w:pPr>
        <w:jc w:val="both"/>
        <w:rPr>
          <w:rFonts w:asciiTheme="minorHAnsi" w:hAnsiTheme="minorHAnsi" w:cs="Arial"/>
          <w:b/>
          <w:bCs/>
          <w:color w:val="000000"/>
          <w:szCs w:val="24"/>
          <w:lang w:val="es-ES_tradnl" w:eastAsia="es-PE"/>
        </w:rPr>
      </w:pPr>
    </w:p>
    <w:p w14:paraId="264900F7"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“Ejercicio arbitrario de derecho. Justicia por propia mano.- Artículo 417.-</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que, con el fin de ejercer un derecho, en lugar de recurrir a la autoridad, se hace justicia arbitrariamente por si mismo, será reprimido con prestación de servicio comunitario de veinte a cuarenta jornadas.”</w:t>
      </w:r>
    </w:p>
    <w:p w14:paraId="59B6DADF" w14:textId="77777777" w:rsidR="009E6E2E" w:rsidRPr="000D3432" w:rsidRDefault="009E6E2E" w:rsidP="009E6E2E">
      <w:pPr>
        <w:ind w:left="2832"/>
        <w:rPr>
          <w:rFonts w:asciiTheme="minorHAnsi" w:hAnsiTheme="minorHAnsi"/>
          <w:szCs w:val="24"/>
          <w:lang w:val="es-ES_tradnl"/>
        </w:rPr>
      </w:pPr>
    </w:p>
    <w:p w14:paraId="56F7805E" w14:textId="77777777" w:rsidR="009E6E2E" w:rsidRPr="000D3432" w:rsidRDefault="009E6E2E" w:rsidP="009E6E2E">
      <w:pPr>
        <w:ind w:left="1416"/>
        <w:rPr>
          <w:rFonts w:asciiTheme="minorHAnsi" w:hAnsiTheme="minorHAnsi" w:cs="Arial"/>
          <w:szCs w:val="24"/>
          <w:lang w:val="es-ES_tradnl"/>
        </w:rPr>
      </w:pPr>
    </w:p>
    <w:p w14:paraId="70046A71"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19</w:t>
      </w:r>
    </w:p>
    <w:p w14:paraId="74745826"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INSOLVENCIA PROVOCADA</w:t>
      </w:r>
    </w:p>
    <w:p w14:paraId="2E66A79C" w14:textId="77777777" w:rsidR="009E6E2E" w:rsidRPr="000D3432" w:rsidRDefault="009E6E2E" w:rsidP="009E6E2E">
      <w:pPr>
        <w:rPr>
          <w:rFonts w:asciiTheme="minorHAnsi" w:hAnsiTheme="minorHAnsi"/>
          <w:szCs w:val="24"/>
          <w:lang w:val="es-ES_tradnl"/>
        </w:rPr>
      </w:pPr>
      <w:r w:rsidRPr="000D3432">
        <w:rPr>
          <w:rFonts w:asciiTheme="minorHAnsi" w:hAnsiTheme="minorHAnsi"/>
          <w:szCs w:val="24"/>
          <w:lang w:val="es-ES_tradnl"/>
        </w:rPr>
        <w:t xml:space="preserve"> </w:t>
      </w:r>
    </w:p>
    <w:p w14:paraId="3338E49D" w14:textId="77777777" w:rsidR="009E6E2E" w:rsidRPr="000D3432" w:rsidRDefault="009E6E2E" w:rsidP="009E6E2E">
      <w:pPr>
        <w:jc w:val="both"/>
        <w:rPr>
          <w:rFonts w:asciiTheme="minorHAnsi" w:hAnsiTheme="minorHAnsi" w:cs="Arial"/>
          <w:b/>
          <w:color w:val="000000"/>
          <w:szCs w:val="24"/>
          <w:lang w:val="es-ES_tradnl" w:eastAsia="es-PE"/>
        </w:rPr>
      </w:pPr>
      <w:bookmarkStart w:id="179" w:name="JD_CP-A417-a"/>
      <w:bookmarkEnd w:id="179"/>
      <w:r w:rsidRPr="000D3432">
        <w:rPr>
          <w:rFonts w:asciiTheme="minorHAnsi" w:hAnsiTheme="minorHAnsi" w:cs="Arial"/>
          <w:b/>
          <w:color w:val="000000"/>
          <w:szCs w:val="24"/>
          <w:lang w:val="es-ES_tradnl" w:eastAsia="es-PE"/>
        </w:rPr>
        <w:t>2.- Concepto legal del delito de Insolvencia provocada</w:t>
      </w:r>
    </w:p>
    <w:p w14:paraId="28A725D1" w14:textId="77777777" w:rsidR="009E6E2E" w:rsidRPr="000D3432" w:rsidRDefault="009E6E2E" w:rsidP="009E6E2E">
      <w:pPr>
        <w:jc w:val="both"/>
        <w:rPr>
          <w:rFonts w:asciiTheme="minorHAnsi" w:hAnsiTheme="minorHAnsi" w:cs="Arial"/>
          <w:b/>
          <w:bCs/>
          <w:color w:val="000000"/>
          <w:szCs w:val="24"/>
          <w:lang w:val="es-ES_tradnl" w:eastAsia="es-PE"/>
        </w:rPr>
      </w:pPr>
    </w:p>
    <w:p w14:paraId="2F62810B"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 xml:space="preserve">De acuerdo con el Código Penal se establece que el delito de insolvencia provocada: “Artículo 417-A.- Insolvencia provocada.- </w:t>
      </w:r>
      <w:r w:rsidRPr="000D3432">
        <w:rPr>
          <w:rFonts w:asciiTheme="minorHAnsi" w:hAnsiTheme="minorHAnsi" w:cs="Arial"/>
          <w:color w:val="000000"/>
          <w:szCs w:val="24"/>
          <w:lang w:val="es-ES_tradnl" w:eastAsia="es-PE"/>
        </w:rPr>
        <w:t>El responsable civil por un hecho delictivo que, con posterioridad a la realización del mismo y con la finalidad de eludir total o parcialmente el cumplimiento de la reparación civil correspondiente, realiza actos de disposición o contrae obligaciones que disminuyan su patrimonio, haciéndose total o parcialmente insolvente, será reprimido con pena privativa de libertad no menor de dos años ni mayor de cuatro.</w:t>
      </w:r>
      <w:r w:rsidRPr="000D3432">
        <w:rPr>
          <w:rFonts w:asciiTheme="minorHAnsi" w:hAnsiTheme="minorHAnsi"/>
          <w:color w:val="000000"/>
          <w:szCs w:val="24"/>
          <w:lang w:val="es-ES_tradnl" w:eastAsia="es-PE"/>
        </w:rPr>
        <w:t xml:space="preserve"> / </w:t>
      </w:r>
      <w:r w:rsidRPr="000D3432">
        <w:rPr>
          <w:rFonts w:asciiTheme="minorHAnsi" w:hAnsiTheme="minorHAnsi" w:cs="Arial"/>
          <w:color w:val="000000"/>
          <w:szCs w:val="24"/>
          <w:lang w:val="es-ES_tradnl" w:eastAsia="es-PE"/>
        </w:rPr>
        <w:t>La misma pena se aplicará a quien como representante de una persona jurídica, con posterioridad a la realización de un hecho delictivo, dispone de los bienes de su representada, con la finalidad de eludir total o parcialmente la imposición de una consecuencia accesoria en el proceso penal respectivo.</w:t>
      </w:r>
      <w:r w:rsidRPr="000D3432">
        <w:rPr>
          <w:rFonts w:asciiTheme="minorHAnsi" w:hAnsiTheme="minorHAnsi"/>
          <w:color w:val="000000"/>
          <w:szCs w:val="24"/>
          <w:lang w:val="es-ES_tradnl" w:eastAsia="es-PE"/>
        </w:rPr>
        <w:t xml:space="preserve"> / </w:t>
      </w:r>
      <w:r w:rsidRPr="000D3432">
        <w:rPr>
          <w:rFonts w:asciiTheme="minorHAnsi" w:hAnsiTheme="minorHAnsi" w:cs="Arial"/>
          <w:color w:val="000000"/>
          <w:szCs w:val="24"/>
          <w:lang w:val="es-ES_tradnl" w:eastAsia="es-PE"/>
        </w:rPr>
        <w:t>Si el hecho se comete respecto a proceso por delito previsto en los artículos 152 al 153 A, 200, 296 al 298, en la Ley Nº 27765, Ley Penal contra el Lavado de Activos o en el Decreto Ley Nº 25475 (Establecen la penalidad para los delitos de terrorismo y los procedimientos para la investigación, la instrucción y el juicio), será sancionado con pena privativa de libertad no menor de tres ni mayor de seis años.</w:t>
      </w:r>
      <w:r w:rsidRPr="000D3432">
        <w:rPr>
          <w:rFonts w:asciiTheme="minorHAnsi" w:hAnsiTheme="minorHAnsi" w:cs="Arial"/>
          <w:b/>
          <w:bCs/>
          <w:color w:val="000000"/>
          <w:szCs w:val="24"/>
          <w:lang w:val="es-ES_tradnl" w:eastAsia="es-PE"/>
        </w:rPr>
        <w:t>” (*) Artículo adicionado por el Artículo 2 del Decreto Legislativo N° 982, publicado el</w:t>
      </w:r>
      <w:r w:rsidRPr="000D3432">
        <w:rPr>
          <w:rFonts w:asciiTheme="minorHAnsi" w:hAnsiTheme="minorHAnsi"/>
          <w:b/>
          <w:bCs/>
          <w:color w:val="000000"/>
          <w:szCs w:val="24"/>
          <w:lang w:val="es-ES_tradnl" w:eastAsia="es-PE"/>
        </w:rPr>
        <w:t> </w:t>
      </w:r>
      <w:r w:rsidRPr="000D3432">
        <w:rPr>
          <w:rFonts w:asciiTheme="minorHAnsi" w:hAnsiTheme="minorHAnsi" w:cs="Arial"/>
          <w:b/>
          <w:bCs/>
          <w:color w:val="000000"/>
          <w:szCs w:val="24"/>
          <w:lang w:val="es-ES_tradnl" w:eastAsia="es-PE"/>
        </w:rPr>
        <w:t>22 julio 2007.</w:t>
      </w:r>
    </w:p>
    <w:p w14:paraId="70FD4CB9" w14:textId="77777777" w:rsidR="009E6E2E" w:rsidRPr="000D3432" w:rsidRDefault="009E6E2E" w:rsidP="009E6E2E">
      <w:pPr>
        <w:rPr>
          <w:rFonts w:asciiTheme="minorHAnsi" w:hAnsiTheme="minorHAnsi" w:cs="Arial"/>
          <w:szCs w:val="24"/>
          <w:lang w:val="es-ES_tradnl"/>
        </w:rPr>
      </w:pPr>
    </w:p>
    <w:p w14:paraId="40754B38" w14:textId="77777777" w:rsidR="009E6E2E" w:rsidRPr="000D3432" w:rsidRDefault="009E6E2E" w:rsidP="009E6E2E">
      <w:pPr>
        <w:ind w:left="708"/>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II</w:t>
      </w:r>
    </w:p>
    <w:p w14:paraId="6ED3807A" w14:textId="77777777" w:rsidR="009E6E2E" w:rsidRPr="000D3432" w:rsidRDefault="009E6E2E" w:rsidP="009E6E2E">
      <w:pPr>
        <w:ind w:left="708"/>
        <w:jc w:val="center"/>
        <w:rPr>
          <w:rFonts w:asciiTheme="minorHAnsi" w:hAnsiTheme="minorHAnsi" w:cs="Arial"/>
          <w:b/>
          <w:szCs w:val="24"/>
          <w:lang w:val="es-ES_tradnl"/>
        </w:rPr>
      </w:pPr>
      <w:r w:rsidRPr="000D3432">
        <w:rPr>
          <w:rFonts w:asciiTheme="minorHAnsi" w:hAnsiTheme="minorHAnsi" w:cs="Arial"/>
          <w:b/>
          <w:szCs w:val="24"/>
          <w:lang w:val="es-ES_tradnl"/>
        </w:rPr>
        <w:t>PREVARICATO</w:t>
      </w:r>
    </w:p>
    <w:p w14:paraId="42F4C00E" w14:textId="77777777" w:rsidR="009E6E2E" w:rsidRPr="000D3432" w:rsidRDefault="009E6E2E" w:rsidP="009E6E2E">
      <w:pPr>
        <w:ind w:left="1416"/>
        <w:rPr>
          <w:rFonts w:asciiTheme="minorHAnsi" w:hAnsiTheme="minorHAnsi" w:cs="Arial"/>
          <w:szCs w:val="24"/>
          <w:lang w:val="es-ES_tradnl"/>
        </w:rPr>
      </w:pPr>
    </w:p>
    <w:p w14:paraId="4278BD1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w:t>
      </w:r>
    </w:p>
    <w:p w14:paraId="2CFBEE2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PREVARICATO</w:t>
      </w:r>
    </w:p>
    <w:p w14:paraId="57ED4316"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44337DCE"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prevaricato</w:t>
      </w:r>
    </w:p>
    <w:p w14:paraId="066E2760" w14:textId="77777777" w:rsidR="009E6E2E" w:rsidRPr="000D3432" w:rsidRDefault="009E6E2E" w:rsidP="009E6E2E">
      <w:pPr>
        <w:jc w:val="both"/>
        <w:rPr>
          <w:rFonts w:asciiTheme="minorHAnsi" w:hAnsiTheme="minorHAnsi" w:cs="Arial"/>
          <w:b/>
          <w:bCs/>
          <w:color w:val="000000"/>
          <w:szCs w:val="24"/>
          <w:lang w:val="es-ES_tradnl" w:eastAsia="es-PE"/>
        </w:rPr>
      </w:pPr>
    </w:p>
    <w:p w14:paraId="4AE931B1"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 xml:space="preserve">"Artículo 418.- Prevaricato.- </w:t>
      </w:r>
      <w:r w:rsidRPr="000D3432">
        <w:rPr>
          <w:rFonts w:asciiTheme="minorHAnsi" w:hAnsiTheme="minorHAnsi" w:cs="Arial"/>
          <w:color w:val="000000"/>
          <w:szCs w:val="24"/>
          <w:lang w:val="es-ES_tradnl" w:eastAsia="es-PE"/>
        </w:rPr>
        <w:t>El Juez o el Fiscal que dicta resolución o emite dictamen, manifiestamente contrarios al texto expreso y claro de la ley, o cita pruebas inexistentes o hechos falsos, o se apoya en leyes supuestas o derogadas, será reprimido con pena privativa de libertad no menor de tres ni mayor de cinco años.</w:t>
      </w:r>
      <w:r w:rsidRPr="000D3432">
        <w:rPr>
          <w:rFonts w:asciiTheme="minorHAnsi" w:hAnsiTheme="minorHAnsi" w:cs="Arial"/>
          <w:b/>
          <w:bCs/>
          <w:color w:val="000000"/>
          <w:szCs w:val="24"/>
          <w:lang w:val="es-ES_tradnl" w:eastAsia="es-PE"/>
        </w:rPr>
        <w:t>"</w:t>
      </w:r>
    </w:p>
    <w:p w14:paraId="6F242665" w14:textId="77777777" w:rsidR="009E6E2E" w:rsidRPr="000D3432" w:rsidRDefault="009E6E2E" w:rsidP="009E6E2E">
      <w:pPr>
        <w:ind w:left="2832"/>
        <w:rPr>
          <w:rFonts w:asciiTheme="minorHAnsi" w:hAnsiTheme="minorHAnsi"/>
          <w:szCs w:val="24"/>
          <w:lang w:val="es-ES_tradnl"/>
        </w:rPr>
      </w:pPr>
    </w:p>
    <w:p w14:paraId="58E1DB63" w14:textId="77777777" w:rsidR="009E6E2E" w:rsidRPr="000D3432" w:rsidRDefault="009E6E2E" w:rsidP="009E6E2E">
      <w:pPr>
        <w:ind w:left="1416"/>
        <w:rPr>
          <w:rFonts w:asciiTheme="minorHAnsi" w:hAnsiTheme="minorHAnsi" w:cs="Arial"/>
          <w:szCs w:val="24"/>
          <w:lang w:val="es-ES_tradnl"/>
        </w:rPr>
      </w:pPr>
    </w:p>
    <w:p w14:paraId="6BAA57FA"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2</w:t>
      </w:r>
    </w:p>
    <w:p w14:paraId="00FE0B0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DETENCIÓN ILEGAL</w:t>
      </w:r>
    </w:p>
    <w:p w14:paraId="2CFAEE08"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318A697F"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Detención ilegal</w:t>
      </w:r>
    </w:p>
    <w:p w14:paraId="25FE0225" w14:textId="77777777" w:rsidR="009E6E2E" w:rsidRPr="000D3432" w:rsidRDefault="009E6E2E" w:rsidP="009E6E2E">
      <w:pPr>
        <w:jc w:val="both"/>
        <w:rPr>
          <w:rFonts w:asciiTheme="minorHAnsi" w:hAnsiTheme="minorHAnsi" w:cs="Arial"/>
          <w:b/>
          <w:bCs/>
          <w:color w:val="000000"/>
          <w:szCs w:val="24"/>
          <w:lang w:val="es-ES_tradnl" w:eastAsia="es-PE"/>
        </w:rPr>
      </w:pPr>
    </w:p>
    <w:p w14:paraId="1CA50ED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“Detención ilegal.- Artículo 419.-</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 xml:space="preserve">El Juez que, maliciosamente o sin motivo legal, ordena la detención de una persona o no otorga la libertad de un detenido o preso, que debió decretar, será reprimido con pena privativa de libertad no menor de dos ni mayor de cuatro años.”. </w:t>
      </w:r>
    </w:p>
    <w:p w14:paraId="0336EB38" w14:textId="77777777" w:rsidR="009E6E2E" w:rsidRPr="000D3432" w:rsidRDefault="009E6E2E" w:rsidP="009E6E2E">
      <w:pPr>
        <w:ind w:left="2832"/>
        <w:rPr>
          <w:rFonts w:asciiTheme="minorHAnsi" w:hAnsiTheme="minorHAnsi"/>
          <w:szCs w:val="24"/>
          <w:lang w:val="es-ES_tradnl"/>
        </w:rPr>
      </w:pPr>
    </w:p>
    <w:p w14:paraId="6CEA7967" w14:textId="77777777" w:rsidR="009E6E2E" w:rsidRPr="000D3432" w:rsidRDefault="009E6E2E" w:rsidP="009E6E2E">
      <w:pPr>
        <w:ind w:left="1416"/>
        <w:rPr>
          <w:rFonts w:asciiTheme="minorHAnsi" w:hAnsiTheme="minorHAnsi" w:cs="Arial"/>
          <w:szCs w:val="24"/>
          <w:lang w:val="es-ES_tradnl"/>
        </w:rPr>
      </w:pPr>
    </w:p>
    <w:p w14:paraId="7A405380"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3</w:t>
      </w:r>
    </w:p>
    <w:p w14:paraId="10D03E07"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PROHIBICIÓN DE CONOCER UN PROCESO QUE PATROCINÓ</w:t>
      </w:r>
      <w:r w:rsidRPr="000D3432">
        <w:rPr>
          <w:rFonts w:asciiTheme="minorHAnsi" w:hAnsiTheme="minorHAnsi"/>
          <w:szCs w:val="24"/>
          <w:lang w:val="es-ES_tradnl"/>
        </w:rPr>
        <w:t xml:space="preserve"> </w:t>
      </w:r>
    </w:p>
    <w:p w14:paraId="1FE85502"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del delito de prohibición de conocer un proceso que patrocinó</w:t>
      </w:r>
    </w:p>
    <w:p w14:paraId="2F11E5A0" w14:textId="77777777" w:rsidR="009E6E2E" w:rsidRPr="000D3432" w:rsidRDefault="009E6E2E" w:rsidP="009E6E2E">
      <w:pPr>
        <w:jc w:val="both"/>
        <w:rPr>
          <w:rFonts w:asciiTheme="minorHAnsi" w:hAnsiTheme="minorHAnsi" w:cs="Arial"/>
          <w:b/>
          <w:bCs/>
          <w:color w:val="000000"/>
          <w:szCs w:val="24"/>
          <w:lang w:val="es-ES_tradnl" w:eastAsia="es-PE"/>
        </w:rPr>
      </w:pPr>
    </w:p>
    <w:p w14:paraId="5CA2F1EE"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De acuerdo con el Código Penal se establece:</w:t>
      </w:r>
      <w:r w:rsidRPr="000D3432">
        <w:rPr>
          <w:rFonts w:asciiTheme="minorHAnsi" w:hAnsiTheme="minorHAnsi" w:cs="Arial"/>
          <w:b/>
          <w:bCs/>
          <w:color w:val="000000"/>
          <w:szCs w:val="24"/>
          <w:lang w:val="es-ES_tradnl" w:eastAsia="es-PE"/>
        </w:rPr>
        <w:t xml:space="preserve"> “Prohibición de conocer un proceso que patrocinó.- Artículo 420.-</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Juez o Fiscal que conoce en un proceso que anteriormente patrocinó como abogado, será reprimido con pena privativa de libertad no mayor de dos años.”</w:t>
      </w:r>
    </w:p>
    <w:p w14:paraId="72282A40" w14:textId="77777777" w:rsidR="009E6E2E" w:rsidRPr="000D3432" w:rsidRDefault="009E6E2E" w:rsidP="009E6E2E">
      <w:pPr>
        <w:ind w:left="1416"/>
        <w:rPr>
          <w:rFonts w:asciiTheme="minorHAnsi" w:hAnsiTheme="minorHAnsi" w:cs="Arial"/>
          <w:szCs w:val="24"/>
          <w:lang w:val="es-ES_tradnl"/>
        </w:rPr>
      </w:pPr>
    </w:p>
    <w:p w14:paraId="09E9BD9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4</w:t>
      </w:r>
    </w:p>
    <w:p w14:paraId="671AB8FF"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PATROCINIO INDEBIDO DE ABOGADO O MANDATARIO JUDICIAL</w:t>
      </w:r>
      <w:r w:rsidRPr="000D3432">
        <w:rPr>
          <w:rFonts w:asciiTheme="minorHAnsi" w:hAnsiTheme="minorHAnsi"/>
          <w:szCs w:val="24"/>
          <w:lang w:val="es-ES_tradnl"/>
        </w:rPr>
        <w:t xml:space="preserve"> </w:t>
      </w:r>
    </w:p>
    <w:p w14:paraId="0737ED80"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patrocinio indebido de abogado o mandato judicial</w:t>
      </w:r>
    </w:p>
    <w:p w14:paraId="079EF955" w14:textId="77777777" w:rsidR="009E6E2E" w:rsidRPr="000D3432" w:rsidRDefault="009E6E2E" w:rsidP="009E6E2E">
      <w:pPr>
        <w:jc w:val="both"/>
        <w:rPr>
          <w:rFonts w:asciiTheme="minorHAnsi" w:hAnsiTheme="minorHAnsi" w:cs="Arial"/>
          <w:bCs/>
          <w:color w:val="000000"/>
          <w:szCs w:val="24"/>
          <w:lang w:val="es-ES_tradnl" w:eastAsia="es-PE"/>
        </w:rPr>
      </w:pPr>
    </w:p>
    <w:p w14:paraId="78CFDD5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Patrocinio indebido de abogado o mandatario judicial.- Artículo 421.-</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Abogado o mandatario judicial que, después de haber patrocinado o representado a una parte en un proceso judicial o administrativo, asume la defensa o representación de la parte contraria en el mismo proceso, será reprimido con pena privativa de libertad no mayor de dos años.”.</w:t>
      </w:r>
    </w:p>
    <w:p w14:paraId="596B1391" w14:textId="77777777" w:rsidR="009E6E2E" w:rsidRPr="000D3432" w:rsidRDefault="009E6E2E" w:rsidP="009E6E2E">
      <w:pPr>
        <w:ind w:left="2832"/>
        <w:rPr>
          <w:rFonts w:asciiTheme="minorHAnsi" w:hAnsiTheme="minorHAnsi"/>
          <w:szCs w:val="24"/>
          <w:lang w:val="es-ES_tradnl"/>
        </w:rPr>
      </w:pPr>
    </w:p>
    <w:p w14:paraId="7BDA8E18" w14:textId="77777777" w:rsidR="009E6E2E" w:rsidRPr="000D3432" w:rsidRDefault="009E6E2E" w:rsidP="009E6E2E">
      <w:pPr>
        <w:jc w:val="center"/>
        <w:rPr>
          <w:rFonts w:asciiTheme="minorHAnsi" w:hAnsiTheme="minorHAnsi" w:cs="Arial"/>
          <w:b/>
          <w:szCs w:val="24"/>
          <w:u w:val="single"/>
          <w:lang w:val="es-ES_tradnl"/>
        </w:rPr>
      </w:pPr>
      <w:r w:rsidRPr="000D3432">
        <w:rPr>
          <w:rFonts w:asciiTheme="minorHAnsi" w:hAnsiTheme="minorHAnsi" w:cs="Arial"/>
          <w:b/>
          <w:szCs w:val="24"/>
          <w:u w:val="single"/>
          <w:lang w:val="es-ES_tradnl"/>
        </w:rPr>
        <w:t>CAPITULO III</w:t>
      </w:r>
    </w:p>
    <w:p w14:paraId="0A8A288E"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DENEGACIÓN Y RETARDO DE JUSTICIA</w:t>
      </w:r>
    </w:p>
    <w:p w14:paraId="7142908C" w14:textId="77777777" w:rsidR="009E6E2E" w:rsidRPr="000D3432" w:rsidRDefault="009E6E2E" w:rsidP="009E6E2E">
      <w:pPr>
        <w:ind w:left="1416"/>
        <w:rPr>
          <w:rFonts w:asciiTheme="minorHAnsi" w:hAnsiTheme="minorHAnsi" w:cs="Arial"/>
          <w:szCs w:val="24"/>
          <w:lang w:val="es-ES_tradnl"/>
        </w:rPr>
      </w:pPr>
    </w:p>
    <w:p w14:paraId="21B03735" w14:textId="77777777" w:rsidR="009E6E2E" w:rsidRPr="000D3432" w:rsidRDefault="009E6E2E" w:rsidP="009E6E2E">
      <w:pPr>
        <w:ind w:left="1416"/>
        <w:rPr>
          <w:rFonts w:asciiTheme="minorHAnsi" w:hAnsiTheme="minorHAnsi" w:cs="Arial"/>
          <w:szCs w:val="24"/>
          <w:lang w:val="es-ES_tradnl"/>
        </w:rPr>
      </w:pPr>
    </w:p>
    <w:p w14:paraId="0042B8E9"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1</w:t>
      </w:r>
    </w:p>
    <w:p w14:paraId="1ABC6F28"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NEGATIVA A ADMINISTRAR JUSTICIA</w:t>
      </w:r>
    </w:p>
    <w:p w14:paraId="4A0100F6" w14:textId="77777777" w:rsidR="009E6E2E" w:rsidRPr="000D3432" w:rsidRDefault="009E6E2E" w:rsidP="009E6E2E">
      <w:pPr>
        <w:ind w:left="2832"/>
        <w:rPr>
          <w:rFonts w:asciiTheme="minorHAnsi" w:hAnsiTheme="minorHAnsi"/>
          <w:szCs w:val="24"/>
          <w:lang w:val="es-ES_tradnl"/>
        </w:rPr>
      </w:pPr>
      <w:r w:rsidRPr="000D3432">
        <w:rPr>
          <w:rFonts w:asciiTheme="minorHAnsi" w:hAnsiTheme="minorHAnsi"/>
          <w:szCs w:val="24"/>
          <w:lang w:val="es-ES_tradnl"/>
        </w:rPr>
        <w:t xml:space="preserve"> </w:t>
      </w:r>
    </w:p>
    <w:p w14:paraId="238EC4C5"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negativa a administrar justicia</w:t>
      </w:r>
    </w:p>
    <w:p w14:paraId="371F8685" w14:textId="77777777" w:rsidR="009E6E2E" w:rsidRPr="000D3432" w:rsidRDefault="009E6E2E" w:rsidP="009E6E2E">
      <w:pPr>
        <w:jc w:val="both"/>
        <w:rPr>
          <w:rFonts w:asciiTheme="minorHAnsi" w:hAnsiTheme="minorHAnsi" w:cs="Arial"/>
          <w:bCs/>
          <w:color w:val="000000"/>
          <w:szCs w:val="24"/>
          <w:lang w:val="es-ES_tradnl" w:eastAsia="es-PE"/>
        </w:rPr>
      </w:pPr>
    </w:p>
    <w:p w14:paraId="4F7864B2"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De acuerdo con el Código Penal se establece: </w:t>
      </w:r>
      <w:r w:rsidRPr="000D3432">
        <w:rPr>
          <w:rFonts w:asciiTheme="minorHAnsi" w:hAnsiTheme="minorHAnsi" w:cs="Arial"/>
          <w:b/>
          <w:bCs/>
          <w:color w:val="000000"/>
          <w:szCs w:val="24"/>
          <w:lang w:val="es-ES_tradnl" w:eastAsia="es-PE"/>
        </w:rPr>
        <w:t>“Denegación y retardo de justicia.- Negativa a administrar justicia.- Artículo 422.-</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Juez que se niega a administrar justicia o que elude juzgar bajo pretexto de defecto o deficiencia de la ley, será reprimido con pena privativa de libertad no menor de uno ni mayor de cuatro años.”</w:t>
      </w:r>
    </w:p>
    <w:p w14:paraId="58BBEC56" w14:textId="77777777" w:rsidR="009E6E2E" w:rsidRPr="000D3432" w:rsidRDefault="009E6E2E" w:rsidP="009E6E2E">
      <w:pPr>
        <w:rPr>
          <w:rFonts w:asciiTheme="minorHAnsi" w:hAnsiTheme="minorHAnsi" w:cs="Arial"/>
          <w:szCs w:val="24"/>
          <w:lang w:val="es-ES_tradnl"/>
        </w:rPr>
      </w:pPr>
    </w:p>
    <w:p w14:paraId="3C6679C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2</w:t>
      </w:r>
    </w:p>
    <w:p w14:paraId="4259CB23"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NEGATIVA AL CUMPLIMIENTO DE OBLIGACIONES DE NOTARIO</w:t>
      </w:r>
    </w:p>
    <w:p w14:paraId="09D2D86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 xml:space="preserve"> Y AUXILIARES JURISDICCIONALES</w:t>
      </w:r>
    </w:p>
    <w:p w14:paraId="78C3D2D5"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del delito de negativa al cumplimiento de obligaciones de notario y auxiliares jurisdiccionales</w:t>
      </w:r>
    </w:p>
    <w:p w14:paraId="0B7C2E2B" w14:textId="77777777" w:rsidR="009E6E2E" w:rsidRPr="000D3432" w:rsidRDefault="009E6E2E" w:rsidP="009E6E2E">
      <w:pPr>
        <w:jc w:val="both"/>
        <w:rPr>
          <w:rFonts w:asciiTheme="minorHAnsi" w:hAnsiTheme="minorHAnsi" w:cs="Arial"/>
          <w:b/>
          <w:bCs/>
          <w:color w:val="000000"/>
          <w:szCs w:val="24"/>
          <w:lang w:val="es-ES_tradnl" w:eastAsia="es-PE"/>
        </w:rPr>
      </w:pPr>
    </w:p>
    <w:p w14:paraId="3603D39B"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
          <w:bCs/>
          <w:color w:val="000000"/>
          <w:szCs w:val="24"/>
          <w:lang w:val="es-ES_tradnl" w:eastAsia="es-PE"/>
        </w:rPr>
        <w:t>De acuerdo con el Código Penal se establece: “Negativa al cumplimiento de obligaciones de notario y auxiliares jurisdiccionales.- Artículo 423.-</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notario o secretario de juzgado o fiscalía o cualquier otro auxiliar de justicia que se niega a cumplir las obligaciones que legalmente le corresponde, será reprimido con pena privativa de libertad no mayor de un año, o con treinta a sesenta días-multa.”</w:t>
      </w:r>
    </w:p>
    <w:p w14:paraId="4BD9ACB0" w14:textId="77777777" w:rsidR="009E6E2E" w:rsidRPr="000D3432" w:rsidRDefault="009E6E2E" w:rsidP="009E6E2E">
      <w:pPr>
        <w:ind w:left="2832"/>
        <w:rPr>
          <w:rFonts w:asciiTheme="minorHAnsi" w:hAnsiTheme="minorHAnsi"/>
          <w:szCs w:val="24"/>
          <w:lang w:val="es-ES_tradnl"/>
        </w:rPr>
      </w:pPr>
    </w:p>
    <w:p w14:paraId="78C2AB6F" w14:textId="77777777" w:rsidR="009E6E2E" w:rsidRPr="000D3432" w:rsidRDefault="009E6E2E" w:rsidP="009E6E2E">
      <w:pPr>
        <w:ind w:left="2832"/>
        <w:rPr>
          <w:rFonts w:asciiTheme="minorHAnsi" w:hAnsiTheme="minorHAnsi"/>
          <w:szCs w:val="24"/>
          <w:lang w:val="es-ES_tradnl"/>
        </w:rPr>
      </w:pPr>
    </w:p>
    <w:p w14:paraId="5F37B6CF" w14:textId="77777777" w:rsidR="009E6E2E" w:rsidRPr="000D3432" w:rsidRDefault="009E6E2E" w:rsidP="009E6E2E">
      <w:pPr>
        <w:ind w:left="1416"/>
        <w:rPr>
          <w:rFonts w:asciiTheme="minorHAnsi" w:hAnsiTheme="minorHAnsi" w:cs="Arial"/>
          <w:szCs w:val="24"/>
          <w:lang w:val="es-ES_tradnl"/>
        </w:rPr>
      </w:pPr>
    </w:p>
    <w:p w14:paraId="776D1C35"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SECCION 3</w:t>
      </w:r>
    </w:p>
    <w:p w14:paraId="2FE00482" w14:textId="77777777" w:rsidR="009E6E2E" w:rsidRPr="000D3432" w:rsidRDefault="009E6E2E" w:rsidP="009E6E2E">
      <w:pPr>
        <w:jc w:val="center"/>
        <w:rPr>
          <w:rFonts w:asciiTheme="minorHAnsi" w:hAnsiTheme="minorHAnsi" w:cs="Arial"/>
          <w:b/>
          <w:szCs w:val="24"/>
          <w:lang w:val="es-ES_tradnl"/>
        </w:rPr>
      </w:pPr>
      <w:r w:rsidRPr="000D3432">
        <w:rPr>
          <w:rFonts w:asciiTheme="minorHAnsi" w:hAnsiTheme="minorHAnsi" w:cs="Arial"/>
          <w:b/>
          <w:szCs w:val="24"/>
          <w:lang w:val="es-ES_tradnl"/>
        </w:rPr>
        <w:t>OMISIÓN DE EJERCICIO DE LA ACCIÓN PENAL.</w:t>
      </w:r>
    </w:p>
    <w:p w14:paraId="4019AE64" w14:textId="77777777" w:rsidR="009E6E2E" w:rsidRPr="000D3432" w:rsidRDefault="009E6E2E" w:rsidP="009E6E2E">
      <w:pPr>
        <w:jc w:val="both"/>
        <w:rPr>
          <w:rFonts w:asciiTheme="minorHAnsi" w:hAnsiTheme="minorHAnsi" w:cs="Arial"/>
          <w:b/>
          <w:bCs/>
          <w:color w:val="000000"/>
          <w:szCs w:val="24"/>
          <w:lang w:val="es-ES_tradnl" w:eastAsia="es-PE"/>
        </w:rPr>
      </w:pPr>
      <w:r w:rsidRPr="000D3432">
        <w:rPr>
          <w:rFonts w:asciiTheme="minorHAnsi" w:hAnsiTheme="minorHAnsi" w:cs="Arial"/>
          <w:b/>
          <w:bCs/>
          <w:color w:val="000000"/>
          <w:szCs w:val="24"/>
          <w:lang w:val="es-ES_tradnl" w:eastAsia="es-PE"/>
        </w:rPr>
        <w:t>2.- Concepto legal del delito de omisión de ejercicio de la acción penal</w:t>
      </w:r>
    </w:p>
    <w:p w14:paraId="344410E3" w14:textId="77777777" w:rsidR="009E6E2E" w:rsidRPr="000D3432" w:rsidRDefault="009E6E2E" w:rsidP="009E6E2E">
      <w:pPr>
        <w:jc w:val="both"/>
        <w:rPr>
          <w:rFonts w:asciiTheme="minorHAnsi" w:hAnsiTheme="minorHAnsi" w:cs="Arial"/>
          <w:bCs/>
          <w:color w:val="000000"/>
          <w:szCs w:val="24"/>
          <w:lang w:val="es-ES_tradnl" w:eastAsia="es-PE"/>
        </w:rPr>
      </w:pPr>
    </w:p>
    <w:p w14:paraId="3248B726" w14:textId="77777777" w:rsidR="009E6E2E" w:rsidRPr="000D3432" w:rsidRDefault="009E6E2E" w:rsidP="009E6E2E">
      <w:pPr>
        <w:jc w:val="both"/>
        <w:rPr>
          <w:rFonts w:asciiTheme="minorHAnsi" w:hAnsiTheme="minorHAnsi" w:cs="Arial"/>
          <w:color w:val="000000"/>
          <w:szCs w:val="24"/>
          <w:lang w:val="es-ES_tradnl" w:eastAsia="es-PE"/>
        </w:rPr>
      </w:pPr>
      <w:r w:rsidRPr="000D3432">
        <w:rPr>
          <w:rFonts w:asciiTheme="minorHAnsi" w:hAnsiTheme="minorHAnsi" w:cs="Arial"/>
          <w:bCs/>
          <w:color w:val="000000"/>
          <w:szCs w:val="24"/>
          <w:lang w:val="es-ES_tradnl" w:eastAsia="es-PE"/>
        </w:rPr>
        <w:t xml:space="preserve">Según el Código Penal se establece respecto al delito de </w:t>
      </w:r>
      <w:r w:rsidRPr="000D3432">
        <w:rPr>
          <w:rFonts w:asciiTheme="minorHAnsi" w:hAnsiTheme="minorHAnsi" w:cs="Arial"/>
          <w:b/>
          <w:bCs/>
          <w:color w:val="000000"/>
          <w:szCs w:val="24"/>
          <w:lang w:val="es-ES_tradnl" w:eastAsia="es-PE"/>
        </w:rPr>
        <w:t>“Omisión de ejercicio de la acción penal.- Artículo 424.-</w:t>
      </w:r>
      <w:r w:rsidRPr="000D3432">
        <w:rPr>
          <w:rFonts w:asciiTheme="minorHAnsi" w:hAnsiTheme="minorHAnsi"/>
          <w:b/>
          <w:bCs/>
          <w:color w:val="000000"/>
          <w:szCs w:val="24"/>
          <w:lang w:val="es-ES_tradnl" w:eastAsia="es-PE"/>
        </w:rPr>
        <w:t> </w:t>
      </w:r>
      <w:r w:rsidRPr="000D3432">
        <w:rPr>
          <w:rFonts w:asciiTheme="minorHAnsi" w:hAnsiTheme="minorHAnsi" w:cs="Arial"/>
          <w:color w:val="000000"/>
          <w:szCs w:val="24"/>
          <w:lang w:val="es-ES_tradnl" w:eastAsia="es-PE"/>
        </w:rPr>
        <w:t>El Fiscal que omite ejercitar la acción penal será reprimido con pena privativa de libertad no menor de uno ni mayor de cuatro años.”.</w:t>
      </w:r>
    </w:p>
    <w:p w14:paraId="2AA6E8C0" w14:textId="77777777" w:rsidR="009E6E2E" w:rsidRPr="000D3432" w:rsidRDefault="009E6E2E" w:rsidP="009E6E2E">
      <w:pPr>
        <w:ind w:left="2832"/>
        <w:rPr>
          <w:rFonts w:asciiTheme="minorHAnsi" w:hAnsiTheme="minorHAnsi"/>
          <w:szCs w:val="24"/>
          <w:lang w:val="es-ES_tradnl"/>
        </w:rPr>
      </w:pPr>
    </w:p>
    <w:p w14:paraId="3188FDD8" w14:textId="77777777" w:rsidR="0050116F" w:rsidRPr="000D3432" w:rsidRDefault="0050116F" w:rsidP="00A95498">
      <w:pPr>
        <w:rPr>
          <w:rFonts w:asciiTheme="minorHAnsi" w:hAnsiTheme="minorHAnsi"/>
          <w:szCs w:val="24"/>
        </w:rPr>
      </w:pPr>
    </w:p>
    <w:p w14:paraId="6F7F0CED" w14:textId="77777777" w:rsidR="0050116F" w:rsidRPr="000D3432" w:rsidRDefault="0050116F" w:rsidP="00A95498">
      <w:pPr>
        <w:rPr>
          <w:rFonts w:asciiTheme="minorHAnsi" w:hAnsiTheme="minorHAnsi"/>
          <w:szCs w:val="24"/>
        </w:rPr>
      </w:pPr>
    </w:p>
    <w:p w14:paraId="781FC88B" w14:textId="77777777" w:rsidR="0050116F" w:rsidRPr="000D3432" w:rsidRDefault="0050116F" w:rsidP="00A95498">
      <w:pPr>
        <w:rPr>
          <w:rFonts w:asciiTheme="minorHAnsi" w:hAnsiTheme="minorHAnsi"/>
          <w:szCs w:val="24"/>
        </w:rPr>
      </w:pPr>
    </w:p>
    <w:p w14:paraId="765D84CA" w14:textId="79441E95" w:rsidR="0050116F" w:rsidRPr="000D3432" w:rsidRDefault="0050116F" w:rsidP="00A95498">
      <w:pPr>
        <w:rPr>
          <w:rFonts w:asciiTheme="minorHAnsi" w:hAnsiTheme="minorHAnsi"/>
          <w:szCs w:val="24"/>
        </w:rPr>
      </w:pPr>
    </w:p>
    <w:sectPr w:rsidR="0050116F" w:rsidRPr="000D3432" w:rsidSect="00601CEE">
      <w:headerReference w:type="even" r:id="rId15"/>
      <w:headerReference w:type="default" r:id="rId16"/>
      <w:footerReference w:type="even" r:id="rId17"/>
      <w:footerReference w:type="default" r:id="rId18"/>
      <w:endnotePr>
        <w:numFmt w:val="decimal"/>
      </w:endnotePr>
      <w:pgSz w:w="11905" w:h="16832" w:code="9"/>
      <w:pgMar w:top="1701" w:right="1701" w:bottom="1560" w:left="1985" w:header="1134" w:footer="1021" w:gutter="0"/>
      <w:pgNumType w:start="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01084" w14:textId="77777777" w:rsidR="00444BC9" w:rsidRDefault="00444BC9" w:rsidP="001925CE">
      <w:r>
        <w:separator/>
      </w:r>
    </w:p>
  </w:endnote>
  <w:endnote w:type="continuationSeparator" w:id="0">
    <w:p w14:paraId="5538E1C1" w14:textId="77777777" w:rsidR="00444BC9" w:rsidRDefault="00444BC9" w:rsidP="00192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Lucida Sans Typewriter">
    <w:panose1 w:val="020B05090305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atang">
    <w:altName w:val="바탕"/>
    <w:panose1 w:val="00000000000000000000"/>
    <w:charset w:val="81"/>
    <w:family w:val="auto"/>
    <w:notTrueType/>
    <w:pitch w:val="fixed"/>
    <w:sig w:usb0="00000001" w:usb1="09060000" w:usb2="00000010" w:usb3="00000000" w:csb0="00080000" w:csb1="00000000"/>
  </w:font>
  <w:font w:name="AmeriGarmnd BT">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35E80" w14:textId="77777777" w:rsidR="00444BC9" w:rsidRDefault="00444BC9" w:rsidP="00601CE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5D4A10" w14:textId="77777777" w:rsidR="00444BC9" w:rsidRDefault="00444BC9">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51599" w14:textId="77777777" w:rsidR="00444BC9" w:rsidRDefault="00444BC9" w:rsidP="00601CE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90DE1">
      <w:rPr>
        <w:rStyle w:val="Nmerodepgina"/>
        <w:noProof/>
      </w:rPr>
      <w:t>672</w:t>
    </w:r>
    <w:r>
      <w:rPr>
        <w:rStyle w:val="Nmerodepgina"/>
      </w:rPr>
      <w:fldChar w:fldCharType="end"/>
    </w:r>
  </w:p>
  <w:p w14:paraId="7C7A7036" w14:textId="77777777" w:rsidR="00444BC9" w:rsidRDefault="00444BC9">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5DBF8" w14:textId="77777777" w:rsidR="00444BC9" w:rsidRDefault="00444BC9" w:rsidP="001925CE">
      <w:r>
        <w:separator/>
      </w:r>
    </w:p>
  </w:footnote>
  <w:footnote w:type="continuationSeparator" w:id="0">
    <w:p w14:paraId="4899150C" w14:textId="77777777" w:rsidR="00444BC9" w:rsidRDefault="00444BC9" w:rsidP="001925CE">
      <w:r>
        <w:continuationSeparator/>
      </w:r>
    </w:p>
  </w:footnote>
  <w:footnote w:id="1">
    <w:p w14:paraId="4C73848F" w14:textId="77777777" w:rsidR="00444BC9" w:rsidRPr="0016334C" w:rsidRDefault="00444BC9" w:rsidP="001925CE">
      <w:pPr>
        <w:pStyle w:val="Textonotapie"/>
        <w:rPr>
          <w:lang w:val="es-ES_tradnl"/>
        </w:rPr>
      </w:pPr>
      <w:r>
        <w:rPr>
          <w:rStyle w:val="Refdenotaalpie"/>
        </w:rPr>
        <w:footnoteRef/>
      </w:r>
      <w:r>
        <w:rPr>
          <w:lang w:val="es-ES_tradnl"/>
        </w:rPr>
        <w:t xml:space="preserve">Nos estamos refiriendo al principio de causalidad enunciado por Kelsen; sin embargo cabe añadir que fue recién viendo una exposición de Enrique Ghersi en youtube, que entendí que este proceso es perfectamente posible, porque como lo explicara, en algunas situaciones no se necesita la causa para que se produzca el efecto, como el ejemplo de la caída del precio de algún producto, cuando se sabe de aquello no se necesita que suceda para que se tomen las previsiones necesarias. </w:t>
      </w:r>
    </w:p>
  </w:footnote>
  <w:footnote w:id="2">
    <w:p w14:paraId="06B149BB" w14:textId="77777777" w:rsidR="00444BC9" w:rsidRDefault="00444BC9" w:rsidP="001925CE">
      <w:pPr>
        <w:pStyle w:val="Textonotapie"/>
        <w:ind w:hanging="142"/>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Luis Diez Picaso escribe: “una tradición jurídica existe siempre que se ha perdido el rastro del originario designio que guió la puesta en vigor de una norma o cuando, por lo menos, no se tiene ya una clara conciencia de él.” / </w:t>
      </w:r>
      <w:r>
        <w:rPr>
          <w:rFonts w:ascii="Arial Narrow" w:hAnsi="Arial Narrow"/>
          <w:smallCaps/>
          <w:sz w:val="16"/>
        </w:rPr>
        <w:t>Diez Picazo</w:t>
      </w:r>
      <w:r>
        <w:rPr>
          <w:rFonts w:ascii="Arial Narrow" w:hAnsi="Arial Narrow"/>
          <w:sz w:val="16"/>
        </w:rPr>
        <w:t xml:space="preserve"> Luis. </w:t>
      </w:r>
      <w:r>
        <w:rPr>
          <w:rFonts w:ascii="Arial Narrow" w:hAnsi="Arial Narrow"/>
          <w:i/>
          <w:sz w:val="16"/>
        </w:rPr>
        <w:t>Experiencias jurídicas y teoría del derecho.</w:t>
      </w:r>
      <w:r>
        <w:rPr>
          <w:rFonts w:ascii="Arial Narrow" w:hAnsi="Arial Narrow"/>
          <w:sz w:val="16"/>
        </w:rPr>
        <w:t xml:space="preserve"> Editorial Ariel. Barcelona. 1ra. Edición 1973. Pp. 146.</w:t>
      </w:r>
    </w:p>
    <w:p w14:paraId="5A662E00" w14:textId="77777777" w:rsidR="00444BC9" w:rsidRDefault="00444BC9" w:rsidP="001925CE">
      <w:pPr>
        <w:pStyle w:val="Textonotapie"/>
        <w:jc w:val="both"/>
        <w:rPr>
          <w:rFonts w:ascii="Arial Narrow" w:hAnsi="Arial Narrow"/>
          <w:sz w:val="16"/>
        </w:rPr>
      </w:pPr>
    </w:p>
  </w:footnote>
  <w:footnote w:id="3">
    <w:p w14:paraId="1CFF9024"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En este trabajo entenderemos a la ontología como el estudio del ser. Ferrater Mora escribe que “La ontología …. Se concibe como ciencia del ser en sí, del ser último o irreductible, de un primer ente en que todos los demás consisten, es decir, del cual dependen todos los entes” / Ferrater Mora, José. </w:t>
      </w:r>
      <w:r>
        <w:rPr>
          <w:rFonts w:ascii="Arial Narrow" w:hAnsi="Arial Narrow"/>
          <w:i/>
          <w:sz w:val="16"/>
        </w:rPr>
        <w:t>Diccionario de Filosofía Abreviado</w:t>
      </w:r>
      <w:r>
        <w:rPr>
          <w:rFonts w:ascii="Arial Narrow" w:hAnsi="Arial Narrow"/>
          <w:sz w:val="16"/>
        </w:rPr>
        <w:t xml:space="preserve">. Editorial Sudamericana. Buenos Aires. Decimocuarta edición, 1983. Pp. 307.  Carlos Fernández Sessarego también habla de la ontología, y dice que esta “asume la discusión sobre el objeto de la disciplina” / Fernández Sessarego, Carlos. </w:t>
      </w:r>
      <w:r>
        <w:rPr>
          <w:rFonts w:ascii="Arial Narrow" w:hAnsi="Arial Narrow"/>
          <w:i/>
          <w:sz w:val="16"/>
        </w:rPr>
        <w:t xml:space="preserve"> Derecho y Persona.</w:t>
      </w:r>
      <w:r>
        <w:rPr>
          <w:rFonts w:ascii="Arial Narrow" w:hAnsi="Arial Narrow"/>
          <w:sz w:val="16"/>
        </w:rPr>
        <w:t xml:space="preserve"> Editorial Grijley. Tercera edición, 1998. Pp. 49. Fernández Sessarego usa también este término en su tesis de Bachillerato ante la Facultad de Derecho de la Universidad Nacional Mayor de San Marcos, que titulaba “Bosquejo para una determinación ontológica del Derecho”. En dicha tesis el autor identificaba a la ontología con la metafísica. Estas preocupaciones ontológicas parecen ser sugeridas en el autor por la filosofía existencialista, con Heidegger y Sartre.</w:t>
      </w:r>
    </w:p>
  </w:footnote>
  <w:footnote w:id="4">
    <w:p w14:paraId="13497C43"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Explicado por Ferrater Mora, en su </w:t>
      </w:r>
      <w:r>
        <w:rPr>
          <w:rFonts w:ascii="Arial Narrow" w:hAnsi="Arial Narrow"/>
          <w:i/>
          <w:sz w:val="16"/>
        </w:rPr>
        <w:t>Diccionario de Filosofía Abreviado.</w:t>
      </w:r>
    </w:p>
  </w:footnote>
  <w:footnote w:id="5">
    <w:p w14:paraId="0530DF40"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Ibidem.</w:t>
      </w:r>
    </w:p>
  </w:footnote>
  <w:footnote w:id="6">
    <w:p w14:paraId="3EF1439C"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Al respecto recordamos una narración histórica sobre esta respuesta: “Yo soy el que soy”, para identificar al “ser”, contada por Arturo Uslar Pietri. “… con Moisés va a ocurrir algo…: Dios le revela su misión y él quiere negarse a llevarla adelante porque no se considera capaz, y entonces tiene la osadía de preguntarle a Dios su nombre. / Esto tenía una importancia extraordinaria para un hombre antiguo. En todos los pueblos primitivos, el nombre tiene un valor mágico, de tal modo que no se le comunica sino a gentes en quienes se confía mucho, porque, según la magia de los pueblos primitivos, quien posee nuestro nombre posee en cierta forma nuestra persona, y quedamos a merced de las gentes que saben nuestro nombre. Por ejemplo, entre las tribus indígenas venezolanas es muy difícil que un indio diga su verdadero nombre; generalmente dice uno que no es el verdadero, porque el nombre verdadero no se le dice a nadie por temor de quedar en posesión de aquella persona al hacerle la entrega preciosa de esa especie de esencia de la personalidad que es el nombre. /Para un hombre de un pueblo antiguo y primitivo a quien se le aparece Dios, decirle: ‘¿Cómo te llamas?’, era sencillamente, decirle : ‘Ponte en posesión mía’. Sin embargo, Dios responde a la audaz pregunta de Moisés y le dice un nombre extraordinario: ‘Yo soy el que soy’. … ‘El que es’, que en hebreo se dice Yavé, y no Jehová,…” / Uslar Pietri, Arturo. </w:t>
      </w:r>
      <w:r>
        <w:rPr>
          <w:rFonts w:ascii="Arial Narrow" w:hAnsi="Arial Narrow"/>
          <w:i/>
          <w:sz w:val="16"/>
        </w:rPr>
        <w:t xml:space="preserve">Valores Humanos (Biografías y evocaciones. </w:t>
      </w:r>
      <w:r>
        <w:rPr>
          <w:rFonts w:ascii="Arial Narrow" w:hAnsi="Arial Narrow"/>
          <w:sz w:val="16"/>
        </w:rPr>
        <w:t>Tomo I</w:t>
      </w:r>
      <w:r>
        <w:rPr>
          <w:rFonts w:ascii="Arial Narrow" w:hAnsi="Arial Narrow"/>
          <w:i/>
          <w:sz w:val="16"/>
        </w:rPr>
        <w:t>.</w:t>
      </w:r>
      <w:r>
        <w:rPr>
          <w:rFonts w:ascii="Arial Narrow" w:hAnsi="Arial Narrow"/>
          <w:sz w:val="16"/>
        </w:rPr>
        <w:t xml:space="preserve"> Editorial Edime, Madrid.  1972, pág. 27.</w:t>
      </w:r>
    </w:p>
  </w:footnote>
  <w:footnote w:id="7">
    <w:p w14:paraId="48BB9BB3"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Rubio Correa, Marcial. </w:t>
      </w:r>
      <w:r>
        <w:rPr>
          <w:rFonts w:ascii="Arial Narrow" w:hAnsi="Arial Narrow"/>
          <w:i/>
          <w:sz w:val="16"/>
        </w:rPr>
        <w:t>El ser humano como persona natural</w:t>
      </w:r>
      <w:r>
        <w:rPr>
          <w:rFonts w:ascii="Arial Narrow" w:hAnsi="Arial Narrow"/>
          <w:sz w:val="16"/>
        </w:rPr>
        <w:t>. Fondo editorial de la Pontificia Universidad Católica del Perú. 1992. Pp. 23.</w:t>
      </w:r>
    </w:p>
  </w:footnote>
  <w:footnote w:id="8">
    <w:p w14:paraId="60510EAC"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El ser humano es sujeto de derecho de dos formas, 1) como concebido: “Entre la concepción y el nacimiento”; 2) Como persona: “desde el nacimiento hasta la muerte”  / Rubio Correa, Marcial. </w:t>
      </w:r>
      <w:r>
        <w:rPr>
          <w:rFonts w:ascii="Arial Narrow" w:hAnsi="Arial Narrow"/>
          <w:i/>
          <w:sz w:val="16"/>
        </w:rPr>
        <w:t>El ser humano como persona natural</w:t>
      </w:r>
      <w:r>
        <w:rPr>
          <w:rFonts w:ascii="Arial Narrow" w:hAnsi="Arial Narrow"/>
          <w:sz w:val="16"/>
        </w:rPr>
        <w:t>. Fondo editorial de la Pontificia Universidad Católica del Perú. 1992. Pp. 17 y sgts.</w:t>
      </w:r>
    </w:p>
    <w:p w14:paraId="20ACC4DD" w14:textId="77777777" w:rsidR="00444BC9" w:rsidRDefault="00444BC9" w:rsidP="001925CE">
      <w:pPr>
        <w:pStyle w:val="Textonotapie"/>
        <w:jc w:val="both"/>
        <w:rPr>
          <w:rFonts w:ascii="Arial Narrow" w:hAnsi="Arial Narrow"/>
          <w:sz w:val="16"/>
        </w:rPr>
      </w:pPr>
      <w:r>
        <w:rPr>
          <w:rFonts w:ascii="Arial Narrow" w:hAnsi="Arial Narrow"/>
          <w:sz w:val="16"/>
        </w:rPr>
        <w:t xml:space="preserve">Rubio aclara que el sujeto de derecho es “persona” desde su nacimiento (antes ha sido concebido). “El concebido es vida humana que aún no ha nacido pero que tiene existencia para el Derecho” (Rubio ESHCPN, 18) Esto que pareciera una curiosidad es más bien una determinación, una definición jurídica. Como en derecho hay necesidad de certeza (seguridad jurídica), de cosas claras y definidas 8º hay derecho o no lo hay, no hay un más o menos) la norma positiva precisa el momento, el eje del movimiento. Sucede entonces que la vida humana se produce con la concepción. Este concebido, este cuerpo formado por la integración de dos cuerpos (espermas y óvulos) es el llamado concebido. No, no es aún persona, no si entendemos a la persona como un cuerpo también definido, independiente, que puede y es el fin primero y último, y es el mismo un fin, con capacidad para realizar sus propios fines y objetivos (Fernández Sessarego y Kant) y no sólo “un ente emocional de naturaleza racional”. El concebido no es persona. Para que sea tal tiene que haberse cortado el cordón umbilical que representa, no sólo una separación física, sino exclusiva y específicamente, una desvinculación moral.”. Se trata de esa persona que el Derecho civil tiene, o debería tener, “como objeto preferente”, par su protección y defensa y realización de sus fines” (Diez Picazo y Gullón, pp. 55). Pero si es cierto que este “concebido”, ese muchas veces “accidentillo” amoroso, tiene derechos, Entonces ¿tiene deberes? ¿No es acaso cierto que cuando existe un derecho debe existir también un deber? ¿No nos enseñaba Bobbio que existe esa relación derecho-deber indestructible? ¿Porqué alguien puede tener derechos? ¿No es acaso porque tienen también deberes? Habría que preguntar ¿qué deberes tiene el concebido? ¿por qué se le protege? ¿por qué tiene derechos si no tiene deberes? La respuesta va por el hecho de que el concebido es vida. Y esta vida, independientemente de los deberes, es lo que se protege: la vida humana. El concebido es vida humana, no persona. Pero ¿cómo puede ser vida humana algo que no es persona? … </w:t>
      </w:r>
    </w:p>
    <w:p w14:paraId="1F0906BD" w14:textId="77777777" w:rsidR="00444BC9" w:rsidRDefault="00444BC9" w:rsidP="001925CE">
      <w:pPr>
        <w:pStyle w:val="Textonotapie"/>
        <w:jc w:val="both"/>
        <w:rPr>
          <w:rFonts w:ascii="Arial Narrow" w:hAnsi="Arial Narrow"/>
          <w:sz w:val="16"/>
        </w:rPr>
      </w:pPr>
      <w:r>
        <w:rPr>
          <w:rFonts w:ascii="Arial Narrow" w:hAnsi="Arial Narrow"/>
          <w:sz w:val="16"/>
        </w:rPr>
        <w:t>La persona es una “entidad sicosomática”. Kelsen diría: “la persona es un centro ideal de imputación”, Parece que Boecio decía que “la persona es un ente indiviso de naturaleza racional”. O más allá se dice que “la persona es el centro unitario ideal de derechos y deberes”.</w:t>
      </w:r>
    </w:p>
  </w:footnote>
  <w:footnote w:id="9">
    <w:p w14:paraId="385439D5" w14:textId="77777777" w:rsidR="00444BC9" w:rsidRPr="006A44D8" w:rsidRDefault="00444BC9" w:rsidP="001925CE">
      <w:pPr>
        <w:pStyle w:val="Textonotapie"/>
        <w:rPr>
          <w:rFonts w:ascii="Arial Narrow" w:hAnsi="Arial Narrow"/>
          <w:sz w:val="16"/>
          <w:lang w:val="es-ES_tradnl"/>
        </w:rPr>
      </w:pPr>
      <w:r>
        <w:rPr>
          <w:rStyle w:val="Refdenotaalpie"/>
          <w:rFonts w:ascii="Arial Narrow" w:hAnsi="Arial Narrow"/>
          <w:sz w:val="16"/>
        </w:rPr>
        <w:footnoteRef/>
      </w:r>
      <w:r>
        <w:rPr>
          <w:rFonts w:ascii="Arial Narrow" w:hAnsi="Arial Narrow"/>
          <w:sz w:val="16"/>
        </w:rPr>
        <w:t xml:space="preserve"> Rubio Correa, Marcial. </w:t>
      </w:r>
      <w:r>
        <w:rPr>
          <w:rFonts w:ascii="Arial Narrow" w:hAnsi="Arial Narrow"/>
          <w:i/>
          <w:sz w:val="16"/>
        </w:rPr>
        <w:t>El ser humano como persona natural</w:t>
      </w:r>
      <w:r>
        <w:rPr>
          <w:rFonts w:ascii="Arial Narrow" w:hAnsi="Arial Narrow"/>
          <w:sz w:val="16"/>
        </w:rPr>
        <w:t xml:space="preserve">. Fondo editorial de la Pontificia Universidad Católica del Perú. 1992. </w:t>
      </w:r>
      <w:r w:rsidRPr="006A44D8">
        <w:rPr>
          <w:rFonts w:ascii="Arial Narrow" w:hAnsi="Arial Narrow"/>
          <w:sz w:val="16"/>
          <w:lang w:val="es-ES_tradnl"/>
        </w:rPr>
        <w:t>Pp. 22.</w:t>
      </w:r>
    </w:p>
  </w:footnote>
  <w:footnote w:id="10">
    <w:p w14:paraId="123B6A90"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sidRPr="006A44D8">
        <w:rPr>
          <w:rFonts w:ascii="Arial Narrow" w:hAnsi="Arial Narrow"/>
          <w:sz w:val="16"/>
          <w:lang w:val="es-ES_tradnl"/>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11">
    <w:p w14:paraId="0C73C30C"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12">
    <w:p w14:paraId="500E67B1"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13">
    <w:p w14:paraId="53ACE451"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Papini, Giovanni. </w:t>
      </w:r>
      <w:r>
        <w:rPr>
          <w:rFonts w:ascii="Arial Narrow" w:hAnsi="Arial Narrow"/>
          <w:i/>
          <w:sz w:val="16"/>
        </w:rPr>
        <w:t xml:space="preserve">Obras completas. Oumo finito (Un hombre acabado). </w:t>
      </w:r>
      <w:r>
        <w:rPr>
          <w:rFonts w:ascii="Arial Narrow" w:hAnsi="Arial Narrow"/>
          <w:sz w:val="16"/>
        </w:rPr>
        <w:t>Editorial Aguilar. Madrid. 1966. Pp. 766.</w:t>
      </w:r>
    </w:p>
  </w:footnote>
  <w:footnote w:id="14">
    <w:p w14:paraId="2ABFCA4C"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Mario Bunge señala diez características que hacen de una disciplina una ciencia: “ 1) El conocimiento científico parte de los hechos y siempre regresa a ellos; 2) La ciencia trasciende los hechos, llega a producir nuevos hechos.; 3) La ciencia es analítica; 4)La ciencia es especializada; 5) La ciencia es clara y precisa; 6) El conocimiento científico se puede comunicar y verificar; 7) La investigación científica sigue un método y es sistemática; 8) Los conocimientos científicos son generales; 9) La ciencia trata de establecer leyes y de aplicarlas; 10) La ciencia es explicativa e intenta explicar los hechos en términos de leyes y las leyes en términos de principios. / Valdivia Cano, Juan Carlos. </w:t>
      </w:r>
      <w:r>
        <w:rPr>
          <w:rFonts w:ascii="Arial Narrow" w:hAnsi="Arial Narrow"/>
          <w:i/>
          <w:sz w:val="16"/>
        </w:rPr>
        <w:t xml:space="preserve"> La caja de herramientas (Introducción a la investigación jurídica)</w:t>
      </w:r>
      <w:r>
        <w:rPr>
          <w:rFonts w:ascii="Arial Narrow" w:hAnsi="Arial Narrow"/>
          <w:sz w:val="16"/>
        </w:rPr>
        <w:t>. Edición de la Universidad Católica Santa María. Arequipa. 1998. Pp. 112 y sgtes.</w:t>
      </w:r>
    </w:p>
  </w:footnote>
  <w:footnote w:id="15">
    <w:p w14:paraId="1AC09B68"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El cientificismo puede explicarse en aquella formulación de que para la validez de una disciplina debe ser “elevada” a ciencia. Si no está dentro de la categoría de ciencia, su saber no es legítimo. Pero Berdiaev retrucaría que “nada tiene que ser científico salvo la ciencia”.</w:t>
      </w:r>
    </w:p>
  </w:footnote>
  <w:footnote w:id="16">
    <w:p w14:paraId="6A16976E"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17">
    <w:p w14:paraId="7FBC4F11"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18">
    <w:p w14:paraId="763245E5"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19">
    <w:p w14:paraId="01B052D0"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7.</w:t>
      </w:r>
    </w:p>
  </w:footnote>
  <w:footnote w:id="20">
    <w:p w14:paraId="6465A956"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8.</w:t>
      </w:r>
    </w:p>
  </w:footnote>
  <w:footnote w:id="21">
    <w:p w14:paraId="2B1E35CB"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Conocemos de grandes bebedores artistas, escritores, como por ejemplo Poe, Bukowski, Bryce Echenique, etc. </w:t>
      </w:r>
    </w:p>
  </w:footnote>
  <w:footnote w:id="22">
    <w:p w14:paraId="4102664B"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Jasper, Karl. </w:t>
      </w:r>
      <w:r>
        <w:rPr>
          <w:rFonts w:ascii="Arial Narrow" w:hAnsi="Arial Narrow"/>
          <w:i/>
          <w:sz w:val="16"/>
        </w:rPr>
        <w:t>La Filosofía.</w:t>
      </w:r>
      <w:r>
        <w:rPr>
          <w:rFonts w:ascii="Arial Narrow" w:hAnsi="Arial Narrow"/>
          <w:sz w:val="16"/>
        </w:rPr>
        <w:t xml:space="preserve">  Editorial del Fondo de Cultura Económica.  México.1996. pp. 8.</w:t>
      </w:r>
    </w:p>
  </w:footnote>
  <w:footnote w:id="23">
    <w:p w14:paraId="141B11E8"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24">
    <w:p w14:paraId="6D8AAFC5" w14:textId="77777777" w:rsidR="00444BC9" w:rsidRPr="006A44D8" w:rsidRDefault="00444BC9" w:rsidP="001925CE">
      <w:pPr>
        <w:pStyle w:val="Textonotapie"/>
        <w:rPr>
          <w:rFonts w:ascii="Arial Narrow" w:hAnsi="Arial Narrow"/>
          <w:sz w:val="16"/>
          <w:lang w:val="es-ES_tradnl"/>
        </w:rPr>
      </w:pPr>
      <w:r>
        <w:rPr>
          <w:rStyle w:val="Refdenotaalpie"/>
          <w:rFonts w:ascii="Arial Narrow" w:hAnsi="Arial Narrow"/>
          <w:sz w:val="16"/>
        </w:rPr>
        <w:footnoteRef/>
      </w:r>
      <w:r w:rsidRPr="006A44D8">
        <w:rPr>
          <w:rFonts w:ascii="Arial Narrow" w:hAnsi="Arial Narrow"/>
          <w:sz w:val="16"/>
          <w:lang w:val="es-ES_tradnl"/>
        </w:rPr>
        <w:t>Ibid.</w:t>
      </w:r>
    </w:p>
  </w:footnote>
  <w:footnote w:id="25">
    <w:p w14:paraId="7C860522" w14:textId="77777777" w:rsidR="00444BC9" w:rsidRPr="006A44D8" w:rsidRDefault="00444BC9" w:rsidP="001925CE">
      <w:pPr>
        <w:pStyle w:val="Textonotapie"/>
        <w:rPr>
          <w:rFonts w:ascii="Arial Narrow" w:hAnsi="Arial Narrow"/>
          <w:sz w:val="16"/>
          <w:lang w:val="es-ES_tradnl"/>
        </w:rPr>
      </w:pPr>
      <w:r>
        <w:rPr>
          <w:rStyle w:val="Refdenotaalpie"/>
          <w:rFonts w:ascii="Arial Narrow" w:hAnsi="Arial Narrow"/>
          <w:sz w:val="16"/>
        </w:rPr>
        <w:footnoteRef/>
      </w:r>
      <w:r w:rsidRPr="006A44D8">
        <w:rPr>
          <w:rFonts w:ascii="Arial Narrow" w:hAnsi="Arial Narrow"/>
          <w:sz w:val="16"/>
          <w:lang w:val="es-ES_tradnl"/>
        </w:rPr>
        <w:t>Ibid.. pp.11.</w:t>
      </w:r>
    </w:p>
  </w:footnote>
  <w:footnote w:id="26">
    <w:p w14:paraId="3C7FF132"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Valdivia, Juan Carlos. “</w:t>
      </w:r>
      <w:r>
        <w:rPr>
          <w:rFonts w:ascii="Arial Narrow" w:hAnsi="Arial Narrow"/>
          <w:i/>
          <w:sz w:val="16"/>
        </w:rPr>
        <w:t>Codificación e Identidad”.</w:t>
      </w:r>
      <w:r>
        <w:rPr>
          <w:rFonts w:ascii="Arial Narrow" w:hAnsi="Arial Narrow"/>
          <w:sz w:val="16"/>
        </w:rPr>
        <w:t xml:space="preserve"> “Kurak”. Tanteo putunchaycuna valen. Revista de ciencias jurídicas y políticas. Editada por estudiantes universitarios. Arequipa - Perú. Pp. 54.</w:t>
      </w:r>
    </w:p>
  </w:footnote>
  <w:footnote w:id="27">
    <w:p w14:paraId="1354F125"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Teran, Juan Manuel. </w:t>
      </w:r>
      <w:r>
        <w:rPr>
          <w:rFonts w:ascii="Arial Narrow" w:hAnsi="Arial Narrow"/>
          <w:i/>
          <w:sz w:val="16"/>
        </w:rPr>
        <w:t xml:space="preserve"> Filosofía del Derecho.</w:t>
      </w:r>
      <w:r>
        <w:rPr>
          <w:rFonts w:ascii="Arial Narrow" w:hAnsi="Arial Narrow"/>
          <w:sz w:val="16"/>
        </w:rPr>
        <w:t xml:space="preserve"> Editorial Porrua. México, 1993. Pp. 14.</w:t>
      </w:r>
    </w:p>
  </w:footnote>
  <w:footnote w:id="28">
    <w:p w14:paraId="3CB3D416"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Anibal Torres Vásquez, en su libro </w:t>
      </w:r>
      <w:r>
        <w:rPr>
          <w:rFonts w:ascii="Arial Narrow" w:hAnsi="Arial Narrow"/>
          <w:i/>
          <w:sz w:val="16"/>
        </w:rPr>
        <w:t>Introducción al Derecho.</w:t>
      </w:r>
      <w:r>
        <w:rPr>
          <w:rFonts w:ascii="Arial Narrow" w:hAnsi="Arial Narrow"/>
          <w:sz w:val="16"/>
        </w:rPr>
        <w:t xml:space="preserve"> Pp. 180.</w:t>
      </w:r>
    </w:p>
  </w:footnote>
  <w:footnote w:id="29">
    <w:p w14:paraId="59DC19F2"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Fernández Sessarego, Carlos. </w:t>
      </w:r>
      <w:r>
        <w:rPr>
          <w:rFonts w:ascii="Arial Narrow" w:hAnsi="Arial Narrow"/>
          <w:i/>
          <w:sz w:val="16"/>
        </w:rPr>
        <w:t>El Derecho como libertad. Preliminares para una filosofía del derecho.</w:t>
      </w:r>
      <w:r>
        <w:rPr>
          <w:rFonts w:ascii="Arial Narrow" w:hAnsi="Arial Narrow"/>
          <w:sz w:val="16"/>
        </w:rPr>
        <w:t xml:space="preserve"> Ediciones Studium. Lima, 1987. Pp. 38.</w:t>
      </w:r>
    </w:p>
  </w:footnote>
  <w:footnote w:id="30">
    <w:p w14:paraId="6BDC3D77"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Ramos Núñez, Carlos. </w:t>
      </w:r>
      <w:r>
        <w:rPr>
          <w:rFonts w:ascii="Arial Narrow" w:hAnsi="Arial Narrow"/>
          <w:i/>
          <w:sz w:val="16"/>
        </w:rPr>
        <w:t>Cómo hacer una tesis de Derecho y no envejecer en el intento.</w:t>
      </w:r>
      <w:r>
        <w:rPr>
          <w:rFonts w:ascii="Arial Narrow" w:hAnsi="Arial Narrow"/>
          <w:sz w:val="16"/>
        </w:rPr>
        <w:t xml:space="preserve"> Editorial Gaceta Jurídica. Lima. 2000, pp. 87.</w:t>
      </w:r>
    </w:p>
  </w:footnote>
  <w:footnote w:id="31">
    <w:p w14:paraId="7B2EF54A"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Teran, Juan Manuel. </w:t>
      </w:r>
      <w:r>
        <w:rPr>
          <w:rFonts w:ascii="Arial Narrow" w:hAnsi="Arial Narrow"/>
          <w:i/>
          <w:sz w:val="16"/>
        </w:rPr>
        <w:t xml:space="preserve"> Filosofía del Derecho.</w:t>
      </w:r>
      <w:r>
        <w:rPr>
          <w:rFonts w:ascii="Arial Narrow" w:hAnsi="Arial Narrow"/>
          <w:sz w:val="16"/>
        </w:rPr>
        <w:t xml:space="preserve"> Editorial Porrua. México, 1993. Pp. 13.</w:t>
      </w:r>
    </w:p>
  </w:footnote>
  <w:footnote w:id="32">
    <w:p w14:paraId="538509D9"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Para Kant lo más cercano al jurista, el lo llama jurisconsulto. Y dice: “…El hombre versado en esta ciencia o que sabe derecho, se llama jurisconsulto (jurisperitus);…” / Kant, Emmanuel. </w:t>
      </w:r>
      <w:r>
        <w:rPr>
          <w:rFonts w:ascii="Arial Narrow" w:hAnsi="Arial Narrow"/>
          <w:i/>
          <w:sz w:val="16"/>
        </w:rPr>
        <w:t xml:space="preserve">Principios metafísicos del Derecho. </w:t>
      </w:r>
      <w:r>
        <w:rPr>
          <w:rFonts w:ascii="Arial Narrow" w:hAnsi="Arial Narrow"/>
          <w:sz w:val="16"/>
        </w:rPr>
        <w:t xml:space="preserve">Editorial Cajica. Puebla. Pp. 51. El Diccionario de Cabanellas entiende por jurista a “Quién estudia o profesa la ciencia del Derecho. (v. Jurisconculto.). Merryman designa a los jurisconsultos como “académicos legales” . En una de las tradiciones del Derecho o Sistemas Legales (Hay dos tipos de Derecho, según la clasificación de Merryman: Derecho Civil y Derecho Común -ConnonLaw) sucedía que “En la tradición del derecho civil es muy antigua la preeminencia del investigador académico. Se considera que el jurisconsulto romano -que asesoraba al pretor y al juez, y era reconocido como un experto en materia de derecho, pero no tenía ninguna responsabilidad legislativa o judicial- fue el fundador de esta tradición académica. Sus opiniones tenían gran peso, y durante el segundo siglo de la era cristiana eran obligatorias para los jueces las opiniones de ciertos jurisconsultos (…) Durante este período, los tribunales de algunos lugares otorgaban una autoridad obligatoria a las respuestas dadas por los académicos a ciertos problemas legales (…) En Alemania, por ejemplo, hubo una época en que los tribunales enviaban con frecuencia los casos a las facultades de derecho para su decisión.” / Merryman, John Henry. </w:t>
      </w:r>
      <w:r>
        <w:rPr>
          <w:rFonts w:ascii="Arial Narrow" w:hAnsi="Arial Narrow"/>
          <w:i/>
          <w:sz w:val="16"/>
        </w:rPr>
        <w:t>Sistemas legales en América Latina y Europa.</w:t>
      </w:r>
      <w:r>
        <w:rPr>
          <w:rFonts w:ascii="Arial Narrow" w:hAnsi="Arial Narrow"/>
          <w:sz w:val="16"/>
        </w:rPr>
        <w:t xml:space="preserve"> Editorial del Fondo de Cultura Económica. Primera reimpresión en Chile, 1995. Pp. 113.</w:t>
      </w:r>
    </w:p>
  </w:footnote>
  <w:footnote w:id="33">
    <w:p w14:paraId="31D7AE50"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Teran, Juan Manuel. </w:t>
      </w:r>
      <w:r>
        <w:rPr>
          <w:rFonts w:ascii="Arial Narrow" w:hAnsi="Arial Narrow"/>
          <w:i/>
          <w:sz w:val="16"/>
        </w:rPr>
        <w:t xml:space="preserve"> Filosofía del Derecho.</w:t>
      </w:r>
      <w:r>
        <w:rPr>
          <w:rFonts w:ascii="Arial Narrow" w:hAnsi="Arial Narrow"/>
          <w:sz w:val="16"/>
        </w:rPr>
        <w:t xml:space="preserve"> Editorial Porrua. México, 1993. Pp. 13.</w:t>
      </w:r>
    </w:p>
  </w:footnote>
  <w:footnote w:id="34">
    <w:p w14:paraId="3A46FCCB"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La técnica la podemos explicar de muchas maneras. El autor que mejor lo ha descrito, a nuestro parecer, es nada menos que un español, el gran José Ortega y Gasset, en su libro </w:t>
      </w:r>
      <w:r>
        <w:rPr>
          <w:rFonts w:ascii="Arial Narrow" w:hAnsi="Arial Narrow"/>
          <w:i/>
          <w:sz w:val="16"/>
        </w:rPr>
        <w:t>Meditación de la Técnica.</w:t>
      </w:r>
      <w:r>
        <w:rPr>
          <w:rFonts w:ascii="Arial Narrow" w:hAnsi="Arial Narrow"/>
          <w:sz w:val="16"/>
        </w:rPr>
        <w:t xml:space="preserve">: “… la técnica, que podemos,…, definir como la reforma que el hombre impone a la naturaleza en vista de la satisfacción de sus necesidades. (…), la reacción enérgica contra la naturaleza o circunstancia (…) La técnica es lo contrario de la adaptación del sujeto al medio, puesto que es la adaptación del medio al sujeto. (…) Un hombre sin técnica, es decir, sin reacción contra el medio, no es un hombre. (…) “ En el campo del Derecho, la técnica podría  decirse que cumple la función de “servir  a la buena vida, al bienestar, que implica la adaptación del medio a la voluntad del sujeto.” Y entendemos por actos técnicos aquellos “en que dedicamos el esfuerzo, primero,  a inventar y luego a ejecutar un plan de actividad que nos permita: 1.° Asegurar la satisfacción de las necesidades, por lo pronto, elementales.; 2.° Lograr esa satisfacción con el mínimo esfuerzo.; 3.° Crearnos posibilidades completamente nuevas produciendo objetos que no hay en la naturaleza del hombre.” / Ortega y Gasset, José. </w:t>
      </w:r>
      <w:r>
        <w:rPr>
          <w:rFonts w:ascii="Arial Narrow" w:hAnsi="Arial Narrow"/>
          <w:i/>
          <w:sz w:val="16"/>
        </w:rPr>
        <w:t>Meditación de la técnica.</w:t>
      </w:r>
      <w:r>
        <w:rPr>
          <w:rFonts w:ascii="Arial Narrow" w:hAnsi="Arial Narrow"/>
          <w:sz w:val="16"/>
        </w:rPr>
        <w:t xml:space="preserve"> Editorial Revista de Occidente. Madrid, 1964. Como nota anecdótica podemos decir que una vez al joven y gran poeta mexicano Octavio Paz (Premio Nóbel 1994), en una reunión con José Ortega y Gasset, éste último, le dijo: “Deje Ud. la poesía, no tiene eso futuro. Aprenda Ud. alemán y piense. ¡Piense!”. Bueno Ortega se equivocó porque Octavio Paz se dedicó a pensar, pero a pensar cómo defender la poesía. Desde allí sus libros son más una justificación de por qué escribir poesía. En sus palabras en unos de sus tantos libros sobre poesía dice: “Estas páginas no son sino una variación, una más, de esa </w:t>
      </w:r>
      <w:r>
        <w:rPr>
          <w:rFonts w:ascii="Arial Narrow" w:hAnsi="Arial Narrow"/>
          <w:i/>
          <w:sz w:val="16"/>
        </w:rPr>
        <w:t>Defensa de la Poesía</w:t>
      </w:r>
      <w:r>
        <w:rPr>
          <w:rFonts w:ascii="Arial Narrow" w:hAnsi="Arial Narrow"/>
          <w:sz w:val="16"/>
        </w:rPr>
        <w:t xml:space="preserve"> que, desde hace más de dos siglos, escriben incansablemente los poetas modernos.” / Paz, Octavio. </w:t>
      </w:r>
      <w:r>
        <w:rPr>
          <w:rFonts w:ascii="Arial Narrow" w:hAnsi="Arial Narrow"/>
          <w:i/>
          <w:sz w:val="16"/>
        </w:rPr>
        <w:t>La otra voz. Poesía y fin de siglo.</w:t>
      </w:r>
      <w:r>
        <w:rPr>
          <w:rFonts w:ascii="Arial Narrow" w:hAnsi="Arial Narrow"/>
          <w:sz w:val="16"/>
        </w:rPr>
        <w:t xml:space="preserve"> Ediciones Seix Barral. Barcelona, 1990. Pp. 8.  </w:t>
      </w:r>
    </w:p>
    <w:p w14:paraId="505CC765" w14:textId="77777777" w:rsidR="00444BC9" w:rsidRDefault="00444BC9" w:rsidP="001925CE">
      <w:pPr>
        <w:pStyle w:val="Textonotapie"/>
        <w:jc w:val="both"/>
        <w:rPr>
          <w:rFonts w:ascii="Arial Narrow" w:hAnsi="Arial Narrow"/>
          <w:sz w:val="16"/>
        </w:rPr>
      </w:pPr>
      <w:r>
        <w:rPr>
          <w:rFonts w:ascii="Arial Narrow" w:hAnsi="Arial Narrow"/>
          <w:sz w:val="16"/>
        </w:rPr>
        <w:t xml:space="preserve">Colocamos el siguiente párrafo sólo con fines didácticos, y con la certeza de que servirá en la expansión de su conocimiento, además de tomar las cosas sin prejuicios -opiniones sin juicio, tumores, al decir Voltaire. Y además porque consideramos que todos los que lean esto son ya maduros, incapaces de asustarse por simples e ilustrativas palabras que tienen un fin exclusivamente académico. En todo caso cualquier sugerencia, estoy dispuesto a escucharlas. Y pido disculpas si por a, o b, alguien ha sido ofendido en su sensibilidad. Se trata de dar una idea de qué es la técnica, a través de su paralelismo, o sinonimia entre proceso y sexualidad. Ahí les va, pues, el fragmento: Proceso jurídico y Sexo </w:t>
      </w:r>
      <w:r>
        <w:rPr>
          <w:rFonts w:ascii="Arial Narrow" w:hAnsi="Arial Narrow"/>
          <w:b/>
          <w:sz w:val="16"/>
        </w:rPr>
        <w:t xml:space="preserve">/ </w:t>
      </w:r>
      <w:r>
        <w:rPr>
          <w:rFonts w:ascii="Arial Narrow" w:hAnsi="Arial Narrow"/>
          <w:sz w:val="16"/>
        </w:rPr>
        <w:t>“¡Tanto peor para quienes capaces de corromperse con cualquier cosa, sólo pueden captar el mal en las opiniones filosóficas! ¡Quién sabe si no se infectarían tal vez con la lectura de Séneca y Charron! No es a ellos a quienes me dirijo; sólo me dirijo a personas capaces de entenderme, las cuales me leerán sin peligro.” (Sade)</w:t>
      </w:r>
    </w:p>
    <w:p w14:paraId="125A4AC1"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 xml:space="preserve">Proceso jurídico y sexo son dos términos que en una primera percepción se ven distanciados, tanto que se pensaría no tienen nada que ver el uno con el otro. En mi apreciación esto es un error. Hay muchos elementos coincidentes entre estos dos fenómenos. Su «racionalización» es perfectamente concordante la una a la otra. Los dos son fenómenos con rasgos similares. ¿Cuáles son esas características similares? La primera que se me ocurre es que los dos son «movimiento», etc.; pero no se trata de un simple movimiento, producto del azar o de las circunstancias de la naturaleza. Se trata más bien de un movimiento «querido», «interesado», «motivado» por un determinado «interés»: amor o deseo, solución de un conflicto de intereses o justicia, etc. </w:t>
      </w:r>
    </w:p>
    <w:p w14:paraId="2CF29885"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71D1E7F3"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Veamos pues qué implica esto del sexo, el impulso sexual, el deseo sexual. Este último podría ser ese «interés» que motiva, esa «fuerza que transforma, modifica, la naturaleza». Bien, el acto sexual, hablando en crudo, es un fenómeno natural al hombre, en su condición de animal, pero en «el deseo» existe más bien un acto creador, una invención, una construcción. El deseo es inventado, es creado. Michel Foucault explicaría este singular fenómeno: El hecho no es «liberar el deseo» (concepción de que el deseo es innato, es decir viene con uno desde nuestro nacimiento, y nada más), sino que más bien podría «crearse placeres nuevos», y entonces, «acaso surja entonces el deseo». El deseo implica más bien imaginación, pensamiento, lenguaje, y no olvidemos que todo proceso jurídico es precisamente eso: «lenguaje», que es -como el proceso jurídico mismo- «un conjunto de signos y medios de comunicación, regulado por reglas sintácticas» (Augusto Salazar Bondy). Proceso jurídico es, entonces, «lenguaje». Pero no olvidar que el sexo es también una forma de lenguaje (y no me refiero al hecho de que en el sexo se use para ello la lengüita. ¡no!).</w:t>
      </w:r>
    </w:p>
    <w:p w14:paraId="1CBC59FA"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00D499AD"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 xml:space="preserve">Para explicar mejor el sexo como el fundamento, el primer «interés», vamos a tomar un ejemplo histórico, un fenómeno social y cultural: la guerra entre los norteamericanos y los musulmanes. </w:t>
      </w:r>
    </w:p>
    <w:p w14:paraId="77182AC1"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752D350F"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La primera pregunta sería: ¿Por qué estos hombres musulmanes, conscientes de la superioridad de Estados Unidos y los países aliados se atreven a librar una guerra que se proyecta perdida? O dicho en otros términos ¿Cuál es el</w:t>
      </w:r>
      <w:r>
        <w:rPr>
          <w:rFonts w:ascii="Arial Narrow" w:hAnsi="Arial Narrow"/>
          <w:i/>
          <w:sz w:val="16"/>
        </w:rPr>
        <w:t xml:space="preserve"> interés</w:t>
      </w:r>
      <w:r>
        <w:rPr>
          <w:rFonts w:ascii="Arial Narrow" w:hAnsi="Arial Narrow"/>
          <w:sz w:val="16"/>
        </w:rPr>
        <w:t xml:space="preserve">, el leitmotiv, el motivo que les da la fuerza, el valor? </w:t>
      </w:r>
    </w:p>
    <w:p w14:paraId="62596B12"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1B6D7DAA"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La respuesta es curiosa. La fuerza (el interés) de estos hombres va más allá de un planteamiento racial, económico o simplemente social. Ellos están animados por un motivo sexual. «No temen a la muerte» -dicen. Están «aptos para morir» en pro de «su fe». ¿Cuál es esta «fe» que los vuelve inmunes al temor a la muerte? ¿Qué es lo que les dice esta «fe»? Chimo Fernández De Castro lo explica y escribe:</w:t>
      </w:r>
    </w:p>
    <w:p w14:paraId="527A9A5B"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i/>
          <w:sz w:val="16"/>
        </w:rPr>
        <w:t>“Mahoma… Unificó las tribus árabes con la promesa de un paraíso de ríos, fuentes, cascadas y manantiales: con la promesa del gran Oasis de la eternidad. Imagen que podía colmar todos los sueños frustrados de un hombre del desierto. La lucha para conseguirlo iba a ser dura, pero el profeta prometía un lago celestial rodeado de bellas huries donde se podría hacer el amor sin límite para los guerreros que muriesen en el combate. Y para los que sobrevivieran a la conquista y a la expansión de todos los árabes, un botín de mujeres y riquezas sinfín en el mundo de los grandes ríos…. Para aquellos hombres del interminable mar de arena, el agua y el sexo fueron los dos argumentos que les motivaron especialmente. Y por eso en el Corán los placeres del sexo son agradables a Dios y su práctica terrenal no es más que una caricatura del placer, multiplicadísimo, que le espera al creyente si ha merecido el paraíso,  que, como música de fondo, tendrá el sensual ruido del agua.”</w:t>
      </w:r>
    </w:p>
    <w:p w14:paraId="4480665B"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0CE38DF9"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Aún hay más, parece ser que el premio prometido por Mahoma era un oasis paradisiaco donde esperaban al hombre creyente “50 vírgenes que no sudaban ni menstruaban”.  Y esto parece resolver todo el asunto del leitmotiv, del «interés», «razón» o causa de estos musulmanes para persistir en la guerra. Bueno, ¡así cualquiera!. Acaso ¿algún osado y machista sujeto se anima a convertirse a la religión musulmana? ¡No os apresuréis! La monogamia y pluralidad cultural de occidente tiene también sus grandes ventajas.</w:t>
      </w:r>
    </w:p>
    <w:p w14:paraId="10CA45ED"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3AE95EFA"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En ese entendido la razón  de la «fe» de estos hombres sería simplemente el «sexo». El interés: el sexo. Habría que determinar, entonces, qué es el sexo, ese primer interés de la vida humana según Freud.</w:t>
      </w:r>
    </w:p>
    <w:p w14:paraId="25ED7A68"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227DBC9A"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 xml:space="preserve">El sexo tiene una peculiaridad que puede ser usada en nuestro tema. Se trata también de una actividad procesal (proceso). ¡Exactamente eso! Sexo es un “acto procesal”, o dicho en otros términos, es  “técnica”. Marco Aurelio Denegri, en uno de sus programas televisivos habría dicho, también eso: “el sexo es técnica”; y hemos de saber que toda </w:t>
      </w:r>
      <w:r>
        <w:rPr>
          <w:rFonts w:ascii="Arial Narrow" w:hAnsi="Arial Narrow"/>
          <w:i/>
          <w:sz w:val="16"/>
        </w:rPr>
        <w:t xml:space="preserve">técnica </w:t>
      </w:r>
      <w:r>
        <w:rPr>
          <w:rFonts w:ascii="Arial Narrow" w:hAnsi="Arial Narrow"/>
          <w:sz w:val="16"/>
        </w:rPr>
        <w:t xml:space="preserve">no es más que un elemento más del </w:t>
      </w:r>
      <w:r>
        <w:rPr>
          <w:rFonts w:ascii="Arial Narrow" w:hAnsi="Arial Narrow"/>
          <w:i/>
          <w:sz w:val="16"/>
        </w:rPr>
        <w:t>«proceso»</w:t>
      </w:r>
      <w:r>
        <w:rPr>
          <w:rFonts w:ascii="Arial Narrow" w:hAnsi="Arial Narrow"/>
          <w:sz w:val="16"/>
        </w:rPr>
        <w:t>, que a su vez no es más que un «conjunto de actos secuenciales, determinados, preordenados, armónicos, articulados, sistemáticos, que tienen un fin u objetivo».</w:t>
      </w:r>
    </w:p>
    <w:p w14:paraId="4CB92B19"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76B73F09"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 xml:space="preserve">Para continuar con el paralelismo hemos de decir, por ejemplo, que en el sexo el fin es el “placer”, la “felicidad”, etc.; veamos que el fin y objetivo del proceso son también la “felicidad”, el “placer”, que se produce al efectivizarse una “resolución (o solución) de un determinado conflicto de intereses”, o en la  “eliminación de una incertidumbre jurídica”, y el consecuente efecto: “tutela efectiva del derecho (del interés)”. </w:t>
      </w:r>
    </w:p>
    <w:p w14:paraId="6EFA3E1E"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112DFCDD"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 xml:space="preserve">La diferencia entre ambos métodos (sexo y proceso) está, entonces, en el tercero. El tercero, en el proceso judicial es el juez; en el sexo no existe (no en el  sexo monogámico al menos). Pero ambos son técnicas, métodos, formas o modos de conocimiento y solución de determinados problemas, hechos, fenómenos, pero no sólo eso, sino mucho más. </w:t>
      </w:r>
    </w:p>
    <w:p w14:paraId="2C4A566B"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3AE22030"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Una prueba de que el sexo es también “técnica”, es decir que tiene que ver necesariamente con el “proceso” lo muestra el hecho de existir escritos milenarios al respecto como, por ejemplo, el Kama Sutra, AnangaRanga, etc.</w:t>
      </w:r>
    </w:p>
    <w:p w14:paraId="0FF998B3"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7563B489"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Si queremos explicar de otra forma el tema podemos incluso trabajar con el concepto de amor. Bukowski aclara mejor el asunto: «Amor es una vía con cierto significado, sexo es significado suficiente.» -escribe. Entonces, el amor es al proceso lo que el procedimiento es al sexo. Eso significa que en el amor y en el proceso hay tanto método como fin u objetivo. Ambos se realizan mediante formas, y persiguen un fin. Sexo es forma solamente, amor es forma y sentido. Proceso es procedimiento (forma) y sentido.</w:t>
      </w:r>
    </w:p>
    <w:p w14:paraId="0D11DDBD"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p>
    <w:p w14:paraId="017459C8" w14:textId="77777777" w:rsidR="00444BC9" w:rsidRDefault="00444BC9" w:rsidP="00192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jc w:val="both"/>
        <w:rPr>
          <w:rFonts w:ascii="Arial Narrow" w:hAnsi="Arial Narrow"/>
          <w:sz w:val="16"/>
        </w:rPr>
      </w:pPr>
      <w:r>
        <w:rPr>
          <w:rFonts w:ascii="Arial Narrow" w:hAnsi="Arial Narrow"/>
          <w:sz w:val="16"/>
        </w:rPr>
        <w:t>Cabe aclarar que se está haciendo una abstracción, o configuración teórica, que supone el tratamiento del proceso en sentido jurídico. El proceso como fenómeno natural no tiene fin determinado, al menos no determinado por el hombre. El proceso jurídico es más bien una ficción inventada por el hombre para resolver sus problemas existenciales, de coexistencia, convivencia y supervivencia. Aquí acaba este pie de página.</w:t>
      </w:r>
    </w:p>
  </w:footnote>
  <w:footnote w:id="35">
    <w:p w14:paraId="67A4F105"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Kelsen, Hans. </w:t>
      </w:r>
      <w:r>
        <w:rPr>
          <w:rFonts w:ascii="Arial Narrow" w:hAnsi="Arial Narrow"/>
          <w:i/>
          <w:sz w:val="16"/>
        </w:rPr>
        <w:t xml:space="preserve">Teoría pura del Derecho. </w:t>
      </w:r>
      <w:r>
        <w:rPr>
          <w:rFonts w:ascii="Arial Narrow" w:hAnsi="Arial Narrow"/>
          <w:sz w:val="16"/>
        </w:rPr>
        <w:t>Editorial universitaria de Buenos Aires. Argentina.1981. Pp. 74.</w:t>
      </w:r>
    </w:p>
  </w:footnote>
  <w:footnote w:id="36">
    <w:p w14:paraId="3DBF42D5"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Pacheco G., Máximo. </w:t>
      </w:r>
      <w:r>
        <w:rPr>
          <w:rFonts w:ascii="Arial Narrow" w:hAnsi="Arial Narrow"/>
          <w:i/>
          <w:sz w:val="16"/>
        </w:rPr>
        <w:t>Teoría del Derecho.</w:t>
      </w:r>
      <w:r>
        <w:rPr>
          <w:rFonts w:ascii="Arial Narrow" w:hAnsi="Arial Narrow"/>
          <w:sz w:val="16"/>
        </w:rPr>
        <w:t xml:space="preserve"> Editorial jurídica de Chile. Santiago. Tercera edición, 1988, pp. 713.</w:t>
      </w:r>
    </w:p>
  </w:footnote>
  <w:footnote w:id="37">
    <w:p w14:paraId="6D73A78A"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Cuando se expone la condición acrítica del Magistrado, Juez, Abogado, por lo general la respuesta a esta caracterización es de orden social, político, no jurídica. Dicen que el problema no está en la normatividad, ni en la capacidad de ser crítico o no en la expedición de resoluciones, sino en la presión política a que son sometidos los magistrados y hombres de leyes. Estas presiones políticas impiden el fiel cumplimiento de los principios jurídicos. No obstante esta argumentación, de tipo coartada, no convence. Si el magistrado es determinado -sus decisiones jurídicas- por presiones políticas, entonces el primer factor aludido será el ético. Y si se piensa que la presión política es la justificante de una mala aplicación del Derecho, lo único que se hace es provocar una justificante premoderna de la existencia de nuestra sociedad. No hay Estado de Derecho, y no hemos llegado a ser modernos, porque nuestra actitudes y formas de resolver estas presiones es sólo cediendo ante ellas. En una sociedad Democrática uno siempre tiene derecho a elegir.</w:t>
      </w:r>
    </w:p>
  </w:footnote>
  <w:footnote w:id="38">
    <w:p w14:paraId="08EF41E3"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Martínez Roldán</w:t>
      </w:r>
      <w:r>
        <w:rPr>
          <w:rFonts w:ascii="Arial Narrow" w:hAnsi="Arial Narrow"/>
          <w:sz w:val="18"/>
        </w:rPr>
        <w:t xml:space="preserve">, Luis y </w:t>
      </w:r>
      <w:r>
        <w:rPr>
          <w:rFonts w:ascii="Arial Narrow" w:hAnsi="Arial Narrow"/>
          <w:smallCaps/>
          <w:sz w:val="18"/>
        </w:rPr>
        <w:t>Fernández Suárez</w:t>
      </w:r>
      <w:r>
        <w:rPr>
          <w:rFonts w:ascii="Arial Narrow" w:hAnsi="Arial Narrow"/>
          <w:sz w:val="18"/>
        </w:rPr>
        <w:t xml:space="preserve">, Jesús A. </w:t>
      </w:r>
      <w:r>
        <w:rPr>
          <w:rFonts w:ascii="Arial Narrow" w:hAnsi="Arial Narrow"/>
          <w:i/>
          <w:sz w:val="18"/>
        </w:rPr>
        <w:t>Curso de Teoría del Derecho y Metodología Jurídica</w:t>
      </w:r>
      <w:r>
        <w:rPr>
          <w:rFonts w:ascii="Arial Narrow" w:hAnsi="Arial Narrow"/>
          <w:sz w:val="18"/>
        </w:rPr>
        <w:t>. Barcelona, Editorial Ariel,  1994, p. VIII.</w:t>
      </w:r>
    </w:p>
  </w:footnote>
  <w:footnote w:id="39">
    <w:p w14:paraId="5DBF528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VIII.</w:t>
      </w:r>
    </w:p>
  </w:footnote>
  <w:footnote w:id="40">
    <w:p w14:paraId="0FCE775D"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Diez Picazo</w:t>
      </w:r>
      <w:r>
        <w:rPr>
          <w:rFonts w:ascii="Arial Narrow" w:hAnsi="Arial Narrow"/>
          <w:sz w:val="18"/>
        </w:rPr>
        <w:t xml:space="preserve">, Luis. </w:t>
      </w:r>
      <w:r>
        <w:rPr>
          <w:rFonts w:ascii="Arial Narrow" w:hAnsi="Arial Narrow"/>
          <w:i/>
          <w:sz w:val="18"/>
        </w:rPr>
        <w:t>Experiencias jurídicas y teoría del Derecho.</w:t>
      </w:r>
      <w:r>
        <w:rPr>
          <w:rFonts w:ascii="Arial Narrow" w:hAnsi="Arial Narrow"/>
          <w:sz w:val="18"/>
        </w:rPr>
        <w:t xml:space="preserve"> Madrid, Editorial Ariel, 1975, p. 5. </w:t>
      </w:r>
    </w:p>
  </w:footnote>
  <w:footnote w:id="41">
    <w:p w14:paraId="7EC5EE97"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Ibid. p. 5. </w:t>
      </w:r>
    </w:p>
  </w:footnote>
  <w:footnote w:id="42">
    <w:p w14:paraId="0A5F25D2" w14:textId="77777777" w:rsidR="00444BC9" w:rsidRDefault="00444BC9" w:rsidP="001925CE">
      <w:pPr>
        <w:pStyle w:val="Textonotapie"/>
        <w:ind w:left="284" w:hanging="142"/>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Escribe Carlos Fernández Sessarego, en un artículo denominado: “Algunas reflexiones sobre la antijuricidad del delito y las penas privativas de la libertad a la luz de la teoría del Derecho”, extraído de una página web con los siguientes datos: © 1997 IIJ-UNAM Instituto de Investigaciones Jurídicas de la UNAM.</w:t>
      </w:r>
    </w:p>
  </w:footnote>
  <w:footnote w:id="43">
    <w:p w14:paraId="7F3AB2A4" w14:textId="77777777" w:rsidR="00444BC9" w:rsidRDefault="00444BC9" w:rsidP="001925CE">
      <w:pPr>
        <w:spacing w:after="6"/>
        <w:ind w:left="284" w:hanging="142"/>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Bobbio</w:t>
      </w:r>
      <w:r>
        <w:rPr>
          <w:rFonts w:ascii="Arial Narrow" w:hAnsi="Arial Narrow"/>
          <w:sz w:val="18"/>
        </w:rPr>
        <w:t xml:space="preserve">, Norberto. </w:t>
      </w:r>
      <w:r>
        <w:rPr>
          <w:rFonts w:ascii="Arial Narrow" w:hAnsi="Arial Narrow"/>
          <w:i/>
          <w:sz w:val="18"/>
        </w:rPr>
        <w:t>Teoría general del Derecho</w:t>
      </w:r>
      <w:r>
        <w:rPr>
          <w:rFonts w:ascii="Arial Narrow" w:hAnsi="Arial Narrow"/>
          <w:sz w:val="18"/>
        </w:rPr>
        <w:t>. Editorial Temis, p. 11.</w:t>
      </w:r>
    </w:p>
  </w:footnote>
  <w:footnote w:id="44">
    <w:p w14:paraId="09E4371E" w14:textId="77777777" w:rsidR="00444BC9" w:rsidRDefault="00444BC9" w:rsidP="001925CE">
      <w:pPr>
        <w:spacing w:after="6"/>
        <w:ind w:left="284" w:hanging="142"/>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Legaz y Lacambra</w:t>
      </w:r>
      <w:r>
        <w:rPr>
          <w:rFonts w:ascii="Arial Narrow" w:hAnsi="Arial Narrow"/>
          <w:sz w:val="18"/>
        </w:rPr>
        <w:t xml:space="preserve">, Luis. </w:t>
      </w:r>
      <w:r>
        <w:rPr>
          <w:rFonts w:ascii="Arial Narrow" w:hAnsi="Arial Narrow"/>
          <w:i/>
          <w:sz w:val="18"/>
        </w:rPr>
        <w:t>Filosofía del Derecho.</w:t>
      </w:r>
      <w:r>
        <w:rPr>
          <w:rFonts w:ascii="Arial Narrow" w:hAnsi="Arial Narrow"/>
          <w:sz w:val="18"/>
        </w:rPr>
        <w:t xml:space="preserve"> Editorial Bosch, pp. 253,254.</w:t>
      </w:r>
    </w:p>
  </w:footnote>
  <w:footnote w:id="45">
    <w:p w14:paraId="13231EFE"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 xml:space="preserve"> La Torre</w:t>
      </w:r>
      <w:r>
        <w:rPr>
          <w:rFonts w:ascii="Arial Narrow" w:hAnsi="Arial Narrow"/>
          <w:sz w:val="18"/>
        </w:rPr>
        <w:t>, Angel.</w:t>
      </w:r>
      <w:r>
        <w:rPr>
          <w:rFonts w:ascii="Arial Narrow" w:hAnsi="Arial Narrow"/>
          <w:i/>
          <w:sz w:val="18"/>
        </w:rPr>
        <w:t xml:space="preserve"> Justicia y Derecho.</w:t>
      </w:r>
      <w:r>
        <w:rPr>
          <w:rFonts w:ascii="Arial Narrow" w:hAnsi="Arial Narrow"/>
          <w:sz w:val="18"/>
        </w:rPr>
        <w:t xml:space="preserve"> Barcelona. Salvat Editores S.A., 1974, p. 35.</w:t>
      </w:r>
    </w:p>
  </w:footnote>
  <w:footnote w:id="46">
    <w:p w14:paraId="4568A661"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35.</w:t>
      </w:r>
    </w:p>
  </w:footnote>
  <w:footnote w:id="47">
    <w:p w14:paraId="5AC3A23D"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Legaz y Lacambra</w:t>
      </w:r>
      <w:r>
        <w:rPr>
          <w:rFonts w:ascii="Arial Narrow" w:hAnsi="Arial Narrow"/>
          <w:sz w:val="18"/>
        </w:rPr>
        <w:t xml:space="preserve">, Luis. </w:t>
      </w:r>
      <w:r>
        <w:rPr>
          <w:rFonts w:ascii="Arial Narrow" w:hAnsi="Arial Narrow"/>
          <w:i/>
          <w:sz w:val="18"/>
        </w:rPr>
        <w:t>Filosofía del Derecho.</w:t>
      </w:r>
      <w:r>
        <w:rPr>
          <w:rFonts w:ascii="Arial Narrow" w:hAnsi="Arial Narrow"/>
          <w:sz w:val="18"/>
        </w:rPr>
        <w:t xml:space="preserve"> Editorial Bosch, pp. 254.</w:t>
      </w:r>
    </w:p>
  </w:footnote>
  <w:footnote w:id="48">
    <w:p w14:paraId="1E33F78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Bobbio</w:t>
      </w:r>
      <w:r>
        <w:rPr>
          <w:rFonts w:ascii="Arial Narrow" w:hAnsi="Arial Narrow"/>
          <w:sz w:val="18"/>
        </w:rPr>
        <w:t xml:space="preserve">, Norberto. </w:t>
      </w:r>
      <w:r>
        <w:rPr>
          <w:rFonts w:ascii="Arial Narrow" w:hAnsi="Arial Narrow"/>
          <w:i/>
          <w:sz w:val="18"/>
        </w:rPr>
        <w:t>Teoría General del Derecho.</w:t>
      </w:r>
      <w:r>
        <w:rPr>
          <w:rFonts w:ascii="Arial Narrow" w:hAnsi="Arial Narrow"/>
          <w:sz w:val="18"/>
        </w:rPr>
        <w:t xml:space="preserve"> Ediciones Temis, pp. 7,8. El sombreado es nuestro.</w:t>
      </w:r>
    </w:p>
  </w:footnote>
  <w:footnote w:id="49">
    <w:p w14:paraId="4AAC733A"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8. </w:t>
      </w:r>
    </w:p>
  </w:footnote>
  <w:footnote w:id="50">
    <w:p w14:paraId="54CD48D8"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9.</w:t>
      </w:r>
    </w:p>
  </w:footnote>
  <w:footnote w:id="51">
    <w:p w14:paraId="627058F7"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sidRPr="00DD0987">
        <w:rPr>
          <w:rFonts w:ascii="Arial Narrow" w:hAnsi="Arial Narrow"/>
          <w:smallCaps/>
          <w:sz w:val="18"/>
          <w:lang w:val="en-US"/>
        </w:rPr>
        <w:t>Ihering</w:t>
      </w:r>
      <w:r w:rsidRPr="00DD0987">
        <w:rPr>
          <w:rFonts w:ascii="Arial Narrow" w:hAnsi="Arial Narrow"/>
          <w:sz w:val="18"/>
          <w:lang w:val="en-US"/>
        </w:rPr>
        <w:t xml:space="preserve">, Rudolph von. </w:t>
      </w:r>
      <w:r>
        <w:rPr>
          <w:rFonts w:ascii="Arial Narrow" w:hAnsi="Arial Narrow"/>
          <w:i/>
          <w:sz w:val="18"/>
        </w:rPr>
        <w:t>La lucha por el derecho.</w:t>
      </w:r>
      <w:r>
        <w:rPr>
          <w:rFonts w:ascii="Arial Narrow" w:hAnsi="Arial Narrow"/>
          <w:sz w:val="18"/>
        </w:rPr>
        <w:t xml:space="preserve"> Madrid. Editorial Civitas S.A., 1985, p. 12.</w:t>
      </w:r>
    </w:p>
  </w:footnote>
  <w:footnote w:id="52">
    <w:p w14:paraId="0B11D50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Diez Picazo</w:t>
      </w:r>
      <w:r>
        <w:rPr>
          <w:rFonts w:ascii="Arial Narrow" w:hAnsi="Arial Narrow"/>
          <w:sz w:val="18"/>
        </w:rPr>
        <w:t>, Luis.</w:t>
      </w:r>
      <w:r>
        <w:rPr>
          <w:rFonts w:ascii="Arial Narrow" w:hAnsi="Arial Narrow"/>
          <w:i/>
          <w:sz w:val="18"/>
        </w:rPr>
        <w:t xml:space="preserve"> Experiencias jurídicas y teoría del Derecho,</w:t>
      </w:r>
      <w:r>
        <w:rPr>
          <w:rFonts w:ascii="Arial Narrow" w:hAnsi="Arial Narrow"/>
          <w:sz w:val="18"/>
        </w:rPr>
        <w:t xml:space="preserve"> Barcelona. Editorial Ariel,  1975, p. 7,9. </w:t>
      </w:r>
    </w:p>
  </w:footnote>
  <w:footnote w:id="53">
    <w:p w14:paraId="4626F49E"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Foucault</w:t>
      </w:r>
      <w:r>
        <w:rPr>
          <w:rFonts w:ascii="Arial Narrow" w:hAnsi="Arial Narrow"/>
          <w:sz w:val="18"/>
        </w:rPr>
        <w:t xml:space="preserve">, Michel. </w:t>
      </w:r>
      <w:r>
        <w:rPr>
          <w:rFonts w:ascii="Arial Narrow" w:hAnsi="Arial Narrow"/>
          <w:i/>
          <w:sz w:val="18"/>
        </w:rPr>
        <w:t>Microfísica del poder.</w:t>
      </w:r>
      <w:r>
        <w:rPr>
          <w:rFonts w:ascii="Arial Narrow" w:hAnsi="Arial Narrow"/>
          <w:sz w:val="18"/>
        </w:rPr>
        <w:t xml:space="preserve">  Editorial, p. 142. </w:t>
      </w:r>
    </w:p>
  </w:footnote>
  <w:footnote w:id="54">
    <w:p w14:paraId="5F83214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Martínez Roldán</w:t>
      </w:r>
      <w:r>
        <w:rPr>
          <w:rFonts w:ascii="Arial Narrow" w:hAnsi="Arial Narrow"/>
          <w:sz w:val="18"/>
        </w:rPr>
        <w:t xml:space="preserve">, Luis y </w:t>
      </w:r>
      <w:r>
        <w:rPr>
          <w:rFonts w:ascii="Arial Narrow" w:hAnsi="Arial Narrow"/>
          <w:smallCaps/>
          <w:sz w:val="18"/>
        </w:rPr>
        <w:t>Fernández Suárez</w:t>
      </w:r>
      <w:r>
        <w:rPr>
          <w:rFonts w:ascii="Arial Narrow" w:hAnsi="Arial Narrow"/>
          <w:sz w:val="18"/>
        </w:rPr>
        <w:t xml:space="preserve">, Jesús A. </w:t>
      </w:r>
      <w:r>
        <w:rPr>
          <w:rFonts w:ascii="Arial Narrow" w:hAnsi="Arial Narrow"/>
          <w:i/>
          <w:sz w:val="18"/>
        </w:rPr>
        <w:t>Curso de Teoría del Derecho y Metodología Jurídica</w:t>
      </w:r>
      <w:r>
        <w:rPr>
          <w:rFonts w:ascii="Arial Narrow" w:hAnsi="Arial Narrow"/>
          <w:sz w:val="18"/>
        </w:rPr>
        <w:t>. Barcelona. Editorial Ariel,  1994, p. 24.</w:t>
      </w:r>
    </w:p>
  </w:footnote>
  <w:footnote w:id="55">
    <w:p w14:paraId="44A04608"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Bobbio</w:t>
      </w:r>
      <w:r>
        <w:rPr>
          <w:rFonts w:ascii="Arial Narrow" w:hAnsi="Arial Narrow"/>
          <w:sz w:val="18"/>
        </w:rPr>
        <w:t xml:space="preserve">, Norberto. </w:t>
      </w:r>
      <w:r>
        <w:rPr>
          <w:rFonts w:ascii="Arial Narrow" w:hAnsi="Arial Narrow"/>
          <w:i/>
          <w:sz w:val="18"/>
        </w:rPr>
        <w:t>Teoría general del Derecho.</w:t>
      </w:r>
      <w:r>
        <w:rPr>
          <w:rFonts w:ascii="Arial Narrow" w:hAnsi="Arial Narrow"/>
          <w:sz w:val="18"/>
        </w:rPr>
        <w:t xml:space="preserve"> Editorial Temis, p. 3.</w:t>
      </w:r>
    </w:p>
  </w:footnote>
  <w:footnote w:id="56">
    <w:p w14:paraId="53AB854F"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Ibid. p. 3. </w:t>
      </w:r>
    </w:p>
  </w:footnote>
  <w:footnote w:id="57">
    <w:p w14:paraId="762610D2"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Como lo proponía Luis Diez Picazo.</w:t>
      </w:r>
    </w:p>
  </w:footnote>
  <w:footnote w:id="58">
    <w:p w14:paraId="2D60426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Concepción expuesta por Ihering.</w:t>
      </w:r>
    </w:p>
  </w:footnote>
  <w:footnote w:id="59">
    <w:p w14:paraId="60E10612"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Martínez Roldán</w:t>
      </w:r>
      <w:r>
        <w:rPr>
          <w:rFonts w:ascii="Arial Narrow" w:hAnsi="Arial Narrow"/>
          <w:sz w:val="18"/>
        </w:rPr>
        <w:t xml:space="preserve">, Luis y </w:t>
      </w:r>
      <w:r>
        <w:rPr>
          <w:rFonts w:ascii="Arial Narrow" w:hAnsi="Arial Narrow"/>
          <w:smallCaps/>
          <w:sz w:val="18"/>
        </w:rPr>
        <w:t>Fernández Suárez</w:t>
      </w:r>
      <w:r>
        <w:rPr>
          <w:rFonts w:ascii="Arial Narrow" w:hAnsi="Arial Narrow"/>
          <w:sz w:val="18"/>
        </w:rPr>
        <w:t xml:space="preserve">, Jesús A. </w:t>
      </w:r>
      <w:r>
        <w:rPr>
          <w:rFonts w:ascii="Arial Narrow" w:hAnsi="Arial Narrow"/>
          <w:i/>
          <w:sz w:val="18"/>
        </w:rPr>
        <w:t>Curso de Teoría del Derecho y Metodología Jurídica</w:t>
      </w:r>
      <w:r>
        <w:rPr>
          <w:rFonts w:ascii="Arial Narrow" w:hAnsi="Arial Narrow"/>
          <w:sz w:val="18"/>
        </w:rPr>
        <w:t>. Barcelona. Editorial Ariel,  1994, p. 24.</w:t>
      </w:r>
    </w:p>
  </w:footnote>
  <w:footnote w:id="60">
    <w:p w14:paraId="33B2BC67"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Ibid. p. 24. </w:t>
      </w:r>
    </w:p>
  </w:footnote>
  <w:footnote w:id="61">
    <w:p w14:paraId="6AF2896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En lo que respecta a la relación jurídica, para esclarecer esta dinámica, citaremos a Norberto Bobbio que escribe: “lo que caracteriza la relación jurídica no es el contenido sino la forma, y esto significa que no se puede determinar si una relación es jurídica con base en los intereses que están en juego, sino por el hecho de estar regulada o no por una norma jurídica. ... una relación es jurídica porque es regulada por una norma jurídica.”</w:t>
      </w:r>
      <w:r>
        <w:rPr>
          <w:rFonts w:ascii="Arial Narrow" w:hAnsi="Arial Narrow"/>
          <w:smallCaps/>
          <w:sz w:val="18"/>
        </w:rPr>
        <w:t>/ Bobbio</w:t>
      </w:r>
      <w:r>
        <w:rPr>
          <w:rFonts w:ascii="Arial Narrow" w:hAnsi="Arial Narrow"/>
          <w:i/>
          <w:sz w:val="18"/>
        </w:rPr>
        <w:t xml:space="preserve">, Norberto. Teoría General del Derecho. </w:t>
      </w:r>
      <w:r>
        <w:rPr>
          <w:rFonts w:ascii="Arial Narrow" w:hAnsi="Arial Narrow"/>
          <w:sz w:val="18"/>
        </w:rPr>
        <w:t>Editorial Temis, pp. 18.</w:t>
      </w:r>
    </w:p>
  </w:footnote>
  <w:footnote w:id="62">
    <w:p w14:paraId="758EAB14"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Diez Picazo</w:t>
      </w:r>
      <w:r>
        <w:rPr>
          <w:rFonts w:ascii="Arial Narrow" w:hAnsi="Arial Narrow"/>
          <w:sz w:val="18"/>
        </w:rPr>
        <w:t>, Luis.</w:t>
      </w:r>
      <w:r>
        <w:rPr>
          <w:rFonts w:ascii="Arial Narrow" w:hAnsi="Arial Narrow"/>
          <w:i/>
          <w:sz w:val="18"/>
        </w:rPr>
        <w:t xml:space="preserve"> Experiencias jurídicas y teoría del Derecho.</w:t>
      </w:r>
      <w:r>
        <w:rPr>
          <w:rFonts w:ascii="Arial Narrow" w:hAnsi="Arial Narrow"/>
          <w:sz w:val="18"/>
        </w:rPr>
        <w:t xml:space="preserve"> Barcelona. Editorial Ariel,  1975, p. 6.</w:t>
      </w:r>
    </w:p>
  </w:footnote>
  <w:footnote w:id="63">
    <w:p w14:paraId="7D461CF7"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6.</w:t>
      </w:r>
    </w:p>
  </w:footnote>
  <w:footnote w:id="64">
    <w:p w14:paraId="05D235EE"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7.</w:t>
      </w:r>
    </w:p>
  </w:footnote>
  <w:footnote w:id="65">
    <w:p w14:paraId="6C6BAB39"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9.</w:t>
      </w:r>
    </w:p>
  </w:footnote>
  <w:footnote w:id="66">
    <w:p w14:paraId="799499A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Esto indica que el Derecho se fundamenta en la ley, pero no que los hombres crean que el Derecho lo puedan obtener sólo únicamente a través de la utilización de la ley. Es decir, no se cree en la justicia y el Derecho, pero sí en la aplicabilidad de tales por medio de la norma, o ley, adecuada según los intereses.</w:t>
      </w:r>
    </w:p>
  </w:footnote>
  <w:footnote w:id="67">
    <w:p w14:paraId="54D75D87" w14:textId="77777777" w:rsidR="00444BC9" w:rsidRDefault="00444BC9" w:rsidP="001925CE">
      <w:pPr>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Escribe Germán J. Bidart Campos en el prólogo hecho al libro Sobre el Realismo Jurídico. Massini, Carlos Ignacio, </w:t>
      </w:r>
      <w:r>
        <w:rPr>
          <w:rFonts w:ascii="Arial Narrow" w:hAnsi="Arial Narrow"/>
          <w:i/>
          <w:sz w:val="18"/>
        </w:rPr>
        <w:t>Sobre el realismo jurídico</w:t>
      </w:r>
      <w:r>
        <w:rPr>
          <w:rFonts w:ascii="Arial Narrow" w:hAnsi="Arial Narrow"/>
          <w:sz w:val="18"/>
        </w:rPr>
        <w:t>, Editorial Abeledo</w:t>
      </w:r>
      <w:r>
        <w:rPr>
          <w:rFonts w:ascii="Arial Narrow" w:hAnsi="Arial Narrow"/>
          <w:sz w:val="18"/>
        </w:rPr>
        <w:noBreakHyphen/>
        <w:t>Perrot S.A.,  pág. 11.</w:t>
      </w:r>
    </w:p>
  </w:footnote>
  <w:footnote w:id="68">
    <w:p w14:paraId="652BF75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Martínez Roldán</w:t>
      </w:r>
      <w:r>
        <w:rPr>
          <w:rFonts w:ascii="Arial Narrow" w:hAnsi="Arial Narrow"/>
          <w:sz w:val="18"/>
        </w:rPr>
        <w:t xml:space="preserve">, Luis y </w:t>
      </w:r>
      <w:r>
        <w:rPr>
          <w:rFonts w:ascii="Arial Narrow" w:hAnsi="Arial Narrow"/>
          <w:smallCaps/>
          <w:sz w:val="18"/>
        </w:rPr>
        <w:t>Fernández Suárez</w:t>
      </w:r>
      <w:r>
        <w:rPr>
          <w:rFonts w:ascii="Arial Narrow" w:hAnsi="Arial Narrow"/>
          <w:sz w:val="18"/>
        </w:rPr>
        <w:t xml:space="preserve">, Jesús A. </w:t>
      </w:r>
      <w:r>
        <w:rPr>
          <w:rFonts w:ascii="Arial Narrow" w:hAnsi="Arial Narrow"/>
          <w:i/>
          <w:sz w:val="18"/>
        </w:rPr>
        <w:t>Curso de Teoría del Derecho y Metodología Jurídica</w:t>
      </w:r>
      <w:r>
        <w:rPr>
          <w:rFonts w:ascii="Arial Narrow" w:hAnsi="Arial Narrow"/>
          <w:sz w:val="18"/>
        </w:rPr>
        <w:t xml:space="preserve">. Barcelona. Editorial Ariel,  1994, p. 24. </w:t>
      </w:r>
    </w:p>
  </w:footnote>
  <w:footnote w:id="69">
    <w:p w14:paraId="62BD4CCD"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i/>
          <w:sz w:val="18"/>
        </w:rPr>
        <w:t>“La teoría estatalista del derecho es el producto histórico de la formación de los grandes Estados que surgieron de la disolución de la sociedad medieval. Esta sociedad fue una sociedad pluralista, es decir formada por varios ordenamientos jurídicos, que se oponían o que se integraban: por encima de los que hoy son los Estados nacionales había ordenamientos jurídicos universales como la Iglesia y el Imperio, y había ordenamientos particulares por debajo de la sociedad nacional, como los feudos, las corporaciones y los municipios. También la familia, considerada en la tradición del pensamiento cristiano como una sociedad natural, era en sí misma un ordenamiento. El Estado moderno se fue formando a través de la eliminación y la absorción de los ordenamientos jurídicos superiores e inferiores por la sociedad nacional, por medio de un proceso que se podría llamar de monopolización de la producción jurídica. (...), la formación del Estado moderno corre paralela a la formación de un poder coactivo cada vez más centralizado y, por lo tanto, a la supresión gradual de los centros de poder inferiores y superiores al Estado, lo que tuvo como consecuencia la eliminación de todo centro de producción jurídica que no fuera el mismo Estado. La tendencia a identificar el derecho con el derecho estatal, que hoy todavía existe, es la consecuencia histórica del proceso de concentración del poder normativo y coactivo que caracterizó el surgimiento del Estado nacional moderno.”</w:t>
      </w:r>
      <w:r>
        <w:rPr>
          <w:rFonts w:ascii="Arial Narrow" w:hAnsi="Arial Narrow"/>
          <w:smallCaps/>
          <w:sz w:val="18"/>
        </w:rPr>
        <w:t>/ Bobbio</w:t>
      </w:r>
      <w:r>
        <w:rPr>
          <w:rFonts w:ascii="Arial Narrow" w:hAnsi="Arial Narrow"/>
          <w:sz w:val="18"/>
        </w:rPr>
        <w:t xml:space="preserve">, Norberto, </w:t>
      </w:r>
      <w:r>
        <w:rPr>
          <w:rFonts w:ascii="Arial Narrow" w:hAnsi="Arial Narrow"/>
          <w:i/>
          <w:sz w:val="18"/>
        </w:rPr>
        <w:t xml:space="preserve">Teoría General del Derecho, </w:t>
      </w:r>
      <w:r>
        <w:rPr>
          <w:rFonts w:ascii="Arial Narrow" w:hAnsi="Arial Narrow"/>
          <w:sz w:val="18"/>
        </w:rPr>
        <w:t>Editorial Temis, pp. 9.</w:t>
      </w:r>
    </w:p>
  </w:footnote>
  <w:footnote w:id="70">
    <w:p w14:paraId="1338402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Bobbio</w:t>
      </w:r>
      <w:r>
        <w:rPr>
          <w:rFonts w:ascii="Arial Narrow" w:hAnsi="Arial Narrow"/>
          <w:sz w:val="18"/>
        </w:rPr>
        <w:t xml:space="preserve">, Norberto, </w:t>
      </w:r>
      <w:r>
        <w:rPr>
          <w:rFonts w:ascii="Arial Narrow" w:hAnsi="Arial Narrow"/>
          <w:i/>
          <w:sz w:val="18"/>
        </w:rPr>
        <w:t>Teoría general del Derecho,</w:t>
      </w:r>
      <w:r>
        <w:rPr>
          <w:rFonts w:ascii="Arial Narrow" w:hAnsi="Arial Narrow"/>
          <w:sz w:val="18"/>
        </w:rPr>
        <w:t xml:space="preserve"> Editorial Temis, pp. 10. </w:t>
      </w:r>
    </w:p>
  </w:footnote>
  <w:footnote w:id="71">
    <w:p w14:paraId="7001A5F4"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8.</w:t>
      </w:r>
    </w:p>
  </w:footnote>
  <w:footnote w:id="72">
    <w:p w14:paraId="0A486BAB"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8.</w:t>
      </w:r>
    </w:p>
  </w:footnote>
  <w:footnote w:id="73">
    <w:p w14:paraId="17573380"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12.</w:t>
      </w:r>
    </w:p>
  </w:footnote>
  <w:footnote w:id="74">
    <w:p w14:paraId="075F67B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Ibid. p. 13. </w:t>
      </w:r>
    </w:p>
  </w:footnote>
  <w:footnote w:id="75">
    <w:p w14:paraId="721A32B0"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Martínez Roldán</w:t>
      </w:r>
      <w:r>
        <w:rPr>
          <w:rFonts w:ascii="Arial Narrow" w:hAnsi="Arial Narrow"/>
          <w:sz w:val="18"/>
        </w:rPr>
        <w:t xml:space="preserve">, Luis y </w:t>
      </w:r>
      <w:r>
        <w:rPr>
          <w:rFonts w:ascii="Arial Narrow" w:hAnsi="Arial Narrow"/>
          <w:smallCaps/>
          <w:sz w:val="18"/>
        </w:rPr>
        <w:t>Fernández Suárez</w:t>
      </w:r>
      <w:r>
        <w:rPr>
          <w:rFonts w:ascii="Arial Narrow" w:hAnsi="Arial Narrow"/>
          <w:sz w:val="18"/>
        </w:rPr>
        <w:t xml:space="preserve">, Jesús A. </w:t>
      </w:r>
      <w:r>
        <w:rPr>
          <w:rFonts w:ascii="Arial Narrow" w:hAnsi="Arial Narrow"/>
          <w:i/>
          <w:sz w:val="18"/>
        </w:rPr>
        <w:t>Curso de Teoría del Derecho y Metodología Jurídica</w:t>
      </w:r>
      <w:r>
        <w:rPr>
          <w:rFonts w:ascii="Arial Narrow" w:hAnsi="Arial Narrow"/>
          <w:sz w:val="18"/>
        </w:rPr>
        <w:t xml:space="preserve">. Barcelona. Editorial Ariel,  1994, p. 25. </w:t>
      </w:r>
    </w:p>
  </w:footnote>
  <w:footnote w:id="76">
    <w:p w14:paraId="7217830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Bobbio</w:t>
      </w:r>
      <w:r>
        <w:rPr>
          <w:rFonts w:ascii="Arial Narrow" w:hAnsi="Arial Narrow"/>
          <w:sz w:val="18"/>
        </w:rPr>
        <w:t xml:space="preserve">, Norberto, </w:t>
      </w:r>
      <w:r>
        <w:rPr>
          <w:rFonts w:ascii="Arial Narrow" w:hAnsi="Arial Narrow"/>
          <w:i/>
          <w:sz w:val="18"/>
        </w:rPr>
        <w:t>Teoría general del Derecho,</w:t>
      </w:r>
      <w:r>
        <w:rPr>
          <w:rFonts w:ascii="Arial Narrow" w:hAnsi="Arial Narrow"/>
          <w:sz w:val="18"/>
        </w:rPr>
        <w:t xml:space="preserve"> Editorial Temis, pp. 14. </w:t>
      </w:r>
    </w:p>
  </w:footnote>
  <w:footnote w:id="77">
    <w:p w14:paraId="0B0A450A"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15. </w:t>
      </w:r>
    </w:p>
  </w:footnote>
  <w:footnote w:id="78">
    <w:p w14:paraId="24074B9A"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16. </w:t>
      </w:r>
    </w:p>
  </w:footnote>
  <w:footnote w:id="79">
    <w:p w14:paraId="46EC2AE9"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18. </w:t>
      </w:r>
    </w:p>
  </w:footnote>
  <w:footnote w:id="80">
    <w:p w14:paraId="6D370FE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Ibid. p. 18. </w:t>
      </w:r>
    </w:p>
  </w:footnote>
  <w:footnote w:id="81">
    <w:p w14:paraId="746AC46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Martínez Roldán</w:t>
      </w:r>
      <w:r>
        <w:rPr>
          <w:rFonts w:ascii="Arial Narrow" w:hAnsi="Arial Narrow"/>
          <w:sz w:val="18"/>
        </w:rPr>
        <w:t xml:space="preserve">, Luis y </w:t>
      </w:r>
      <w:r>
        <w:rPr>
          <w:rFonts w:ascii="Arial Narrow" w:hAnsi="Arial Narrow"/>
          <w:smallCaps/>
          <w:sz w:val="18"/>
        </w:rPr>
        <w:t>Fernández Suárez</w:t>
      </w:r>
      <w:r>
        <w:rPr>
          <w:rFonts w:ascii="Arial Narrow" w:hAnsi="Arial Narrow"/>
          <w:sz w:val="18"/>
        </w:rPr>
        <w:t xml:space="preserve">, Jesús A. </w:t>
      </w:r>
      <w:r>
        <w:rPr>
          <w:rFonts w:ascii="Arial Narrow" w:hAnsi="Arial Narrow"/>
          <w:i/>
          <w:sz w:val="18"/>
        </w:rPr>
        <w:t>Curso de Teoría del Derecho y Metodología Jurídica</w:t>
      </w:r>
      <w:r>
        <w:rPr>
          <w:rFonts w:ascii="Arial Narrow" w:hAnsi="Arial Narrow"/>
          <w:sz w:val="18"/>
        </w:rPr>
        <w:t xml:space="preserve">. Barcelona. Editorial Ariel,  1994, p. 26. </w:t>
      </w:r>
    </w:p>
  </w:footnote>
  <w:footnote w:id="82">
    <w:p w14:paraId="3EFE4E7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Bobbio</w:t>
      </w:r>
      <w:r>
        <w:rPr>
          <w:rFonts w:ascii="Arial Narrow" w:hAnsi="Arial Narrow"/>
          <w:sz w:val="18"/>
        </w:rPr>
        <w:t xml:space="preserve">, Norberto. </w:t>
      </w:r>
      <w:r>
        <w:rPr>
          <w:rFonts w:ascii="Arial Narrow" w:hAnsi="Arial Narrow"/>
          <w:i/>
          <w:sz w:val="18"/>
        </w:rPr>
        <w:t>Teoría general del Derecho.</w:t>
      </w:r>
      <w:r>
        <w:rPr>
          <w:rFonts w:ascii="Arial Narrow" w:hAnsi="Arial Narrow"/>
          <w:sz w:val="18"/>
        </w:rPr>
        <w:t xml:space="preserve"> Editorial Temis, pp. 19.     </w:t>
      </w:r>
    </w:p>
  </w:footnote>
  <w:footnote w:id="83">
    <w:p w14:paraId="3D14B5A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Luis Martínez Roldán. Jesús A. Fernández Suárez. </w:t>
      </w:r>
      <w:r>
        <w:rPr>
          <w:rFonts w:ascii="Arial Narrow" w:hAnsi="Arial Narrow"/>
          <w:i/>
          <w:sz w:val="18"/>
        </w:rPr>
        <w:t>Curso de teoría del Derecho y metodología jurídica,</w:t>
      </w:r>
      <w:r>
        <w:rPr>
          <w:rFonts w:ascii="Arial Narrow" w:hAnsi="Arial Narrow"/>
          <w:sz w:val="18"/>
        </w:rPr>
        <w:t xml:space="preserve"> Editorial Ariel S.A., pp. 34..     </w:t>
      </w:r>
    </w:p>
  </w:footnote>
  <w:footnote w:id="84">
    <w:p w14:paraId="5E895E4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César Angeles Caballero, </w:t>
      </w:r>
      <w:r>
        <w:rPr>
          <w:rFonts w:ascii="Arial Narrow" w:hAnsi="Arial Narrow"/>
          <w:i/>
          <w:sz w:val="18"/>
        </w:rPr>
        <w:t>Investigación Jurídica</w:t>
      </w:r>
      <w:r>
        <w:rPr>
          <w:rFonts w:ascii="Arial Narrow" w:hAnsi="Arial Narrow"/>
          <w:sz w:val="18"/>
        </w:rPr>
        <w:t>, pág. 75. El subrayado es nuestro.</w:t>
      </w:r>
    </w:p>
  </w:footnote>
  <w:footnote w:id="85">
    <w:p w14:paraId="56F35DE7"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i/>
          <w:sz w:val="18"/>
        </w:rPr>
        <w:t xml:space="preserve">Justicia y Derecho, </w:t>
      </w:r>
      <w:r>
        <w:rPr>
          <w:rFonts w:ascii="Arial Narrow" w:hAnsi="Arial Narrow"/>
          <w:sz w:val="18"/>
        </w:rPr>
        <w:t>Salvat Editores, pp. 11.</w:t>
      </w:r>
    </w:p>
  </w:footnote>
  <w:footnote w:id="86">
    <w:p w14:paraId="51664E0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Pitágoras según escribe Julían Marías- “probablemente no se ocupó nunca de matemáticas, aunque sí posteriormente su escuela”. (pág. 15 de su “Historia de la Filosofía”).</w:t>
      </w:r>
    </w:p>
  </w:footnote>
  <w:footnote w:id="87">
    <w:p w14:paraId="5CCBED42"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Calicés afirma que: "Son los hombres débiles y la masa los que establecen las leyes. Para sí mismo, para su propia unidad, implantan leyes, prodigan alabanzas y censuras; quieren atemorizar a los fuertes, a los que están capacitados para tener más; y para evitarlo dicen que es feo o injusto poseer más cosas que los demás (...) la misma naturaleza demuestra que es justo que el fuerte y superior tenga más que el inferior y el capaz ostente primacía sobre el inepto."</w:t>
      </w:r>
    </w:p>
  </w:footnote>
  <w:footnote w:id="88">
    <w:p w14:paraId="1659D5D8"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García Toma</w:t>
      </w:r>
      <w:r>
        <w:rPr>
          <w:rFonts w:ascii="Arial Narrow" w:hAnsi="Arial Narrow"/>
          <w:sz w:val="18"/>
        </w:rPr>
        <w:t xml:space="preserve">, Víctor. </w:t>
      </w:r>
      <w:r>
        <w:rPr>
          <w:rFonts w:ascii="Arial Narrow" w:hAnsi="Arial Narrow"/>
          <w:i/>
          <w:sz w:val="18"/>
        </w:rPr>
        <w:t>Teoría del Derecho.</w:t>
      </w:r>
      <w:r>
        <w:rPr>
          <w:rFonts w:ascii="Arial Narrow" w:hAnsi="Arial Narrow"/>
          <w:sz w:val="18"/>
        </w:rPr>
        <w:t xml:space="preserve"> Lima. Concytec.1998, p. 282.</w:t>
      </w:r>
    </w:p>
  </w:footnote>
  <w:footnote w:id="89">
    <w:p w14:paraId="0F6D8348"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282.</w:t>
      </w:r>
    </w:p>
  </w:footnote>
  <w:footnote w:id="90">
    <w:p w14:paraId="77522364"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282,283.</w:t>
      </w:r>
    </w:p>
  </w:footnote>
  <w:footnote w:id="91">
    <w:p w14:paraId="2524A30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283.</w:t>
      </w:r>
    </w:p>
  </w:footnote>
  <w:footnote w:id="92">
    <w:p w14:paraId="098FD69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Alzamora Valdez</w:t>
      </w:r>
      <w:r>
        <w:rPr>
          <w:rFonts w:ascii="Arial Narrow" w:hAnsi="Arial Narrow"/>
          <w:sz w:val="18"/>
        </w:rPr>
        <w:t xml:space="preserve">, Mario. </w:t>
      </w:r>
      <w:r>
        <w:rPr>
          <w:rFonts w:ascii="Arial Narrow" w:hAnsi="Arial Narrow"/>
          <w:i/>
          <w:sz w:val="18"/>
        </w:rPr>
        <w:t xml:space="preserve">Introducción a la ciencia del Derecho. </w:t>
      </w:r>
      <w:r>
        <w:rPr>
          <w:rFonts w:ascii="Arial Narrow" w:hAnsi="Arial Narrow"/>
          <w:sz w:val="18"/>
        </w:rPr>
        <w:t>Lima,  Eddili, Décina Edición, 1964,  p. 326.</w:t>
      </w:r>
    </w:p>
  </w:footnote>
  <w:footnote w:id="93">
    <w:p w14:paraId="6E28CA94" w14:textId="77777777" w:rsidR="00444BC9" w:rsidRDefault="00444BC9" w:rsidP="001925CE">
      <w:pPr>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w:t>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Lima, Edifraf, p. 237.</w:t>
      </w:r>
    </w:p>
  </w:footnote>
  <w:footnote w:id="94">
    <w:p w14:paraId="2DF07A8A" w14:textId="77777777" w:rsidR="00444BC9" w:rsidRDefault="00444BC9" w:rsidP="001925CE">
      <w:pPr>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vertAlign w:val="superscript"/>
        </w:rPr>
        <w:t>.</w:t>
      </w:r>
      <w:r>
        <w:rPr>
          <w:rFonts w:ascii="Arial Narrow" w:hAnsi="Arial Narrow"/>
          <w:smallCaps/>
          <w:sz w:val="18"/>
        </w:rPr>
        <w:t>Massini</w:t>
      </w:r>
      <w:r>
        <w:rPr>
          <w:rFonts w:ascii="Arial Narrow" w:hAnsi="Arial Narrow"/>
          <w:sz w:val="18"/>
        </w:rPr>
        <w:t xml:space="preserve">, Carlos Ignacio. </w:t>
      </w:r>
      <w:r>
        <w:rPr>
          <w:rFonts w:ascii="Arial Narrow" w:hAnsi="Arial Narrow"/>
          <w:i/>
          <w:sz w:val="18"/>
        </w:rPr>
        <w:t>Sobre el Realismo Jurídico.</w:t>
      </w:r>
      <w:r>
        <w:rPr>
          <w:rFonts w:ascii="Arial Narrow" w:hAnsi="Arial Narrow"/>
          <w:sz w:val="18"/>
        </w:rPr>
        <w:t xml:space="preserve"> Buenos Aires, Abeledo-Perrot, p. 31.</w:t>
      </w:r>
    </w:p>
  </w:footnote>
  <w:footnote w:id="95">
    <w:p w14:paraId="7D99D3D3"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35.</w:t>
      </w:r>
    </w:p>
  </w:footnote>
  <w:footnote w:id="96">
    <w:p w14:paraId="116041BD"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36. </w:t>
      </w:r>
    </w:p>
  </w:footnote>
  <w:footnote w:id="97">
    <w:p w14:paraId="34C69B58"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w:t>
      </w:r>
      <w:r>
        <w:rPr>
          <w:rFonts w:ascii="Arial Narrow" w:hAnsi="Arial Narrow"/>
          <w:sz w:val="18"/>
        </w:rPr>
        <w:t>36.</w:t>
      </w:r>
    </w:p>
  </w:footnote>
  <w:footnote w:id="98">
    <w:p w14:paraId="424254D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39.</w:t>
      </w:r>
    </w:p>
  </w:footnote>
  <w:footnote w:id="99">
    <w:p w14:paraId="05BD75B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Arriola Grande</w:t>
      </w:r>
      <w:r>
        <w:rPr>
          <w:rFonts w:ascii="Arial Narrow" w:hAnsi="Arial Narrow"/>
          <w:sz w:val="18"/>
        </w:rPr>
        <w:t xml:space="preserve">, Maurilio. </w:t>
      </w:r>
      <w:r>
        <w:rPr>
          <w:rFonts w:ascii="Arial Narrow" w:hAnsi="Arial Narrow"/>
          <w:i/>
          <w:sz w:val="18"/>
        </w:rPr>
        <w:t>Diccionario Literario del Perú.</w:t>
      </w:r>
      <w:r>
        <w:rPr>
          <w:rFonts w:ascii="Arial Narrow" w:hAnsi="Arial Narrow"/>
          <w:sz w:val="18"/>
        </w:rPr>
        <w:t xml:space="preserve"> Lima, Editorial Universo S.A, Segunda Edición, corregida y comentada, Tomo I, 1980, p. 469.</w:t>
      </w:r>
    </w:p>
  </w:footnote>
  <w:footnote w:id="100">
    <w:p w14:paraId="505A2E32"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Massini</w:t>
      </w:r>
      <w:r>
        <w:rPr>
          <w:rFonts w:ascii="Arial Narrow" w:hAnsi="Arial Narrow"/>
          <w:sz w:val="18"/>
        </w:rPr>
        <w:t xml:space="preserve">, Carlos Ignacio. </w:t>
      </w:r>
      <w:r>
        <w:rPr>
          <w:rFonts w:ascii="Arial Narrow" w:hAnsi="Arial Narrow"/>
          <w:i/>
          <w:sz w:val="18"/>
        </w:rPr>
        <w:t>Sobre el Realismo Jurídico.</w:t>
      </w:r>
      <w:r>
        <w:rPr>
          <w:rFonts w:ascii="Arial Narrow" w:hAnsi="Arial Narrow"/>
          <w:sz w:val="18"/>
        </w:rPr>
        <w:t xml:space="preserve"> Buenos Aires, Abeledo-Perrot, p.  41.</w:t>
      </w:r>
    </w:p>
  </w:footnote>
  <w:footnote w:id="101">
    <w:p w14:paraId="2EAB14E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41.</w:t>
      </w:r>
    </w:p>
  </w:footnote>
  <w:footnote w:id="102">
    <w:p w14:paraId="744D8222"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42.</w:t>
      </w:r>
    </w:p>
  </w:footnote>
  <w:footnote w:id="103">
    <w:p w14:paraId="5C865699"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46.</w:t>
      </w:r>
    </w:p>
  </w:footnote>
  <w:footnote w:id="104">
    <w:p w14:paraId="28B51C5A"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256.</w:t>
      </w:r>
    </w:p>
  </w:footnote>
  <w:footnote w:id="105">
    <w:p w14:paraId="470D6A55" w14:textId="77777777" w:rsidR="00444BC9" w:rsidRDefault="00444BC9" w:rsidP="001925CE">
      <w:pPr>
        <w:ind w:left="284" w:hanging="284"/>
        <w:jc w:val="both"/>
        <w:rPr>
          <w:rFonts w:ascii="Arial Narrow" w:hAnsi="Arial Narrow"/>
          <w:i/>
          <w:sz w:val="18"/>
        </w:rPr>
      </w:pPr>
      <w:r>
        <w:rPr>
          <w:rStyle w:val="Refdenotaalpie"/>
          <w:rFonts w:ascii="Arial Narrow" w:hAnsi="Arial Narrow"/>
          <w:sz w:val="18"/>
          <w:vertAlign w:val="superscript"/>
        </w:rPr>
        <w:footnoteRef/>
      </w:r>
      <w:r>
        <w:rPr>
          <w:rFonts w:ascii="Arial Narrow" w:hAnsi="Arial Narrow"/>
          <w:sz w:val="18"/>
        </w:rPr>
        <w:t>. Hijo de una familia católica, monárquica y conservadora, tiene -a pesar de su descendencia- orientación inhalada por la Revolución Francesa. Escribe de el Julían Marías: “</w:t>
      </w:r>
      <w:r>
        <w:rPr>
          <w:rFonts w:ascii="Arial Narrow" w:hAnsi="Arial Narrow"/>
          <w:i/>
          <w:sz w:val="18"/>
        </w:rPr>
        <w:t xml:space="preserve">La vida de Comte fue difícil y desgraciada. En su vida privada fue infeliz, y nunca logró la menor holgura económica, a pesar de su indiscutible genialidad y de su esfuerzo. En sus últimos años vivía sostenido por sus amigos y partidarios, sobre todo franceses e ingleses. (...) Tiene caracteres de desequilibrio mental...” / </w:t>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  </w:t>
      </w:r>
      <w:r>
        <w:rPr>
          <w:rFonts w:ascii="Arial Narrow" w:hAnsi="Arial Narrow"/>
          <w:i/>
          <w:sz w:val="18"/>
        </w:rPr>
        <w:t>p. 338.</w:t>
      </w:r>
    </w:p>
    <w:p w14:paraId="68B51D36" w14:textId="77777777" w:rsidR="00444BC9" w:rsidRDefault="00444BC9" w:rsidP="001925CE">
      <w:pPr>
        <w:ind w:left="284" w:hanging="284"/>
        <w:jc w:val="both"/>
        <w:rPr>
          <w:rFonts w:ascii="Arial Narrow" w:hAnsi="Arial Narrow"/>
          <w:sz w:val="18"/>
        </w:rPr>
      </w:pPr>
      <w:r>
        <w:rPr>
          <w:rFonts w:ascii="Arial Narrow" w:hAnsi="Arial Narrow"/>
          <w:i/>
          <w:sz w:val="18"/>
        </w:rPr>
        <w:t xml:space="preserve">Para Eduardo Galeano “Nunca han faltado pensadores capaces de elevar a categoría científica los prejuicios de la clase dominante, pero el siglo XIX fue pródigo en Europa. El filósofo Augusto Comte, uno de los fundadores de la sociología moderna, creía en la superioridad de la raza blanca y en la perpetua infancia de la mujer. Como casi todos sus colegas, Comte no tenía dudas sobre este principio esencial: Blancos son los hombre aptos para ejercer el mando sobre los condenados a las posiciones sociales subalternas”( </w:t>
      </w:r>
      <w:r>
        <w:rPr>
          <w:rFonts w:ascii="Arial Narrow" w:hAnsi="Arial Narrow"/>
          <w:sz w:val="18"/>
        </w:rPr>
        <w:t>Galeano, Eduardo.</w:t>
      </w:r>
      <w:r>
        <w:rPr>
          <w:rFonts w:ascii="Arial Narrow" w:hAnsi="Arial Narrow"/>
          <w:i/>
          <w:sz w:val="18"/>
        </w:rPr>
        <w:t xml:space="preserve"> Patas Arriba. La escuela del mundo al revés. Editorial siglo XXI</w:t>
      </w:r>
      <w:r>
        <w:rPr>
          <w:rFonts w:ascii="Arial Narrow" w:hAnsi="Arial Narrow"/>
          <w:sz w:val="18"/>
        </w:rPr>
        <w:t>, p. 54.</w:t>
      </w:r>
    </w:p>
  </w:footnote>
  <w:footnote w:id="106">
    <w:p w14:paraId="072E94C3"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  p. 339,340.</w:t>
      </w:r>
    </w:p>
  </w:footnote>
  <w:footnote w:id="107">
    <w:p w14:paraId="210D9EC9"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Alzamora Valdez</w:t>
      </w:r>
      <w:r>
        <w:rPr>
          <w:rFonts w:ascii="Arial Narrow" w:hAnsi="Arial Narrow"/>
          <w:sz w:val="18"/>
        </w:rPr>
        <w:t xml:space="preserve">, Mario. </w:t>
      </w:r>
      <w:r>
        <w:rPr>
          <w:rFonts w:ascii="Arial Narrow" w:hAnsi="Arial Narrow"/>
          <w:i/>
          <w:sz w:val="18"/>
        </w:rPr>
        <w:t xml:space="preserve">Introducción a la ciencia del Derecho. </w:t>
      </w:r>
      <w:r>
        <w:rPr>
          <w:rFonts w:ascii="Arial Narrow" w:hAnsi="Arial Narrow"/>
          <w:sz w:val="18"/>
        </w:rPr>
        <w:t>Lima,  Eddili, Décima Edición, 1964,  p. 332.</w:t>
      </w:r>
    </w:p>
  </w:footnote>
  <w:footnote w:id="108">
    <w:p w14:paraId="2291435D"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333.</w:t>
      </w:r>
    </w:p>
  </w:footnote>
  <w:footnote w:id="109">
    <w:p w14:paraId="39D1FF0F"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333</w:t>
      </w:r>
    </w:p>
  </w:footnote>
  <w:footnote w:id="110">
    <w:p w14:paraId="4832A5B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223.</w:t>
      </w:r>
    </w:p>
  </w:footnote>
  <w:footnote w:id="111">
    <w:p w14:paraId="5A0CFB7B"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222.</w:t>
      </w:r>
    </w:p>
  </w:footnote>
  <w:footnote w:id="112">
    <w:p w14:paraId="3F1883E3"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223.</w:t>
      </w:r>
    </w:p>
  </w:footnote>
  <w:footnote w:id="113">
    <w:p w14:paraId="2A886C04"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255.</w:t>
      </w:r>
    </w:p>
  </w:footnote>
  <w:footnote w:id="114">
    <w:p w14:paraId="4EA4930B"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255.</w:t>
      </w:r>
    </w:p>
  </w:footnote>
  <w:footnote w:id="115">
    <w:p w14:paraId="1AA9F2AD"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255.</w:t>
      </w:r>
    </w:p>
  </w:footnote>
  <w:footnote w:id="116">
    <w:p w14:paraId="04CF9CFC"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 255.</w:t>
      </w:r>
    </w:p>
  </w:footnote>
  <w:footnote w:id="117">
    <w:p w14:paraId="2BC623A0"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  p.  340.</w:t>
      </w:r>
    </w:p>
  </w:footnote>
  <w:footnote w:id="118">
    <w:p w14:paraId="6B516DD1"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256.</w:t>
      </w:r>
    </w:p>
  </w:footnote>
  <w:footnote w:id="119">
    <w:p w14:paraId="2DEEC9B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Sobrevilla</w:t>
      </w:r>
      <w:r>
        <w:rPr>
          <w:rFonts w:ascii="Arial Narrow" w:hAnsi="Arial Narrow"/>
          <w:sz w:val="18"/>
        </w:rPr>
        <w:t xml:space="preserve">, David. </w:t>
      </w:r>
      <w:r>
        <w:rPr>
          <w:rFonts w:ascii="Arial Narrow" w:hAnsi="Arial Narrow"/>
          <w:i/>
          <w:sz w:val="18"/>
        </w:rPr>
        <w:t>La filosofía contemporánea</w:t>
      </w:r>
      <w:r>
        <w:rPr>
          <w:rFonts w:ascii="Arial Narrow" w:hAnsi="Arial Narrow"/>
          <w:sz w:val="18"/>
        </w:rPr>
        <w:t>. Lima, Carlos Matta editor, 1996, p. 44.</w:t>
      </w:r>
    </w:p>
  </w:footnote>
  <w:footnote w:id="120">
    <w:p w14:paraId="3CBD1C6A"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85</w:t>
      </w:r>
    </w:p>
  </w:footnote>
  <w:footnote w:id="121">
    <w:p w14:paraId="3DF7EB6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86.</w:t>
      </w:r>
    </w:p>
  </w:footnote>
  <w:footnote w:id="122">
    <w:p w14:paraId="6B0F4AB3"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Arriola Grande</w:t>
      </w:r>
      <w:r>
        <w:rPr>
          <w:rFonts w:ascii="Arial Narrow" w:hAnsi="Arial Narrow"/>
          <w:sz w:val="18"/>
        </w:rPr>
        <w:t xml:space="preserve">, Maurilio. </w:t>
      </w:r>
      <w:r>
        <w:rPr>
          <w:rFonts w:ascii="Arial Narrow" w:hAnsi="Arial Narrow"/>
          <w:i/>
          <w:sz w:val="18"/>
        </w:rPr>
        <w:t>Diccionario Literario del Perú.</w:t>
      </w:r>
      <w:r>
        <w:rPr>
          <w:rFonts w:ascii="Arial Narrow" w:hAnsi="Arial Narrow"/>
          <w:sz w:val="18"/>
        </w:rPr>
        <w:t xml:space="preserve"> Lima, Editorial Universo S.A, Segunda Edición, corregida y comentada, Tomo I, 1980, p. 414.</w:t>
      </w:r>
    </w:p>
  </w:footnote>
  <w:footnote w:id="123">
    <w:p w14:paraId="44B1A54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Sobrevilla</w:t>
      </w:r>
      <w:r>
        <w:rPr>
          <w:rFonts w:ascii="Arial Narrow" w:hAnsi="Arial Narrow"/>
          <w:sz w:val="18"/>
        </w:rPr>
        <w:t xml:space="preserve">, David. </w:t>
      </w:r>
      <w:r>
        <w:rPr>
          <w:rFonts w:ascii="Arial Narrow" w:hAnsi="Arial Narrow"/>
          <w:i/>
          <w:sz w:val="18"/>
        </w:rPr>
        <w:t>La filosofía contemporánea</w:t>
      </w:r>
      <w:r>
        <w:rPr>
          <w:rFonts w:ascii="Arial Narrow" w:hAnsi="Arial Narrow"/>
          <w:sz w:val="18"/>
        </w:rPr>
        <w:t>. Lima, Carlos Matta editor, 1996, p. 44.</w:t>
      </w:r>
    </w:p>
  </w:footnote>
  <w:footnote w:id="124">
    <w:p w14:paraId="6E1E25CD"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  p. 343.</w:t>
      </w:r>
    </w:p>
  </w:footnote>
  <w:footnote w:id="125">
    <w:p w14:paraId="159D0C3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223.</w:t>
      </w:r>
    </w:p>
  </w:footnote>
  <w:footnote w:id="126">
    <w:p w14:paraId="44EAF67F"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Introducción al Derecho</w:t>
      </w:r>
      <w:r>
        <w:rPr>
          <w:rFonts w:ascii="Arial Narrow" w:hAnsi="Arial Narrow"/>
          <w:sz w:val="18"/>
        </w:rPr>
        <w:t>. Lima, Edinar, 4ta. Edición: 1990. Trad. Dr. Julio Ayasta Gonzales. p. 257.</w:t>
      </w:r>
    </w:p>
  </w:footnote>
  <w:footnote w:id="127">
    <w:p w14:paraId="04FF2F6C"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Massini, Carlos Ignacio. </w:t>
      </w:r>
      <w:r>
        <w:rPr>
          <w:rFonts w:ascii="Arial Narrow" w:hAnsi="Arial Narrow"/>
          <w:i/>
          <w:sz w:val="18"/>
        </w:rPr>
        <w:t>Sobre el Realismo Jurídico.</w:t>
      </w:r>
      <w:r>
        <w:rPr>
          <w:rFonts w:ascii="Arial Narrow" w:hAnsi="Arial Narrow"/>
          <w:sz w:val="18"/>
        </w:rPr>
        <w:t xml:space="preserve"> Argentina, Abeledo-Perrot, 1978, p. 35. Parafrasea Massini a Villey.</w:t>
      </w:r>
    </w:p>
  </w:footnote>
  <w:footnote w:id="128">
    <w:p w14:paraId="4CCAE813"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Diez Picazo</w:t>
      </w:r>
      <w:r>
        <w:rPr>
          <w:rFonts w:ascii="Arial Narrow" w:hAnsi="Arial Narrow"/>
          <w:sz w:val="18"/>
        </w:rPr>
        <w:t xml:space="preserve">, Luis. </w:t>
      </w:r>
      <w:r>
        <w:rPr>
          <w:rFonts w:ascii="Arial Narrow" w:hAnsi="Arial Narrow"/>
          <w:i/>
          <w:sz w:val="18"/>
        </w:rPr>
        <w:t>Experiencias jurídicas y teoría del Derecho.</w:t>
      </w:r>
      <w:r>
        <w:rPr>
          <w:rFonts w:ascii="Arial Narrow" w:hAnsi="Arial Narrow"/>
          <w:sz w:val="18"/>
        </w:rPr>
        <w:t xml:space="preserve"> Madrid, Editorial Ariel, 1975, p. 231.</w:t>
      </w:r>
    </w:p>
  </w:footnote>
  <w:footnote w:id="129">
    <w:p w14:paraId="1F35F054"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Ibid. p. 162. </w:t>
      </w:r>
    </w:p>
  </w:footnote>
  <w:footnote w:id="130">
    <w:p w14:paraId="73518EAB" w14:textId="77777777" w:rsidR="00444BC9" w:rsidRDefault="00444BC9" w:rsidP="001925CE">
      <w:pPr>
        <w:spacing w:after="6"/>
        <w:ind w:left="284" w:hanging="284"/>
        <w:jc w:val="both"/>
        <w:rPr>
          <w:rFonts w:ascii="Arial Narrow" w:hAnsi="Arial Narrow"/>
          <w:i/>
          <w:sz w:val="18"/>
        </w:rPr>
      </w:pPr>
      <w:r>
        <w:rPr>
          <w:rStyle w:val="Refdenotaalpie"/>
          <w:rFonts w:ascii="Arial Narrow" w:hAnsi="Arial Narrow"/>
          <w:sz w:val="18"/>
          <w:vertAlign w:val="superscript"/>
        </w:rPr>
        <w:footnoteRef/>
      </w:r>
      <w:r>
        <w:rPr>
          <w:rFonts w:ascii="Arial Narrow" w:hAnsi="Arial Narrow"/>
          <w:sz w:val="18"/>
        </w:rPr>
        <w:t xml:space="preserve"> Según la clasificación que expone Marcial Rubio Correa, en su Libro </w:t>
      </w:r>
      <w:r>
        <w:rPr>
          <w:rFonts w:ascii="Arial Narrow" w:hAnsi="Arial Narrow"/>
          <w:i/>
          <w:sz w:val="18"/>
        </w:rPr>
        <w:t>El Sistema Jurídico</w:t>
      </w:r>
    </w:p>
  </w:footnote>
  <w:footnote w:id="131">
    <w:p w14:paraId="1ADB3341"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Diez Picazo</w:t>
      </w:r>
      <w:r>
        <w:rPr>
          <w:rFonts w:ascii="Arial Narrow" w:hAnsi="Arial Narrow"/>
          <w:sz w:val="18"/>
        </w:rPr>
        <w:t xml:space="preserve">, Luis. </w:t>
      </w:r>
      <w:r>
        <w:rPr>
          <w:rFonts w:ascii="Arial Narrow" w:hAnsi="Arial Narrow"/>
          <w:i/>
          <w:sz w:val="18"/>
        </w:rPr>
        <w:t>Experiencias jurídicas y teoría del Derecho.</w:t>
      </w:r>
      <w:r>
        <w:rPr>
          <w:rFonts w:ascii="Arial Narrow" w:hAnsi="Arial Narrow"/>
          <w:sz w:val="18"/>
        </w:rPr>
        <w:t xml:space="preserve"> Madrid, Editorial Ariel, 1975, p. 72.</w:t>
      </w:r>
    </w:p>
  </w:footnote>
  <w:footnote w:id="132">
    <w:p w14:paraId="664A054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Cabanellas de Torres</w:t>
      </w:r>
      <w:r>
        <w:rPr>
          <w:rFonts w:ascii="Arial Narrow" w:hAnsi="Arial Narrow"/>
          <w:sz w:val="18"/>
        </w:rPr>
        <w:t xml:space="preserve">, Guillermo. </w:t>
      </w:r>
      <w:r>
        <w:rPr>
          <w:rFonts w:ascii="Arial Narrow" w:hAnsi="Arial Narrow"/>
          <w:i/>
          <w:sz w:val="18"/>
        </w:rPr>
        <w:t>Diccionario.</w:t>
      </w:r>
      <w:r>
        <w:rPr>
          <w:rFonts w:ascii="Arial Narrow" w:hAnsi="Arial Narrow"/>
          <w:sz w:val="18"/>
        </w:rPr>
        <w:t xml:space="preserve"> Buenos Aires, Heliasta, 1982, p. 247.</w:t>
      </w:r>
    </w:p>
  </w:footnote>
  <w:footnote w:id="133">
    <w:p w14:paraId="40B94544"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Deleuze</w:t>
      </w:r>
      <w:r>
        <w:rPr>
          <w:rFonts w:ascii="Arial Narrow" w:hAnsi="Arial Narrow"/>
          <w:sz w:val="18"/>
        </w:rPr>
        <w:t xml:space="preserve">, Gilles. </w:t>
      </w:r>
      <w:r>
        <w:rPr>
          <w:rFonts w:ascii="Arial Narrow" w:hAnsi="Arial Narrow"/>
          <w:i/>
          <w:sz w:val="18"/>
        </w:rPr>
        <w:t xml:space="preserve">Foucault.  </w:t>
      </w:r>
      <w:r>
        <w:rPr>
          <w:rFonts w:ascii="Arial Narrow" w:hAnsi="Arial Narrow"/>
          <w:sz w:val="18"/>
        </w:rPr>
        <w:t>España, Ediciones Paidos, 1987,  p.</w:t>
      </w:r>
      <w:r>
        <w:rPr>
          <w:rFonts w:ascii="Arial Narrow" w:hAnsi="Arial Narrow"/>
          <w:i/>
          <w:sz w:val="18"/>
        </w:rPr>
        <w:t xml:space="preserve"> 99.</w:t>
      </w:r>
      <w:r>
        <w:rPr>
          <w:rFonts w:ascii="Arial Narrow" w:hAnsi="Arial Narrow"/>
          <w:sz w:val="18"/>
        </w:rPr>
        <w:t xml:space="preserve"> El subrayado es nuestro.</w:t>
      </w:r>
    </w:p>
  </w:footnote>
  <w:footnote w:id="134">
    <w:p w14:paraId="1EA31EB1"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Cabanellas de Torres</w:t>
      </w:r>
      <w:r>
        <w:rPr>
          <w:rFonts w:ascii="Arial Narrow" w:hAnsi="Arial Narrow"/>
          <w:sz w:val="18"/>
        </w:rPr>
        <w:t xml:space="preserve">, Guillerno. </w:t>
      </w:r>
      <w:r>
        <w:rPr>
          <w:rFonts w:ascii="Arial Narrow" w:hAnsi="Arial Narrow"/>
          <w:i/>
          <w:sz w:val="18"/>
        </w:rPr>
        <w:t>Diccionario.</w:t>
      </w:r>
      <w:r>
        <w:rPr>
          <w:rFonts w:ascii="Arial Narrow" w:hAnsi="Arial Narrow"/>
          <w:sz w:val="18"/>
        </w:rPr>
        <w:t xml:space="preserve"> Buenos Aires, Heliasta, 1982, p.135.</w:t>
      </w:r>
    </w:p>
  </w:footnote>
  <w:footnote w:id="135">
    <w:p w14:paraId="72DD2FBC" w14:textId="77777777" w:rsidR="00444BC9" w:rsidRDefault="00444BC9" w:rsidP="001925CE">
      <w:pPr>
        <w:spacing w:after="6"/>
        <w:ind w:left="284" w:hanging="284"/>
        <w:jc w:val="both"/>
        <w:rPr>
          <w:rFonts w:ascii="Arial Narrow" w:hAnsi="Arial Narrow"/>
          <w:i/>
          <w:sz w:val="18"/>
        </w:rPr>
      </w:pPr>
      <w:r>
        <w:rPr>
          <w:rStyle w:val="Refdenotaalpie"/>
          <w:rFonts w:ascii="Arial Narrow" w:hAnsi="Arial Narrow"/>
          <w:sz w:val="18"/>
          <w:vertAlign w:val="superscript"/>
        </w:rPr>
        <w:footnoteRef/>
      </w:r>
      <w:r>
        <w:rPr>
          <w:rFonts w:ascii="Arial Narrow" w:hAnsi="Arial Narrow"/>
          <w:smallCaps/>
          <w:sz w:val="18"/>
        </w:rPr>
        <w:t>Deleuze</w:t>
      </w:r>
      <w:r>
        <w:rPr>
          <w:rFonts w:ascii="Arial Narrow" w:hAnsi="Arial Narrow"/>
          <w:sz w:val="18"/>
        </w:rPr>
        <w:t xml:space="preserve">, Gilles. </w:t>
      </w:r>
      <w:r>
        <w:rPr>
          <w:rFonts w:ascii="Arial Narrow" w:hAnsi="Arial Narrow"/>
          <w:i/>
          <w:sz w:val="18"/>
        </w:rPr>
        <w:t xml:space="preserve">Foucault.  </w:t>
      </w:r>
      <w:r>
        <w:rPr>
          <w:rFonts w:ascii="Arial Narrow" w:hAnsi="Arial Narrow"/>
          <w:sz w:val="18"/>
        </w:rPr>
        <w:t>España, Ediciones Paidos, 1987, p.</w:t>
      </w:r>
      <w:r>
        <w:rPr>
          <w:rFonts w:ascii="Arial Narrow" w:hAnsi="Arial Narrow"/>
          <w:i/>
          <w:sz w:val="18"/>
        </w:rPr>
        <w:t xml:space="preserve"> 99-100</w:t>
      </w:r>
    </w:p>
  </w:footnote>
  <w:footnote w:id="136">
    <w:p w14:paraId="2A7D2B6C" w14:textId="77777777" w:rsidR="00444BC9" w:rsidRPr="00DD0987" w:rsidRDefault="00444BC9" w:rsidP="001925CE">
      <w:pPr>
        <w:spacing w:after="6"/>
        <w:ind w:left="284" w:hanging="284"/>
        <w:jc w:val="both"/>
        <w:rPr>
          <w:rFonts w:ascii="Arial Narrow" w:hAnsi="Arial Narrow"/>
          <w:i/>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w:t>
      </w:r>
      <w:r w:rsidRPr="00DD0987">
        <w:rPr>
          <w:rFonts w:ascii="Arial Narrow" w:hAnsi="Arial Narrow"/>
          <w:i/>
          <w:sz w:val="18"/>
          <w:lang w:val="en-US"/>
        </w:rPr>
        <w:t>. 100.</w:t>
      </w:r>
    </w:p>
  </w:footnote>
  <w:footnote w:id="137">
    <w:p w14:paraId="1EF785E9" w14:textId="77777777" w:rsidR="00444BC9" w:rsidRPr="00DD0987" w:rsidRDefault="00444BC9" w:rsidP="001925CE">
      <w:pPr>
        <w:spacing w:after="6"/>
        <w:ind w:left="284" w:hanging="284"/>
        <w:jc w:val="both"/>
        <w:rPr>
          <w:rFonts w:ascii="Arial Narrow" w:hAnsi="Arial Narrow"/>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w:t>
      </w:r>
      <w:r w:rsidRPr="00DD0987">
        <w:rPr>
          <w:rFonts w:ascii="Arial Narrow" w:hAnsi="Arial Narrow"/>
          <w:i/>
          <w:sz w:val="18"/>
          <w:lang w:val="en-US"/>
        </w:rPr>
        <w:t xml:space="preserve"> 100</w:t>
      </w:r>
      <w:r w:rsidRPr="00DD0987">
        <w:rPr>
          <w:rFonts w:ascii="Arial Narrow" w:hAnsi="Arial Narrow"/>
          <w:sz w:val="18"/>
          <w:lang w:val="en-US"/>
        </w:rPr>
        <w:t>.</w:t>
      </w:r>
    </w:p>
  </w:footnote>
  <w:footnote w:id="138">
    <w:p w14:paraId="18D8ED8D" w14:textId="77777777" w:rsidR="00444BC9" w:rsidRPr="00DD0987" w:rsidRDefault="00444BC9" w:rsidP="001925CE">
      <w:pPr>
        <w:spacing w:after="6"/>
        <w:ind w:left="284" w:hanging="284"/>
        <w:jc w:val="both"/>
        <w:rPr>
          <w:rFonts w:ascii="Arial Narrow" w:hAnsi="Arial Narrow"/>
          <w:i/>
          <w:sz w:val="18"/>
          <w:lang w:val="en-US"/>
        </w:rPr>
      </w:pPr>
      <w:r>
        <w:rPr>
          <w:rStyle w:val="Refdenotaalpie"/>
          <w:rFonts w:ascii="Arial Narrow" w:hAnsi="Arial Narrow"/>
          <w:sz w:val="18"/>
          <w:vertAlign w:val="superscript"/>
        </w:rPr>
        <w:footnoteRef/>
      </w:r>
      <w:r w:rsidRPr="00DD0987">
        <w:rPr>
          <w:rFonts w:ascii="Arial Narrow" w:hAnsi="Arial Narrow"/>
          <w:sz w:val="18"/>
          <w:lang w:val="en-US"/>
        </w:rPr>
        <w:t xml:space="preserve"> Ibid. p.</w:t>
      </w:r>
      <w:r w:rsidRPr="00DD0987">
        <w:rPr>
          <w:rFonts w:ascii="Arial Narrow" w:hAnsi="Arial Narrow"/>
          <w:i/>
          <w:sz w:val="18"/>
          <w:lang w:val="en-US"/>
        </w:rPr>
        <w:t xml:space="preserve"> 102.</w:t>
      </w:r>
    </w:p>
  </w:footnote>
  <w:footnote w:id="139">
    <w:p w14:paraId="551DECA6" w14:textId="77777777" w:rsidR="00444BC9" w:rsidRDefault="00444BC9" w:rsidP="001925CE">
      <w:pPr>
        <w:spacing w:after="6"/>
        <w:ind w:left="284" w:hanging="284"/>
        <w:jc w:val="both"/>
        <w:rPr>
          <w:rFonts w:ascii="Arial Narrow" w:hAnsi="Arial Narrow"/>
          <w:i/>
          <w:sz w:val="18"/>
        </w:rPr>
      </w:pPr>
      <w:r>
        <w:rPr>
          <w:rStyle w:val="Refdenotaalpie"/>
          <w:rFonts w:ascii="Arial Narrow" w:hAnsi="Arial Narrow"/>
          <w:sz w:val="18"/>
          <w:vertAlign w:val="superscript"/>
        </w:rPr>
        <w:footnoteRef/>
      </w:r>
      <w:r>
        <w:rPr>
          <w:rFonts w:ascii="Arial Narrow" w:hAnsi="Arial Narrow"/>
          <w:sz w:val="18"/>
        </w:rPr>
        <w:t>Ibid. p.</w:t>
      </w:r>
      <w:r>
        <w:rPr>
          <w:rFonts w:ascii="Arial Narrow" w:hAnsi="Arial Narrow"/>
          <w:i/>
          <w:sz w:val="18"/>
        </w:rPr>
        <w:t xml:space="preserve"> 104-105. </w:t>
      </w:r>
    </w:p>
  </w:footnote>
  <w:footnote w:id="140">
    <w:p w14:paraId="780C7F82"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 xml:space="preserve"> Foucault</w:t>
      </w:r>
      <w:r>
        <w:rPr>
          <w:rFonts w:ascii="Arial Narrow" w:hAnsi="Arial Narrow"/>
          <w:sz w:val="18"/>
        </w:rPr>
        <w:t xml:space="preserve">, Michel. </w:t>
      </w:r>
      <w:r>
        <w:rPr>
          <w:rFonts w:ascii="Arial Narrow" w:hAnsi="Arial Narrow"/>
          <w:i/>
          <w:sz w:val="18"/>
        </w:rPr>
        <w:t>La Verdad y la Formas Jurídicas</w:t>
      </w:r>
      <w:r>
        <w:rPr>
          <w:rFonts w:ascii="Arial Narrow" w:hAnsi="Arial Narrow"/>
          <w:sz w:val="18"/>
        </w:rPr>
        <w:t>. México, Editorial Gedisa, 1983, p. 24.</w:t>
      </w:r>
    </w:p>
  </w:footnote>
  <w:footnote w:id="141">
    <w:p w14:paraId="12848AF3"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Uslar Pietri</w:t>
      </w:r>
      <w:r>
        <w:rPr>
          <w:rFonts w:ascii="Arial Narrow" w:hAnsi="Arial Narrow"/>
          <w:sz w:val="18"/>
        </w:rPr>
        <w:t xml:space="preserve">, Arturo. </w:t>
      </w:r>
      <w:r>
        <w:rPr>
          <w:rFonts w:ascii="Arial Narrow" w:hAnsi="Arial Narrow"/>
          <w:i/>
          <w:sz w:val="18"/>
        </w:rPr>
        <w:t>Valores Humanos.</w:t>
      </w:r>
      <w:r>
        <w:rPr>
          <w:rFonts w:ascii="Arial Narrow" w:hAnsi="Arial Narrow"/>
          <w:sz w:val="18"/>
        </w:rPr>
        <w:t xml:space="preserve"> Madrid .Tomo II, EditoralMediterraneo</w:t>
      </w:r>
      <w:r>
        <w:rPr>
          <w:rFonts w:ascii="Arial Narrow" w:hAnsi="Arial Narrow"/>
          <w:sz w:val="18"/>
        </w:rPr>
        <w:noBreakHyphen/>
        <w:t>Diego de León, , 1972, p. 26.</w:t>
      </w:r>
    </w:p>
  </w:footnote>
  <w:footnote w:id="142">
    <w:p w14:paraId="01D35556"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Grondona</w:t>
      </w:r>
      <w:r>
        <w:rPr>
          <w:rFonts w:ascii="Arial Narrow" w:hAnsi="Arial Narrow"/>
          <w:sz w:val="18"/>
        </w:rPr>
        <w:t xml:space="preserve">, Mariano. </w:t>
      </w:r>
      <w:r>
        <w:rPr>
          <w:rFonts w:ascii="Arial Narrow" w:hAnsi="Arial Narrow"/>
          <w:i/>
          <w:sz w:val="18"/>
        </w:rPr>
        <w:t>Los Pensadores de la Libertad…,</w:t>
      </w:r>
      <w:r>
        <w:rPr>
          <w:rFonts w:ascii="Arial Narrow" w:hAnsi="Arial Narrow"/>
          <w:sz w:val="18"/>
        </w:rPr>
        <w:t>. Sudamericana, 3ra. Edición, diciembre 1986, p. 14.</w:t>
      </w:r>
    </w:p>
  </w:footnote>
  <w:footnote w:id="143">
    <w:p w14:paraId="237D7B8B"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16.</w:t>
      </w:r>
    </w:p>
  </w:footnote>
  <w:footnote w:id="144">
    <w:p w14:paraId="1FF938ED"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Ibid. p. 20</w:t>
      </w:r>
    </w:p>
  </w:footnote>
  <w:footnote w:id="145">
    <w:p w14:paraId="370993C5" w14:textId="77777777" w:rsidR="00444BC9" w:rsidRDefault="00444BC9" w:rsidP="001925CE">
      <w:pPr>
        <w:spacing w:after="6"/>
        <w:ind w:left="284" w:hanging="284"/>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mallCaps/>
          <w:sz w:val="18"/>
        </w:rPr>
        <w:t>Uslar Pietri</w:t>
      </w:r>
      <w:r>
        <w:rPr>
          <w:rFonts w:ascii="Arial Narrow" w:hAnsi="Arial Narrow"/>
          <w:sz w:val="18"/>
        </w:rPr>
        <w:t xml:space="preserve">, Arturo. </w:t>
      </w:r>
      <w:r>
        <w:rPr>
          <w:rFonts w:ascii="Arial Narrow" w:hAnsi="Arial Narrow"/>
          <w:i/>
          <w:sz w:val="18"/>
        </w:rPr>
        <w:t xml:space="preserve">Valores Humanos. </w:t>
      </w:r>
      <w:r>
        <w:rPr>
          <w:rFonts w:ascii="Arial Narrow" w:hAnsi="Arial Narrow"/>
          <w:sz w:val="18"/>
        </w:rPr>
        <w:t>(Biografías y evocaciones), Tomo II, EditoralMediterraneo</w:t>
      </w:r>
      <w:r>
        <w:rPr>
          <w:rFonts w:ascii="Arial Narrow" w:hAnsi="Arial Narrow"/>
          <w:sz w:val="18"/>
        </w:rPr>
        <w:noBreakHyphen/>
        <w:t>Diego de León, Madrid, 1972, p. 8.</w:t>
      </w:r>
    </w:p>
  </w:footnote>
  <w:footnote w:id="146">
    <w:p w14:paraId="0576C4D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9.</w:t>
      </w:r>
    </w:p>
  </w:footnote>
  <w:footnote w:id="147">
    <w:p w14:paraId="3869F82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13. </w:t>
      </w:r>
    </w:p>
  </w:footnote>
  <w:footnote w:id="148">
    <w:p w14:paraId="54626CD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Ferrater Mora.</w:t>
      </w:r>
      <w:r>
        <w:rPr>
          <w:rFonts w:ascii="Arial Narrow" w:hAnsi="Arial Narrow"/>
          <w:sz w:val="18"/>
        </w:rPr>
        <w:t xml:space="preserve"> José. </w:t>
      </w:r>
      <w:r>
        <w:rPr>
          <w:rFonts w:ascii="Arial Narrow" w:hAnsi="Arial Narrow"/>
          <w:i/>
          <w:sz w:val="18"/>
        </w:rPr>
        <w:t>Diccionario de Filosofía Abreviado,</w:t>
      </w:r>
      <w:r>
        <w:rPr>
          <w:rFonts w:ascii="Arial Narrow" w:hAnsi="Arial Narrow"/>
          <w:sz w:val="18"/>
        </w:rPr>
        <w:t xml:space="preserve"> Buenos Aires, Editorial Sudamericana, Decimocuarta edición, 1983. p. 283.</w:t>
      </w:r>
    </w:p>
  </w:footnote>
  <w:footnote w:id="149">
    <w:p w14:paraId="5EF5C75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“Platón (...) consideró el mito como un modo de expresar ciertas verdades que escapan al razonamiento” / </w:t>
      </w:r>
      <w:r>
        <w:rPr>
          <w:rFonts w:ascii="Arial Narrow" w:hAnsi="Arial Narrow"/>
          <w:smallCaps/>
          <w:sz w:val="18"/>
        </w:rPr>
        <w:t>Ferrater Mora.</w:t>
      </w:r>
      <w:r>
        <w:rPr>
          <w:rFonts w:ascii="Arial Narrow" w:hAnsi="Arial Narrow"/>
          <w:sz w:val="18"/>
        </w:rPr>
        <w:t xml:space="preserve"> José. </w:t>
      </w:r>
      <w:r>
        <w:rPr>
          <w:rFonts w:ascii="Arial Narrow" w:hAnsi="Arial Narrow"/>
          <w:i/>
          <w:sz w:val="18"/>
        </w:rPr>
        <w:t>Diccionario de Filosofía Abreviado,</w:t>
      </w:r>
      <w:r>
        <w:rPr>
          <w:rFonts w:ascii="Arial Narrow" w:hAnsi="Arial Narrow"/>
          <w:sz w:val="18"/>
        </w:rPr>
        <w:t xml:space="preserve"> Buenos Aires, Editorial Sudamericana, Decimocuarta edición, 1983. p. 283. </w:t>
      </w:r>
    </w:p>
  </w:footnote>
  <w:footnote w:id="150">
    <w:p w14:paraId="15EE76DC" w14:textId="77777777" w:rsidR="00444BC9" w:rsidRDefault="00444BC9" w:rsidP="001925CE">
      <w:pPr>
        <w:pStyle w:val="Pie"/>
        <w:ind w:left="425" w:hanging="425"/>
      </w:pPr>
      <w:r>
        <w:rPr>
          <w:rStyle w:val="Refdenotaalpie"/>
          <w:sz w:val="18"/>
          <w:vertAlign w:val="superscript"/>
        </w:rPr>
        <w:footnoteRef/>
      </w:r>
      <w:r>
        <w:t xml:space="preserve"> “...los mitos pueden no ser verdaderos en lo que cuentan, pero son verdaderos en otro sentido: en que cuentan algo realmente acontecido en la historia, es decir, la creencia en mitos” / </w:t>
      </w:r>
      <w:r>
        <w:rPr>
          <w:smallCaps/>
        </w:rPr>
        <w:t>Ferrater Mora.</w:t>
      </w:r>
      <w:r>
        <w:t xml:space="preserve"> José. </w:t>
      </w:r>
      <w:r>
        <w:rPr>
          <w:i/>
        </w:rPr>
        <w:t>Diccionario de Filosofía Abreviado,</w:t>
      </w:r>
      <w:r>
        <w:t xml:space="preserve"> Buenos Aires, Editorial Sudamericana, Decimocuarta edición, 1983. p. 283.</w:t>
      </w:r>
    </w:p>
  </w:footnote>
  <w:footnote w:id="151">
    <w:p w14:paraId="7852863F" w14:textId="77777777" w:rsidR="00444BC9" w:rsidRDefault="00444BC9" w:rsidP="001925CE">
      <w:pPr>
        <w:pStyle w:val="Pie"/>
        <w:ind w:left="425" w:hanging="425"/>
      </w:pPr>
      <w:r>
        <w:rPr>
          <w:rStyle w:val="Refdenotaalpie"/>
          <w:sz w:val="18"/>
          <w:vertAlign w:val="superscript"/>
        </w:rPr>
        <w:footnoteRef/>
      </w:r>
      <w:r>
        <w:t xml:space="preserve">  “El mito (...): es modo de ser o forma de una conciencia: la ‘conciencia mítica’”/ </w:t>
      </w:r>
      <w:r>
        <w:rPr>
          <w:smallCaps/>
        </w:rPr>
        <w:t>Ferrater Mora.</w:t>
      </w:r>
      <w:r>
        <w:t xml:space="preserve"> José. </w:t>
      </w:r>
      <w:r>
        <w:rPr>
          <w:i/>
        </w:rPr>
        <w:t>Diccionario de Filosofía Abreviado,</w:t>
      </w:r>
      <w:r>
        <w:t xml:space="preserve"> Buenos Aires, Editorial Sudamericana, Decimocuarta edición, 1983. p. 284.</w:t>
      </w:r>
    </w:p>
  </w:footnote>
  <w:footnote w:id="152">
    <w:p w14:paraId="10F52529" w14:textId="77777777" w:rsidR="00444BC9" w:rsidRDefault="00444BC9" w:rsidP="001925CE">
      <w:pPr>
        <w:pStyle w:val="Pie"/>
        <w:ind w:left="425" w:hanging="425"/>
      </w:pPr>
      <w:r>
        <w:rPr>
          <w:rStyle w:val="Refdenotaalpie"/>
          <w:sz w:val="18"/>
          <w:vertAlign w:val="superscript"/>
        </w:rPr>
        <w:footnoteRef/>
      </w:r>
      <w:r>
        <w:t xml:space="preserve"> “...como a la vez la conciencia mítica es una de las formas de la conciencia humana, el examen de los mitos ilumina la estructura de tal conciencia. Lo que se investiga de este modo es la función del mito en la conciencia y en la cultura.”  / </w:t>
      </w:r>
      <w:r>
        <w:rPr>
          <w:smallCaps/>
        </w:rPr>
        <w:t>Ferrater Mora.</w:t>
      </w:r>
      <w:r>
        <w:t xml:space="preserve"> José. </w:t>
      </w:r>
      <w:r>
        <w:rPr>
          <w:i/>
        </w:rPr>
        <w:t>Diccionario de Filosofía Abreviado,</w:t>
      </w:r>
      <w:r>
        <w:t xml:space="preserve"> Buenos Aires, Editorial Sudamericana, Decimocuarta edición, 1983. p. 284.</w:t>
      </w:r>
    </w:p>
  </w:footnote>
  <w:footnote w:id="153">
    <w:p w14:paraId="279F5C8E" w14:textId="77777777" w:rsidR="00444BC9" w:rsidRDefault="00444BC9" w:rsidP="001925CE">
      <w:pPr>
        <w:pStyle w:val="Pie"/>
        <w:ind w:left="425" w:hanging="425"/>
      </w:pPr>
      <w:r>
        <w:rPr>
          <w:rStyle w:val="Refdenotaalpie"/>
          <w:sz w:val="18"/>
          <w:vertAlign w:val="superscript"/>
        </w:rPr>
        <w:footnoteRef/>
      </w:r>
      <w:r>
        <w:t xml:space="preserve"> “El testimonio de Garcilaso y las leyendas recogidas por los cronistas post-toledanos y extirpadores de idolatrías, confirman esta vocación narrativa.” / </w:t>
      </w:r>
      <w:r>
        <w:rPr>
          <w:smallCaps/>
          <w:lang w:val="es-ES_tradnl"/>
        </w:rPr>
        <w:t>Porras Barrenechea</w:t>
      </w:r>
      <w:r>
        <w:t xml:space="preserve">, Raúl. </w:t>
      </w:r>
      <w:r>
        <w:rPr>
          <w:i/>
        </w:rPr>
        <w:t xml:space="preserve">Mito, tradición e historia del Perú. </w:t>
      </w:r>
      <w:r>
        <w:t>Lima, Peisa, 1974. p. 23.</w:t>
      </w:r>
    </w:p>
  </w:footnote>
  <w:footnote w:id="154">
    <w:p w14:paraId="27AE7214" w14:textId="77777777" w:rsidR="00444BC9" w:rsidRDefault="00444BC9" w:rsidP="001925CE">
      <w:pPr>
        <w:ind w:left="425" w:hanging="425"/>
        <w:jc w:val="both"/>
      </w:pPr>
      <w:r>
        <w:rPr>
          <w:rStyle w:val="Refdenotaalpie"/>
          <w:rFonts w:ascii="Arial Narrow" w:hAnsi="Arial Narrow"/>
          <w:sz w:val="18"/>
          <w:vertAlign w:val="superscript"/>
        </w:rPr>
        <w:footnoteRef/>
      </w:r>
      <w:r>
        <w:rPr>
          <w:rFonts w:ascii="Arial Narrow" w:hAnsi="Arial Narrow"/>
          <w:sz w:val="18"/>
        </w:rPr>
        <w:t xml:space="preserve"> “Hesiodo (...)pretende narrar cómo se ha configurado y ordenado el mundo, o la genealogía de los dioses; hace una teogonía, cuenta un mito” / </w:t>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w:t>
      </w:r>
      <w:r>
        <w:rPr>
          <w:rFonts w:ascii="Arial Narrow" w:hAnsi="Arial Narrow"/>
          <w:i/>
          <w:sz w:val="18"/>
        </w:rPr>
        <w:t xml:space="preserve">. </w:t>
      </w:r>
      <w:r>
        <w:rPr>
          <w:rFonts w:ascii="Arial Narrow" w:hAnsi="Arial Narrow"/>
          <w:sz w:val="18"/>
        </w:rPr>
        <w:t>p. 12.</w:t>
      </w:r>
    </w:p>
  </w:footnote>
  <w:footnote w:id="155">
    <w:p w14:paraId="6A5B2F79" w14:textId="77777777" w:rsidR="00444BC9" w:rsidRDefault="00444BC9" w:rsidP="001925CE">
      <w:pPr>
        <w:pStyle w:val="Pie"/>
        <w:ind w:left="425" w:hanging="425"/>
      </w:pPr>
      <w:r>
        <w:rPr>
          <w:rStyle w:val="Refdenotaalpie"/>
          <w:sz w:val="18"/>
          <w:vertAlign w:val="superscript"/>
        </w:rPr>
        <w:footnoteRef/>
      </w:r>
      <w:r>
        <w:t xml:space="preserve"> “Por otra parte, excepción hecha de los sofistas, el pensamiento griego estuvo impregnado del carácter sagrado de las leyes que, basadas en las más antiguas tradiciones, aparecían como nimbadas de creencias religiosas.”/ </w:t>
      </w:r>
      <w:r>
        <w:rPr>
          <w:smallCaps/>
        </w:rPr>
        <w:t>Du Pasquier</w:t>
      </w:r>
      <w:r>
        <w:t xml:space="preserve">, Claude. </w:t>
      </w:r>
      <w:r>
        <w:rPr>
          <w:i/>
        </w:rPr>
        <w:t>Introducción al Derecho</w:t>
      </w:r>
      <w:r>
        <w:t>. Lima, Edinar, 4ta. Edición: 1990. p. 180.</w:t>
      </w:r>
    </w:p>
  </w:footnote>
  <w:footnote w:id="156">
    <w:p w14:paraId="4739165D" w14:textId="77777777" w:rsidR="00444BC9" w:rsidRDefault="00444BC9" w:rsidP="001925CE">
      <w:pPr>
        <w:pStyle w:val="Pie"/>
        <w:ind w:left="425" w:hanging="425"/>
      </w:pPr>
      <w:r>
        <w:rPr>
          <w:rStyle w:val="Refdenotaalpie"/>
          <w:sz w:val="18"/>
          <w:vertAlign w:val="superscript"/>
        </w:rPr>
        <w:footnoteRef/>
      </w:r>
      <w:r>
        <w:t xml:space="preserve">Coulangues, Miguel, </w:t>
      </w:r>
      <w:r>
        <w:rPr>
          <w:i/>
        </w:rPr>
        <w:t>La ciudad antigua,</w:t>
      </w:r>
      <w:r>
        <w:t xml:space="preserve"> pp. 209.</w:t>
      </w:r>
    </w:p>
  </w:footnote>
  <w:footnote w:id="157">
    <w:p w14:paraId="741BCCB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31</w:t>
      </w:r>
    </w:p>
  </w:footnote>
  <w:footnote w:id="158">
    <w:p w14:paraId="69898E0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31 </w:t>
      </w:r>
    </w:p>
  </w:footnote>
  <w:footnote w:id="159">
    <w:p w14:paraId="5D198A36" w14:textId="77777777" w:rsidR="00444BC9" w:rsidRDefault="00444BC9" w:rsidP="001925CE">
      <w:pPr>
        <w:pStyle w:val="Pie"/>
        <w:ind w:left="425" w:hanging="425"/>
      </w:pPr>
      <w:r>
        <w:rPr>
          <w:rStyle w:val="Refdenotaalpie"/>
          <w:sz w:val="18"/>
          <w:vertAlign w:val="superscript"/>
        </w:rPr>
        <w:footnoteRef/>
      </w:r>
      <w:r>
        <w:t xml:space="preserve">  “Se conviene en considerar a Tales de Mileto, quien vivió aproximadamente entre los años 624 y 546 a. C., el primer pensador que se propuso dar una explicación del mundo según criterios independientes de la reflexión mítico-religiosa tradicional. Si bien la orientación de su pensamiento no pudo ser totalmente extraña a esa tradición, en él está ya definía la orientación general del pensar filosófico.”  / </w:t>
      </w:r>
      <w:r>
        <w:rPr>
          <w:smallCaps/>
          <w:lang w:val="es-ES_tradnl"/>
        </w:rPr>
        <w:t>Salazar Bondy</w:t>
      </w:r>
      <w:r>
        <w:t xml:space="preserve">, Augusto. </w:t>
      </w:r>
      <w:r>
        <w:rPr>
          <w:i/>
        </w:rPr>
        <w:t>Iniciación filosófica,</w:t>
      </w:r>
      <w:r>
        <w:t xml:space="preserve"> Lima, Editorial Universo S.A., Tercera edición, 1967. p. 44.</w:t>
      </w:r>
    </w:p>
  </w:footnote>
  <w:footnote w:id="160">
    <w:p w14:paraId="37D82F41" w14:textId="77777777" w:rsidR="00444BC9" w:rsidRDefault="00444BC9" w:rsidP="001925CE">
      <w:pPr>
        <w:ind w:left="425" w:hanging="425"/>
        <w:jc w:val="both"/>
      </w:pPr>
      <w:r>
        <w:rPr>
          <w:rStyle w:val="Refdenotaalpie"/>
          <w:rFonts w:ascii="Arial Narrow" w:hAnsi="Arial Narrow"/>
          <w:sz w:val="18"/>
          <w:vertAlign w:val="superscript"/>
        </w:rPr>
        <w:footnoteRef/>
      </w:r>
      <w:r>
        <w:rPr>
          <w:rFonts w:ascii="Arial Narrow" w:hAnsi="Arial Narrow"/>
          <w:sz w:val="18"/>
        </w:rPr>
        <w:t xml:space="preserve"> Estos movimientos son: 1. El movimiento local, el cambio de lugar; 2. El movimiento cuantitativo, es decir, el aumento y la disminución; 3. El movimiento cualitativo o alteración; y 4. El movimiento sustancial, es decir, la generación y la corrupción. </w:t>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w:t>
      </w:r>
      <w:r>
        <w:rPr>
          <w:rFonts w:ascii="Arial Narrow" w:hAnsi="Arial Narrow"/>
          <w:i/>
          <w:sz w:val="18"/>
        </w:rPr>
        <w:t xml:space="preserve">. </w:t>
      </w:r>
      <w:r>
        <w:rPr>
          <w:rFonts w:ascii="Arial Narrow" w:hAnsi="Arial Narrow"/>
          <w:sz w:val="18"/>
        </w:rPr>
        <w:t xml:space="preserve">p. 12. </w:t>
      </w:r>
    </w:p>
  </w:footnote>
  <w:footnote w:id="161">
    <w:p w14:paraId="7B99B131" w14:textId="77777777" w:rsidR="00444BC9" w:rsidRDefault="00444BC9" w:rsidP="001925CE">
      <w:pPr>
        <w:ind w:left="425" w:hanging="425"/>
        <w:jc w:val="both"/>
      </w:pPr>
      <w:r>
        <w:rPr>
          <w:rStyle w:val="Refdenotaalpie"/>
          <w:rFonts w:ascii="Arial Narrow" w:hAnsi="Arial Narrow"/>
          <w:sz w:val="18"/>
          <w:vertAlign w:val="superscript"/>
        </w:rPr>
        <w:footnoteRef/>
      </w:r>
      <w:r>
        <w:rPr>
          <w:rFonts w:ascii="Arial Narrow" w:hAnsi="Arial Narrow"/>
          <w:sz w:val="18"/>
        </w:rPr>
        <w:t xml:space="preserve"> “Todos esos movimientos (...), perturban e inquietan al hombre griego, porque le hacen problemático el ser de las cosas, lo sumen en la incertidumbre, de tal modo que no sabe a qué atenerse respecto de ellas. Si las cosas cambian ¿qué son de verdad? Si una cosa pasa de ser blanca a ser verde, es y no es blanca; si algo que era deja de ser, resulta que la misma cosa es y no es. La multiplicidad y la contradicción penetran en el ser mismo de las cosas; el griego se pregunta entonces qué son las cosas de verdad, es decir, siempre, por detrás de sus muchas apariencias. Apela de la multitud de aspectos de las cosas a su raíz permanente e inmutable, superior a esa multitud y capaz de dar razón de ella. Por esto, lo verdaderamente interesante es la pregunta inicial de la filosofía: ¿qué es de verdad todo esto, qué es la naturaleza o principio de donde emerge todo?”  / </w:t>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w:t>
      </w:r>
      <w:r>
        <w:rPr>
          <w:rFonts w:ascii="Arial Narrow" w:hAnsi="Arial Narrow"/>
          <w:i/>
          <w:sz w:val="18"/>
        </w:rPr>
        <w:t xml:space="preserve">. </w:t>
      </w:r>
      <w:r>
        <w:rPr>
          <w:rFonts w:ascii="Arial Narrow" w:hAnsi="Arial Narrow"/>
          <w:sz w:val="18"/>
        </w:rPr>
        <w:t xml:space="preserve">p. 12. </w:t>
      </w:r>
    </w:p>
  </w:footnote>
  <w:footnote w:id="162">
    <w:p w14:paraId="522FAA2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38.</w:t>
      </w:r>
    </w:p>
  </w:footnote>
  <w:footnote w:id="163">
    <w:p w14:paraId="09A0401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42.</w:t>
      </w:r>
    </w:p>
  </w:footnote>
  <w:footnote w:id="164">
    <w:p w14:paraId="63C8621D" w14:textId="77777777" w:rsidR="00444BC9" w:rsidRDefault="00444BC9" w:rsidP="001925CE">
      <w:pPr>
        <w:pStyle w:val="Pie"/>
        <w:ind w:left="425" w:hanging="425"/>
      </w:pPr>
      <w:r>
        <w:rPr>
          <w:rStyle w:val="Refdenotaalpie"/>
          <w:sz w:val="18"/>
          <w:vertAlign w:val="superscript"/>
        </w:rPr>
        <w:footnoteRef/>
      </w:r>
      <w:r>
        <w:t xml:space="preserve">  "Para Heráclito, Dios -o lo divino- es  algo que abarca a todo el mundo. Dios se muestra precisamente en esa naturaleza llena de contradicciones y en constante cambio."  / </w:t>
      </w:r>
      <w:r>
        <w:rPr>
          <w:smallCaps/>
        </w:rPr>
        <w:t>Gaarder</w:t>
      </w:r>
      <w:r>
        <w:t xml:space="preserve">, Jostein. </w:t>
      </w:r>
      <w:r>
        <w:rPr>
          <w:i/>
        </w:rPr>
        <w:t xml:space="preserve">El mundo de Sofía.  </w:t>
      </w:r>
      <w:r>
        <w:t>Madrid,Ediciones Siruela /Grupo Editorial Norma, 1995. p. 42.</w:t>
      </w:r>
    </w:p>
  </w:footnote>
  <w:footnote w:id="165">
    <w:p w14:paraId="1968DA9D" w14:textId="77777777" w:rsidR="00444BC9" w:rsidRDefault="00444BC9" w:rsidP="001925CE">
      <w:pPr>
        <w:pStyle w:val="Pie"/>
        <w:ind w:left="425" w:hanging="425"/>
      </w:pPr>
      <w:r>
        <w:rPr>
          <w:rStyle w:val="Refdenotaalpie"/>
          <w:sz w:val="18"/>
          <w:vertAlign w:val="superscript"/>
        </w:rPr>
        <w:footnoteRef/>
      </w:r>
      <w:r>
        <w:t xml:space="preserve"> “Empédocles pensaba que tenía que haber dos fuerzas que actuasen en la naturaleza. Las llamó “amor” y “odio”. Lo que une las cosas es ‘el amor’, y lo que las separa, es ‘el odios’.” / </w:t>
      </w:r>
      <w:r>
        <w:rPr>
          <w:smallCaps/>
        </w:rPr>
        <w:t>Gaarder</w:t>
      </w:r>
      <w:r>
        <w:t xml:space="preserve">, Jostein. </w:t>
      </w:r>
      <w:r>
        <w:rPr>
          <w:i/>
        </w:rPr>
        <w:t xml:space="preserve">El mundo de Sofía.  </w:t>
      </w:r>
      <w:r>
        <w:t xml:space="preserve">Madrid,Ediciones Siruela /Grupo Editorial Norma, 1995. p. 46. </w:t>
      </w:r>
    </w:p>
  </w:footnote>
  <w:footnote w:id="166">
    <w:p w14:paraId="669777F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47.</w:t>
      </w:r>
    </w:p>
  </w:footnote>
  <w:footnote w:id="167">
    <w:p w14:paraId="5BE27B7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Según la teoría atómica de la materia de Demócrito todas las cosas están compuestas de partículas diminutas, invisibles e indestructibles de materia pura.</w:t>
      </w:r>
    </w:p>
  </w:footnote>
  <w:footnote w:id="168">
    <w:p w14:paraId="1AA7C00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35.</w:t>
      </w:r>
    </w:p>
  </w:footnote>
  <w:footnote w:id="169">
    <w:p w14:paraId="307DA12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55.  </w:t>
      </w:r>
    </w:p>
  </w:footnote>
  <w:footnote w:id="170">
    <w:p w14:paraId="5E9D521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Sócrates  fue un hombre bajito, regordete, con ojos saltones, nariz respingona y feísimo -que desmiente el prototipo del bello, hermoso hombre griego- según nos lo describen algunos textos.</w:t>
      </w:r>
    </w:p>
  </w:footnote>
  <w:footnote w:id="171">
    <w:p w14:paraId="54639AF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Para no estar en su casa -su mujer Xantipa era pesadísima, molestosa, y fastidiosa-.</w:t>
      </w:r>
    </w:p>
  </w:footnote>
  <w:footnote w:id="172">
    <w:p w14:paraId="0C3CE8A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Por su origen. Sócrates pertenecía a los más bajo del pueblo: Sócrates era chusma. Se sabe, e incluso hoy se puede comprobar, lo feo que era. Pero la fealdad, que en sí constituye una objeción, era entre los griegos casi una refutación. ¿Fue Sócrates realmente un griego? Con bastante frecuencia, la fealdad se debe a un cruce que entorpece la evolución. En otros casos, es el signo de una evolución descendente. Los antropológos que se dedican a la criminología nos dicen que el criminal típico es feo: monstruo de aspecto, monstruo de alma. Ahora bien, el criminal es un decadente. ¿Era Sócrates un criminal típico? Esto, al menos, no iría en contra de aquel conocido juicio de un fisonomista, que tanto extrañó a los amigos de Sócrates. Un extranjero experto en rostros que pasó por Atenas, le dijo a Sócrates directamente que era un monstruo en cuyo interior se escondían todos los vicios y todas las  inclinaciones. Y Sócrates se limitó a comentar: “¡Qué bien me conoce este señor!”. </w:t>
      </w:r>
    </w:p>
  </w:footnote>
  <w:footnote w:id="173">
    <w:p w14:paraId="17B6DA6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Acusación factible, entendible, porque él realmente incitaba a pensar y discutir los principios éticos, morales existentes implantados.</w:t>
      </w:r>
    </w:p>
  </w:footnote>
  <w:footnote w:id="174">
    <w:p w14:paraId="5CE4E1E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Introducción al Derecho</w:t>
      </w:r>
      <w:r>
        <w:rPr>
          <w:rFonts w:ascii="Arial Narrow" w:hAnsi="Arial Narrow"/>
          <w:sz w:val="18"/>
        </w:rPr>
        <w:t>. Lima, Edinar, 4ta. Edición: 1990. p. 180.</w:t>
      </w:r>
    </w:p>
  </w:footnote>
  <w:footnote w:id="175">
    <w:p w14:paraId="53BA4D6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180 </w:t>
      </w:r>
    </w:p>
  </w:footnote>
  <w:footnote w:id="176">
    <w:p w14:paraId="2D37578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31.</w:t>
      </w:r>
    </w:p>
  </w:footnote>
  <w:footnote w:id="177">
    <w:p w14:paraId="3F24E4D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Este título lo hemos extraído de la clasificación que hace C.J. Friedrich, en su libro </w:t>
      </w:r>
      <w:r>
        <w:rPr>
          <w:rFonts w:ascii="Arial Narrow" w:hAnsi="Arial Narrow"/>
          <w:i/>
          <w:sz w:val="18"/>
        </w:rPr>
        <w:t>La filosofía del Derecho,</w:t>
      </w:r>
      <w:r>
        <w:rPr>
          <w:rFonts w:ascii="Arial Narrow" w:hAnsi="Arial Narrow"/>
          <w:sz w:val="18"/>
        </w:rPr>
        <w:t xml:space="preserve"> porque nos ha parecido el más claro, descriptivo y sintético título, que cumple una función determinada y operativa: encuadrar al pensamiento, (el de los filósofos) dentro de un rubro que -en materia del Derecho- los demarque, generalmente y específicamente. / </w:t>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27.</w:t>
      </w:r>
    </w:p>
  </w:footnote>
  <w:footnote w:id="178">
    <w:p w14:paraId="056B614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p.76.</w:t>
      </w:r>
    </w:p>
  </w:footnote>
  <w:footnote w:id="179">
    <w:p w14:paraId="037E8BA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O plagea</w:t>
      </w:r>
    </w:p>
  </w:footnote>
  <w:footnote w:id="180">
    <w:p w14:paraId="28BF358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Ediciones Gráficas, pp. 24.</w:t>
      </w:r>
    </w:p>
  </w:footnote>
  <w:footnote w:id="181">
    <w:p w14:paraId="4A74F23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28.</w:t>
      </w:r>
    </w:p>
  </w:footnote>
  <w:footnote w:id="182">
    <w:p w14:paraId="037D7CC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28. </w:t>
      </w:r>
    </w:p>
  </w:footnote>
  <w:footnote w:id="183">
    <w:p w14:paraId="0028B2B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34. </w:t>
      </w:r>
    </w:p>
  </w:footnote>
  <w:footnote w:id="184">
    <w:p w14:paraId="345DCB56" w14:textId="77777777" w:rsidR="00444BC9" w:rsidRDefault="00444BC9" w:rsidP="001925CE">
      <w:pPr>
        <w:pStyle w:val="Pie"/>
        <w:spacing w:after="6"/>
        <w:ind w:left="425" w:hanging="425"/>
      </w:pPr>
      <w:r>
        <w:rPr>
          <w:rStyle w:val="Refdenotaalpie"/>
          <w:sz w:val="18"/>
          <w:vertAlign w:val="superscript"/>
        </w:rPr>
        <w:footnoteRef/>
      </w:r>
      <w:r>
        <w:rPr>
          <w:smallCaps/>
          <w:lang w:val="es-ES_tradnl"/>
        </w:rPr>
        <w:t>Villoro Toranzo</w:t>
      </w:r>
      <w:r>
        <w:t xml:space="preserve">, Miguel. </w:t>
      </w:r>
      <w:r>
        <w:rPr>
          <w:i/>
        </w:rPr>
        <w:t>Lecciones de Filosofía del Derecho,</w:t>
      </w:r>
      <w:r>
        <w:t xml:space="preserve"> Editorial Porrua, S.A.  p. 29.</w:t>
      </w:r>
    </w:p>
  </w:footnote>
  <w:footnote w:id="185">
    <w:p w14:paraId="0D4E717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w:t>
      </w:r>
      <w:r>
        <w:rPr>
          <w:rFonts w:ascii="Arial Narrow" w:hAnsi="Arial Narrow"/>
          <w:i/>
          <w:sz w:val="18"/>
        </w:rPr>
        <w:t xml:space="preserve">Para Sócrates y Platón el problema del bien constituía la médula de la contemplación filosófica. (...), la filosofía platónica del derecho está estrechamente vinculada con la ética...” / </w:t>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31.</w:t>
      </w:r>
    </w:p>
  </w:footnote>
  <w:footnote w:id="186">
    <w:p w14:paraId="1562E40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34,35. </w:t>
      </w:r>
    </w:p>
  </w:footnote>
  <w:footnote w:id="187">
    <w:p w14:paraId="0DD3A51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35.  El subrayado es nuestro.</w:t>
      </w:r>
    </w:p>
  </w:footnote>
  <w:footnote w:id="188">
    <w:p w14:paraId="0B6FFE3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Platón está convencido de que </w:t>
      </w:r>
      <w:r>
        <w:rPr>
          <w:rFonts w:ascii="Arial Narrow" w:hAnsi="Arial Narrow"/>
          <w:i/>
          <w:sz w:val="18"/>
        </w:rPr>
        <w:t>“El derecho y las leyes son objeto de libre especulación filosófica, y sólo puede derivarse de la razón y de la idea del bien.</w:t>
      </w:r>
      <w:r>
        <w:rPr>
          <w:rFonts w:ascii="Arial Narrow" w:hAnsi="Arial Narrow"/>
          <w:sz w:val="18"/>
        </w:rPr>
        <w:t xml:space="preserve">”. / </w:t>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36. </w:t>
      </w:r>
    </w:p>
  </w:footnote>
  <w:footnote w:id="189">
    <w:p w14:paraId="6278BF6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Miguel Villoro Toranzo, "Introducción al Estudio del Derecho", pág. 30.</w:t>
      </w:r>
    </w:p>
  </w:footnote>
  <w:footnote w:id="190">
    <w:p w14:paraId="4D52AA9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35.</w:t>
      </w:r>
    </w:p>
  </w:footnote>
  <w:footnote w:id="191">
    <w:p w14:paraId="7766CE6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36.</w:t>
      </w:r>
    </w:p>
  </w:footnote>
  <w:footnote w:id="192">
    <w:p w14:paraId="3E0908B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El “bien común” es refutado más tarde por Nietzsche que explica que si el bien es común ya no es bien.</w:t>
      </w:r>
    </w:p>
  </w:footnote>
  <w:footnote w:id="193">
    <w:p w14:paraId="7B9FBFB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31.</w:t>
      </w:r>
    </w:p>
  </w:footnote>
  <w:footnote w:id="194">
    <w:p w14:paraId="3A8B105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En Platón, la idea es una realidad trascendental objetiva. </w:t>
      </w:r>
      <w:r>
        <w:rPr>
          <w:rFonts w:ascii="Arial Narrow" w:hAnsi="Arial Narrow"/>
          <w:i/>
          <w:sz w:val="18"/>
        </w:rPr>
        <w:t xml:space="preserve">“Para Platón, tales ideas no son algo creado por la mente subjetiva del hombre, sino más bien una realidad trascendental objetiva que está fuera del hombre” Escribe Friedrich, parafraseando a J.E. Stevart. / </w:t>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30.</w:t>
      </w:r>
    </w:p>
  </w:footnote>
  <w:footnote w:id="195">
    <w:p w14:paraId="03FEEECB" w14:textId="77777777" w:rsidR="00444BC9" w:rsidRDefault="00444BC9" w:rsidP="001925CE">
      <w:pPr>
        <w:pStyle w:val="Pie"/>
        <w:ind w:left="425" w:hanging="425"/>
      </w:pPr>
      <w:r>
        <w:rPr>
          <w:rStyle w:val="Refdenotaalpie"/>
          <w:sz w:val="18"/>
          <w:vertAlign w:val="superscript"/>
        </w:rPr>
        <w:footnoteRef/>
      </w:r>
      <w:r>
        <w:t xml:space="preserve"> “Platón (...) Resiste a todo esquematismo. Sólo un aspecto de él es la famosa teoría de las ideas que, en cuanto concepción metafísica, postula la realidad de entidades ideales trascendentes, a las cuales, siendo el ser por eminencia, están supeditadas, como imitaciones o reflejos de ellas, las cosas de la naturaleza que observamos. En esta doctrina está la fuente de una poderosa tradición del pensamiento occidental, el idealismo objetivo, y de una manera de entender y practicar la reflexión filosófica, vigente hasta nuestros días.” </w:t>
      </w:r>
      <w:r>
        <w:rPr>
          <w:smallCaps/>
          <w:lang w:val="es-ES_tradnl"/>
        </w:rPr>
        <w:t>Salazar Bondy</w:t>
      </w:r>
      <w:r>
        <w:t xml:space="preserve">, Augusto. </w:t>
      </w:r>
      <w:r>
        <w:rPr>
          <w:i/>
        </w:rPr>
        <w:t>Iniciación filosófica,</w:t>
      </w:r>
      <w:r>
        <w:t xml:space="preserve"> Lima, Editorial Universo S.A., Tercera edición, 1967. p. 47.</w:t>
      </w:r>
    </w:p>
  </w:footnote>
  <w:footnote w:id="196">
    <w:p w14:paraId="661B87A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32. </w:t>
      </w:r>
    </w:p>
  </w:footnote>
  <w:footnote w:id="197">
    <w:p w14:paraId="493034C9" w14:textId="77777777" w:rsidR="00444BC9" w:rsidRDefault="00444BC9" w:rsidP="001925CE">
      <w:pPr>
        <w:pStyle w:val="Pie"/>
        <w:ind w:left="425" w:hanging="425"/>
      </w:pPr>
      <w:r>
        <w:rPr>
          <w:rStyle w:val="Refdenotaalpie"/>
          <w:sz w:val="18"/>
          <w:vertAlign w:val="superscript"/>
        </w:rPr>
        <w:footnoteRef/>
      </w:r>
      <w:r>
        <w:t xml:space="preserve">  "La República de Platón es esencialmente totalitaria. Todo debe ser programado. Todo debe ser ordenado. Dentro de ese todo uno será feliz. Y la felicidad depende de la educación del todo: de la total educación correspondiente a todos y cada uno de los ciudadanos. Nada puede ser dejado al azar individual". / </w:t>
      </w:r>
      <w:r>
        <w:rPr>
          <w:smallCaps/>
        </w:rPr>
        <w:t xml:space="preserve">Barylko, </w:t>
      </w:r>
      <w:r>
        <w:t xml:space="preserve">Jaime. </w:t>
      </w:r>
      <w:r>
        <w:rPr>
          <w:i/>
        </w:rPr>
        <w:t>La Filosofía, Una invitación a pensar.</w:t>
      </w:r>
      <w:r>
        <w:t xml:space="preserve"> Argentina. Planeta. 4ta. Edición, 1997. p. 38.</w:t>
      </w:r>
    </w:p>
  </w:footnote>
  <w:footnote w:id="198">
    <w:p w14:paraId="5965ED6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39.</w:t>
      </w:r>
    </w:p>
  </w:footnote>
  <w:footnote w:id="199">
    <w:p w14:paraId="3651F90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110.</w:t>
      </w:r>
    </w:p>
  </w:footnote>
  <w:footnote w:id="200">
    <w:p w14:paraId="01CACB7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Miguel Villoro Toranzo, "Introducción al estudio del Derecho", pág. 29.</w:t>
      </w:r>
    </w:p>
  </w:footnote>
  <w:footnote w:id="201">
    <w:p w14:paraId="5BEBA8B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29.</w:t>
      </w:r>
    </w:p>
  </w:footnote>
  <w:footnote w:id="202">
    <w:p w14:paraId="7AB40EDB"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29.</w:t>
      </w:r>
    </w:p>
  </w:footnote>
  <w:footnote w:id="203">
    <w:p w14:paraId="68AAD60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en-US"/>
        </w:rPr>
        <w:t>Friedrich</w:t>
      </w:r>
      <w:r>
        <w:rPr>
          <w:rFonts w:ascii="Arial Narrow" w:hAnsi="Arial Narrow"/>
          <w:sz w:val="18"/>
          <w:lang w:val="en-US"/>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27. </w:t>
      </w:r>
    </w:p>
  </w:footnote>
  <w:footnote w:id="204">
    <w:p w14:paraId="7CE0B44F" w14:textId="77777777" w:rsidR="00444BC9" w:rsidRPr="00A31E8D" w:rsidRDefault="00444BC9" w:rsidP="001925CE">
      <w:pPr>
        <w:spacing w:after="6"/>
        <w:ind w:left="425" w:hanging="425"/>
        <w:jc w:val="both"/>
        <w:rPr>
          <w:lang w:val="en-US"/>
        </w:rPr>
      </w:pPr>
      <w:r>
        <w:rPr>
          <w:rStyle w:val="Refdenotaalpie"/>
          <w:rFonts w:ascii="Arial Narrow" w:hAnsi="Arial Narrow"/>
          <w:sz w:val="18"/>
          <w:vertAlign w:val="superscript"/>
        </w:rPr>
        <w:footnoteRef/>
      </w:r>
      <w:r w:rsidRPr="00A31E8D">
        <w:rPr>
          <w:rFonts w:ascii="Arial Narrow" w:hAnsi="Arial Narrow"/>
          <w:sz w:val="18"/>
          <w:lang w:val="en-US"/>
        </w:rPr>
        <w:t xml:space="preserve"> Ibid. p. 28. </w:t>
      </w:r>
    </w:p>
  </w:footnote>
  <w:footnote w:id="205">
    <w:p w14:paraId="537233A2" w14:textId="77777777" w:rsidR="00444BC9" w:rsidRPr="00A31E8D" w:rsidRDefault="00444BC9" w:rsidP="001925CE">
      <w:pPr>
        <w:spacing w:after="6"/>
        <w:ind w:left="425" w:hanging="425"/>
        <w:jc w:val="both"/>
        <w:rPr>
          <w:lang w:val="en-US"/>
        </w:rPr>
      </w:pPr>
      <w:r>
        <w:rPr>
          <w:rStyle w:val="Refdenotaalpie"/>
          <w:rFonts w:ascii="Arial Narrow" w:hAnsi="Arial Narrow"/>
          <w:sz w:val="18"/>
          <w:vertAlign w:val="superscript"/>
        </w:rPr>
        <w:footnoteRef/>
      </w:r>
      <w:r w:rsidRPr="00A31E8D">
        <w:rPr>
          <w:rFonts w:ascii="Arial Narrow" w:hAnsi="Arial Narrow"/>
          <w:sz w:val="18"/>
          <w:lang w:val="en-US"/>
        </w:rPr>
        <w:t xml:space="preserve"> Ibid. p. 29. </w:t>
      </w:r>
    </w:p>
  </w:footnote>
  <w:footnote w:id="206">
    <w:p w14:paraId="5F33AE48" w14:textId="77777777" w:rsidR="00444BC9" w:rsidRPr="00A31E8D" w:rsidRDefault="00444BC9" w:rsidP="001925CE">
      <w:pPr>
        <w:spacing w:after="6"/>
        <w:ind w:left="425" w:hanging="425"/>
        <w:jc w:val="both"/>
        <w:rPr>
          <w:lang w:val="en-US"/>
        </w:rPr>
      </w:pPr>
      <w:r>
        <w:rPr>
          <w:rStyle w:val="Refdenotaalpie"/>
          <w:rFonts w:ascii="Arial Narrow" w:hAnsi="Arial Narrow"/>
          <w:sz w:val="18"/>
          <w:vertAlign w:val="superscript"/>
        </w:rPr>
        <w:footnoteRef/>
      </w:r>
      <w:r w:rsidRPr="00A31E8D">
        <w:rPr>
          <w:rFonts w:ascii="Arial Narrow" w:hAnsi="Arial Narrow"/>
          <w:sz w:val="18"/>
          <w:lang w:val="en-US"/>
        </w:rPr>
        <w:t xml:space="preserve"> Ibid. p. 34. </w:t>
      </w:r>
    </w:p>
  </w:footnote>
  <w:footnote w:id="207">
    <w:p w14:paraId="5CB1F79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Ediciones Edigraf S.A., pp. 25.</w:t>
      </w:r>
    </w:p>
  </w:footnote>
  <w:footnote w:id="208">
    <w:p w14:paraId="32744A3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136.</w:t>
      </w:r>
    </w:p>
  </w:footnote>
  <w:footnote w:id="209">
    <w:p w14:paraId="32505BE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65.</w:t>
      </w:r>
    </w:p>
  </w:footnote>
  <w:footnote w:id="210">
    <w:p w14:paraId="4FE275AC" w14:textId="77777777" w:rsidR="00444BC9" w:rsidRDefault="00444BC9" w:rsidP="001925CE">
      <w:pPr>
        <w:ind w:left="425" w:hanging="425"/>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Pero la creación de buenos hábitos decaía gracias a una concepción errada, o inexacta de la genialidad, asociada necesariamente a la espontaneidad. Por esta concepción ser sabio, genio significaba ser espontáneo, sin normas, rompimiento de normas, sin hábitos. "En este siglo XX cambalache se ha caído en la vida social como en la pedagogía, en la errónea idea de que lo importante y valioso es la espontaneidad, y que cada cual debe expresar su interior según lo desee. Pero (...) la vida humana no es libre expresión; es ante todo educación. Y educación es formación de hábitos y virtudes" "Sin hábitos no hay educación. Y sin educación la libertad no es libertad". </w:t>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66.</w:t>
      </w:r>
    </w:p>
    <w:p w14:paraId="3DC92FA3" w14:textId="77777777" w:rsidR="00444BC9" w:rsidRDefault="00444BC9" w:rsidP="001925CE">
      <w:pPr>
        <w:spacing w:after="6"/>
        <w:ind w:left="425" w:hanging="425"/>
        <w:jc w:val="both"/>
      </w:pPr>
      <w:r>
        <w:rPr>
          <w:rFonts w:ascii="Arial Narrow" w:hAnsi="Arial Narrow"/>
          <w:sz w:val="18"/>
        </w:rPr>
        <w:t>La clave para la formación del hombre y de la sociedad sería formar buenos hábitos que provoquen la renovación constante, la crítica y análisis permanente.</w:t>
      </w:r>
    </w:p>
  </w:footnote>
  <w:footnote w:id="211">
    <w:p w14:paraId="6A35461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141.</w:t>
      </w:r>
    </w:p>
  </w:footnote>
  <w:footnote w:id="212">
    <w:p w14:paraId="18CFFF2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Miguel Villoro Toranzo, "Introducción al estudio del Derecho", pág.33.</w:t>
      </w:r>
    </w:p>
  </w:footnote>
  <w:footnote w:id="213">
    <w:p w14:paraId="7E7C90F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34. </w:t>
      </w:r>
    </w:p>
  </w:footnote>
  <w:footnote w:id="214">
    <w:p w14:paraId="0BD197F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“La doctrina del fin último significa, en realidad, que toda cosa existente trata de lograr la perfección que le es propia, que en todo objeto hay viva una propensión a alcanzar su propia y perfecta configuación.” / </w:t>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37.</w:t>
      </w:r>
    </w:p>
  </w:footnote>
  <w:footnote w:id="215">
    <w:p w14:paraId="02BEAE2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37, 38. </w:t>
      </w:r>
    </w:p>
  </w:footnote>
  <w:footnote w:id="216">
    <w:p w14:paraId="682AD697" w14:textId="77777777" w:rsidR="00444BC9" w:rsidRPr="00EA156D" w:rsidRDefault="00444BC9" w:rsidP="001925CE">
      <w:pPr>
        <w:spacing w:after="6"/>
        <w:ind w:left="425" w:hanging="425"/>
        <w:jc w:val="both"/>
        <w:rPr>
          <w:lang w:val="fr-FR"/>
        </w:rPr>
      </w:pPr>
      <w:r>
        <w:rPr>
          <w:rStyle w:val="Refdenotaalpie"/>
          <w:rFonts w:ascii="Arial Narrow" w:hAnsi="Arial Narrow"/>
          <w:sz w:val="18"/>
          <w:vertAlign w:val="superscript"/>
        </w:rPr>
        <w:footnoteRef/>
      </w:r>
      <w:r>
        <w:rPr>
          <w:rFonts w:ascii="Arial Narrow" w:hAnsi="Arial Narrow"/>
          <w:sz w:val="18"/>
          <w:lang w:val="fr-FR"/>
        </w:rPr>
        <w:t xml:space="preserve"> Ibid. p. 38,39.</w:t>
      </w:r>
    </w:p>
  </w:footnote>
  <w:footnote w:id="217">
    <w:p w14:paraId="4E775E4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fr-FR"/>
        </w:rPr>
        <w:t>Du Pasquier</w:t>
      </w:r>
      <w:r>
        <w:rPr>
          <w:rFonts w:ascii="Arial Narrow" w:hAnsi="Arial Narrow"/>
          <w:sz w:val="18"/>
          <w:lang w:val="fr-FR"/>
        </w:rPr>
        <w:t xml:space="preserve">, Claude. </w:t>
      </w:r>
      <w:r>
        <w:rPr>
          <w:rFonts w:ascii="Arial Narrow" w:hAnsi="Arial Narrow"/>
          <w:i/>
          <w:sz w:val="18"/>
        </w:rPr>
        <w:t>Introducción al Derecho</w:t>
      </w:r>
      <w:r>
        <w:rPr>
          <w:rFonts w:ascii="Arial Narrow" w:hAnsi="Arial Narrow"/>
          <w:sz w:val="18"/>
        </w:rPr>
        <w:t>. Lima, Edinar, 4ta. Edición: 1990. p. 181.</w:t>
      </w:r>
    </w:p>
  </w:footnote>
  <w:footnote w:id="218">
    <w:p w14:paraId="5469EC6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181. </w:t>
      </w:r>
    </w:p>
  </w:footnote>
  <w:footnote w:id="219">
    <w:p w14:paraId="7E9F980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38.</w:t>
      </w:r>
    </w:p>
  </w:footnote>
  <w:footnote w:id="220">
    <w:p w14:paraId="4B98A94C" w14:textId="77777777" w:rsidR="00444BC9" w:rsidRPr="00EA156D" w:rsidRDefault="00444BC9" w:rsidP="001925CE">
      <w:pPr>
        <w:spacing w:after="6"/>
        <w:ind w:left="425" w:hanging="425"/>
        <w:jc w:val="both"/>
        <w:rPr>
          <w:lang w:val="fr-FR"/>
        </w:rPr>
      </w:pPr>
      <w:r>
        <w:rPr>
          <w:rStyle w:val="Refdenotaalpie"/>
          <w:rFonts w:ascii="Arial Narrow" w:hAnsi="Arial Narrow"/>
          <w:sz w:val="18"/>
          <w:vertAlign w:val="superscript"/>
        </w:rPr>
        <w:footnoteRef/>
      </w:r>
      <w:r>
        <w:rPr>
          <w:rFonts w:ascii="Arial Narrow" w:hAnsi="Arial Narrow"/>
          <w:sz w:val="18"/>
          <w:lang w:val="fr-FR"/>
        </w:rPr>
        <w:t xml:space="preserve"> Ibid. p. 39,40. </w:t>
      </w:r>
    </w:p>
  </w:footnote>
  <w:footnote w:id="221">
    <w:p w14:paraId="3AA3B79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fr-FR"/>
        </w:rPr>
        <w:t>Du Pasquier</w:t>
      </w:r>
      <w:r>
        <w:rPr>
          <w:rFonts w:ascii="Arial Narrow" w:hAnsi="Arial Narrow"/>
          <w:sz w:val="18"/>
          <w:lang w:val="fr-FR"/>
        </w:rPr>
        <w:t xml:space="preserve">, Claude. </w:t>
      </w:r>
      <w:r>
        <w:rPr>
          <w:rFonts w:ascii="Arial Narrow" w:hAnsi="Arial Narrow"/>
          <w:i/>
          <w:sz w:val="18"/>
        </w:rPr>
        <w:t>Introducción al Derecho</w:t>
      </w:r>
      <w:r>
        <w:rPr>
          <w:rFonts w:ascii="Arial Narrow" w:hAnsi="Arial Narrow"/>
          <w:sz w:val="18"/>
        </w:rPr>
        <w:t>. Lima, Edinar, 4ta. Edición: 1990. p. 181.</w:t>
      </w:r>
    </w:p>
  </w:footnote>
  <w:footnote w:id="222">
    <w:p w14:paraId="35C682F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311.</w:t>
      </w:r>
    </w:p>
  </w:footnote>
  <w:footnote w:id="223">
    <w:p w14:paraId="1B9BA55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Como prueba de esta fe, sentido religioso cuentan, que venció a la tentación de la belleza femenina. Un día enviaron a una bella mujer a su celda, él cogió un leñó y corrió hacia ella: la mujer suponiendo lo que esto significaba huyó.</w:t>
      </w:r>
    </w:p>
  </w:footnote>
  <w:footnote w:id="224">
    <w:p w14:paraId="3D22990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Du Pasquier, Claude. </w:t>
      </w:r>
      <w:r>
        <w:rPr>
          <w:rFonts w:ascii="Arial Narrow" w:hAnsi="Arial Narrow"/>
          <w:i/>
          <w:sz w:val="18"/>
        </w:rPr>
        <w:t>Introducción al Derecho</w:t>
      </w:r>
      <w:r>
        <w:rPr>
          <w:rFonts w:ascii="Arial Narrow" w:hAnsi="Arial Narrow"/>
          <w:sz w:val="18"/>
        </w:rPr>
        <w:t xml:space="preserve">, Lima, Editorial Edinaf, 4ta. Edición, 1990. p. 183. </w:t>
      </w:r>
    </w:p>
  </w:footnote>
  <w:footnote w:id="225">
    <w:p w14:paraId="735571A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La gran obra de Tomás de Aquino es un libro titulado "La Suma Teológica", que viene a ser una especie de análisis del pensamiento anterior al autor, tanto pagano como cristiano. Análisis desde el instrumento de la razón, pero enfocándolo a su fe.</w:t>
      </w:r>
    </w:p>
  </w:footnote>
  <w:footnote w:id="226">
    <w:p w14:paraId="2FF5811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Introducción al Derecho</w:t>
      </w:r>
      <w:r>
        <w:rPr>
          <w:rFonts w:ascii="Arial Narrow" w:hAnsi="Arial Narrow"/>
          <w:sz w:val="18"/>
        </w:rPr>
        <w:t xml:space="preserve">. Lima, Edinar, 4ta. Edición: 1990. p. 184. </w:t>
      </w:r>
    </w:p>
  </w:footnote>
  <w:footnote w:id="227">
    <w:p w14:paraId="7866010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Miguel Villoro Toranzo, "Introducción al Estludio del Derecho", pág.40.</w:t>
      </w:r>
    </w:p>
  </w:footnote>
  <w:footnote w:id="228">
    <w:p w14:paraId="7C427A27" w14:textId="77777777" w:rsidR="00444BC9" w:rsidRPr="00EA156D" w:rsidRDefault="00444BC9" w:rsidP="001925CE">
      <w:pPr>
        <w:spacing w:after="6"/>
        <w:ind w:left="425" w:hanging="425"/>
        <w:jc w:val="both"/>
        <w:rPr>
          <w:lang w:val="fr-FR"/>
        </w:rPr>
      </w:pPr>
      <w:r>
        <w:rPr>
          <w:rStyle w:val="Refdenotaalpie"/>
          <w:rFonts w:ascii="Arial Narrow" w:hAnsi="Arial Narrow"/>
          <w:sz w:val="18"/>
          <w:vertAlign w:val="superscript"/>
        </w:rPr>
        <w:footnoteRef/>
      </w:r>
      <w:r>
        <w:rPr>
          <w:rFonts w:ascii="Arial Narrow" w:hAnsi="Arial Narrow"/>
          <w:sz w:val="18"/>
          <w:lang w:val="fr-FR"/>
        </w:rPr>
        <w:t xml:space="preserve"> Ibid. p. 41.</w:t>
      </w:r>
    </w:p>
  </w:footnote>
  <w:footnote w:id="229">
    <w:p w14:paraId="1D5519E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fr-FR"/>
        </w:rPr>
        <w:t>Du Pasquier</w:t>
      </w:r>
      <w:r>
        <w:rPr>
          <w:rFonts w:ascii="Arial Narrow" w:hAnsi="Arial Narrow"/>
          <w:sz w:val="18"/>
          <w:lang w:val="fr-FR"/>
        </w:rPr>
        <w:t xml:space="preserve">, Claude. </w:t>
      </w:r>
      <w:r>
        <w:rPr>
          <w:rFonts w:ascii="Arial Narrow" w:hAnsi="Arial Narrow"/>
          <w:i/>
          <w:sz w:val="18"/>
        </w:rPr>
        <w:t>Introducción al Derecho</w:t>
      </w:r>
      <w:r>
        <w:rPr>
          <w:rFonts w:ascii="Arial Narrow" w:hAnsi="Arial Narrow"/>
          <w:sz w:val="18"/>
        </w:rPr>
        <w:t xml:space="preserve">. Lima, Edinar, 4ta. Edición: 1990. p. 184.   </w:t>
      </w:r>
    </w:p>
  </w:footnote>
  <w:footnote w:id="230">
    <w:p w14:paraId="64CEECB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Miguel Villoro Toranzo, "Introducción al estudio del Derecho", pág. 40.</w:t>
      </w:r>
    </w:p>
  </w:footnote>
  <w:footnote w:id="231">
    <w:p w14:paraId="715BD46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Massini</w:t>
      </w:r>
      <w:r>
        <w:rPr>
          <w:rFonts w:ascii="Arial Narrow" w:hAnsi="Arial Narrow"/>
          <w:sz w:val="18"/>
        </w:rPr>
        <w:t xml:space="preserve">, Carlos Ignacio. </w:t>
      </w:r>
      <w:r>
        <w:rPr>
          <w:rFonts w:ascii="Arial Narrow" w:hAnsi="Arial Narrow"/>
          <w:i/>
          <w:sz w:val="18"/>
        </w:rPr>
        <w:t>Sobre el Realismo Jurídico.</w:t>
      </w:r>
      <w:r>
        <w:rPr>
          <w:rFonts w:ascii="Arial Narrow" w:hAnsi="Arial Narrow"/>
          <w:sz w:val="18"/>
        </w:rPr>
        <w:t xml:space="preserve"> Argentina, Abeledo-Perrot, 1978. p. 59.</w:t>
      </w:r>
    </w:p>
  </w:footnote>
  <w:footnote w:id="232">
    <w:p w14:paraId="6AEFC4B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61</w:t>
      </w:r>
    </w:p>
  </w:footnote>
  <w:footnote w:id="233">
    <w:p w14:paraId="0B5B5A5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60</w:t>
      </w:r>
    </w:p>
  </w:footnote>
  <w:footnote w:id="234">
    <w:p w14:paraId="4AA62AD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Editorial Edinaf, pp. 30.</w:t>
      </w:r>
    </w:p>
  </w:footnote>
  <w:footnote w:id="235">
    <w:p w14:paraId="63C6C63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Introducción al Derecho</w:t>
      </w:r>
      <w:r>
        <w:rPr>
          <w:rFonts w:ascii="Arial Narrow" w:hAnsi="Arial Narrow"/>
          <w:sz w:val="18"/>
        </w:rPr>
        <w:t>. Lima, Edinar, 4ta. Edición: 1990. p. 183,184.</w:t>
      </w:r>
    </w:p>
  </w:footnote>
  <w:footnote w:id="236">
    <w:p w14:paraId="5BAED75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Roberto M. Unger, en un artículo denominado: El concepto de Derecho en Santo Tomás de Aquino./ Fernando de Trazegnies Granda, Fernando de, </w:t>
      </w:r>
      <w:r>
        <w:rPr>
          <w:rFonts w:ascii="Arial Narrow" w:hAnsi="Arial Narrow"/>
          <w:i/>
          <w:sz w:val="18"/>
        </w:rPr>
        <w:t>Introducción a la Filosofía del Derecho y a la Teoría General del Derecho</w:t>
      </w:r>
      <w:r>
        <w:rPr>
          <w:rFonts w:ascii="Arial Narrow" w:hAnsi="Arial Narrow"/>
          <w:sz w:val="18"/>
        </w:rPr>
        <w:t>, Editado por la Pontificia Universidad Católica del Perú, pp. 87.</w:t>
      </w:r>
    </w:p>
  </w:footnote>
  <w:footnote w:id="237">
    <w:p w14:paraId="5D88EB2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Roberto M. Unger, en un artículo denominado: El concepto de Derecho en Santo Tomás de Aquino./ Fernando de Trazegnies Granda, Fernando de, </w:t>
      </w:r>
      <w:r>
        <w:rPr>
          <w:rFonts w:ascii="Arial Narrow" w:hAnsi="Arial Narrow"/>
          <w:i/>
          <w:sz w:val="18"/>
        </w:rPr>
        <w:t>Introducción a la Filosofía del Derecho y a la Teoría General del Derecho</w:t>
      </w:r>
      <w:r>
        <w:rPr>
          <w:rFonts w:ascii="Arial Narrow" w:hAnsi="Arial Narrow"/>
          <w:sz w:val="18"/>
        </w:rPr>
        <w:t>, Editado por la Pontificia Universidad Católica del Perú, pp. 87.</w:t>
      </w:r>
    </w:p>
  </w:footnote>
  <w:footnote w:id="238">
    <w:p w14:paraId="68B1B48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Massini</w:t>
      </w:r>
      <w:r>
        <w:rPr>
          <w:rFonts w:ascii="Arial Narrow" w:hAnsi="Arial Narrow"/>
          <w:sz w:val="18"/>
        </w:rPr>
        <w:t xml:space="preserve">, Carlos Ignacio. </w:t>
      </w:r>
      <w:r>
        <w:rPr>
          <w:rFonts w:ascii="Arial Narrow" w:hAnsi="Arial Narrow"/>
          <w:i/>
          <w:sz w:val="18"/>
        </w:rPr>
        <w:t>Sobre el Realismo Jurídico.</w:t>
      </w:r>
      <w:r>
        <w:rPr>
          <w:rFonts w:ascii="Arial Narrow" w:hAnsi="Arial Narrow"/>
          <w:sz w:val="18"/>
        </w:rPr>
        <w:t xml:space="preserve"> Argentina, Abeledo-Perrot, 1978. p. 61</w:t>
      </w:r>
    </w:p>
  </w:footnote>
  <w:footnote w:id="239">
    <w:p w14:paraId="04682AF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Descartes</w:t>
      </w:r>
      <w:r>
        <w:rPr>
          <w:rFonts w:ascii="Arial Narrow" w:hAnsi="Arial Narrow"/>
          <w:sz w:val="18"/>
        </w:rPr>
        <w:t xml:space="preserve">, Renato, </w:t>
      </w:r>
      <w:r>
        <w:rPr>
          <w:rFonts w:ascii="Arial Narrow" w:hAnsi="Arial Narrow"/>
          <w:i/>
          <w:sz w:val="18"/>
        </w:rPr>
        <w:t>Discurso del Método,</w:t>
      </w:r>
      <w:r>
        <w:rPr>
          <w:rFonts w:ascii="Arial Narrow" w:hAnsi="Arial Narrow"/>
          <w:sz w:val="18"/>
        </w:rPr>
        <w:t xml:space="preserve"> Ediciones Edimundo, pp. 5.</w:t>
      </w:r>
    </w:p>
  </w:footnote>
  <w:footnote w:id="240">
    <w:p w14:paraId="2B45F45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18. </w:t>
      </w:r>
    </w:p>
  </w:footnote>
  <w:footnote w:id="241">
    <w:p w14:paraId="35BC866D" w14:textId="77777777" w:rsidR="00444BC9" w:rsidRDefault="00444BC9" w:rsidP="001925CE">
      <w:pPr>
        <w:pStyle w:val="Pie"/>
        <w:ind w:left="425" w:hanging="425"/>
      </w:pPr>
      <w:r>
        <w:rPr>
          <w:rStyle w:val="Refdenotaalpie"/>
          <w:sz w:val="18"/>
          <w:vertAlign w:val="superscript"/>
        </w:rPr>
        <w:footnoteRef/>
      </w:r>
      <w:r>
        <w:rPr>
          <w:smallCaps/>
          <w:lang w:val="es-ES_tradnl"/>
        </w:rPr>
        <w:t>Toffler</w:t>
      </w:r>
      <w:r>
        <w:t xml:space="preserve">, Alvin. </w:t>
      </w:r>
      <w:r>
        <w:rPr>
          <w:i/>
        </w:rPr>
        <w:t>La Tercera Ola</w:t>
      </w:r>
      <w:r>
        <w:t>. España, Plaza &amp; Janes, 4ta. Edición, 1981. p. 20</w:t>
      </w:r>
    </w:p>
  </w:footnote>
  <w:footnote w:id="242">
    <w:p w14:paraId="1C7DD9F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284.</w:t>
      </w:r>
    </w:p>
  </w:footnote>
  <w:footnote w:id="243">
    <w:p w14:paraId="2320A94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287.</w:t>
      </w:r>
    </w:p>
  </w:footnote>
  <w:footnote w:id="244">
    <w:p w14:paraId="370C12D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Diccionario de la Literatura Universa, Editorial Muchnik,  pp. 515.</w:t>
      </w:r>
    </w:p>
  </w:footnote>
  <w:footnote w:id="245">
    <w:p w14:paraId="653BA57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515. </w:t>
      </w:r>
    </w:p>
  </w:footnote>
  <w:footnote w:id="246">
    <w:p w14:paraId="3C477429" w14:textId="77777777" w:rsidR="00444BC9" w:rsidRDefault="00444BC9" w:rsidP="001925CE">
      <w:pPr>
        <w:pStyle w:val="Pie"/>
        <w:ind w:left="425" w:hanging="425"/>
      </w:pPr>
      <w:r>
        <w:rPr>
          <w:rStyle w:val="Refdenotaalpie"/>
          <w:sz w:val="18"/>
          <w:vertAlign w:val="superscript"/>
        </w:rPr>
        <w:footnoteRef/>
      </w:r>
      <w:r>
        <w:t xml:space="preserve">  “... En cuanto me liberté de la tutela intelectual de mis preceptores, abandone el estudio de los libros, y, decidido a no buscar más ciencia que la que en mí mismo o en el gran libro del mundo pudiera encontrar, empleé el resto de mi juventud en viajar, en ver cortes y ejércitos, en frecuentar el trato de personas de muy diverso carácter y condición, en recoger datos y observaciones de todo lo que veía y en reflexionar sobre todas las cosas...”  / Escribe Miguel Villoro Toranzo, citando a Descartes. Villoro Toranzo, Miguel, </w:t>
      </w:r>
      <w:r>
        <w:rPr>
          <w:i/>
        </w:rPr>
        <w:t>Lecciones de Filosofía del Derecho,</w:t>
      </w:r>
      <w:r>
        <w:t xml:space="preserve"> Editorial Porrua, S.A., pp. 225, 226.</w:t>
      </w:r>
    </w:p>
  </w:footnote>
  <w:footnote w:id="247">
    <w:p w14:paraId="1C40300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Este apreciación es, si nos adelantamos en el tiempo, y haciendo cierto tipo de especulación, el fundamento teórico que usa Karl Popper para formular su teoría falsaria, que expresa exactamente lo planteado por Descartes.</w:t>
      </w:r>
    </w:p>
  </w:footnote>
  <w:footnote w:id="248">
    <w:p w14:paraId="657E211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Villoro Toranzo, Miguel, </w:t>
      </w:r>
      <w:r>
        <w:rPr>
          <w:rFonts w:ascii="Arial Narrow" w:hAnsi="Arial Narrow"/>
          <w:i/>
          <w:sz w:val="18"/>
        </w:rPr>
        <w:t>Lecciones de Filosofía del Derecho,</w:t>
      </w:r>
      <w:r>
        <w:rPr>
          <w:rFonts w:ascii="Arial Narrow" w:hAnsi="Arial Narrow"/>
          <w:sz w:val="18"/>
        </w:rPr>
        <w:t xml:space="preserve"> Editorial Porrua, S.A., pp. 258. </w:t>
      </w:r>
    </w:p>
  </w:footnote>
  <w:footnote w:id="249">
    <w:p w14:paraId="32C7D522" w14:textId="77777777" w:rsidR="00444BC9" w:rsidRDefault="00444BC9" w:rsidP="001925CE">
      <w:pPr>
        <w:pStyle w:val="Pie"/>
        <w:ind w:left="425" w:hanging="425"/>
      </w:pPr>
      <w:r>
        <w:rPr>
          <w:rStyle w:val="Refdenotaalpie"/>
          <w:sz w:val="18"/>
          <w:vertAlign w:val="superscript"/>
        </w:rPr>
        <w:footnoteRef/>
      </w:r>
      <w:r>
        <w:t xml:space="preserve">  “Descartes se exhibe así como lo que realmente era: un hombre de cultura independiente, más preocupado en desarrollar su propio y original pensamiento y en encontrar respuestas a sus personales inquietudes que de conservar y enriquecer la sabiduría legada por las generaciones pasadas.” /  Villoro Toranzo, Miguel, </w:t>
      </w:r>
      <w:r>
        <w:rPr>
          <w:i/>
        </w:rPr>
        <w:t>Lecciones de Filosofía del Derecho,</w:t>
      </w:r>
      <w:r>
        <w:t xml:space="preserve"> Editorial Porrua, S.A., pp. 258,259.</w:t>
      </w:r>
    </w:p>
  </w:footnote>
  <w:footnote w:id="250">
    <w:p w14:paraId="37483D2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Salazar Bondy</w:t>
      </w:r>
      <w:r>
        <w:rPr>
          <w:rFonts w:ascii="Arial Narrow" w:hAnsi="Arial Narrow"/>
          <w:sz w:val="18"/>
        </w:rPr>
        <w:t xml:space="preserve">, Augusto. </w:t>
      </w:r>
      <w:r>
        <w:rPr>
          <w:rFonts w:ascii="Arial Narrow" w:hAnsi="Arial Narrow"/>
          <w:i/>
          <w:sz w:val="18"/>
        </w:rPr>
        <w:t>Iniciación Filosófica</w:t>
      </w:r>
      <w:r>
        <w:rPr>
          <w:rFonts w:ascii="Arial Narrow" w:hAnsi="Arial Narrow"/>
          <w:sz w:val="18"/>
        </w:rPr>
        <w:t>,</w:t>
      </w:r>
      <w:r>
        <w:rPr>
          <w:rFonts w:ascii="Arial Narrow" w:hAnsi="Arial Narrow"/>
          <w:i/>
          <w:sz w:val="18"/>
        </w:rPr>
        <w:t xml:space="preserve"> Editorial Universo S.A., pp. 66.</w:t>
      </w:r>
    </w:p>
  </w:footnote>
  <w:footnote w:id="251">
    <w:p w14:paraId="695F367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El libro tiene como nombre original:“</w:t>
      </w:r>
      <w:r w:rsidRPr="00AA5700">
        <w:rPr>
          <w:rFonts w:ascii="Arial Narrow" w:hAnsi="Arial Narrow"/>
          <w:i/>
          <w:sz w:val="18"/>
        </w:rPr>
        <w:t>Ethica ordine geometricodemonstrata</w:t>
      </w:r>
      <w:r>
        <w:rPr>
          <w:rFonts w:ascii="Arial Narrow" w:hAnsi="Arial Narrow"/>
          <w:sz w:val="18"/>
        </w:rPr>
        <w:t xml:space="preserve"> (La ética demostrada en orden geométrico)”, que está “escrita siguiendo la forma de exposición de los libros de matemáticas, con axiomas, definiciones, proposiciones con sus demostraciones, escolios y corolarios. Es un ejemplo extremado de la tendencia racionalista y matemática, llevada incluso a la forma externa de la filosofía.” / Marías, Julían, </w:t>
      </w:r>
      <w:r>
        <w:rPr>
          <w:rFonts w:ascii="Arial Narrow" w:hAnsi="Arial Narrow"/>
          <w:i/>
          <w:sz w:val="18"/>
        </w:rPr>
        <w:t>Historia de la Filosofía,</w:t>
      </w:r>
      <w:r>
        <w:rPr>
          <w:rFonts w:ascii="Arial Narrow" w:hAnsi="Arial Narrow"/>
          <w:sz w:val="18"/>
        </w:rPr>
        <w:t xml:space="preserve"> Ediciones Revista de Occidente, pp. 223. </w:t>
      </w:r>
    </w:p>
  </w:footnote>
  <w:footnote w:id="252">
    <w:p w14:paraId="04BA6F7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p.302.</w:t>
      </w:r>
    </w:p>
  </w:footnote>
  <w:footnote w:id="253">
    <w:p w14:paraId="7F5407F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305.</w:t>
      </w:r>
    </w:p>
  </w:footnote>
  <w:footnote w:id="254">
    <w:p w14:paraId="55C19A3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307.</w:t>
      </w:r>
    </w:p>
  </w:footnote>
  <w:footnote w:id="255">
    <w:p w14:paraId="7F461EF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Ediciones Revista de Occidente, pp. 226. </w:t>
      </w:r>
    </w:p>
  </w:footnote>
  <w:footnote w:id="256">
    <w:p w14:paraId="401E2A7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“Nada de esto implica, desde luego, que la razón carezca de importancia. Muy al contrario, sólo es libre el hombre que vive de acuerdo con la razón, y su propio y libre asentimiento; por lo tanto, será más libre aquella comunidad cuyas leyes se funden en la razón (p. 263) Es sobre esta bse que Spinoza puede afirmar que la democracia es la forma más natural de gobierno. La democracia deja a todos y cada uno parte de su libertad y de sus derechos naturales” / </w:t>
      </w:r>
      <w:r>
        <w:rPr>
          <w:rFonts w:ascii="Arial Narrow" w:hAnsi="Arial Narrow"/>
          <w:smallCaps/>
          <w:sz w:val="18"/>
        </w:rPr>
        <w:t>Friedrich</w:t>
      </w:r>
      <w:r>
        <w:rPr>
          <w:rFonts w:ascii="Arial Narrow" w:hAnsi="Arial Narrow"/>
          <w:sz w:val="18"/>
        </w:rPr>
        <w:t xml:space="preserve">, C.J., </w:t>
      </w:r>
      <w:r>
        <w:rPr>
          <w:rFonts w:ascii="Arial Narrow" w:hAnsi="Arial Narrow"/>
          <w:i/>
          <w:sz w:val="18"/>
        </w:rPr>
        <w:t>La Filosofía del Derecho, Ediciones del Fondo de Cultura Económica, pp. 166.</w:t>
      </w:r>
    </w:p>
  </w:footnote>
  <w:footnote w:id="257">
    <w:p w14:paraId="6050F1E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165.</w:t>
      </w:r>
    </w:p>
  </w:footnote>
  <w:footnote w:id="258">
    <w:p w14:paraId="1C5DD5E2"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w:t>
      </w:r>
      <w:r>
        <w:rPr>
          <w:rFonts w:ascii="Arial Narrow" w:hAnsi="Arial Narrow"/>
          <w:i/>
          <w:sz w:val="18"/>
          <w:lang w:val="en-US"/>
        </w:rPr>
        <w:t>p. 164.</w:t>
      </w:r>
    </w:p>
  </w:footnote>
  <w:footnote w:id="259">
    <w:p w14:paraId="56E30F33"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w:t>
      </w:r>
      <w:r>
        <w:rPr>
          <w:rFonts w:ascii="Arial Narrow" w:hAnsi="Arial Narrow"/>
          <w:i/>
          <w:sz w:val="18"/>
          <w:lang w:val="en-US"/>
        </w:rPr>
        <w:t>p. 165, 166.</w:t>
      </w:r>
    </w:p>
  </w:footnote>
  <w:footnote w:id="260">
    <w:p w14:paraId="5FCAF809"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w:t>
      </w:r>
      <w:r>
        <w:rPr>
          <w:rFonts w:ascii="Arial Narrow" w:hAnsi="Arial Narrow"/>
          <w:i/>
          <w:sz w:val="18"/>
          <w:lang w:val="en-US"/>
        </w:rPr>
        <w:t>p. 166.</w:t>
      </w:r>
    </w:p>
  </w:footnote>
  <w:footnote w:id="261">
    <w:p w14:paraId="089A495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Spinoza al negar la pluralidad de sustancias, contradice la proposición de Descartes [éste hablaba de dos especies de sustancas: la que no necesita de otra para existir (Dios) y la que, para hacerlo, necesita de otra (osea de Dios)], pero parte de él. </w:t>
      </w:r>
      <w:r>
        <w:rPr>
          <w:rFonts w:ascii="Arial Narrow" w:hAnsi="Arial Narrow"/>
          <w:i/>
          <w:sz w:val="18"/>
        </w:rPr>
        <w:t xml:space="preserve">“Spinoza niega la pluralidad de sustancias. Dios es la sustancia que consta de infinitos atributos: “No puede darse ni concebirse ninguna sustancia fuera de Dios”. El sistema de Spinoza es, pues, panteísta. Todo es naturaleza; el hombre es un modo de la sustancia, una modificación de Dios, en los dos atributos de extensión y pensamiento: tiene cuerpo y alma.” / Diccionario de la Literatura Universal, Tomo I, Muchnik Editores, pp. 652. </w:t>
      </w:r>
    </w:p>
  </w:footnote>
  <w:footnote w:id="262">
    <w:p w14:paraId="21FB45F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Ferrater Mora</w:t>
      </w:r>
      <w:r>
        <w:rPr>
          <w:rFonts w:ascii="Arial Narrow" w:hAnsi="Arial Narrow"/>
          <w:sz w:val="18"/>
        </w:rPr>
        <w:t xml:space="preserve">, José, </w:t>
      </w:r>
      <w:r>
        <w:rPr>
          <w:rFonts w:ascii="Arial Narrow" w:hAnsi="Arial Narrow"/>
          <w:i/>
          <w:sz w:val="18"/>
        </w:rPr>
        <w:t xml:space="preserve">Diccionario de Filosofía Abreviado, </w:t>
      </w:r>
      <w:r>
        <w:rPr>
          <w:rFonts w:ascii="Arial Narrow" w:hAnsi="Arial Narrow"/>
          <w:sz w:val="18"/>
        </w:rPr>
        <w:t>Editorial Sudamericana, pp. 319.</w:t>
      </w:r>
    </w:p>
  </w:footnote>
  <w:footnote w:id="263">
    <w:p w14:paraId="3FB7447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w:t>
      </w:r>
      <w:r>
        <w:rPr>
          <w:rFonts w:ascii="Arial Narrow" w:hAnsi="Arial Narrow"/>
          <w:i/>
          <w:sz w:val="18"/>
        </w:rPr>
        <w:t>p. 166.</w:t>
      </w:r>
    </w:p>
  </w:footnote>
  <w:footnote w:id="264">
    <w:p w14:paraId="74CB0E4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Ediciones Edigraf, pp. 32.</w:t>
      </w:r>
    </w:p>
  </w:footnote>
  <w:footnote w:id="265">
    <w:p w14:paraId="2CEFB3B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Ediciones Revista de Occidente, pp. 227.</w:t>
      </w:r>
    </w:p>
  </w:footnote>
  <w:footnote w:id="266">
    <w:p w14:paraId="02CDC84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pp. 221.</w:t>
      </w:r>
    </w:p>
  </w:footnote>
  <w:footnote w:id="267">
    <w:p w14:paraId="2B87FA25" w14:textId="77777777" w:rsidR="00444BC9" w:rsidRDefault="00444BC9" w:rsidP="001925CE">
      <w:pPr>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p.126.</w:t>
      </w:r>
    </w:p>
  </w:footnote>
  <w:footnote w:id="268">
    <w:p w14:paraId="1A942E72"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126.</w:t>
      </w:r>
    </w:p>
  </w:footnote>
  <w:footnote w:id="269">
    <w:p w14:paraId="41C67D17"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129.</w:t>
      </w:r>
    </w:p>
  </w:footnote>
  <w:footnote w:id="270">
    <w:p w14:paraId="76B9C59A"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129.</w:t>
      </w:r>
    </w:p>
  </w:footnote>
  <w:footnote w:id="271">
    <w:p w14:paraId="4FDE948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Diccionario de la Literatura Universal, Editorial Muchnik, pp. 41.</w:t>
      </w:r>
    </w:p>
  </w:footnote>
  <w:footnote w:id="272">
    <w:p w14:paraId="28F4514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Julían. </w:t>
      </w:r>
      <w:r>
        <w:rPr>
          <w:rFonts w:ascii="Arial Narrow" w:hAnsi="Arial Narrow"/>
          <w:i/>
          <w:sz w:val="18"/>
        </w:rPr>
        <w:t>Historia de la Filosofía,</w:t>
      </w:r>
      <w:r>
        <w:rPr>
          <w:rFonts w:ascii="Arial Narrow" w:hAnsi="Arial Narrow"/>
          <w:sz w:val="18"/>
        </w:rPr>
        <w:t xml:space="preserve"> Editorial Revista de Occidente, pp. 221. </w:t>
      </w:r>
    </w:p>
  </w:footnote>
  <w:footnote w:id="273">
    <w:p w14:paraId="3FDE51DB" w14:textId="77777777" w:rsidR="00444BC9" w:rsidRPr="00EA156D" w:rsidRDefault="00444BC9" w:rsidP="001925CE">
      <w:pPr>
        <w:spacing w:after="6"/>
        <w:ind w:left="425" w:hanging="425"/>
        <w:jc w:val="both"/>
        <w:rPr>
          <w:lang w:val="fr-FR"/>
        </w:rPr>
      </w:pPr>
      <w:r>
        <w:rPr>
          <w:rStyle w:val="Refdenotaalpie"/>
          <w:rFonts w:ascii="Arial Narrow" w:hAnsi="Arial Narrow"/>
          <w:sz w:val="18"/>
          <w:vertAlign w:val="superscript"/>
        </w:rPr>
        <w:footnoteRef/>
      </w:r>
      <w:r>
        <w:rPr>
          <w:rFonts w:ascii="Arial Narrow" w:hAnsi="Arial Narrow"/>
          <w:sz w:val="18"/>
          <w:lang w:val="fr-FR"/>
        </w:rPr>
        <w:t xml:space="preserve"> Ibid. p. 222.</w:t>
      </w:r>
    </w:p>
  </w:footnote>
  <w:footnote w:id="274">
    <w:p w14:paraId="4EF7023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fr-FR"/>
        </w:rPr>
        <w:t>Du Pasquier</w:t>
      </w:r>
      <w:r>
        <w:rPr>
          <w:rFonts w:ascii="Arial Narrow" w:hAnsi="Arial Narrow"/>
          <w:sz w:val="18"/>
          <w:lang w:val="fr-FR"/>
        </w:rPr>
        <w:t xml:space="preserve">, Claude. </w:t>
      </w:r>
      <w:r>
        <w:rPr>
          <w:rFonts w:ascii="Arial Narrow" w:hAnsi="Arial Narrow"/>
          <w:i/>
          <w:sz w:val="18"/>
        </w:rPr>
        <w:t>Introducción al Derecho</w:t>
      </w:r>
      <w:r>
        <w:rPr>
          <w:rFonts w:ascii="Arial Narrow" w:hAnsi="Arial Narrow"/>
          <w:sz w:val="18"/>
        </w:rPr>
        <w:t>. Lima, Edinar, 4ta. Edición: 1990. p. 198.</w:t>
      </w:r>
    </w:p>
  </w:footnote>
  <w:footnote w:id="275">
    <w:p w14:paraId="751CF90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198. </w:t>
      </w:r>
    </w:p>
  </w:footnote>
  <w:footnote w:id="276">
    <w:p w14:paraId="7389935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198, 199.</w:t>
      </w:r>
    </w:p>
  </w:footnote>
  <w:footnote w:id="277">
    <w:p w14:paraId="7FE5A9A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Uslar Pietri</w:t>
      </w:r>
      <w:r>
        <w:rPr>
          <w:rFonts w:ascii="Arial Narrow" w:hAnsi="Arial Narrow"/>
          <w:sz w:val="18"/>
        </w:rPr>
        <w:t xml:space="preserve">, Arturo, Valores Humanos, tomo II, Editorial Edime, pp. 37. </w:t>
      </w:r>
    </w:p>
  </w:footnote>
  <w:footnote w:id="278">
    <w:p w14:paraId="28AA1EB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p. 37. </w:t>
      </w:r>
    </w:p>
  </w:footnote>
  <w:footnote w:id="279">
    <w:p w14:paraId="216860F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N. Sapegno. Diccionario de Literatura Universal, Ediciones Muchnik,  pp. 122. </w:t>
      </w:r>
    </w:p>
  </w:footnote>
  <w:footnote w:id="280">
    <w:p w14:paraId="3C5CB67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w:t>
      </w:r>
      <w:r>
        <w:rPr>
          <w:rFonts w:ascii="Arial Narrow" w:hAnsi="Arial Narrow"/>
          <w:i/>
          <w:sz w:val="18"/>
        </w:rPr>
        <w:t>El príncipe de Maquiavelo, se ha tenido tradicionalmente como la más cínica y desvergonzada receta o recetario de tiranía que haya sido nunca escrito. Es un libro en el cual se dan todos los consejos más inmorales para tiranizar a los hombres, la manera de cómo debe preceder el príncipe para inspirar más terror que amor, cómo no debe tener ningún pudor en engañar o en mentir. Todo este compendio de astucia y cinismo no es una invención de Maquiavelo, es, por el contrario, el retrato de lo que era la vida política de su tiempo, y él lo que pretende con ello, sin que esto lo justifique, es darle al joven Lorenzo una especie de manual sucinto de la experiencia de la vida política real de su tiempo, para evitarles errores y desengaños</w:t>
      </w:r>
      <w:r>
        <w:rPr>
          <w:rFonts w:ascii="Arial Narrow" w:hAnsi="Arial Narrow"/>
          <w:sz w:val="18"/>
        </w:rPr>
        <w:t>.". Arturo Uslar Pietri, "Valores Humanos", pág. 41.</w:t>
      </w:r>
    </w:p>
  </w:footnote>
  <w:footnote w:id="281">
    <w:p w14:paraId="4BD047F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Maquiavelo cree que “es oficio de hombre bueno enseñar a otros el bien que por la malignidad de los tiempos y de la fortuna, él mismo no ha podido realizar, a fin de que entre los muchos capaces, alguno más amado por los Cielos pueda realizarlo”; sabe además que es necesario descubrir y precisar las raíces del bien y del mal y definir el sentido de la lucha para el triunfo de lo primero. De aquí su idea de que lo que le importa conocer al hombre es la realidad de la situación en que le toca actuar./ Diccionario de Literatura Universal, Ediciones Muchnik,  pp. 159,160.</w:t>
      </w:r>
    </w:p>
  </w:footnote>
  <w:footnote w:id="282">
    <w:p w14:paraId="1066E2E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134.</w:t>
      </w:r>
    </w:p>
  </w:footnote>
  <w:footnote w:id="283">
    <w:p w14:paraId="561B3C3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Lecciones de Filosofía del Derecho, Editorial Porrua S.A., pp. 117.</w:t>
      </w:r>
    </w:p>
  </w:footnote>
  <w:footnote w:id="284">
    <w:p w14:paraId="6DE0E4D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Ibid. </w:t>
      </w:r>
      <w:r>
        <w:rPr>
          <w:rFonts w:ascii="Arial Narrow" w:hAnsi="Arial Narrow"/>
          <w:i/>
          <w:sz w:val="18"/>
        </w:rPr>
        <w:t>p. 117.</w:t>
      </w:r>
    </w:p>
  </w:footnote>
  <w:footnote w:id="285">
    <w:p w14:paraId="67B7D90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Legaz y Lacambra, Luis.</w:t>
      </w:r>
      <w:r>
        <w:rPr>
          <w:rFonts w:ascii="Arial Narrow" w:hAnsi="Arial Narrow"/>
          <w:i/>
          <w:sz w:val="18"/>
        </w:rPr>
        <w:t xml:space="preserve"> Filosofía del Derecho</w:t>
      </w:r>
      <w:r>
        <w:rPr>
          <w:rFonts w:ascii="Arial Narrow" w:hAnsi="Arial Narrow"/>
          <w:sz w:val="18"/>
        </w:rPr>
        <w:t>, Editorial Bosch, pp. 497.</w:t>
      </w:r>
    </w:p>
  </w:footnote>
  <w:footnote w:id="286">
    <w:p w14:paraId="130EDCE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Villoro Toranzo, Miguel, </w:t>
      </w:r>
      <w:r>
        <w:rPr>
          <w:rFonts w:ascii="Arial Narrow" w:hAnsi="Arial Narrow"/>
          <w:i/>
          <w:sz w:val="18"/>
        </w:rPr>
        <w:t>Lecciones de Filosofía del Derecho, Editorial Porrua S.A., pp. 137.</w:t>
      </w:r>
    </w:p>
  </w:footnote>
  <w:footnote w:id="287">
    <w:p w14:paraId="3C3D7C8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148.</w:t>
      </w:r>
    </w:p>
  </w:footnote>
  <w:footnote w:id="288">
    <w:p w14:paraId="1DE0505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487.</w:t>
      </w:r>
    </w:p>
  </w:footnote>
  <w:footnote w:id="289">
    <w:p w14:paraId="4177040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Nombre que Hobbes tomó de un pasaje bíblico, en el libro de Job. El Leviatán se refiere a un terrible monstruo, perteneciente a la mitología de la Biblia, y que por su poder y fuerza tiene dominio sobre todos. El </w:t>
      </w:r>
      <w:r>
        <w:rPr>
          <w:rFonts w:ascii="Arial Narrow" w:hAnsi="Arial Narrow"/>
          <w:i/>
          <w:sz w:val="18"/>
        </w:rPr>
        <w:t>Leviatán,</w:t>
      </w:r>
      <w:r>
        <w:rPr>
          <w:rFonts w:ascii="Arial Narrow" w:hAnsi="Arial Narrow"/>
          <w:sz w:val="18"/>
        </w:rPr>
        <w:t xml:space="preserve"> es un tratado de  filosofía política, escrito en inglés, publicado en 1651. El Leviatán, en Hobbes, designaba al poder absoluto.</w:t>
      </w:r>
    </w:p>
  </w:footnote>
  <w:footnote w:id="290">
    <w:p w14:paraId="0DE17182" w14:textId="77777777" w:rsidR="00444BC9" w:rsidRDefault="00444BC9" w:rsidP="001925CE">
      <w:pPr>
        <w:ind w:left="425" w:hanging="425"/>
        <w:jc w:val="both"/>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w:t>
      </w:r>
      <w:r>
        <w:rPr>
          <w:rFonts w:ascii="Arial Narrow" w:hAnsi="Arial Narrow"/>
          <w:i/>
          <w:sz w:val="18"/>
        </w:rPr>
        <w:t xml:space="preserve">. </w:t>
      </w:r>
      <w:r>
        <w:rPr>
          <w:rFonts w:ascii="Arial Narrow" w:hAnsi="Arial Narrow"/>
          <w:sz w:val="18"/>
        </w:rPr>
        <w:t>p. 242.</w:t>
      </w:r>
    </w:p>
  </w:footnote>
  <w:footnote w:id="291">
    <w:p w14:paraId="1CCC453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243.</w:t>
      </w:r>
    </w:p>
  </w:footnote>
  <w:footnote w:id="292">
    <w:p w14:paraId="638849A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p.136.</w:t>
      </w:r>
    </w:p>
  </w:footnote>
  <w:footnote w:id="293">
    <w:p w14:paraId="7E7DD950" w14:textId="77777777" w:rsidR="00444BC9" w:rsidRDefault="00444BC9" w:rsidP="001925CE">
      <w:pPr>
        <w:ind w:left="425" w:hanging="425"/>
        <w:jc w:val="both"/>
      </w:pPr>
      <w:r>
        <w:rPr>
          <w:rStyle w:val="Refdenotaalpie"/>
          <w:rFonts w:ascii="Arial Narrow" w:hAnsi="Arial Narrow"/>
          <w:sz w:val="18"/>
          <w:vertAlign w:val="superscript"/>
        </w:rPr>
        <w:footnoteRef/>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Madrid, Ediciones Revista de Occidente, 1974, 26ª. Edición</w:t>
      </w:r>
      <w:r>
        <w:rPr>
          <w:rFonts w:ascii="Arial Narrow" w:hAnsi="Arial Narrow"/>
          <w:i/>
          <w:sz w:val="18"/>
        </w:rPr>
        <w:t xml:space="preserve">. </w:t>
      </w:r>
      <w:r>
        <w:rPr>
          <w:rFonts w:ascii="Arial Narrow" w:hAnsi="Arial Narrow"/>
          <w:sz w:val="18"/>
        </w:rPr>
        <w:t>p. 243.</w:t>
      </w:r>
    </w:p>
  </w:footnote>
  <w:footnote w:id="294">
    <w:p w14:paraId="3D06CFD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Villoro Toranzo, Miguel, </w:t>
      </w:r>
      <w:r>
        <w:rPr>
          <w:rFonts w:ascii="Arial Narrow" w:hAnsi="Arial Narrow"/>
          <w:i/>
          <w:sz w:val="18"/>
        </w:rPr>
        <w:t xml:space="preserve">Lecciones de Filosofía, </w:t>
      </w:r>
      <w:r>
        <w:rPr>
          <w:rFonts w:ascii="Arial Narrow" w:hAnsi="Arial Narrow"/>
          <w:sz w:val="18"/>
        </w:rPr>
        <w:t xml:space="preserve">Editorial Porrua S.A., pp. 166. </w:t>
      </w:r>
    </w:p>
  </w:footnote>
  <w:footnote w:id="295">
    <w:p w14:paraId="4961509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i/>
          <w:sz w:val="18"/>
        </w:rPr>
        <w:t xml:space="preserve">“El sistema de Hobbes podría resumirse en la forma siguiente: 1) hay que encontrar una solución incontrovertible que ponga fin a las convulsiones políticas y a la guerra civil; 2) esta solución no puede fundarse en la religión (como en la teoría  del derecho divino de los reyes) porque las ideas religiosas han dado origen a luchas fratricidas (...); 3) ni tampoco en la filosofía tradicional (como es la posición de los constitucionales ingleses), de la cual está decepcionad (...) 4) luego la solución debe fundarse en la ciencia, interpretándola en el sentido empírico propuesto por Bacon; 5) observamos por la experiencia que todos los hombres son egoístas; 8) luego el único modo de mantenerlos en paz y de civilizarlos es haciéndoles obedecer a los poderes políticos establecidos; 7) pero com no todos admiten que el hombre sea por esencia un ser egoísta (...) Eso hay que demostrarlo fingiendo al hombre en un estado de naturaleza pura; 8) allí el hombre se manifiesta con sus peores tendencias (homo homini lupus) y “la condición del hombre es una condición de guerra de todos contra todos”; 9) y no puede ser de otra manera porque “todos los impulsos son formas de amor propio y derivan del instinto de la apropia conservación”; 10) y porque  “ninguna regla de bien y de mal puede tomarse de la naturaleza de los objetos mismos, sino del individuo (donde no existe Estado) o (en un Estado) de la persona que lo representa, o de un árbitro o juez a quien los hombres permiten establecer e imponer como sentencia su regla del bien y del mal”; 11) en efecto, “señalo, en primer lugar, como inclinación general de la humanidad entera, un perpetuo e incesante afán de poder, que cesa solamente con la muerte”; 12) de acuerdo con esto, Hobbes construye toda una psicología de tipo sensualista: las dos sensaciones básicas, que son el temor y deseo de poder, como todos los demás “movimientos de la mente” no son más que “movimientos en la materia mediante los cuales actúa ésta diversamente sobre nuestros órganos”; 13) por consiguiente, la psicología y la política deben describir las acciones humanas en términos de cuerpos en movimiento, con lo cual quedarían incorporadas a la física descubierta por Galileo; 14) claro está, nada de esto sería posible si no se admitiera que la esencia metafísica de todos los seres no es más que el movimiento y el movimiento corpóreo.”. /  Villoro Toranzo, Miguel, Lecciones de Filosofía, Editorial Porrua S.A., pp. 162. </w:t>
      </w:r>
    </w:p>
  </w:footnote>
  <w:footnote w:id="296">
    <w:p w14:paraId="355D7BA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Villoro Toranzo, Miguel, </w:t>
      </w:r>
      <w:r>
        <w:rPr>
          <w:rFonts w:ascii="Arial Narrow" w:hAnsi="Arial Narrow"/>
          <w:i/>
          <w:sz w:val="18"/>
        </w:rPr>
        <w:t xml:space="preserve">Lecciones de Filosofía, </w:t>
      </w:r>
      <w:r>
        <w:rPr>
          <w:rFonts w:ascii="Arial Narrow" w:hAnsi="Arial Narrow"/>
          <w:sz w:val="18"/>
        </w:rPr>
        <w:t xml:space="preserve">Editorial Porrua S.A., pp. 167.  </w:t>
      </w:r>
    </w:p>
  </w:footnote>
  <w:footnote w:id="297">
    <w:p w14:paraId="5E5CDA5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128.</w:t>
      </w:r>
    </w:p>
  </w:footnote>
  <w:footnote w:id="298">
    <w:p w14:paraId="2B30B89C"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128. </w:t>
      </w:r>
    </w:p>
  </w:footnote>
  <w:footnote w:id="299">
    <w:p w14:paraId="07270853"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129. </w:t>
      </w:r>
    </w:p>
  </w:footnote>
  <w:footnote w:id="300">
    <w:p w14:paraId="7F770ED9"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129.</w:t>
      </w:r>
    </w:p>
  </w:footnote>
  <w:footnote w:id="301">
    <w:p w14:paraId="15818B9A"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133.</w:t>
      </w:r>
    </w:p>
  </w:footnote>
  <w:footnote w:id="302">
    <w:p w14:paraId="25D554A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136.</w:t>
      </w:r>
    </w:p>
  </w:footnote>
  <w:footnote w:id="303">
    <w:p w14:paraId="041D965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Melquiades,</w:t>
      </w:r>
      <w:r>
        <w:rPr>
          <w:rFonts w:ascii="Arial Narrow" w:hAnsi="Arial Narrow"/>
          <w:i/>
          <w:sz w:val="18"/>
        </w:rPr>
        <w:t xml:space="preserve"> Filosofía del Derecho, Ediciones Edigraf S.A., pp. 31.</w:t>
      </w:r>
    </w:p>
  </w:footnote>
  <w:footnote w:id="304">
    <w:p w14:paraId="7E1D2AE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Locke, inglés, es el uno de los mayores representantes del empirismo, la doctrina filosófica que se desarrolla en Inglaterra en parte del siglo XVII y el siglo XVIII, y que considera la experiencia como la única fuente válida de conocimiento. Locke cursó estudios de teología, química y medicina en Oxford. Allí entró en contacto con la doctrina escolástica y la teoría de Descartes. Es la formulación clásica del empirismo inglés. Parte del principio de que todo conocimiento, inclsuo el abstracto es adquirido, y se basa en la experiencia, rechazadno las ideas innatas. Escribió : </w:t>
      </w:r>
      <w:r>
        <w:rPr>
          <w:rFonts w:ascii="Arial Narrow" w:hAnsi="Arial Narrow"/>
          <w:i/>
          <w:sz w:val="18"/>
        </w:rPr>
        <w:t>Ensayo sobre el entendimiento humano, Tratado sobre el gobierno civil, La racionalidad del cristianismo.</w:t>
      </w:r>
    </w:p>
  </w:footnote>
  <w:footnote w:id="305">
    <w:p w14:paraId="4003823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Mariano Grondona,  en su libro </w:t>
      </w:r>
      <w:r>
        <w:rPr>
          <w:rFonts w:ascii="Arial Narrow" w:hAnsi="Arial Narrow"/>
          <w:i/>
          <w:sz w:val="18"/>
        </w:rPr>
        <w:t>Los pensadores de la Libertad</w:t>
      </w:r>
      <w:r>
        <w:rPr>
          <w:rFonts w:ascii="Arial Narrow" w:hAnsi="Arial Narrow"/>
          <w:sz w:val="18"/>
        </w:rPr>
        <w:t>, pág. 16.</w:t>
      </w:r>
    </w:p>
  </w:footnote>
  <w:footnote w:id="306">
    <w:p w14:paraId="61A8192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Montesquie plantea que </w:t>
      </w:r>
      <w:r>
        <w:rPr>
          <w:rFonts w:ascii="Arial Narrow" w:hAnsi="Arial Narrow"/>
          <w:i/>
          <w:sz w:val="18"/>
        </w:rPr>
        <w:t>“Para que no se pueda abusar del poder, es preciso que el poder detenga al poder”. “Estudia al Derecho cuál es, como componente del ambiente histórica y en el que el hombre vive y que debe tenerse en cuenta para las leyes jurídicas nuevas. Por eso la misión del legislador es comprender e interpretar la “naturaleza”, el “espíritu general de su pueblo”. Se le ha llamado el padre del Constitucionalismo.”</w:t>
      </w:r>
      <w:r>
        <w:rPr>
          <w:rFonts w:ascii="Arial Narrow" w:hAnsi="Arial Narrow"/>
          <w:sz w:val="18"/>
        </w:rPr>
        <w:t xml:space="preserve"> / Castillo, Melquiades, </w:t>
      </w:r>
      <w:r>
        <w:rPr>
          <w:rFonts w:ascii="Arial Narrow" w:hAnsi="Arial Narrow"/>
          <w:i/>
          <w:sz w:val="18"/>
        </w:rPr>
        <w:t>Filosofía del Derecho,</w:t>
      </w:r>
      <w:r>
        <w:rPr>
          <w:rFonts w:ascii="Arial Narrow" w:hAnsi="Arial Narrow"/>
          <w:sz w:val="18"/>
        </w:rPr>
        <w:t xml:space="preserve"> Ediciones Edigraf S.A., pp. 35.  </w:t>
      </w:r>
    </w:p>
  </w:footnote>
  <w:footnote w:id="307">
    <w:p w14:paraId="08D8DEF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154.</w:t>
      </w:r>
    </w:p>
  </w:footnote>
  <w:footnote w:id="308">
    <w:p w14:paraId="02EE19E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152.</w:t>
      </w:r>
    </w:p>
  </w:footnote>
  <w:footnote w:id="309">
    <w:p w14:paraId="0365401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Publicada en 1690.</w:t>
      </w:r>
    </w:p>
  </w:footnote>
  <w:footnote w:id="310">
    <w:p w14:paraId="5E576AA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Du Pasquier, Claude, </w:t>
      </w:r>
      <w:r>
        <w:rPr>
          <w:rFonts w:ascii="Arial Narrow" w:hAnsi="Arial Narrow"/>
          <w:i/>
          <w:sz w:val="18"/>
        </w:rPr>
        <w:t>Introducción al Derecho</w:t>
      </w:r>
      <w:r>
        <w:rPr>
          <w:rFonts w:ascii="Arial Narrow" w:hAnsi="Arial Narrow"/>
          <w:sz w:val="18"/>
        </w:rPr>
        <w:t>, Ediciones Edinaf, pp. 190.</w:t>
      </w:r>
    </w:p>
  </w:footnote>
  <w:footnote w:id="311">
    <w:p w14:paraId="5AA4368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lang w:val="fr-FR"/>
        </w:rPr>
        <w:t xml:space="preserve"> Jean Jacques Rousseau nació en Ginebra en 1712. </w:t>
      </w:r>
      <w:r>
        <w:rPr>
          <w:rFonts w:ascii="Arial Narrow" w:hAnsi="Arial Narrow"/>
          <w:sz w:val="18"/>
        </w:rPr>
        <w:t xml:space="preserve">Hijo de un relojero protestante. Planteó la teoría de que los hombres hacen un contrato tácito. </w:t>
      </w:r>
    </w:p>
  </w:footnote>
  <w:footnote w:id="312">
    <w:p w14:paraId="68CD5CE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i/>
          <w:sz w:val="18"/>
        </w:rPr>
        <w:t>El Emilio,</w:t>
      </w:r>
      <w:r>
        <w:rPr>
          <w:rFonts w:ascii="Arial Narrow" w:hAnsi="Arial Narrow"/>
          <w:sz w:val="18"/>
        </w:rPr>
        <w:t xml:space="preserve"> es el libro donde Rousseau toca el tema de la Educación., publicada en 1762. Aquí complemente las ideas acerca del estado natural de la humanidad y señala el camino para volver a ella. Una de las ideas claves es el método que tiene entre sus ideas claves la vuelta a la naturaleza del hombre. En "El Emilio" escribió su pensamiento sobre la educación, y es por esto que se le considera como padre de la pedagogía; sin embargo -valga la paradoja- se sabe que abandonó a sus hijos en un Auspicio.</w:t>
      </w:r>
    </w:p>
  </w:footnote>
  <w:footnote w:id="313">
    <w:p w14:paraId="2971945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Cuentan que una vez le metieron en un cuarto, al cabo de unos instantes apareció una hermosa joven, muy, muy bella desnuda, que tenía un sólo defecto, casi imperceptible al deslumbramiento de su belleza, le faltaba un pezoncito. Rouseau al verla desnuda, tan linda, tan bella, se puso a llorar. No era que no le gustaban las mujeres, sino que le gustaban demasiado y su alma noble y sensible le venció en llanto.</w:t>
      </w:r>
    </w:p>
  </w:footnote>
  <w:footnote w:id="314">
    <w:p w14:paraId="0554643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El </w:t>
      </w:r>
      <w:r>
        <w:rPr>
          <w:rFonts w:ascii="Arial Narrow" w:hAnsi="Arial Narrow"/>
          <w:i/>
          <w:sz w:val="18"/>
        </w:rPr>
        <w:t xml:space="preserve">Contrato Social, </w:t>
      </w:r>
      <w:r>
        <w:rPr>
          <w:rFonts w:ascii="Arial Narrow" w:hAnsi="Arial Narrow"/>
          <w:sz w:val="18"/>
        </w:rPr>
        <w:t>publicada en 1762, es una obra considerada capital en la evolución histórica del derecho político, basada no sólo en la teoría que expresaba, sino en la influencia que ejerció en la época previa a la Revolución Francesa. El hombre en su estado de naturaleza hace un contrato tácito que da origen a la sociedad y el Estado. Hay acuerdo de voluntades, y el infividuo se somete por libre consentimiento a las leyes emanadas de la voluntad general. Conceptos que serían los de la democracia y el sufragio universal. Sin embargo fue incomprendido y  sus obras quemadas -en vida del filósofo- en plena plaza de Ginebra, ciudad a la que él nominaba como modelo. Al final de sus días terminó volviéndose paranoico, huyendo el resto de su vida.</w:t>
      </w:r>
    </w:p>
  </w:footnote>
  <w:footnote w:id="315">
    <w:p w14:paraId="1196261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142.</w:t>
      </w:r>
    </w:p>
  </w:footnote>
  <w:footnote w:id="316">
    <w:p w14:paraId="4840277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Introducción al Derecho</w:t>
      </w:r>
      <w:r>
        <w:rPr>
          <w:rFonts w:ascii="Arial Narrow" w:hAnsi="Arial Narrow"/>
          <w:sz w:val="18"/>
        </w:rPr>
        <w:t>, Editorial  Edinaf, pp. 191.</w:t>
      </w:r>
    </w:p>
  </w:footnote>
  <w:footnote w:id="317">
    <w:p w14:paraId="60368AF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Editorial Edigraf S.A., pp. 37.</w:t>
      </w:r>
    </w:p>
  </w:footnote>
  <w:footnote w:id="318">
    <w:p w14:paraId="277D3EC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i/>
          <w:sz w:val="18"/>
        </w:rPr>
        <w:t xml:space="preserve">Diccionario de la literatura universal, </w:t>
      </w:r>
      <w:r>
        <w:rPr>
          <w:rFonts w:ascii="Arial Narrow" w:hAnsi="Arial Narrow"/>
          <w:sz w:val="18"/>
        </w:rPr>
        <w:t>Muchnik Editores, p. 378.</w:t>
      </w:r>
    </w:p>
  </w:footnote>
  <w:footnote w:id="319">
    <w:p w14:paraId="0ADE427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Friedrich</w:t>
      </w:r>
      <w:r>
        <w:rPr>
          <w:rFonts w:ascii="Arial Narrow" w:hAnsi="Arial Narrow"/>
          <w:sz w:val="18"/>
        </w:rPr>
        <w:t xml:space="preserve">, C.J. </w:t>
      </w:r>
      <w:r>
        <w:rPr>
          <w:rFonts w:ascii="Arial Narrow" w:hAnsi="Arial Narrow"/>
          <w:i/>
          <w:sz w:val="18"/>
        </w:rPr>
        <w:t>La filosofía del Derecho,</w:t>
      </w:r>
      <w:r>
        <w:rPr>
          <w:rFonts w:ascii="Arial Narrow" w:hAnsi="Arial Narrow"/>
          <w:sz w:val="18"/>
        </w:rPr>
        <w:t xml:space="preserve"> Ediciones del Fondo de Cultura Económica, 181.</w:t>
      </w:r>
    </w:p>
  </w:footnote>
  <w:footnote w:id="320">
    <w:p w14:paraId="0BA8B7D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de Hume Julían Marías, y dice que “</w:t>
      </w:r>
      <w:r>
        <w:rPr>
          <w:rFonts w:ascii="Arial Narrow" w:hAnsi="Arial Narrow"/>
          <w:i/>
          <w:sz w:val="18"/>
        </w:rPr>
        <w:t xml:space="preserve">Nació en Escocia ... Estudio derecho y filosofía; residió varios años, en diferentes ocasiones, en Francia, y tuvo una gran influencia sobre los medios enciclopedistas y de la Ilustración... Su obra más importante es el Treatise of human nature (Tratado de la naturaleza humana).”/ </w:t>
      </w:r>
      <w:r>
        <w:rPr>
          <w:rFonts w:ascii="Arial Narrow" w:hAnsi="Arial Narrow"/>
          <w:sz w:val="18"/>
        </w:rPr>
        <w:t xml:space="preserve">Marías, Julían, </w:t>
      </w:r>
      <w:r>
        <w:rPr>
          <w:rFonts w:ascii="Arial Narrow" w:hAnsi="Arial Narrow"/>
          <w:i/>
          <w:sz w:val="18"/>
        </w:rPr>
        <w:t>Historia de la filosofía,</w:t>
      </w:r>
      <w:r>
        <w:rPr>
          <w:rFonts w:ascii="Arial Narrow" w:hAnsi="Arial Narrow"/>
          <w:sz w:val="18"/>
        </w:rPr>
        <w:t xml:space="preserve"> Ediciones Revista de Occidente, pp. 249.</w:t>
      </w:r>
    </w:p>
  </w:footnote>
  <w:footnote w:id="321">
    <w:p w14:paraId="62A12FB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"Somos los herederos de Hume. Y también los de Nietzsche,... Se nos mezclan tradiciones del pasado que no se resignan a retirarse de escena, con percepciones del presente. Queremos ser nosotros mismos, aunque de acuerdo con el empirismo, con Hume, tal "uno mismo" es una ilusión, una ficción. Luchamos por ser ese yo único y absoluto y no logramos serlo, porque somos todos los seres que estamos siendo, que estamos estando. Y cuando descubrimos que estamos creados así, de pequeños mosaicos que no encajan bien los unos con los otros en un diseño total, sufrimos" / </w:t>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151.</w:t>
      </w:r>
    </w:p>
  </w:footnote>
  <w:footnote w:id="322">
    <w:p w14:paraId="5CB1127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 xml:space="preserve">Lecciones de filosofía del Derecho, </w:t>
      </w:r>
      <w:r>
        <w:rPr>
          <w:rFonts w:ascii="Arial Narrow" w:hAnsi="Arial Narrow"/>
          <w:sz w:val="18"/>
        </w:rPr>
        <w:t>Editorial Porrua S.A., pp. 187.</w:t>
      </w:r>
    </w:p>
  </w:footnote>
  <w:footnote w:id="323">
    <w:p w14:paraId="101E50E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187.</w:t>
      </w:r>
    </w:p>
  </w:footnote>
  <w:footnote w:id="324">
    <w:p w14:paraId="7612501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"Volviendo a Hume, la realidad es todo lo que es, pero ese todo lo que es, y que está ahí, no tiene principio, ni orden, ni fin, ni conexión alguna. Desde la perspectiva de Foucault, podemos percibir cuan grande fue la revolución de Hume al atacar las ficciones que la mente construye sobre la realidad para tenerla ordenada y coordinada, es decir dominada."/ </w:t>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149.</w:t>
      </w:r>
    </w:p>
  </w:footnote>
  <w:footnote w:id="325">
    <w:p w14:paraId="37972F3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i/>
          <w:sz w:val="18"/>
        </w:rPr>
        <w:t xml:space="preserve">“Immanuel Kant nació en Königsberg en 1724 y murió en la misma ciudad en 1804, después de haber pasado en ella toda su larga vida. Manuel Kant fue siempre un sedentario y no salió nunca de los límites de la Prusia oriental, y apenas de Königsberg. Era de familia modesta, hijo de un guarnicionero, criado en un ambiente de honrada artesanía y de profunda religiosidd pietista. Estudió en la Universidad de su ciudad natal, ejerció la enseñanza privada y luego participó en las tareas universitarias; pero solo en 1770 fue nombrado profesor ordinario de Lógica y metafísica. Hasta 1797 permaneció en su cátedra, que abandonó por su vejez y debilidad siete años antes de morir. Kant fue siempre de salud muy delicada, y a pesar de ello tuvo una vida de ochenta años de extraordinario esfuerzo. Era puntual, metódico, tranquilo y extremadamente bondadoso. Su vida entera fue una callada pasión por la verdad.” / </w:t>
      </w:r>
      <w:r>
        <w:rPr>
          <w:rFonts w:ascii="Arial Narrow" w:hAnsi="Arial Narrow"/>
          <w:smallCaps/>
          <w:sz w:val="18"/>
        </w:rPr>
        <w:t>Marías</w:t>
      </w:r>
      <w:r>
        <w:rPr>
          <w:rFonts w:ascii="Arial Narrow" w:hAnsi="Arial Narrow"/>
          <w:sz w:val="18"/>
        </w:rPr>
        <w:t xml:space="preserve">, Julían, </w:t>
      </w:r>
      <w:r>
        <w:rPr>
          <w:rFonts w:ascii="Arial Narrow" w:hAnsi="Arial Narrow"/>
          <w:i/>
          <w:sz w:val="18"/>
        </w:rPr>
        <w:t>Historia de la Filosofía,</w:t>
      </w:r>
      <w:r>
        <w:rPr>
          <w:rFonts w:ascii="Arial Narrow" w:hAnsi="Arial Narrow"/>
          <w:sz w:val="18"/>
        </w:rPr>
        <w:t xml:space="preserve"> Ediciones Revista de Occidente, pp. 275,276.</w:t>
      </w:r>
    </w:p>
  </w:footnote>
  <w:footnote w:id="326">
    <w:p w14:paraId="3DFC0982" w14:textId="77777777" w:rsidR="00444BC9" w:rsidRDefault="00444BC9" w:rsidP="001925CE">
      <w:pPr>
        <w:ind w:left="425" w:hanging="425"/>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Pero para comprender su pensamiento filosófico, hemos de tener unas nociones previas:</w:t>
      </w:r>
    </w:p>
    <w:p w14:paraId="09058B9C" w14:textId="77777777" w:rsidR="00444BC9" w:rsidRDefault="00444BC9" w:rsidP="001925CE">
      <w:pPr>
        <w:ind w:left="425" w:hanging="425"/>
        <w:jc w:val="both"/>
        <w:rPr>
          <w:rFonts w:ascii="Arial Narrow" w:hAnsi="Arial Narrow"/>
          <w:sz w:val="18"/>
        </w:rPr>
      </w:pPr>
      <w:r>
        <w:rPr>
          <w:rFonts w:ascii="Arial Narrow" w:hAnsi="Arial Narrow"/>
          <w:sz w:val="18"/>
        </w:rPr>
        <w:t>“Según Kant hay dos concepciones de la filosofía:</w:t>
      </w:r>
    </w:p>
    <w:p w14:paraId="34C988CF" w14:textId="77777777" w:rsidR="00444BC9" w:rsidRDefault="00444BC9" w:rsidP="001925CE">
      <w:pPr>
        <w:ind w:left="425" w:hanging="425"/>
        <w:jc w:val="both"/>
        <w:rPr>
          <w:rFonts w:ascii="Arial Narrow" w:hAnsi="Arial Narrow"/>
          <w:sz w:val="18"/>
        </w:rPr>
      </w:pPr>
      <w:r>
        <w:rPr>
          <w:rFonts w:ascii="Arial Narrow" w:hAnsi="Arial Narrow"/>
          <w:sz w:val="18"/>
        </w:rPr>
        <w:t>- la filosofía desde el punto de vista académico,</w:t>
      </w:r>
    </w:p>
    <w:p w14:paraId="32923C53" w14:textId="77777777" w:rsidR="00444BC9" w:rsidRDefault="00444BC9" w:rsidP="001925CE">
      <w:pPr>
        <w:ind w:left="425" w:hanging="425"/>
        <w:jc w:val="both"/>
        <w:rPr>
          <w:rFonts w:ascii="Arial Narrow" w:hAnsi="Arial Narrow"/>
          <w:sz w:val="18"/>
        </w:rPr>
      </w:pPr>
      <w:r>
        <w:rPr>
          <w:rFonts w:ascii="Arial Narrow" w:hAnsi="Arial Narrow"/>
          <w:sz w:val="18"/>
        </w:rPr>
        <w:t>- la filosofía desde el punto de vista mundano.</w:t>
      </w:r>
    </w:p>
    <w:p w14:paraId="2F210ECD" w14:textId="77777777" w:rsidR="00444BC9" w:rsidRDefault="00444BC9" w:rsidP="001925CE">
      <w:pPr>
        <w:ind w:left="425" w:hanging="425"/>
        <w:jc w:val="both"/>
        <w:rPr>
          <w:rFonts w:ascii="Arial Narrow" w:hAnsi="Arial Narrow"/>
          <w:sz w:val="18"/>
        </w:rPr>
      </w:pPr>
      <w:r>
        <w:rPr>
          <w:rFonts w:ascii="Arial Narrow" w:hAnsi="Arial Narrow"/>
          <w:sz w:val="18"/>
        </w:rPr>
        <w:t>Desde esta perspectiva, la filosofía ha de perseguir estos objetivos:</w:t>
      </w:r>
    </w:p>
    <w:p w14:paraId="22418F5D" w14:textId="77777777" w:rsidR="00444BC9" w:rsidRDefault="00444BC9" w:rsidP="001925CE">
      <w:pPr>
        <w:ind w:left="425" w:hanging="425"/>
        <w:jc w:val="both"/>
        <w:rPr>
          <w:rFonts w:ascii="Arial Narrow" w:hAnsi="Arial Narrow"/>
          <w:sz w:val="18"/>
        </w:rPr>
      </w:pPr>
      <w:r>
        <w:rPr>
          <w:rFonts w:ascii="Arial Narrow" w:hAnsi="Arial Narrow"/>
          <w:sz w:val="18"/>
        </w:rPr>
        <w:t>- Buscar los principios y los límites del conocimiento del mundo natural. O sea, “¿Qué puedo conocer?”. Para resolver esta cuestión utilizamos la metafísica, y es respondida por Kant en su libro Crítica a la razón pura.</w:t>
      </w:r>
    </w:p>
    <w:p w14:paraId="4825A1CD" w14:textId="77777777" w:rsidR="00444BC9" w:rsidRDefault="00444BC9" w:rsidP="001925CE">
      <w:pPr>
        <w:ind w:left="425" w:hanging="425"/>
        <w:jc w:val="both"/>
        <w:rPr>
          <w:rFonts w:ascii="Arial Narrow" w:hAnsi="Arial Narrow"/>
          <w:sz w:val="18"/>
        </w:rPr>
      </w:pPr>
      <w:r>
        <w:rPr>
          <w:rFonts w:ascii="Arial Narrow" w:hAnsi="Arial Narrow"/>
          <w:sz w:val="18"/>
        </w:rPr>
        <w:t>- Buscar o elaborar una serie de principios que fundamenten nuestro conocimiento práctico; se trata pues de un planteamiento más bien de carácter moral.</w:t>
      </w:r>
    </w:p>
    <w:p w14:paraId="66BD0618" w14:textId="77777777" w:rsidR="00444BC9" w:rsidRDefault="00444BC9" w:rsidP="001925CE">
      <w:pPr>
        <w:ind w:left="425" w:hanging="425"/>
        <w:jc w:val="both"/>
        <w:rPr>
          <w:rFonts w:ascii="Arial Narrow" w:hAnsi="Arial Narrow"/>
          <w:sz w:val="18"/>
        </w:rPr>
      </w:pPr>
      <w:r>
        <w:rPr>
          <w:rFonts w:ascii="Arial Narrow" w:hAnsi="Arial Narrow"/>
          <w:sz w:val="18"/>
        </w:rPr>
        <w:t>Se trataría de responder a la pregunta “¿Qué debo hacer?”, cuestión que es resuelta en la moral kantiana a través, sobre todo, de su libro Crítica de la razón práctica.</w:t>
      </w:r>
    </w:p>
    <w:p w14:paraId="7C9FB1A3" w14:textId="77777777" w:rsidR="00444BC9" w:rsidRDefault="00444BC9" w:rsidP="001925CE">
      <w:pPr>
        <w:ind w:left="425" w:hanging="425"/>
        <w:jc w:val="both"/>
        <w:rPr>
          <w:rFonts w:ascii="Arial Narrow" w:hAnsi="Arial Narrow"/>
          <w:sz w:val="18"/>
        </w:rPr>
      </w:pPr>
      <w:r>
        <w:rPr>
          <w:rFonts w:ascii="Arial Narrow" w:hAnsi="Arial Narrow"/>
          <w:sz w:val="18"/>
        </w:rPr>
        <w:t>- Examinar otros principios -como la existencia de Dios, la inmortalidad del alma, etc. -que han sido temas frecuentes en la tradición filosófica y que muchas veces han quedado sin respuesta: es la pregunta “¿Qué me cabe esperar?”.</w:t>
      </w:r>
    </w:p>
    <w:p w14:paraId="156EC223" w14:textId="77777777" w:rsidR="00444BC9" w:rsidRDefault="00444BC9" w:rsidP="001925CE">
      <w:pPr>
        <w:ind w:left="425" w:hanging="425"/>
        <w:jc w:val="both"/>
        <w:rPr>
          <w:rFonts w:ascii="Arial Narrow" w:hAnsi="Arial Narrow"/>
          <w:sz w:val="18"/>
        </w:rPr>
      </w:pPr>
      <w:r>
        <w:rPr>
          <w:rFonts w:ascii="Arial Narrow" w:hAnsi="Arial Narrow"/>
          <w:sz w:val="18"/>
        </w:rPr>
        <w:t xml:space="preserve">Estas tres cuestiones no están aisladas, sino que hay una ínfima relación y están perfectamente conectadas con la esencia de la Ilustración. Se pueden resumir en una sola pregunta: </w:t>
      </w:r>
    </w:p>
    <w:p w14:paraId="551A7F5F" w14:textId="77777777" w:rsidR="00444BC9" w:rsidRDefault="00444BC9" w:rsidP="001925CE">
      <w:pPr>
        <w:ind w:left="425" w:hanging="425"/>
        <w:jc w:val="both"/>
        <w:rPr>
          <w:rFonts w:ascii="Arial Narrow" w:hAnsi="Arial Narrow"/>
          <w:sz w:val="18"/>
        </w:rPr>
      </w:pPr>
      <w:r>
        <w:rPr>
          <w:rFonts w:ascii="Arial Narrow" w:hAnsi="Arial Narrow"/>
          <w:sz w:val="18"/>
        </w:rPr>
        <w:t>¿Qué es el hombre?</w:t>
      </w:r>
    </w:p>
    <w:p w14:paraId="7495445D" w14:textId="77777777" w:rsidR="00444BC9" w:rsidRDefault="00444BC9" w:rsidP="001925CE">
      <w:pPr>
        <w:ind w:left="425" w:hanging="425"/>
        <w:jc w:val="both"/>
      </w:pPr>
      <w:r>
        <w:rPr>
          <w:rFonts w:ascii="Arial Narrow" w:hAnsi="Arial Narrow"/>
          <w:sz w:val="18"/>
        </w:rPr>
        <w:t>El pensamiento de Kant, a través de estas cuatro preguntas, representa la cumbre de la Ilustración.”</w:t>
      </w:r>
    </w:p>
  </w:footnote>
  <w:footnote w:id="327">
    <w:p w14:paraId="1D6C905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Kant formado en el racionalismo, comienza a dudar del valor de la razón al leer a Hume, planteándose el problema del valor y los límites de ésta. La filosofía kantiana, pues, supone una síntesis del racionalismo y del empirismo.</w:t>
      </w:r>
    </w:p>
  </w:footnote>
  <w:footnote w:id="328">
    <w:p w14:paraId="68EAD48A" w14:textId="77777777" w:rsidR="00444BC9" w:rsidRDefault="00444BC9" w:rsidP="001925CE">
      <w:pPr>
        <w:ind w:left="425" w:hanging="425"/>
        <w:jc w:val="both"/>
        <w:rPr>
          <w:rFonts w:ascii="Arial Narrow" w:hAnsi="Arial Narrow"/>
          <w:sz w:val="18"/>
        </w:rPr>
      </w:pPr>
      <w:r>
        <w:rPr>
          <w:rStyle w:val="Refdenotaalpie"/>
          <w:rFonts w:ascii="Arial Narrow" w:hAnsi="Arial Narrow"/>
          <w:sz w:val="18"/>
          <w:vertAlign w:val="superscript"/>
        </w:rPr>
        <w:footnoteRef/>
      </w:r>
      <w:r>
        <w:rPr>
          <w:rFonts w:ascii="Arial Narrow" w:hAnsi="Arial Narrow"/>
          <w:sz w:val="18"/>
        </w:rPr>
        <w:t xml:space="preserve"> Kant había dividido a los imperativos en dos: imperativo hipotéticos (o condicionales), y los imperativos categóricos (o absolutos). Los imperativos categóricos tienen la característica de ser mandamientos éticos incondicionales, como si lo ordenado fuese un bien en sí. Ahora bien, Kant ha desarrollado diversas formulaciones del imperativo, clasificadas -según explica Ferrater Mora- así: “</w:t>
      </w:r>
      <w:r>
        <w:rPr>
          <w:rFonts w:ascii="Arial Narrow" w:hAnsi="Arial Narrow"/>
          <w:i/>
          <w:sz w:val="18"/>
        </w:rPr>
        <w:t xml:space="preserve">I) “Obra sólo de acuerdo con la máxima por la cual puedas al mismo tiempo querer que se convierta en ley universal” (fórmula de la ley universal); II “Obra como si la máxima de tu acción debiera convertirse por tu voluntad en ley universal de la Naturaleza” (fórmula de la ley de la Naturaleza); III) “Obra de tal modo que uses la humanidad tanto en tu propia persona como en la persona de cualquier otro, siempre a la vez como un fin, nunca simplemente como un medio” (fórmula del fin en sí mismo); IV) “Obra de tal modo que tu voluntad pueda considerarse a sí misma como constituyendo una ley universal por medio de su máxima” (fórmula de la autonomía); V) “Obra como si por medio de tus máximas fueras siempre un miembro legislador en un reino universal de fines” (fórmula del reino de los fines).” </w:t>
      </w:r>
    </w:p>
    <w:p w14:paraId="13E8980A" w14:textId="77777777" w:rsidR="00444BC9" w:rsidRDefault="00444BC9" w:rsidP="001925CE">
      <w:pPr>
        <w:spacing w:after="6"/>
        <w:ind w:left="425" w:hanging="425"/>
        <w:jc w:val="both"/>
      </w:pPr>
      <w:r>
        <w:rPr>
          <w:rFonts w:ascii="Arial Narrow" w:hAnsi="Arial Narrow"/>
          <w:sz w:val="18"/>
        </w:rPr>
        <w:t>Estos imperativos categóricos de la doctrina kantiana, han sufrido ciertas críticas y observaciones, como el de ser acusadas de muy rigoristas, por la universalidad de la que la revisten, e insuficientes, “...</w:t>
      </w:r>
      <w:r>
        <w:rPr>
          <w:rFonts w:ascii="Arial Narrow" w:hAnsi="Arial Narrow"/>
          <w:i/>
          <w:sz w:val="18"/>
        </w:rPr>
        <w:t>el imperativo categórico es un imperativo de la razón, que puede ser contrario a los imperativos de la vida.”</w:t>
      </w:r>
      <w:r>
        <w:rPr>
          <w:rFonts w:ascii="Arial Narrow" w:hAnsi="Arial Narrow"/>
          <w:sz w:val="18"/>
        </w:rPr>
        <w:t xml:space="preserve"> / </w:t>
      </w:r>
      <w:r>
        <w:rPr>
          <w:rFonts w:ascii="Arial Narrow" w:hAnsi="Arial Narrow"/>
          <w:smallCaps/>
          <w:sz w:val="18"/>
        </w:rPr>
        <w:t>Ferrater Mora</w:t>
      </w:r>
      <w:r>
        <w:rPr>
          <w:rFonts w:ascii="Arial Narrow" w:hAnsi="Arial Narrow"/>
          <w:sz w:val="18"/>
        </w:rPr>
        <w:t xml:space="preserve">, José. </w:t>
      </w:r>
      <w:r>
        <w:rPr>
          <w:rFonts w:ascii="Arial Narrow" w:hAnsi="Arial Narrow"/>
          <w:i/>
          <w:sz w:val="18"/>
        </w:rPr>
        <w:t>Diccionario de Filosofía Abreviado,</w:t>
      </w:r>
      <w:r>
        <w:rPr>
          <w:rFonts w:ascii="Arial Narrow" w:hAnsi="Arial Narrow"/>
          <w:sz w:val="18"/>
        </w:rPr>
        <w:t xml:space="preserve"> Editorial Sudamericana, pp. 215.</w:t>
      </w:r>
    </w:p>
  </w:footnote>
  <w:footnote w:id="329">
    <w:p w14:paraId="5D1D6C4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 xml:space="preserve">Barylko, </w:t>
      </w:r>
      <w:r>
        <w:rPr>
          <w:rFonts w:ascii="Arial Narrow" w:hAnsi="Arial Narrow"/>
          <w:sz w:val="18"/>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p.162.</w:t>
      </w:r>
    </w:p>
  </w:footnote>
  <w:footnote w:id="330">
    <w:p w14:paraId="4CD0E0C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164.</w:t>
      </w:r>
    </w:p>
  </w:footnote>
  <w:footnote w:id="331">
    <w:p w14:paraId="044BF01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i/>
          <w:sz w:val="18"/>
        </w:rPr>
        <w:t xml:space="preserve"> dice Ahrens</w:t>
      </w:r>
    </w:p>
  </w:footnote>
  <w:footnote w:id="332">
    <w:p w14:paraId="7047366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86.</w:t>
      </w:r>
    </w:p>
  </w:footnote>
  <w:footnote w:id="333">
    <w:p w14:paraId="76FE7A7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102.</w:t>
      </w:r>
    </w:p>
  </w:footnote>
  <w:footnote w:id="334">
    <w:p w14:paraId="1BACDC82"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239.</w:t>
      </w:r>
    </w:p>
  </w:footnote>
  <w:footnote w:id="335">
    <w:p w14:paraId="5194206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288.</w:t>
      </w:r>
    </w:p>
  </w:footnote>
  <w:footnote w:id="336">
    <w:p w14:paraId="3AABB33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Introducción al estudio del Derecho</w:t>
      </w:r>
      <w:r>
        <w:rPr>
          <w:rFonts w:ascii="Arial Narrow" w:hAnsi="Arial Narrow"/>
          <w:sz w:val="18"/>
        </w:rPr>
        <w:t>, pág 53.</w:t>
      </w:r>
    </w:p>
  </w:footnote>
  <w:footnote w:id="337">
    <w:p w14:paraId="6807D7E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Kan</w:t>
      </w:r>
      <w:r>
        <w:rPr>
          <w:rFonts w:ascii="Arial Narrow" w:hAnsi="Arial Narrow"/>
          <w:sz w:val="18"/>
        </w:rPr>
        <w:t xml:space="preserve">t, Enmanuel. </w:t>
      </w:r>
      <w:r>
        <w:rPr>
          <w:rFonts w:ascii="Arial Narrow" w:hAnsi="Arial Narrow"/>
          <w:i/>
          <w:sz w:val="18"/>
        </w:rPr>
        <w:t>El conflicto de las facultades.</w:t>
      </w:r>
      <w:r>
        <w:rPr>
          <w:rFonts w:ascii="Arial Narrow" w:hAnsi="Arial Narrow"/>
          <w:sz w:val="18"/>
        </w:rPr>
        <w:t xml:space="preserve"> Editorial Losada, Buenos Aires, p. 102.</w:t>
      </w:r>
    </w:p>
  </w:footnote>
  <w:footnote w:id="338">
    <w:p w14:paraId="0FF2308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107.</w:t>
      </w:r>
    </w:p>
  </w:footnote>
  <w:footnote w:id="339">
    <w:p w14:paraId="593C77B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119.</w:t>
      </w:r>
    </w:p>
  </w:footnote>
  <w:footnote w:id="340">
    <w:p w14:paraId="7FC8BA88" w14:textId="77777777" w:rsidR="00444BC9" w:rsidRDefault="00444BC9" w:rsidP="001925CE">
      <w:pPr>
        <w:pStyle w:val="Pie"/>
        <w:ind w:left="425" w:hanging="425"/>
      </w:pPr>
      <w:r>
        <w:rPr>
          <w:rStyle w:val="Refdenotaalpie"/>
          <w:sz w:val="18"/>
          <w:vertAlign w:val="superscript"/>
        </w:rPr>
        <w:footnoteRef/>
      </w:r>
      <w:r>
        <w:t xml:space="preserve">  "Existe, todavía, otra posibilidad que consiste en el intento de lograr la hipóstasis de dos mundos radicalmente separados, es decir de separar en la naturaleza el mundo de las normas del mundo de los eventos, como lo hizo Kant (sistemas dualistas)." /  C.J. Friedrich, "La filosofía del Derecho", pág. 17.</w:t>
      </w:r>
    </w:p>
  </w:footnote>
  <w:footnote w:id="341">
    <w:p w14:paraId="52A8EF90"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Introducción al estudio del Derecho</w:t>
      </w:r>
      <w:r>
        <w:rPr>
          <w:rFonts w:ascii="Arial Narrow" w:hAnsi="Arial Narrow"/>
          <w:sz w:val="18"/>
        </w:rPr>
        <w:t>, pág. 55.</w:t>
      </w:r>
    </w:p>
  </w:footnote>
  <w:footnote w:id="342">
    <w:p w14:paraId="35FB406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 xml:space="preserve">Introducción al Derecho, </w:t>
      </w:r>
      <w:r>
        <w:rPr>
          <w:rFonts w:ascii="Arial Narrow" w:hAnsi="Arial Narrow"/>
          <w:sz w:val="18"/>
        </w:rPr>
        <w:t xml:space="preserve">Editorial Edinaf, pp. 194. </w:t>
      </w:r>
    </w:p>
  </w:footnote>
  <w:footnote w:id="343">
    <w:p w14:paraId="02E28823"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194.</w:t>
      </w:r>
    </w:p>
  </w:footnote>
  <w:footnote w:id="344">
    <w:p w14:paraId="478D5C97"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195.</w:t>
      </w:r>
    </w:p>
  </w:footnote>
  <w:footnote w:id="345">
    <w:p w14:paraId="1525D757"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195.</w:t>
      </w:r>
    </w:p>
  </w:footnote>
  <w:footnote w:id="346">
    <w:p w14:paraId="67C2DDD9"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194.</w:t>
      </w:r>
    </w:p>
  </w:footnote>
  <w:footnote w:id="347">
    <w:p w14:paraId="39C5C55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Lecciones de Filosofía,</w:t>
      </w:r>
      <w:r>
        <w:rPr>
          <w:rFonts w:ascii="Arial Narrow" w:hAnsi="Arial Narrow"/>
          <w:sz w:val="18"/>
        </w:rPr>
        <w:t xml:space="preserve"> Editorial Porrua S.A., pp. 345.</w:t>
      </w:r>
    </w:p>
  </w:footnote>
  <w:footnote w:id="348">
    <w:p w14:paraId="73308FF1"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345, 346.</w:t>
      </w:r>
    </w:p>
  </w:footnote>
  <w:footnote w:id="349">
    <w:p w14:paraId="290EFBA0"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347.</w:t>
      </w:r>
    </w:p>
  </w:footnote>
  <w:footnote w:id="350">
    <w:p w14:paraId="3ED7F25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347, 348.</w:t>
      </w:r>
    </w:p>
  </w:footnote>
  <w:footnote w:id="351">
    <w:p w14:paraId="7D786C1C"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349, 350.</w:t>
      </w:r>
    </w:p>
  </w:footnote>
  <w:footnote w:id="352">
    <w:p w14:paraId="0FD8681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353, 354.</w:t>
      </w:r>
    </w:p>
  </w:footnote>
  <w:footnote w:id="353">
    <w:p w14:paraId="7C1DB57B"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354.</w:t>
      </w:r>
    </w:p>
  </w:footnote>
  <w:footnote w:id="354">
    <w:p w14:paraId="1AC8374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Su nombre completo es Georg Wilhelm Friedrich Hegel. Vivió en pleno auge del Romanticismo. Nació en Stuttargt 1770, colaboró con el romántico Shelling y murió de cólera.</w:t>
      </w:r>
    </w:p>
  </w:footnote>
  <w:footnote w:id="355">
    <w:p w14:paraId="0DFE7C7D"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441.</w:t>
      </w:r>
    </w:p>
  </w:footnote>
  <w:footnote w:id="356">
    <w:p w14:paraId="76FA700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441.</w:t>
      </w:r>
    </w:p>
  </w:footnote>
  <w:footnote w:id="357">
    <w:p w14:paraId="00A85AE5"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442.</w:t>
      </w:r>
    </w:p>
  </w:footnote>
  <w:footnote w:id="358">
    <w:p w14:paraId="55B3A60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en-US"/>
        </w:rPr>
        <w:t xml:space="preserve">Barylko, </w:t>
      </w:r>
      <w:r>
        <w:rPr>
          <w:rFonts w:ascii="Arial Narrow" w:hAnsi="Arial Narrow"/>
          <w:sz w:val="18"/>
          <w:lang w:val="en-US"/>
        </w:rPr>
        <w:t xml:space="preserve">Jaime. </w:t>
      </w:r>
      <w:r>
        <w:rPr>
          <w:rFonts w:ascii="Arial Narrow" w:hAnsi="Arial Narrow"/>
          <w:i/>
          <w:sz w:val="18"/>
        </w:rPr>
        <w:t>La Filosofía, Una invitación a pensar.</w:t>
      </w:r>
      <w:r>
        <w:rPr>
          <w:rFonts w:ascii="Arial Narrow" w:hAnsi="Arial Narrow"/>
          <w:sz w:val="18"/>
        </w:rPr>
        <w:t xml:space="preserve"> Argentina. Planeta. 4ta. Edición, 1997. p. 179.</w:t>
      </w:r>
    </w:p>
  </w:footnote>
  <w:footnote w:id="359">
    <w:p w14:paraId="67F56C8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449.</w:t>
      </w:r>
    </w:p>
  </w:footnote>
  <w:footnote w:id="360">
    <w:p w14:paraId="4D506FDF"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451.</w:t>
      </w:r>
    </w:p>
  </w:footnote>
  <w:footnote w:id="361">
    <w:p w14:paraId="21E0A42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lang w:val="en-US"/>
        </w:rPr>
        <w:t>Friedrich</w:t>
      </w:r>
      <w:r>
        <w:rPr>
          <w:rFonts w:ascii="Arial Narrow" w:hAnsi="Arial Narrow"/>
          <w:sz w:val="18"/>
          <w:lang w:val="en-US"/>
        </w:rPr>
        <w:t xml:space="preserve">, Carl Joachi. </w:t>
      </w:r>
      <w:r>
        <w:rPr>
          <w:rFonts w:ascii="Arial Narrow" w:hAnsi="Arial Narrow"/>
          <w:i/>
          <w:sz w:val="18"/>
        </w:rPr>
        <w:t>La filosofía del Derecho,</w:t>
      </w:r>
      <w:r>
        <w:rPr>
          <w:rFonts w:ascii="Arial Narrow" w:hAnsi="Arial Narrow"/>
          <w:sz w:val="18"/>
        </w:rPr>
        <w:t xml:space="preserve"> México, Fondo de Cultura Económica, 1997. p. 200.</w:t>
      </w:r>
    </w:p>
  </w:footnote>
  <w:footnote w:id="362">
    <w:p w14:paraId="4205C2A8"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Introducción al Derecho,</w:t>
      </w:r>
      <w:r>
        <w:rPr>
          <w:rFonts w:ascii="Arial Narrow" w:hAnsi="Arial Narrow"/>
          <w:sz w:val="18"/>
        </w:rPr>
        <w:t xml:space="preserve"> Ediciones Edinaf, pp. 200.</w:t>
      </w:r>
    </w:p>
  </w:footnote>
  <w:footnote w:id="363">
    <w:p w14:paraId="72098F1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Sin embargo Ribeyro creía que Marx puede volver, en gracia a aquella teoría de que la historia es circular no lineal, es decir: el eterno retorno. Marx, paradigma por mucho tiempo, mito y provocador de sentimientos revolucionarios ha muerto como panacea social.</w:t>
      </w:r>
    </w:p>
  </w:footnote>
  <w:footnote w:id="364">
    <w:p w14:paraId="73C3E41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Dicen, algunos autores biográficos, que Marx se pasaba horas y horas en la biblioteca; era el primero en entrar y el último en irse. Acompañado de su esposa cedió sus fortunas (la heredada por su esposa) a la obra de la clase trabajadora, a pesar de su modestísima y pobre condición económica. En su cuarto -lleno de humo y pensamientos- escribía sus obras. Le llamaban Moloch (diablo) y en su habitación se podían ver algunos surcos circulares hechos por su caminar continuo. Fumaba tanto que (a falta de dinero para comprar cigarrillos juntaba los puchos que encontraba por la calle, los unía y se los fumaba. Aparte de este vicio era muy querendón de sus hijos y tuvo, eso sí, una gran mujer que asumió la responsabilidad de manutención de la casa mientras su esposo, Marx, trabajaba en su obra filosófica.</w:t>
      </w:r>
    </w:p>
  </w:footnote>
  <w:footnote w:id="365">
    <w:p w14:paraId="3D12F63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Marx consideró plusvalía la diferencia del valor real de las riquezas producidas y el salario que el capitalista ha pagado al obrero, diferencia que resulta a favor del capitalismo.</w:t>
      </w:r>
    </w:p>
  </w:footnote>
  <w:footnote w:id="366">
    <w:p w14:paraId="1B7B7E8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Dice Marx</w:t>
      </w:r>
    </w:p>
  </w:footnote>
  <w:footnote w:id="367">
    <w:p w14:paraId="6BB2F5BC"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Sin embargo  Ribeyro decía de ese libro que le resultaba pesado.</w:t>
      </w:r>
    </w:p>
  </w:footnote>
  <w:footnote w:id="368">
    <w:p w14:paraId="4B8A1991"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480.</w:t>
      </w:r>
    </w:p>
  </w:footnote>
  <w:footnote w:id="369">
    <w:p w14:paraId="0C03BBA7"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Jaime Barylko, "La Filosofía, una invitación a pensar", pág. 189.</w:t>
      </w:r>
    </w:p>
  </w:footnote>
  <w:footnote w:id="370">
    <w:p w14:paraId="06429F5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Gaarder</w:t>
      </w:r>
      <w:r>
        <w:rPr>
          <w:rFonts w:ascii="Arial Narrow" w:hAnsi="Arial Narrow"/>
          <w:sz w:val="18"/>
        </w:rPr>
        <w:t xml:space="preserve">, Jostein. </w:t>
      </w:r>
      <w:r>
        <w:rPr>
          <w:rFonts w:ascii="Arial Narrow" w:hAnsi="Arial Narrow"/>
          <w:i/>
          <w:sz w:val="18"/>
        </w:rPr>
        <w:t xml:space="preserve">El mundo de Sofía.  </w:t>
      </w:r>
      <w:r>
        <w:rPr>
          <w:rFonts w:ascii="Arial Narrow" w:hAnsi="Arial Narrow"/>
          <w:sz w:val="18"/>
        </w:rPr>
        <w:t>Madrid,Ediciones Siruela /Grupo Editorial Norma, 1995. p. 482.</w:t>
      </w:r>
    </w:p>
  </w:footnote>
  <w:footnote w:id="371">
    <w:p w14:paraId="44E7330E"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Jaime Barylko, en su libro </w:t>
      </w:r>
      <w:r>
        <w:rPr>
          <w:rFonts w:ascii="Arial Narrow" w:hAnsi="Arial Narrow"/>
          <w:i/>
          <w:sz w:val="18"/>
        </w:rPr>
        <w:t>La filosofía, una invitación a pensar.</w:t>
      </w:r>
    </w:p>
  </w:footnote>
  <w:footnote w:id="372">
    <w:p w14:paraId="749E7C3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Massin</w:t>
      </w:r>
      <w:r>
        <w:rPr>
          <w:rFonts w:ascii="Arial Narrow" w:hAnsi="Arial Narrow"/>
          <w:sz w:val="18"/>
        </w:rPr>
        <w:t xml:space="preserve">i, Carlos Ignacio. </w:t>
      </w:r>
      <w:r>
        <w:rPr>
          <w:rFonts w:ascii="Arial Narrow" w:hAnsi="Arial Narrow"/>
          <w:i/>
          <w:sz w:val="18"/>
        </w:rPr>
        <w:t>Sobre el Realismo Jurídico.</w:t>
      </w:r>
      <w:r>
        <w:rPr>
          <w:rFonts w:ascii="Arial Narrow" w:hAnsi="Arial Narrow"/>
          <w:sz w:val="18"/>
        </w:rPr>
        <w:t xml:space="preserve"> Argentina, Abeledo-Perrot, 1978. p. 55.</w:t>
      </w:r>
    </w:p>
  </w:footnote>
  <w:footnote w:id="373">
    <w:p w14:paraId="7F1166C2"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Du Pasquier</w:t>
      </w:r>
      <w:r>
        <w:rPr>
          <w:rFonts w:ascii="Arial Narrow" w:hAnsi="Arial Narrow"/>
          <w:sz w:val="18"/>
        </w:rPr>
        <w:t xml:space="preserve">, Claude, </w:t>
      </w:r>
      <w:r>
        <w:rPr>
          <w:rFonts w:ascii="Arial Narrow" w:hAnsi="Arial Narrow"/>
          <w:i/>
          <w:sz w:val="18"/>
        </w:rPr>
        <w:t xml:space="preserve">Introducción al Derecho, </w:t>
      </w:r>
      <w:r>
        <w:rPr>
          <w:rFonts w:ascii="Arial Narrow" w:hAnsi="Arial Narrow"/>
          <w:sz w:val="18"/>
        </w:rPr>
        <w:t>Editorial Edinaf, pp. 202.</w:t>
      </w:r>
    </w:p>
  </w:footnote>
  <w:footnote w:id="374">
    <w:p w14:paraId="59A013A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Trazegnies</w:t>
      </w:r>
      <w:r>
        <w:rPr>
          <w:rFonts w:ascii="Arial Narrow" w:hAnsi="Arial Narrow"/>
          <w:sz w:val="18"/>
        </w:rPr>
        <w:t xml:space="preserve">, Fernando de, </w:t>
      </w:r>
      <w:r>
        <w:rPr>
          <w:rFonts w:ascii="Arial Narrow" w:hAnsi="Arial Narrow"/>
          <w:i/>
          <w:sz w:val="18"/>
        </w:rPr>
        <w:t>Introducción a la Filosofía del Derecho y a la Teoría General del Derecho,</w:t>
      </w:r>
      <w:r>
        <w:rPr>
          <w:rFonts w:ascii="Arial Narrow" w:hAnsi="Arial Narrow"/>
          <w:sz w:val="18"/>
        </w:rPr>
        <w:t xml:space="preserve"> Ediciones de la Pontificia Universidad Católica del Perú, pp. 120. </w:t>
      </w:r>
    </w:p>
  </w:footnote>
  <w:footnote w:id="375">
    <w:p w14:paraId="6D1E5B75"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120.</w:t>
      </w:r>
    </w:p>
  </w:footnote>
  <w:footnote w:id="376">
    <w:p w14:paraId="40A79263"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Ibid. p. 120.</w:t>
      </w:r>
    </w:p>
  </w:footnote>
  <w:footnote w:id="377">
    <w:p w14:paraId="77A7B59B"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 xml:space="preserve">Filosofía del Derecho, </w:t>
      </w:r>
      <w:r>
        <w:rPr>
          <w:rFonts w:ascii="Arial Narrow" w:hAnsi="Arial Narrow"/>
          <w:sz w:val="18"/>
        </w:rPr>
        <w:t>Ediciones Edigraf, pp. 41.</w:t>
      </w:r>
    </w:p>
  </w:footnote>
  <w:footnote w:id="378">
    <w:p w14:paraId="77EEECBF"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Lecciones de Filosofía,</w:t>
      </w:r>
      <w:r>
        <w:rPr>
          <w:rFonts w:ascii="Arial Narrow" w:hAnsi="Arial Narrow"/>
          <w:sz w:val="18"/>
        </w:rPr>
        <w:t xml:space="preserve"> Editorial Porrua S.A., pp. 407.</w:t>
      </w:r>
    </w:p>
  </w:footnote>
  <w:footnote w:id="379">
    <w:p w14:paraId="23FD5BE4"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z w:val="18"/>
        </w:rPr>
        <w:t xml:space="preserve"> Escribe Kelsen, parafraseado por Miguel Villoro./ Villoro Toranzo, Miguel, </w:t>
      </w:r>
      <w:r>
        <w:rPr>
          <w:rFonts w:ascii="Arial Narrow" w:hAnsi="Arial Narrow"/>
          <w:i/>
          <w:sz w:val="18"/>
        </w:rPr>
        <w:t>Lecciones de Filosofía,</w:t>
      </w:r>
      <w:r>
        <w:rPr>
          <w:rFonts w:ascii="Arial Narrow" w:hAnsi="Arial Narrow"/>
          <w:sz w:val="18"/>
        </w:rPr>
        <w:t xml:space="preserve"> Editorial Porrua S.A., pp. 407.</w:t>
      </w:r>
    </w:p>
  </w:footnote>
  <w:footnote w:id="380">
    <w:p w14:paraId="49BB0116" w14:textId="77777777" w:rsidR="00444BC9" w:rsidRDefault="00444BC9" w:rsidP="001925CE">
      <w:pPr>
        <w:spacing w:after="6"/>
        <w:ind w:left="425" w:hanging="425"/>
        <w:jc w:val="both"/>
      </w:pPr>
      <w:r>
        <w:rPr>
          <w:rStyle w:val="Refdenotaalpie"/>
          <w:rFonts w:ascii="Arial Narrow" w:hAnsi="Arial Narrow"/>
          <w:sz w:val="18"/>
          <w:vertAlign w:val="superscript"/>
        </w:rPr>
        <w:footnoteRef/>
      </w:r>
      <w:r>
        <w:rPr>
          <w:rFonts w:ascii="Arial Narrow" w:hAnsi="Arial Narrow"/>
          <w:smallCaps/>
          <w:sz w:val="18"/>
        </w:rPr>
        <w:t>Villoro Toranzo</w:t>
      </w:r>
      <w:r>
        <w:rPr>
          <w:rFonts w:ascii="Arial Narrow" w:hAnsi="Arial Narrow"/>
          <w:sz w:val="18"/>
        </w:rPr>
        <w:t xml:space="preserve">, Miguel. </w:t>
      </w:r>
      <w:r>
        <w:rPr>
          <w:rFonts w:ascii="Arial Narrow" w:hAnsi="Arial Narrow"/>
          <w:i/>
          <w:sz w:val="18"/>
        </w:rPr>
        <w:t>Lecciones de Filosofía,</w:t>
      </w:r>
      <w:r>
        <w:rPr>
          <w:rFonts w:ascii="Arial Narrow" w:hAnsi="Arial Narrow"/>
          <w:sz w:val="18"/>
        </w:rPr>
        <w:t xml:space="preserve"> Editorial Porrua S.A., pp. 410.</w:t>
      </w:r>
    </w:p>
  </w:footnote>
  <w:footnote w:id="381">
    <w:p w14:paraId="262578DE"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410.</w:t>
      </w:r>
    </w:p>
  </w:footnote>
  <w:footnote w:id="382">
    <w:p w14:paraId="069AA841"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410.</w:t>
      </w:r>
    </w:p>
  </w:footnote>
  <w:footnote w:id="383">
    <w:p w14:paraId="763583A7" w14:textId="77777777" w:rsidR="00444BC9" w:rsidRPr="00EA156D" w:rsidRDefault="00444BC9" w:rsidP="001925CE">
      <w:pPr>
        <w:spacing w:after="6"/>
        <w:ind w:left="425" w:hanging="425"/>
        <w:jc w:val="both"/>
        <w:rPr>
          <w:lang w:val="en-US"/>
        </w:rPr>
      </w:pPr>
      <w:r>
        <w:rPr>
          <w:rStyle w:val="Refdenotaalpie"/>
          <w:rFonts w:ascii="Arial Narrow" w:hAnsi="Arial Narrow"/>
          <w:sz w:val="18"/>
          <w:vertAlign w:val="superscript"/>
        </w:rPr>
        <w:footnoteRef/>
      </w:r>
      <w:r>
        <w:rPr>
          <w:rFonts w:ascii="Arial Narrow" w:hAnsi="Arial Narrow"/>
          <w:sz w:val="18"/>
          <w:lang w:val="en-US"/>
        </w:rPr>
        <w:t xml:space="preserve"> Ibid. p. 41,412.</w:t>
      </w:r>
    </w:p>
  </w:footnote>
  <w:footnote w:id="384">
    <w:p w14:paraId="747BE871"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Leer el artículo de Arturo Uslar Pietri: Justiniano.</w:t>
      </w:r>
    </w:p>
  </w:footnote>
  <w:footnote w:id="385">
    <w:p w14:paraId="5091292A"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Se casó con la bella prostituta Theodora.  Insertamos sólo con fines pedagógicos e históricos (conocer el Derecho siempre pasa por detalles históricos) un artículo rescatado de Internet sobre Theodora.</w:t>
      </w:r>
    </w:p>
    <w:p w14:paraId="6BE522AC" w14:textId="77777777" w:rsidR="00444BC9" w:rsidRDefault="00444BC9" w:rsidP="001925CE">
      <w:pPr>
        <w:pStyle w:val="Textonotapie"/>
        <w:rPr>
          <w:rFonts w:ascii="Arial Narrow" w:hAnsi="Arial Narrow"/>
          <w:sz w:val="16"/>
        </w:rPr>
      </w:pPr>
    </w:p>
  </w:footnote>
  <w:footnote w:id="386">
    <w:p w14:paraId="50700856"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 Pp. 18.</w:t>
      </w:r>
    </w:p>
  </w:footnote>
  <w:footnote w:id="387">
    <w:p w14:paraId="74FC9BCA"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Vidal Ramírez, Fernando. </w:t>
      </w:r>
      <w:r>
        <w:rPr>
          <w:rFonts w:ascii="Arial Narrow" w:hAnsi="Arial Narrow"/>
          <w:i/>
          <w:sz w:val="16"/>
        </w:rPr>
        <w:t>Introducción al Derecho Civil Peruano.</w:t>
      </w:r>
      <w:r>
        <w:rPr>
          <w:rFonts w:ascii="Arial Narrow" w:hAnsi="Arial Narrow"/>
          <w:sz w:val="16"/>
        </w:rPr>
        <w:t xml:space="preserve"> WG Editor. Lima, 1992. Pp. 13.</w:t>
      </w:r>
    </w:p>
  </w:footnote>
  <w:footnote w:id="388">
    <w:p w14:paraId="19F17857"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Esta clasificación la extraemos y resumimos de Vidal Ramírez. O sea que no es nuestra es una mala copia. /  Vidal Ramírez, Fernando. </w:t>
      </w:r>
      <w:r>
        <w:rPr>
          <w:rFonts w:ascii="Arial Narrow" w:hAnsi="Arial Narrow"/>
          <w:i/>
          <w:sz w:val="16"/>
        </w:rPr>
        <w:t>Introducción al Derecho Civil Peruano.</w:t>
      </w:r>
      <w:r>
        <w:rPr>
          <w:rFonts w:ascii="Arial Narrow" w:hAnsi="Arial Narrow"/>
          <w:sz w:val="16"/>
        </w:rPr>
        <w:t xml:space="preserve"> WG Editor. Lima, 1992. Pp. 18.</w:t>
      </w:r>
    </w:p>
  </w:footnote>
  <w:footnote w:id="389">
    <w:p w14:paraId="5FA26111"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Para algún intrépido e inteligente sujeto hay un hermoso ejemplar moderno del Digesto de Justiniano en la Biblioteca del Ilustre Colegio de Abogados de Tacna y Moquegua. </w:t>
      </w:r>
    </w:p>
  </w:footnote>
  <w:footnote w:id="390">
    <w:p w14:paraId="7372C39B"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Vidal Ramírez, Fernando. </w:t>
      </w:r>
      <w:r>
        <w:rPr>
          <w:rFonts w:ascii="Arial Narrow" w:hAnsi="Arial Narrow"/>
          <w:i/>
          <w:sz w:val="16"/>
        </w:rPr>
        <w:t>Introducción al Derecho Civil Peruano.</w:t>
      </w:r>
      <w:r>
        <w:rPr>
          <w:rFonts w:ascii="Arial Narrow" w:hAnsi="Arial Narrow"/>
          <w:sz w:val="16"/>
        </w:rPr>
        <w:t xml:space="preserve"> WG Editor. Lima, 1992. Pp. 18.</w:t>
      </w:r>
    </w:p>
  </w:footnote>
  <w:footnote w:id="391">
    <w:p w14:paraId="14C709DF"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392">
    <w:p w14:paraId="32D26D87"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Hay un ejemplar en la Biblioteca de la Facultad de Derecho de la U.P.T. ¡Sí! ¡Aunque Ud. no lo crea!</w:t>
      </w:r>
    </w:p>
  </w:footnote>
  <w:footnote w:id="393">
    <w:p w14:paraId="4DC0B2C0" w14:textId="77777777" w:rsidR="00444BC9" w:rsidRPr="0055525C" w:rsidRDefault="00444BC9" w:rsidP="001925CE">
      <w:pPr>
        <w:pStyle w:val="Textonotapie"/>
        <w:rPr>
          <w:rFonts w:ascii="Arial Narrow" w:hAnsi="Arial Narrow"/>
          <w:sz w:val="16"/>
        </w:rPr>
      </w:pPr>
      <w:r>
        <w:rPr>
          <w:rStyle w:val="Refdenotaalpie"/>
          <w:rFonts w:ascii="Arial Narrow" w:hAnsi="Arial Narrow"/>
          <w:sz w:val="16"/>
        </w:rPr>
        <w:footnoteRef/>
      </w:r>
      <w:r w:rsidRPr="0055525C">
        <w:rPr>
          <w:rFonts w:ascii="Arial Narrow" w:hAnsi="Arial Narrow"/>
          <w:sz w:val="16"/>
        </w:rPr>
        <w:t>Ibid. Pp. 19.</w:t>
      </w:r>
    </w:p>
  </w:footnote>
  <w:footnote w:id="394">
    <w:p w14:paraId="7496605D" w14:textId="77777777" w:rsidR="00444BC9" w:rsidRPr="0055525C" w:rsidRDefault="00444BC9" w:rsidP="001925CE">
      <w:pPr>
        <w:pStyle w:val="Textonotapie"/>
        <w:rPr>
          <w:rFonts w:ascii="Arial Narrow" w:hAnsi="Arial Narrow"/>
          <w:sz w:val="16"/>
        </w:rPr>
      </w:pPr>
      <w:r>
        <w:rPr>
          <w:rStyle w:val="Refdenotaalpie"/>
          <w:rFonts w:ascii="Arial Narrow" w:hAnsi="Arial Narrow"/>
          <w:sz w:val="16"/>
        </w:rPr>
        <w:footnoteRef/>
      </w:r>
      <w:r w:rsidRPr="0055525C">
        <w:rPr>
          <w:rFonts w:ascii="Arial Narrow" w:hAnsi="Arial Narrow"/>
          <w:sz w:val="16"/>
        </w:rPr>
        <w:t xml:space="preserve">Ibid. </w:t>
      </w:r>
    </w:p>
  </w:footnote>
  <w:footnote w:id="395">
    <w:p w14:paraId="47FBD036" w14:textId="77777777" w:rsidR="00444BC9" w:rsidRPr="0055525C" w:rsidRDefault="00444BC9" w:rsidP="001925CE">
      <w:pPr>
        <w:pStyle w:val="Textonotapie"/>
        <w:rPr>
          <w:rFonts w:ascii="Arial Narrow" w:hAnsi="Arial Narrow"/>
          <w:sz w:val="16"/>
        </w:rPr>
      </w:pPr>
      <w:r>
        <w:rPr>
          <w:rStyle w:val="Refdenotaalpie"/>
          <w:rFonts w:ascii="Arial Narrow" w:hAnsi="Arial Narrow"/>
          <w:sz w:val="16"/>
        </w:rPr>
        <w:footnoteRef/>
      </w:r>
      <w:r w:rsidRPr="0055525C">
        <w:rPr>
          <w:rFonts w:ascii="Arial Narrow" w:hAnsi="Arial Narrow"/>
          <w:sz w:val="16"/>
        </w:rPr>
        <w:t>Ibid. Pp. 18.</w:t>
      </w:r>
    </w:p>
  </w:footnote>
  <w:footnote w:id="396">
    <w:p w14:paraId="226F8E59"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sidRPr="0055525C">
        <w:rPr>
          <w:rFonts w:ascii="Arial Narrow" w:hAnsi="Arial Narrow"/>
          <w:smallCaps/>
          <w:sz w:val="16"/>
        </w:rPr>
        <w:t>Merryman</w:t>
      </w:r>
      <w:r w:rsidRPr="0055525C">
        <w:rPr>
          <w:rFonts w:ascii="Arial Narrow" w:hAnsi="Arial Narrow"/>
          <w:sz w:val="16"/>
        </w:rPr>
        <w:t xml:space="preserve">, John Henry. </w:t>
      </w:r>
      <w:r>
        <w:rPr>
          <w:rFonts w:ascii="Arial Narrow" w:hAnsi="Arial Narrow"/>
          <w:i/>
          <w:sz w:val="16"/>
        </w:rPr>
        <w:t>Sistemas legales en América Latina y Europa</w:t>
      </w:r>
      <w:r>
        <w:rPr>
          <w:rFonts w:ascii="Arial Narrow" w:hAnsi="Arial Narrow"/>
          <w:sz w:val="16"/>
        </w:rPr>
        <w:t>. Fondo de Cultura Económica.</w:t>
      </w:r>
    </w:p>
  </w:footnote>
  <w:footnote w:id="397">
    <w:p w14:paraId="2CB4A0EF"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mallCaps/>
          <w:sz w:val="16"/>
        </w:rPr>
        <w:t xml:space="preserve">Ibid. </w:t>
      </w:r>
      <w:r>
        <w:rPr>
          <w:rFonts w:ascii="Arial Narrow" w:hAnsi="Arial Narrow"/>
          <w:sz w:val="16"/>
        </w:rPr>
        <w:t>Pp. 26.</w:t>
      </w:r>
    </w:p>
  </w:footnote>
  <w:footnote w:id="398">
    <w:p w14:paraId="288EB7EF"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Ayala Añazco, Emilio, “</w:t>
      </w:r>
      <w:r>
        <w:rPr>
          <w:rFonts w:ascii="Arial Narrow" w:hAnsi="Arial Narrow"/>
          <w:i/>
          <w:sz w:val="16"/>
        </w:rPr>
        <w:t>¿Abogacía o abogacías? ¿Distintas naturalezas o sólo diferentes modalidades de ejercicio? Descripción y análisis?;</w:t>
      </w:r>
    </w:p>
  </w:footnote>
  <w:footnote w:id="399">
    <w:p w14:paraId="06330DC4"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400">
    <w:p w14:paraId="6FA3C5AF"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Amilcar A. Mercader. “</w:t>
      </w:r>
      <w:r>
        <w:rPr>
          <w:rFonts w:ascii="Arial Narrow" w:hAnsi="Arial Narrow"/>
          <w:i/>
          <w:sz w:val="16"/>
        </w:rPr>
        <w:t>Abogados”.</w:t>
      </w:r>
    </w:p>
  </w:footnote>
  <w:footnote w:id="401">
    <w:p w14:paraId="78E3AE3A"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402">
    <w:p w14:paraId="519FD763"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403">
    <w:p w14:paraId="7C16D597"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404">
    <w:p w14:paraId="130CFFE3"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w:t>
      </w:r>
    </w:p>
  </w:footnote>
  <w:footnote w:id="405">
    <w:p w14:paraId="74C16F05"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Para los más atrevidos profanos la historia no sirve de nada, “¿qué es la historia sino la narración de hechos pasados?, y si ya pasaron para qué los necesitamos?” -dicen estos utilitaristas. Sin embargo hemos de hacer una constricción, es en la historia de donde podemos entresacar los más grandes complejos modernos. Los hombres son siempre “a partir de su historia”. No empiezan de cero, sino que vienen perpetuando los dogmas y valores históricos. Todos los conceptos, principios o instituciones son caracterizaciones históricas nada menos. IsaiahBerlin hablaba que todas nuestras categorías mentales, nuestras formas de categorización nos vienen de la historia. BUSCAR BASADRE  Y BERLIN. </w:t>
      </w:r>
    </w:p>
  </w:footnote>
  <w:footnote w:id="406">
    <w:p w14:paraId="3BCCFE90"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Emilio Ayala Añazco, en un artículo denominado “</w:t>
      </w:r>
      <w:r>
        <w:rPr>
          <w:rFonts w:ascii="Arial Narrow" w:hAnsi="Arial Narrow"/>
          <w:i/>
          <w:sz w:val="16"/>
        </w:rPr>
        <w:t>¿Abogacía o abogacías? ¿Distintas naturalezas o sólo diferentes modalidades de ejercicio? Descripción y análisis.</w:t>
      </w:r>
    </w:p>
  </w:footnote>
  <w:footnote w:id="407">
    <w:p w14:paraId="424EBBF2"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Emilio Ayala Añazco, en un artículo denominado “</w:t>
      </w:r>
      <w:r>
        <w:rPr>
          <w:rFonts w:ascii="Arial Narrow" w:hAnsi="Arial Narrow"/>
          <w:i/>
          <w:sz w:val="16"/>
        </w:rPr>
        <w:t>¿Abogacía o abogacías? ¿Distintas naturalezas o sólo diferentes modalidades de ejercicio? Descripción y análisis.</w:t>
      </w:r>
    </w:p>
  </w:footnote>
  <w:footnote w:id="408">
    <w:p w14:paraId="618D0063"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Fernando de Trazegnies Granda ha escrito un libro denominado Ciriaco de Urtecho.</w:t>
      </w:r>
      <w:r>
        <w:rPr>
          <w:rFonts w:ascii="Arial Narrow" w:hAnsi="Arial Narrow"/>
          <w:i/>
          <w:sz w:val="16"/>
        </w:rPr>
        <w:t>Litigante por amor.</w:t>
      </w:r>
    </w:p>
  </w:footnote>
  <w:footnote w:id="409">
    <w:p w14:paraId="7954CF1F" w14:textId="77777777" w:rsidR="00444BC9" w:rsidRDefault="00444BC9" w:rsidP="001925CE">
      <w:pPr>
        <w:ind w:hanging="425"/>
        <w:jc w:val="both"/>
        <w:rPr>
          <w:rFonts w:ascii="Arial Narrow" w:hAnsi="Arial Narrow"/>
          <w:sz w:val="16"/>
        </w:rPr>
      </w:pPr>
      <w:r>
        <w:rPr>
          <w:rStyle w:val="Refdenotaalpie"/>
          <w:rFonts w:ascii="Arial Narrow" w:hAnsi="Arial Narrow"/>
          <w:sz w:val="16"/>
        </w:rPr>
        <w:footnoteRef/>
      </w:r>
      <w:r>
        <w:rPr>
          <w:rFonts w:ascii="Arial Narrow" w:hAnsi="Arial Narrow"/>
          <w:smallCaps/>
          <w:sz w:val="16"/>
        </w:rPr>
        <w:t>Basadre Grohmann</w:t>
      </w:r>
      <w:r>
        <w:rPr>
          <w:rFonts w:ascii="Arial Narrow" w:hAnsi="Arial Narrow"/>
          <w:sz w:val="16"/>
        </w:rPr>
        <w:t xml:space="preserve">, Jorge. </w:t>
      </w:r>
      <w:r>
        <w:rPr>
          <w:rFonts w:ascii="Arial Narrow" w:hAnsi="Arial Narrow"/>
          <w:i/>
          <w:sz w:val="16"/>
        </w:rPr>
        <w:t>Historia del Derecho Peruano,</w:t>
      </w:r>
      <w:r>
        <w:rPr>
          <w:rFonts w:ascii="Arial Narrow" w:hAnsi="Arial Narrow"/>
          <w:sz w:val="16"/>
        </w:rPr>
        <w:t xml:space="preserve"> Lima, Studium</w:t>
      </w:r>
      <w:r>
        <w:rPr>
          <w:rFonts w:ascii="Arial Narrow" w:hAnsi="Arial Narrow"/>
          <w:i/>
          <w:sz w:val="16"/>
        </w:rPr>
        <w:t xml:space="preserve">, </w:t>
      </w:r>
      <w:r>
        <w:rPr>
          <w:rFonts w:ascii="Arial Narrow" w:hAnsi="Arial Narrow"/>
          <w:sz w:val="16"/>
        </w:rPr>
        <w:t>IV edición, 1988,p</w:t>
      </w:r>
      <w:r>
        <w:rPr>
          <w:rFonts w:ascii="Arial Narrow" w:hAnsi="Arial Narrow"/>
          <w:i/>
          <w:sz w:val="16"/>
        </w:rPr>
        <w:t>.</w:t>
      </w:r>
      <w:r>
        <w:rPr>
          <w:rFonts w:ascii="Arial Narrow" w:hAnsi="Arial Narrow"/>
          <w:sz w:val="16"/>
        </w:rPr>
        <w:t xml:space="preserve"> 53</w:t>
      </w:r>
    </w:p>
  </w:footnote>
  <w:footnote w:id="410">
    <w:p w14:paraId="459ACD73" w14:textId="77777777" w:rsidR="00444BC9" w:rsidRDefault="00444BC9" w:rsidP="001925CE">
      <w:pPr>
        <w:ind w:hanging="142"/>
        <w:jc w:val="both"/>
        <w:rPr>
          <w:rFonts w:ascii="Arial Narrow" w:hAnsi="Arial Narrow"/>
          <w:b/>
          <w:sz w:val="16"/>
        </w:rPr>
      </w:pPr>
      <w:r>
        <w:rPr>
          <w:rStyle w:val="Refdenotaalpie"/>
          <w:rFonts w:ascii="Arial Narrow" w:hAnsi="Arial Narrow"/>
          <w:sz w:val="16"/>
        </w:rPr>
        <w:footnoteRef/>
      </w:r>
      <w:r>
        <w:rPr>
          <w:rFonts w:ascii="Arial Narrow" w:hAnsi="Arial Narrow"/>
          <w:smallCaps/>
          <w:sz w:val="16"/>
        </w:rPr>
        <w:t>Trazengies Granda</w:t>
      </w:r>
      <w:r>
        <w:rPr>
          <w:rFonts w:ascii="Arial Narrow" w:hAnsi="Arial Narrow"/>
          <w:sz w:val="16"/>
        </w:rPr>
        <w:t xml:space="preserve">, Fernando de, </w:t>
      </w:r>
      <w:r>
        <w:rPr>
          <w:rFonts w:ascii="Arial Narrow" w:hAnsi="Arial Narrow"/>
          <w:i/>
          <w:sz w:val="16"/>
        </w:rPr>
        <w:t>Introducción a la Filosofía del Derecho y a la teoría General del Derecho,</w:t>
      </w:r>
      <w:r>
        <w:rPr>
          <w:rFonts w:ascii="Arial Narrow" w:hAnsi="Arial Narrow"/>
          <w:sz w:val="16"/>
        </w:rPr>
        <w:t xml:space="preserve"> Editorial de la Pontificia Universidad católica del Perú, pp. 276.</w:t>
      </w:r>
    </w:p>
  </w:footnote>
  <w:footnote w:id="411">
    <w:p w14:paraId="5EC891E9"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mallCaps/>
          <w:sz w:val="16"/>
        </w:rPr>
        <w:t>Eco</w:t>
      </w:r>
      <w:r>
        <w:rPr>
          <w:rFonts w:ascii="Arial Narrow" w:hAnsi="Arial Narrow"/>
          <w:sz w:val="16"/>
        </w:rPr>
        <w:t xml:space="preserve">, Umberto. </w:t>
      </w:r>
      <w:r>
        <w:rPr>
          <w:rFonts w:ascii="Arial Narrow" w:hAnsi="Arial Narrow"/>
          <w:i/>
          <w:sz w:val="16"/>
        </w:rPr>
        <w:t>Cómo se hace una tesis</w:t>
      </w:r>
      <w:r>
        <w:rPr>
          <w:rFonts w:ascii="Arial Narrow" w:hAnsi="Arial Narrow"/>
          <w:sz w:val="16"/>
        </w:rPr>
        <w:t>. Versión castellana de Lucía Baranda y Alberto Clavería Ibánez. Ediciones Gedisa. Colección Libertad y Cambio. Serie Práctica. 3ra. Reimpresión México, 1986. Pág. 24.</w:t>
      </w:r>
    </w:p>
  </w:footnote>
  <w:footnote w:id="412">
    <w:p w14:paraId="4F928F61"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Amilcar A. Mercader. “</w:t>
      </w:r>
      <w:r>
        <w:rPr>
          <w:rFonts w:ascii="Arial Narrow" w:hAnsi="Arial Narrow"/>
          <w:i/>
          <w:sz w:val="16"/>
        </w:rPr>
        <w:t>Abogados”.</w:t>
      </w:r>
    </w:p>
  </w:footnote>
  <w:footnote w:id="413">
    <w:p w14:paraId="4493601E"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Francesco Carnelutti. </w:t>
      </w:r>
      <w:r>
        <w:rPr>
          <w:rFonts w:ascii="Arial Narrow" w:hAnsi="Arial Narrow"/>
          <w:i/>
          <w:sz w:val="16"/>
        </w:rPr>
        <w:t xml:space="preserve">Arte del Derecho. </w:t>
      </w:r>
      <w:r>
        <w:rPr>
          <w:rFonts w:ascii="Arial Narrow" w:hAnsi="Arial Narrow"/>
          <w:sz w:val="16"/>
        </w:rPr>
        <w:t>Pág. 9.</w:t>
      </w:r>
    </w:p>
  </w:footnote>
  <w:footnote w:id="414">
    <w:p w14:paraId="64DB3D9B"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Ibidem. </w:t>
      </w:r>
    </w:p>
  </w:footnote>
  <w:footnote w:id="415">
    <w:p w14:paraId="49D753ED"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Ibidem. Pág. 10</w:t>
      </w:r>
    </w:p>
  </w:footnote>
  <w:footnote w:id="416">
    <w:p w14:paraId="64BB8529"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Francesco Carnelutti. </w:t>
      </w:r>
      <w:r>
        <w:rPr>
          <w:rFonts w:ascii="Arial Narrow" w:hAnsi="Arial Narrow"/>
          <w:i/>
          <w:sz w:val="16"/>
        </w:rPr>
        <w:t xml:space="preserve">Arte del Derecho. </w:t>
      </w:r>
      <w:r>
        <w:rPr>
          <w:rFonts w:ascii="Arial Narrow" w:hAnsi="Arial Narrow"/>
          <w:sz w:val="16"/>
        </w:rPr>
        <w:t>Pág. 22.</w:t>
      </w:r>
    </w:p>
  </w:footnote>
  <w:footnote w:id="417">
    <w:p w14:paraId="08F05C7A"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Francesco Carnelutti. </w:t>
      </w:r>
      <w:r>
        <w:rPr>
          <w:rFonts w:ascii="Arial Narrow" w:hAnsi="Arial Narrow"/>
          <w:i/>
          <w:sz w:val="16"/>
        </w:rPr>
        <w:t xml:space="preserve">Arte del Derecho. </w:t>
      </w:r>
      <w:r>
        <w:rPr>
          <w:rFonts w:ascii="Arial Narrow" w:hAnsi="Arial Narrow"/>
          <w:sz w:val="16"/>
        </w:rPr>
        <w:t>Pág. 67.</w:t>
      </w:r>
    </w:p>
  </w:footnote>
  <w:footnote w:id="418">
    <w:p w14:paraId="08185AFD"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Francesco Carnelutti. </w:t>
      </w:r>
      <w:r>
        <w:rPr>
          <w:rFonts w:ascii="Arial Narrow" w:hAnsi="Arial Narrow"/>
          <w:i/>
          <w:sz w:val="16"/>
        </w:rPr>
        <w:t xml:space="preserve">Arte del Derecho. </w:t>
      </w:r>
      <w:r>
        <w:rPr>
          <w:rFonts w:ascii="Arial Narrow" w:hAnsi="Arial Narrow"/>
          <w:sz w:val="16"/>
        </w:rPr>
        <w:t>Pág. 16.</w:t>
      </w:r>
    </w:p>
  </w:footnote>
  <w:footnote w:id="419">
    <w:p w14:paraId="296744E6"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Francesco Carnelutti. </w:t>
      </w:r>
      <w:r>
        <w:rPr>
          <w:rFonts w:ascii="Arial Narrow" w:hAnsi="Arial Narrow"/>
          <w:i/>
          <w:sz w:val="16"/>
        </w:rPr>
        <w:t xml:space="preserve">Arte del Derecho. </w:t>
      </w:r>
      <w:r>
        <w:rPr>
          <w:rFonts w:ascii="Arial Narrow" w:hAnsi="Arial Narrow"/>
          <w:sz w:val="16"/>
        </w:rPr>
        <w:t>Pág. 18.</w:t>
      </w:r>
    </w:p>
  </w:footnote>
  <w:footnote w:id="420">
    <w:p w14:paraId="79CAECBD"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Francesco Carnelutti. </w:t>
      </w:r>
      <w:r>
        <w:rPr>
          <w:rFonts w:ascii="Arial Narrow" w:hAnsi="Arial Narrow"/>
          <w:i/>
          <w:sz w:val="16"/>
        </w:rPr>
        <w:t xml:space="preserve">Arte del Derecho. </w:t>
      </w:r>
      <w:r>
        <w:rPr>
          <w:rFonts w:ascii="Arial Narrow" w:hAnsi="Arial Narrow"/>
          <w:sz w:val="16"/>
        </w:rPr>
        <w:t>Pág. 18.</w:t>
      </w:r>
    </w:p>
  </w:footnote>
  <w:footnote w:id="421">
    <w:p w14:paraId="78E90FE9" w14:textId="77777777" w:rsidR="00444BC9" w:rsidRDefault="00444BC9" w:rsidP="001925CE">
      <w:pPr>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Hablando ahora del Trabajo, Herbert Marcuse nos habla, o nos descifra su zoom, en un libro fascinante denominado </w:t>
      </w:r>
      <w:r w:rsidRPr="00504CEA">
        <w:rPr>
          <w:rFonts w:ascii="Arial Narrow" w:hAnsi="Arial Narrow"/>
          <w:i/>
          <w:sz w:val="16"/>
        </w:rPr>
        <w:t>“Ética de la Revolución</w:t>
      </w:r>
      <w:r>
        <w:rPr>
          <w:rFonts w:ascii="Arial Narrow" w:hAnsi="Arial Narrow"/>
          <w:sz w:val="16"/>
        </w:rPr>
        <w:t>”. En el inserta un ensayo “Acerca de los fundamentos filosóficos del concepto científico económico del trabajo”, en el que intenta describir qué es el trabajo, a qué fenómenos o factores responde; intenta lograr su comprensión, y hacer un deslinde de la conceptualización económica que se le ha dado, por eso empieza primero por allí, por el concepto económico.</w:t>
      </w:r>
    </w:p>
    <w:p w14:paraId="20144439" w14:textId="77777777" w:rsidR="00444BC9" w:rsidRDefault="00444BC9" w:rsidP="001925CE">
      <w:pPr>
        <w:jc w:val="both"/>
        <w:rPr>
          <w:rFonts w:ascii="Arial Narrow" w:hAnsi="Arial Narrow"/>
          <w:sz w:val="16"/>
        </w:rPr>
      </w:pPr>
    </w:p>
    <w:p w14:paraId="448A0BCF" w14:textId="77777777" w:rsidR="00444BC9" w:rsidRDefault="00444BC9" w:rsidP="001925CE">
      <w:pPr>
        <w:jc w:val="both"/>
        <w:rPr>
          <w:rFonts w:ascii="Arial Narrow" w:hAnsi="Arial Narrow"/>
          <w:sz w:val="16"/>
        </w:rPr>
      </w:pPr>
      <w:r>
        <w:rPr>
          <w:rFonts w:ascii="Arial Narrow" w:hAnsi="Arial Narrow"/>
          <w:sz w:val="16"/>
        </w:rPr>
        <w:t>La primera idea que nos da, sobre el concepto del trabajo, es que es una “actividad económica”, que esta en “praxis en las dimensiones económicas”. Por lo demás, nos persuade y advierte que una definición inequívoca de lo que es el trabajo no existe. Sin embargo tenemos ya un radio de especulación: “el trabajo es una actividad humana que entra en las esferas de la economía, que tiene dimensiones económicas, que responde a una praxis económica. Pero esta economía no es individual sino colectiva, social, global. El hecho de que todos trabajemos o solo unos cuantos afecta a la organización social, a toda la sociedad.</w:t>
      </w:r>
    </w:p>
    <w:p w14:paraId="7EF3DA83" w14:textId="77777777" w:rsidR="00444BC9" w:rsidRDefault="00444BC9" w:rsidP="001925CE">
      <w:pPr>
        <w:pStyle w:val="Textonotapie"/>
        <w:rPr>
          <w:rFonts w:ascii="Arial Narrow" w:hAnsi="Arial Narrow"/>
          <w:sz w:val="16"/>
        </w:rPr>
      </w:pPr>
    </w:p>
  </w:footnote>
  <w:footnote w:id="422">
    <w:p w14:paraId="6C12DD61" w14:textId="77777777" w:rsidR="00444BC9" w:rsidRDefault="00444BC9" w:rsidP="001925CE">
      <w:pPr>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Podemos definir al tributo como la generación o creación de un deuda, pero no una deuda cualquiera, sino con el Estado. Su justificación, por lo tanto está en la propia existencia y supervivencia del Estado. Es decir, el Estado tiene este poder de “generar una deuda” en la persona que vive u opera dentro de sus límites, territorio, Pueblo y soberanía.</w:t>
      </w:r>
    </w:p>
    <w:p w14:paraId="2AC3D3F1" w14:textId="77777777" w:rsidR="00444BC9" w:rsidRDefault="00444BC9" w:rsidP="001925CE">
      <w:pPr>
        <w:jc w:val="both"/>
        <w:rPr>
          <w:rFonts w:ascii="Arial Narrow" w:hAnsi="Arial Narrow"/>
          <w:sz w:val="16"/>
        </w:rPr>
      </w:pPr>
      <w:r>
        <w:rPr>
          <w:rFonts w:ascii="Arial Narrow" w:hAnsi="Arial Narrow"/>
          <w:sz w:val="16"/>
        </w:rPr>
        <w:t>Esta deuda es creada por un “vínculo jurídico”, mediante ley. Su justificación está en la “satisfacción de las necesidades colectivas”. Es este fundamento (lo colectivo) lo que le da legitimidad al poder coactivo del Estado para hacerlas cumplir.</w:t>
      </w:r>
    </w:p>
    <w:p w14:paraId="35A68836" w14:textId="77777777" w:rsidR="00444BC9" w:rsidRDefault="00444BC9" w:rsidP="001925CE">
      <w:pPr>
        <w:jc w:val="both"/>
        <w:rPr>
          <w:rFonts w:ascii="Arial Narrow" w:hAnsi="Arial Narrow"/>
          <w:sz w:val="16"/>
        </w:rPr>
      </w:pPr>
    </w:p>
    <w:p w14:paraId="50C45A48" w14:textId="77777777" w:rsidR="00444BC9" w:rsidRDefault="00444BC9" w:rsidP="001925CE">
      <w:pPr>
        <w:jc w:val="both"/>
        <w:rPr>
          <w:rFonts w:ascii="Arial Narrow" w:hAnsi="Arial Narrow"/>
          <w:sz w:val="16"/>
        </w:rPr>
      </w:pPr>
      <w:r>
        <w:rPr>
          <w:rFonts w:ascii="Arial Narrow" w:hAnsi="Arial Narrow"/>
          <w:sz w:val="16"/>
        </w:rPr>
        <w:t>Es el precio del compromiso, y del equilibrio del Estado .</w:t>
      </w:r>
    </w:p>
    <w:p w14:paraId="17C84DC2" w14:textId="77777777" w:rsidR="00444BC9" w:rsidRDefault="00444BC9" w:rsidP="001925CE">
      <w:pPr>
        <w:jc w:val="both"/>
        <w:rPr>
          <w:rFonts w:ascii="Arial Narrow" w:hAnsi="Arial Narrow"/>
          <w:sz w:val="16"/>
        </w:rPr>
      </w:pPr>
      <w:r>
        <w:rPr>
          <w:rFonts w:ascii="Arial Narrow" w:hAnsi="Arial Narrow"/>
          <w:sz w:val="16"/>
        </w:rPr>
        <w:t>Equilibrar la economía del Estado.</w:t>
      </w:r>
    </w:p>
    <w:p w14:paraId="7A5BB788" w14:textId="77777777" w:rsidR="00444BC9" w:rsidRDefault="00444BC9" w:rsidP="001925CE">
      <w:pPr>
        <w:jc w:val="both"/>
        <w:rPr>
          <w:rFonts w:ascii="Arial Narrow" w:hAnsi="Arial Narrow"/>
          <w:sz w:val="16"/>
        </w:rPr>
      </w:pPr>
      <w:r>
        <w:rPr>
          <w:rFonts w:ascii="Arial Narrow" w:hAnsi="Arial Narrow"/>
          <w:sz w:val="16"/>
        </w:rPr>
        <w:t>Para que este Estado tenga recursos para sus fines y objetivos colectivos.</w:t>
      </w:r>
    </w:p>
    <w:p w14:paraId="2B9CD51E" w14:textId="77777777" w:rsidR="00444BC9" w:rsidRDefault="00444BC9" w:rsidP="001925CE">
      <w:pPr>
        <w:jc w:val="both"/>
        <w:rPr>
          <w:rFonts w:ascii="Arial Narrow" w:hAnsi="Arial Narrow"/>
          <w:sz w:val="16"/>
        </w:rPr>
      </w:pPr>
      <w:r>
        <w:rPr>
          <w:rFonts w:ascii="Arial Narrow" w:hAnsi="Arial Narrow"/>
          <w:sz w:val="16"/>
        </w:rPr>
        <w:t>El Estado puede ser un medio de redistribución de la riqueza.</w:t>
      </w:r>
    </w:p>
    <w:p w14:paraId="3AA8AB5A" w14:textId="77777777" w:rsidR="00444BC9" w:rsidRDefault="00444BC9" w:rsidP="001925CE">
      <w:pPr>
        <w:pStyle w:val="Textonotapie"/>
        <w:rPr>
          <w:rFonts w:ascii="Arial Narrow" w:hAnsi="Arial Narrow"/>
          <w:sz w:val="16"/>
        </w:rPr>
      </w:pPr>
    </w:p>
  </w:footnote>
  <w:footnote w:id="423">
    <w:p w14:paraId="73C27229" w14:textId="77777777" w:rsidR="00444BC9" w:rsidRDefault="00444BC9" w:rsidP="001925CE">
      <w:pPr>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Pensar en el Derecho tributario es pensar en cómo hacer para que nos cobren tributos, es una especie de buscar salir de la tributación, de no pagar impuestos. Esto es por supuesto, porque contra los tributos no podemos hacer nada, absolutamente nada, sino cumplirlos, o al menos esa es la idea. Sin embargo, no basta con cumplir con pagar los tributos, con buscar las salidas temporales, para no pagar tributos, se necesita saber qué son estos tributos. Y claro que todos tributamos, seamos o no concientes de ello, pero no todos sabemos cómo funciona esto, y menos porque es así. Lo damos por sentado. El Estado ha creado este tributo, o la municipalidad, y nosotros no tenemos nada más que hacer que pagar. </w:t>
      </w:r>
    </w:p>
    <w:p w14:paraId="05A28044" w14:textId="77777777" w:rsidR="00444BC9" w:rsidRDefault="00444BC9" w:rsidP="001925CE">
      <w:pPr>
        <w:jc w:val="both"/>
        <w:rPr>
          <w:rFonts w:ascii="Arial Narrow" w:hAnsi="Arial Narrow"/>
          <w:sz w:val="16"/>
        </w:rPr>
      </w:pPr>
    </w:p>
    <w:p w14:paraId="461F5D6F" w14:textId="77777777" w:rsidR="00444BC9" w:rsidRDefault="00444BC9" w:rsidP="001925CE">
      <w:pPr>
        <w:jc w:val="both"/>
        <w:rPr>
          <w:rFonts w:ascii="Arial Narrow" w:hAnsi="Arial Narrow"/>
          <w:sz w:val="16"/>
        </w:rPr>
      </w:pPr>
      <w:r>
        <w:rPr>
          <w:rFonts w:ascii="Arial Narrow" w:hAnsi="Arial Narrow"/>
          <w:sz w:val="16"/>
        </w:rPr>
        <w:t xml:space="preserve">Pero esto no es suficiente, para hombre preocupado por ser abogado, o para un simple hombre que quiere saber el porque su dinero disminuye, su riqueza  o parte de ella  tiene que ser entregada al Estado, ese Estado que el no ve, pero que si le quita parte de sus ingresos. Entonces el asunto no es tan matemático. No se trata sólo de saber cual es la mecánica de los tributos, sino de saber cómo funciona, y si es realmente necesario y justo que se paguen tales o cuales tributos. </w:t>
      </w:r>
    </w:p>
    <w:p w14:paraId="3C505606" w14:textId="77777777" w:rsidR="00444BC9" w:rsidRDefault="00444BC9" w:rsidP="001925CE">
      <w:pPr>
        <w:jc w:val="both"/>
        <w:rPr>
          <w:rFonts w:ascii="Arial Narrow" w:hAnsi="Arial Narrow"/>
          <w:sz w:val="16"/>
        </w:rPr>
      </w:pPr>
    </w:p>
    <w:p w14:paraId="7100F0D4" w14:textId="77777777" w:rsidR="00444BC9" w:rsidRDefault="00444BC9" w:rsidP="001925CE">
      <w:pPr>
        <w:jc w:val="both"/>
        <w:rPr>
          <w:rFonts w:ascii="Arial Narrow" w:hAnsi="Arial Narrow"/>
          <w:sz w:val="16"/>
        </w:rPr>
      </w:pPr>
      <w:r>
        <w:rPr>
          <w:rFonts w:ascii="Arial Narrow" w:hAnsi="Arial Narrow"/>
          <w:sz w:val="16"/>
        </w:rPr>
        <w:t xml:space="preserve">Lo peor de los tributos es que se encuentran ubicados en cuadros y operaciones matemáticas tan confusas que por lo general todos desisten de saber cuál es el origen de ellos, o cuál es el proceso que siguen desde la recaudación hasta el acto final. </w:t>
      </w:r>
    </w:p>
    <w:p w14:paraId="4C23EE40" w14:textId="77777777" w:rsidR="00444BC9" w:rsidRDefault="00444BC9" w:rsidP="001925CE">
      <w:pPr>
        <w:jc w:val="both"/>
        <w:rPr>
          <w:rFonts w:ascii="Arial Narrow" w:hAnsi="Arial Narrow"/>
          <w:sz w:val="16"/>
        </w:rPr>
      </w:pPr>
    </w:p>
    <w:p w14:paraId="1977E332" w14:textId="77777777" w:rsidR="00444BC9" w:rsidRDefault="00444BC9" w:rsidP="001925CE">
      <w:pPr>
        <w:jc w:val="both"/>
        <w:rPr>
          <w:rFonts w:ascii="Arial Narrow" w:hAnsi="Arial Narrow"/>
          <w:sz w:val="16"/>
        </w:rPr>
      </w:pPr>
      <w:r>
        <w:rPr>
          <w:rFonts w:ascii="Arial Narrow" w:hAnsi="Arial Narrow"/>
          <w:sz w:val="16"/>
        </w:rPr>
        <w:t>Además, para entenderlo tenemos que entender primero algunos aspectos principales, como que es el Estado, porque es el que crea el impuesto, y cómo funciona este Estado, además saber porque le hacemos caso al Estado. El problema se complica aún más.</w:t>
      </w:r>
    </w:p>
    <w:p w14:paraId="2753B5C1" w14:textId="77777777" w:rsidR="00444BC9" w:rsidRDefault="00444BC9" w:rsidP="001925CE">
      <w:pPr>
        <w:jc w:val="both"/>
        <w:rPr>
          <w:rFonts w:ascii="Arial Narrow" w:hAnsi="Arial Narrow"/>
          <w:sz w:val="16"/>
        </w:rPr>
      </w:pPr>
    </w:p>
    <w:p w14:paraId="5170769E" w14:textId="77777777" w:rsidR="00444BC9" w:rsidRDefault="00444BC9" w:rsidP="001925CE">
      <w:pPr>
        <w:jc w:val="both"/>
        <w:rPr>
          <w:rFonts w:ascii="Arial Narrow" w:hAnsi="Arial Narrow"/>
          <w:sz w:val="16"/>
        </w:rPr>
      </w:pPr>
      <w:r>
        <w:rPr>
          <w:rFonts w:ascii="Arial Narrow" w:hAnsi="Arial Narrow"/>
          <w:sz w:val="16"/>
        </w:rPr>
        <w:t>Pero para entender el Tributo, y luego el Derecho tributario, hemos encontrado a un excelente escritor, nos dicen que es brasileño, y se llama Geraldo Ataliba.</w:t>
      </w:r>
    </w:p>
    <w:p w14:paraId="62836C81" w14:textId="77777777" w:rsidR="00444BC9" w:rsidRDefault="00444BC9" w:rsidP="001925CE">
      <w:pPr>
        <w:jc w:val="both"/>
        <w:rPr>
          <w:rFonts w:ascii="Arial Narrow" w:hAnsi="Arial Narrow"/>
          <w:sz w:val="16"/>
        </w:rPr>
      </w:pPr>
    </w:p>
    <w:p w14:paraId="66E67A49" w14:textId="77777777" w:rsidR="00444BC9" w:rsidRDefault="00444BC9" w:rsidP="001925CE">
      <w:pPr>
        <w:jc w:val="both"/>
        <w:rPr>
          <w:rFonts w:ascii="Arial Narrow" w:hAnsi="Arial Narrow"/>
          <w:sz w:val="16"/>
        </w:rPr>
      </w:pPr>
      <w:r>
        <w:rPr>
          <w:rFonts w:ascii="Arial Narrow" w:hAnsi="Arial Narrow"/>
          <w:sz w:val="16"/>
        </w:rPr>
        <w:t xml:space="preserve">Ataliba propone una idea central: el tributo tiene su origen en un mandato, y este mandato es necesariamente un mandato del Estado. ¿cuál es este mandato? Bueno que se tribute, en otras palabras de Ataliba “que se entregue dinero al Estado”. De allí sigue diciendo Ataliba que el Derecho Tributario tiene en su contenido un mandato, el mandato de entregar dinero al Estado, Pero Ataliba insiste, este mandato no es lo que le da sentido al Derecho Tributario, a la norma jurídica. sino otra cosa. ¿qué es esa otra cosa?, el objeto de la norma jurídica es regular las conductas humanas. Y una norma jurídica tributaria intenta regular las conductas de los seres humanos. Por lo tanto, el mandato de “entregar dinero al Estado”, no se finaliza en esa afirmación, no es el llevar dinero a los cofres, como fin, sino el hecho de obedecer ese mandato, No es el dinero el objeto de la norma tributaria dice Ataliba, sino el comportamiento del ser humano. Lo que ha sucedido es que se ha creado a través de la norma tributaria una “relación obligacional” El Derecho tributario no es un fenómeno económico, sino político y jurídico, es jurídico porque se dirige, como fin último a determinar la obediencia del sujeto, al determinar el comportamiento del ser humano. </w:t>
      </w:r>
    </w:p>
    <w:p w14:paraId="32EE322A" w14:textId="77777777" w:rsidR="00444BC9" w:rsidRDefault="00444BC9" w:rsidP="001925CE">
      <w:pPr>
        <w:jc w:val="both"/>
        <w:rPr>
          <w:rFonts w:ascii="Arial Narrow" w:hAnsi="Arial Narrow"/>
          <w:sz w:val="16"/>
        </w:rPr>
      </w:pPr>
    </w:p>
    <w:p w14:paraId="77074175" w14:textId="77777777" w:rsidR="00444BC9" w:rsidRDefault="00444BC9" w:rsidP="001925CE">
      <w:pPr>
        <w:jc w:val="both"/>
        <w:rPr>
          <w:rFonts w:ascii="Arial Narrow" w:hAnsi="Arial Narrow"/>
          <w:sz w:val="16"/>
        </w:rPr>
      </w:pPr>
      <w:r>
        <w:rPr>
          <w:rFonts w:ascii="Arial Narrow" w:hAnsi="Arial Narrow"/>
          <w:sz w:val="16"/>
        </w:rPr>
        <w:t xml:space="preserve">El fundamento del tributo está en el carácter colectivo de su fin. </w:t>
      </w:r>
    </w:p>
    <w:p w14:paraId="6C671B4A" w14:textId="77777777" w:rsidR="00444BC9" w:rsidRDefault="00444BC9" w:rsidP="001925CE">
      <w:pPr>
        <w:pStyle w:val="Textonotapie"/>
        <w:rPr>
          <w:rFonts w:ascii="Arial Narrow" w:hAnsi="Arial Narrow"/>
          <w:sz w:val="16"/>
        </w:rPr>
      </w:pPr>
    </w:p>
  </w:footnote>
  <w:footnote w:id="424">
    <w:p w14:paraId="4A8ED467"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Risolia, Marco Aurelio. </w:t>
      </w:r>
      <w:r>
        <w:rPr>
          <w:rFonts w:ascii="Arial Narrow" w:hAnsi="Arial Narrow"/>
          <w:i/>
          <w:sz w:val="16"/>
        </w:rPr>
        <w:t xml:space="preserve">Soberanía y crisis del contrato en nuestra legislación civil. </w:t>
      </w:r>
      <w:r>
        <w:rPr>
          <w:rFonts w:ascii="Arial Narrow" w:hAnsi="Arial Narrow"/>
          <w:sz w:val="16"/>
        </w:rPr>
        <w:t>Editorial Abeledo-Perrot. Buenos Aires. Pp. 21.</w:t>
      </w:r>
    </w:p>
  </w:footnote>
  <w:footnote w:id="425">
    <w:p w14:paraId="64774A42" w14:textId="77777777" w:rsidR="00444BC9" w:rsidRDefault="00444BC9" w:rsidP="001925CE">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Risolia, Marco Aurelio. </w:t>
      </w:r>
      <w:r>
        <w:rPr>
          <w:rFonts w:ascii="Arial Narrow" w:hAnsi="Arial Narrow"/>
          <w:i/>
          <w:sz w:val="16"/>
        </w:rPr>
        <w:t xml:space="preserve">Soberanía y crisis del contrato en nuestra legislación civil. </w:t>
      </w:r>
      <w:r>
        <w:rPr>
          <w:rFonts w:ascii="Arial Narrow" w:hAnsi="Arial Narrow"/>
          <w:sz w:val="16"/>
        </w:rPr>
        <w:t>Editorial Abeledo-Perrot. Buenos Aires. Pp. 17.</w:t>
      </w:r>
    </w:p>
  </w:footnote>
  <w:footnote w:id="426">
    <w:p w14:paraId="4F68B3D2"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Diez Picazo, Luis. </w:t>
      </w:r>
      <w:r>
        <w:rPr>
          <w:rFonts w:ascii="Arial Narrow" w:hAnsi="Arial Narrow"/>
          <w:i/>
          <w:sz w:val="16"/>
        </w:rPr>
        <w:t>Experiencias jurídicas y teoría del derecho.</w:t>
      </w:r>
      <w:r>
        <w:rPr>
          <w:rFonts w:ascii="Arial Narrow" w:hAnsi="Arial Narrow"/>
          <w:sz w:val="16"/>
        </w:rPr>
        <w:t xml:space="preserve"> Editorial Ariel. Pp. 78.</w:t>
      </w:r>
    </w:p>
  </w:footnote>
  <w:footnote w:id="427">
    <w:p w14:paraId="7EC76410"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Risolia, Marco Aurelio. </w:t>
      </w:r>
      <w:r>
        <w:rPr>
          <w:rFonts w:ascii="Arial Narrow" w:hAnsi="Arial Narrow"/>
          <w:i/>
          <w:sz w:val="16"/>
        </w:rPr>
        <w:t xml:space="preserve">Soberanía y crisis del contrato en nuestra legislación civil. </w:t>
      </w:r>
      <w:r>
        <w:rPr>
          <w:rFonts w:ascii="Arial Narrow" w:hAnsi="Arial Narrow"/>
          <w:sz w:val="16"/>
        </w:rPr>
        <w:t>Editorial Abeledo-Perrot. Buenos Aires. Pp. 20.</w:t>
      </w:r>
    </w:p>
  </w:footnote>
  <w:footnote w:id="428">
    <w:p w14:paraId="4256C5C7"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Risolia, Marco Aurelio. </w:t>
      </w:r>
      <w:r>
        <w:rPr>
          <w:rFonts w:ascii="Arial Narrow" w:hAnsi="Arial Narrow"/>
          <w:i/>
          <w:sz w:val="16"/>
        </w:rPr>
        <w:t xml:space="preserve">Soberanía y crisis del contrato en nuestra legislación civil. </w:t>
      </w:r>
      <w:r>
        <w:rPr>
          <w:rFonts w:ascii="Arial Narrow" w:hAnsi="Arial Narrow"/>
          <w:sz w:val="16"/>
        </w:rPr>
        <w:t>Editorial Abeledo-Perrot. Buenos Aires. Pp. 20, 21.</w:t>
      </w:r>
    </w:p>
  </w:footnote>
  <w:footnote w:id="429">
    <w:p w14:paraId="15EE48D3"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Risolia, Marco Aurelio. </w:t>
      </w:r>
      <w:r>
        <w:rPr>
          <w:rFonts w:ascii="Arial Narrow" w:hAnsi="Arial Narrow"/>
          <w:i/>
          <w:sz w:val="16"/>
        </w:rPr>
        <w:t xml:space="preserve">Soberanía y crisis del contrato en nuestra legislación civil. </w:t>
      </w:r>
      <w:r>
        <w:rPr>
          <w:rFonts w:ascii="Arial Narrow" w:hAnsi="Arial Narrow"/>
          <w:sz w:val="16"/>
        </w:rPr>
        <w:t>Editorial Abeledo-Perrot. Buenos Aires. Pp. 22.</w:t>
      </w:r>
    </w:p>
  </w:footnote>
  <w:footnote w:id="430">
    <w:p w14:paraId="716C7ED9"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Risolia, Marco Aurelio. </w:t>
      </w:r>
      <w:r>
        <w:rPr>
          <w:rFonts w:ascii="Arial Narrow" w:hAnsi="Arial Narrow"/>
          <w:i/>
          <w:sz w:val="16"/>
        </w:rPr>
        <w:t xml:space="preserve">Soberanía y crisis del contrato en nuestra legislación civil. </w:t>
      </w:r>
      <w:r>
        <w:rPr>
          <w:rFonts w:ascii="Arial Narrow" w:hAnsi="Arial Narrow"/>
          <w:sz w:val="16"/>
        </w:rPr>
        <w:t>Editorial Abeledo-Perrot. Buenos Aires. Pp. 22.</w:t>
      </w:r>
    </w:p>
  </w:footnote>
  <w:footnote w:id="431">
    <w:p w14:paraId="6A4B2D83"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Marco Aurelio Risolia. </w:t>
      </w:r>
      <w:r>
        <w:rPr>
          <w:rFonts w:ascii="Arial Narrow" w:hAnsi="Arial Narrow"/>
          <w:i/>
          <w:sz w:val="16"/>
        </w:rPr>
        <w:t>Soberanía y crisis del contrato en nuestra legislación civil.</w:t>
      </w:r>
      <w:r>
        <w:rPr>
          <w:rFonts w:ascii="Arial Narrow" w:hAnsi="Arial Narrow"/>
          <w:sz w:val="16"/>
        </w:rPr>
        <w:t xml:space="preserve"> Editorial Abeledo-Perrot. Buenos Aires. Pp. 21,</w:t>
      </w:r>
    </w:p>
  </w:footnote>
  <w:footnote w:id="432">
    <w:p w14:paraId="611DDCF8" w14:textId="77777777" w:rsidR="00444BC9" w:rsidRDefault="00444BC9" w:rsidP="001925CE">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Carnelutti, Francesco. </w:t>
      </w:r>
      <w:r>
        <w:rPr>
          <w:rFonts w:ascii="Arial Narrow" w:hAnsi="Arial Narrow"/>
          <w:i/>
          <w:sz w:val="16"/>
        </w:rPr>
        <w:t>Arte del Derecho.</w:t>
      </w:r>
      <w:r>
        <w:rPr>
          <w:rFonts w:ascii="Arial Narrow" w:hAnsi="Arial Narrow"/>
          <w:sz w:val="16"/>
        </w:rPr>
        <w:t xml:space="preserve"> Ediciones jurídicasaeuropa-america. Buenos Aires. Pp. 20.</w:t>
      </w:r>
    </w:p>
  </w:footnote>
  <w:footnote w:id="433">
    <w:p w14:paraId="51B302E4"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Edición  del Instituto peruano de Derecho Tributario. Pp. 21.</w:t>
      </w:r>
    </w:p>
  </w:footnote>
  <w:footnote w:id="434">
    <w:p w14:paraId="5B82B4C6"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Asimov, Isaac. </w:t>
      </w:r>
      <w:r w:rsidRPr="00B754B3">
        <w:rPr>
          <w:rFonts w:asciiTheme="majorHAnsi" w:hAnsiTheme="majorHAnsi"/>
          <w:i/>
          <w:iCs/>
          <w:sz w:val="18"/>
        </w:rPr>
        <w:t>El monstruo subatómico</w:t>
      </w:r>
      <w:r w:rsidRPr="00B754B3">
        <w:rPr>
          <w:rFonts w:asciiTheme="majorHAnsi" w:hAnsiTheme="majorHAnsi"/>
          <w:sz w:val="18"/>
        </w:rPr>
        <w:t>. Editorial Plaza &amp; Janes. Pp. 15, 16.</w:t>
      </w:r>
    </w:p>
  </w:footnote>
  <w:footnote w:id="435">
    <w:p w14:paraId="405E08D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Hayek, Friedrich A. </w:t>
      </w:r>
      <w:r w:rsidRPr="00B754B3">
        <w:rPr>
          <w:rFonts w:asciiTheme="majorHAnsi" w:hAnsiTheme="majorHAnsi"/>
          <w:i/>
          <w:iCs/>
          <w:sz w:val="18"/>
        </w:rPr>
        <w:t>Derecho,  Legislación y Libertad</w:t>
      </w:r>
      <w:r w:rsidRPr="00B754B3">
        <w:rPr>
          <w:rFonts w:asciiTheme="majorHAnsi" w:hAnsiTheme="majorHAnsi"/>
          <w:sz w:val="18"/>
        </w:rPr>
        <w:t>. Editorial Universidad Francisco Marroquín-Guatemala. Pp. 217.</w:t>
      </w:r>
    </w:p>
  </w:footnote>
  <w:footnote w:id="436">
    <w:p w14:paraId="7286E691"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Plaza Vega, Mauricio A. </w:t>
      </w:r>
      <w:r w:rsidRPr="00B754B3">
        <w:rPr>
          <w:rFonts w:asciiTheme="majorHAnsi" w:hAnsiTheme="majorHAnsi"/>
          <w:i/>
          <w:iCs/>
          <w:sz w:val="18"/>
        </w:rPr>
        <w:t>El Liberalismo y la teoría de los tributos</w:t>
      </w:r>
      <w:r w:rsidRPr="00B754B3">
        <w:rPr>
          <w:rFonts w:asciiTheme="majorHAnsi" w:hAnsiTheme="majorHAnsi"/>
          <w:sz w:val="18"/>
        </w:rPr>
        <w:t>. Editorial Temis S.A.</w:t>
      </w:r>
    </w:p>
  </w:footnote>
  <w:footnote w:id="437">
    <w:p w14:paraId="3C48322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Escribe Miguel Reale  en su libro: Introducción al Derecho. </w:t>
      </w:r>
    </w:p>
  </w:footnote>
  <w:footnote w:id="438">
    <w:p w14:paraId="38B9B899"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Francisco Ruiz de Castilla Ponce de León explica que en el Derecho Moderno no puede hablarse ya de Derecho Público o Privado. Por eso usamos la antigua concepción sólo como instrumento de explicación del área de competencia del Derecho Tributario, como criterio de organización de estudio de cierto conocimiento.</w:t>
      </w:r>
    </w:p>
  </w:footnote>
  <w:footnote w:id="439">
    <w:p w14:paraId="47EB8DAA" w14:textId="77777777" w:rsidR="00444BC9" w:rsidRPr="00B754B3" w:rsidRDefault="00444BC9" w:rsidP="00FA0266">
      <w:pPr>
        <w:pStyle w:val="Textonotapie"/>
        <w:ind w:left="142" w:hanging="142"/>
        <w:jc w:val="both"/>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Bobbio escribe respecto a la necesidad de justificación en el capítulo “El tema de la justificación”, en el artículo “Ética y Política”. En el explica el porqué de las justificaciones, y la necesidad de estos. Así escribe: “Hablo conscientemente de ‘justificación’. La conducta que tiene necesidad de ser justificada es la que no se conforma a las reglas. No se justifica la observancia de la norma, o sea, la conducta moral. La necesidad de la justificación surge cuando el acto viola o parece violar las normas sociales generalmente aceptadas, no importa si son morales, jurídicas o de la costumbre. No se justifica la obediencia, sino -si se considera que tiene algún valor moral- la desobediencia. No se justifica la presencia en una reunión obligatoria, sino la ausencia. En general, no hay necesidad de justificar el acto regular y normal, sino que es necesario proporcionar una justificación, si se le quiere proteger, del acto que peca por exceso o por defecto. / </w:t>
      </w:r>
      <w:r w:rsidRPr="00B754B3">
        <w:rPr>
          <w:rFonts w:asciiTheme="majorHAnsi" w:hAnsiTheme="majorHAnsi"/>
          <w:i/>
          <w:iCs/>
          <w:sz w:val="18"/>
        </w:rPr>
        <w:t>Norberto Bobbio: el Filósofo y la Política</w:t>
      </w:r>
      <w:r w:rsidRPr="00B754B3">
        <w:rPr>
          <w:rFonts w:asciiTheme="majorHAnsi" w:hAnsiTheme="majorHAnsi"/>
          <w:sz w:val="18"/>
        </w:rPr>
        <w:t xml:space="preserve"> (Antología). Traducción de José Fernández Santillán y Ariella Aureli.  Fondo de Cultura Económica. pp. 160</w:t>
      </w:r>
    </w:p>
  </w:footnote>
  <w:footnote w:id="440">
    <w:p w14:paraId="32A6828F" w14:textId="77777777" w:rsidR="00444BC9" w:rsidRPr="00B754B3" w:rsidRDefault="00444BC9" w:rsidP="00FA0266">
      <w:pPr>
        <w:spacing w:after="6"/>
        <w:ind w:left="142" w:hanging="142"/>
        <w:jc w:val="both"/>
        <w:rPr>
          <w:rFonts w:asciiTheme="majorHAnsi" w:hAnsiTheme="majorHAnsi"/>
          <w:sz w:val="18"/>
        </w:rPr>
      </w:pPr>
      <w:r w:rsidRPr="00B754B3">
        <w:rPr>
          <w:rStyle w:val="Refdenotaalpie"/>
          <w:rFonts w:asciiTheme="majorHAnsi" w:hAnsiTheme="majorHAnsi"/>
          <w:sz w:val="18"/>
        </w:rPr>
        <w:footnoteRef/>
      </w:r>
      <w:r w:rsidRPr="00B754B3">
        <w:rPr>
          <w:rFonts w:asciiTheme="majorHAnsi" w:hAnsiTheme="majorHAnsi"/>
          <w:sz w:val="18"/>
        </w:rPr>
        <w:t xml:space="preserve">  Según fue entendido por Adolfo Posada, escribe Humberto Henriquez Franco. / Henriquez Franco, Humberto. </w:t>
      </w:r>
      <w:r w:rsidRPr="00B754B3">
        <w:rPr>
          <w:rFonts w:asciiTheme="majorHAnsi" w:hAnsiTheme="majorHAnsi"/>
          <w:i/>
          <w:iCs/>
          <w:sz w:val="18"/>
        </w:rPr>
        <w:t>Derecho Constitucional</w:t>
      </w:r>
      <w:r w:rsidRPr="00B754B3">
        <w:rPr>
          <w:rFonts w:asciiTheme="majorHAnsi" w:hAnsiTheme="majorHAnsi"/>
          <w:sz w:val="18"/>
        </w:rPr>
        <w:t>. Editora FECAT. Pp. 267.</w:t>
      </w:r>
    </w:p>
  </w:footnote>
  <w:footnote w:id="441">
    <w:p w14:paraId="38EB6C96" w14:textId="77777777" w:rsidR="00444BC9" w:rsidRPr="00B754B3" w:rsidRDefault="00444BC9" w:rsidP="00FA0266">
      <w:pPr>
        <w:spacing w:after="6"/>
        <w:ind w:left="142" w:hanging="142"/>
        <w:jc w:val="both"/>
        <w:rPr>
          <w:rFonts w:asciiTheme="majorHAnsi" w:hAnsiTheme="majorHAnsi"/>
          <w:sz w:val="18"/>
        </w:rPr>
      </w:pPr>
      <w:r w:rsidRPr="00B754B3">
        <w:rPr>
          <w:rStyle w:val="Refdenotaalpie"/>
          <w:rFonts w:asciiTheme="majorHAnsi" w:hAnsiTheme="majorHAnsi"/>
          <w:sz w:val="18"/>
        </w:rPr>
        <w:footnoteRef/>
      </w:r>
      <w:r w:rsidRPr="00B754B3">
        <w:rPr>
          <w:rFonts w:asciiTheme="majorHAnsi" w:hAnsiTheme="majorHAnsi"/>
          <w:sz w:val="18"/>
        </w:rPr>
        <w:t xml:space="preserve">   Henriquez Franco, Humberto. Derecho Constitucional. Editora FECAT. Pp. 19.</w:t>
      </w:r>
    </w:p>
  </w:footnote>
  <w:footnote w:id="442">
    <w:p w14:paraId="3AB178A8"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w:t>
      </w:r>
      <w:r w:rsidRPr="00B754B3">
        <w:rPr>
          <w:rFonts w:asciiTheme="majorHAnsi" w:hAnsiTheme="majorHAnsi"/>
          <w:i/>
          <w:iCs/>
          <w:sz w:val="18"/>
        </w:rPr>
        <w:t>El Sistema Jurídico</w:t>
      </w:r>
      <w:r w:rsidRPr="00B754B3">
        <w:rPr>
          <w:rFonts w:asciiTheme="majorHAnsi" w:hAnsiTheme="majorHAnsi"/>
          <w:sz w:val="18"/>
        </w:rPr>
        <w:t>. Fondo editorial de la Pontificia Universidad Católica del Perú. Pp. 43</w:t>
      </w:r>
    </w:p>
  </w:footnote>
  <w:footnote w:id="443">
    <w:p w14:paraId="456E876B"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w:t>
      </w:r>
      <w:r w:rsidRPr="00B754B3">
        <w:rPr>
          <w:rFonts w:asciiTheme="majorHAnsi" w:hAnsiTheme="majorHAnsi"/>
          <w:i/>
          <w:iCs/>
          <w:sz w:val="18"/>
        </w:rPr>
        <w:t>El Sistema Jurídico</w:t>
      </w:r>
      <w:r w:rsidRPr="00B754B3">
        <w:rPr>
          <w:rFonts w:asciiTheme="majorHAnsi" w:hAnsiTheme="majorHAnsi"/>
          <w:sz w:val="18"/>
        </w:rPr>
        <w:t>. Fondo editorial de la Pontificia Universidad Católica del Perú. Pp. 44</w:t>
      </w:r>
    </w:p>
  </w:footnote>
  <w:footnote w:id="444">
    <w:p w14:paraId="3C4DEB2A" w14:textId="77777777" w:rsidR="00444BC9" w:rsidRPr="00B754B3" w:rsidRDefault="00444BC9" w:rsidP="00FA0266">
      <w:pPr>
        <w:jc w:val="both"/>
        <w:rPr>
          <w:rFonts w:asciiTheme="majorHAnsi" w:hAnsiTheme="majorHAnsi"/>
          <w:sz w:val="18"/>
        </w:rPr>
      </w:pPr>
      <w:r w:rsidRPr="00B754B3">
        <w:rPr>
          <w:rStyle w:val="Refdenotaalpie"/>
          <w:rFonts w:asciiTheme="majorHAnsi" w:hAnsiTheme="majorHAnsi"/>
          <w:sz w:val="18"/>
        </w:rPr>
        <w:footnoteRef/>
      </w:r>
      <w:r w:rsidRPr="00B754B3">
        <w:rPr>
          <w:rFonts w:asciiTheme="majorHAnsi" w:hAnsiTheme="majorHAnsi"/>
          <w:sz w:val="18"/>
        </w:rPr>
        <w:t xml:space="preserve"> </w:t>
      </w:r>
      <w:r w:rsidRPr="00B754B3">
        <w:rPr>
          <w:rFonts w:asciiTheme="majorHAnsi" w:hAnsiTheme="majorHAnsi"/>
          <w:sz w:val="18"/>
          <w:lang w:val="es-ES_tradnl"/>
        </w:rPr>
        <w:t xml:space="preserve">Rubio Correa, Marcial. </w:t>
      </w:r>
      <w:r w:rsidRPr="00B754B3">
        <w:rPr>
          <w:rFonts w:asciiTheme="majorHAnsi" w:hAnsiTheme="majorHAnsi"/>
          <w:i/>
          <w:iCs/>
          <w:sz w:val="18"/>
          <w:lang w:val="es-ES_tradnl"/>
        </w:rPr>
        <w:t>Para conocer la Constitución de 1993</w:t>
      </w:r>
      <w:r w:rsidRPr="00B754B3">
        <w:rPr>
          <w:rFonts w:asciiTheme="majorHAnsi" w:hAnsiTheme="majorHAnsi"/>
          <w:sz w:val="18"/>
          <w:lang w:val="es-ES_tradnl"/>
        </w:rPr>
        <w:t>. Editorial DESCO. Pp. 98.</w:t>
      </w:r>
    </w:p>
  </w:footnote>
  <w:footnote w:id="445">
    <w:p w14:paraId="14437530"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549</w:t>
      </w:r>
    </w:p>
  </w:footnote>
  <w:footnote w:id="446">
    <w:p w14:paraId="7AF37E7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549.</w:t>
      </w:r>
    </w:p>
  </w:footnote>
  <w:footnote w:id="447">
    <w:p w14:paraId="6A486942"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 </w:t>
      </w:r>
      <w:r w:rsidRPr="00B754B3">
        <w:rPr>
          <w:rFonts w:asciiTheme="majorHAnsi" w:hAnsiTheme="majorHAnsi"/>
          <w:i/>
          <w:iCs/>
          <w:sz w:val="18"/>
        </w:rPr>
        <w:t>Derecho Financiero y Tributario</w:t>
      </w:r>
      <w:r w:rsidRPr="00B754B3">
        <w:rPr>
          <w:rFonts w:asciiTheme="majorHAnsi" w:hAnsiTheme="majorHAnsi"/>
          <w:sz w:val="18"/>
        </w:rPr>
        <w:t xml:space="preserve">. Ediciones Justo Valenzuela V. E.I.R.L. Pp. 166. </w:t>
      </w:r>
    </w:p>
  </w:footnote>
  <w:footnote w:id="448">
    <w:p w14:paraId="76FAFFE2"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 </w:t>
      </w:r>
      <w:r w:rsidRPr="00B754B3">
        <w:rPr>
          <w:rFonts w:asciiTheme="majorHAnsi" w:hAnsiTheme="majorHAnsi"/>
          <w:i/>
          <w:iCs/>
          <w:sz w:val="18"/>
        </w:rPr>
        <w:t>Derecho Financiero y Tributario</w:t>
      </w:r>
      <w:r w:rsidRPr="00B754B3">
        <w:rPr>
          <w:rFonts w:asciiTheme="majorHAnsi" w:hAnsiTheme="majorHAnsi"/>
          <w:sz w:val="18"/>
        </w:rPr>
        <w:t xml:space="preserve">. Ediciones Justo Valenzuela V. E.I.R.L. Pp. 166. </w:t>
      </w:r>
    </w:p>
  </w:footnote>
  <w:footnote w:id="449">
    <w:p w14:paraId="16378B6C"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549.</w:t>
      </w:r>
    </w:p>
  </w:footnote>
  <w:footnote w:id="450">
    <w:p w14:paraId="6BEC6DB2"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550.</w:t>
      </w:r>
    </w:p>
  </w:footnote>
  <w:footnote w:id="451">
    <w:p w14:paraId="68394018"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w:t>
      </w:r>
      <w:r w:rsidRPr="00B754B3">
        <w:rPr>
          <w:rFonts w:asciiTheme="majorHAnsi" w:hAnsiTheme="majorHAnsi"/>
          <w:i/>
          <w:iCs/>
          <w:sz w:val="18"/>
        </w:rPr>
        <w:t>Para conocer la Constitución de 1993</w:t>
      </w:r>
      <w:r w:rsidRPr="00B754B3">
        <w:rPr>
          <w:rFonts w:asciiTheme="majorHAnsi" w:hAnsiTheme="majorHAnsi"/>
          <w:sz w:val="18"/>
        </w:rPr>
        <w:t>. Editorial DESCO. Pp. 98.</w:t>
      </w:r>
    </w:p>
  </w:footnote>
  <w:footnote w:id="452">
    <w:p w14:paraId="775CD16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550.</w:t>
      </w:r>
    </w:p>
  </w:footnote>
  <w:footnote w:id="453">
    <w:p w14:paraId="3EDB3457"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w:t>
      </w:r>
      <w:r w:rsidRPr="00B754B3">
        <w:rPr>
          <w:rFonts w:asciiTheme="majorHAnsi" w:hAnsiTheme="majorHAnsi"/>
          <w:i/>
          <w:iCs/>
          <w:sz w:val="18"/>
        </w:rPr>
        <w:t>. Para conocer la Constitución de 1993</w:t>
      </w:r>
      <w:r w:rsidRPr="00B754B3">
        <w:rPr>
          <w:rFonts w:asciiTheme="majorHAnsi" w:hAnsiTheme="majorHAnsi"/>
          <w:sz w:val="18"/>
        </w:rPr>
        <w:t>. Editorial DESCO. Pp. 98.</w:t>
      </w:r>
    </w:p>
  </w:footnote>
  <w:footnote w:id="454">
    <w:p w14:paraId="7A73BD40"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w:t>
      </w:r>
      <w:r w:rsidRPr="00B754B3">
        <w:rPr>
          <w:rFonts w:asciiTheme="majorHAnsi" w:hAnsiTheme="majorHAnsi"/>
          <w:i/>
          <w:iCs/>
          <w:sz w:val="18"/>
        </w:rPr>
        <w:t>. Derecho Financiero y Tributario peruano</w:t>
      </w:r>
      <w:r w:rsidRPr="00B754B3">
        <w:rPr>
          <w:rFonts w:asciiTheme="majorHAnsi" w:hAnsiTheme="majorHAnsi"/>
          <w:sz w:val="18"/>
        </w:rPr>
        <w:t>. Ediciones Justo Valenzuela V. E.I.R.L. Pp. 309.</w:t>
      </w:r>
    </w:p>
  </w:footnote>
  <w:footnote w:id="455">
    <w:p w14:paraId="453043AD" w14:textId="77777777" w:rsidR="00444BC9" w:rsidRPr="00B754B3" w:rsidRDefault="00444BC9" w:rsidP="00FA0266">
      <w:pPr>
        <w:jc w:val="both"/>
        <w:rPr>
          <w:rFonts w:asciiTheme="majorHAnsi" w:hAnsiTheme="majorHAnsi"/>
          <w:sz w:val="18"/>
        </w:rPr>
      </w:pPr>
      <w:r w:rsidRPr="00B754B3">
        <w:rPr>
          <w:rStyle w:val="Refdenotaalpie"/>
          <w:rFonts w:asciiTheme="majorHAnsi" w:hAnsiTheme="majorHAnsi"/>
          <w:sz w:val="18"/>
        </w:rPr>
        <w:footnoteRef/>
      </w:r>
      <w:r w:rsidRPr="00B754B3">
        <w:rPr>
          <w:rFonts w:asciiTheme="majorHAnsi" w:hAnsiTheme="majorHAnsi"/>
          <w:sz w:val="18"/>
        </w:rPr>
        <w:t xml:space="preserve"> Guillermo Cabanellas describe al Tributo como un “Impuesto, contribución u otra obligación fiscal. / Gravamen, carga. / Servidumbre. / Obligación… / En decir popular, mujer de mancebía, prostituta.”. </w:t>
      </w:r>
    </w:p>
  </w:footnote>
  <w:footnote w:id="456">
    <w:p w14:paraId="67A10E66"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30.</w:t>
      </w:r>
    </w:p>
  </w:footnote>
  <w:footnote w:id="457">
    <w:p w14:paraId="28B254FE"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w:t>
      </w:r>
      <w:r w:rsidRPr="00B754B3">
        <w:rPr>
          <w:rFonts w:asciiTheme="majorHAnsi" w:hAnsiTheme="majorHAnsi"/>
          <w:i/>
          <w:iCs/>
          <w:sz w:val="18"/>
        </w:rPr>
        <w:t>. Derecho Financiero y Tributario Peruano</w:t>
      </w:r>
      <w:r w:rsidRPr="00B754B3">
        <w:rPr>
          <w:rFonts w:asciiTheme="majorHAnsi" w:hAnsiTheme="majorHAnsi"/>
          <w:sz w:val="18"/>
        </w:rPr>
        <w:t>. Ediciones Justo Valenzuela V. E.I.R.L. pp. 256.</w:t>
      </w:r>
    </w:p>
  </w:footnote>
  <w:footnote w:id="458">
    <w:p w14:paraId="5C736A5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 </w:t>
      </w:r>
      <w:r w:rsidRPr="00B754B3">
        <w:rPr>
          <w:rFonts w:asciiTheme="majorHAnsi" w:hAnsiTheme="majorHAnsi"/>
          <w:i/>
          <w:iCs/>
          <w:sz w:val="18"/>
        </w:rPr>
        <w:t>Derecho Financiero y Tributario Peruano</w:t>
      </w:r>
      <w:r w:rsidRPr="00B754B3">
        <w:rPr>
          <w:rFonts w:asciiTheme="majorHAnsi" w:hAnsiTheme="majorHAnsi"/>
          <w:sz w:val="18"/>
        </w:rPr>
        <w:t>. Ediciones Justo Valenzuela V. E.I.R.L.  Pp. 257.</w:t>
      </w:r>
    </w:p>
  </w:footnote>
  <w:footnote w:id="459">
    <w:p w14:paraId="52C466AC"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Raúl Barrios Orbegozo. </w:t>
      </w:r>
      <w:r w:rsidRPr="00B754B3">
        <w:rPr>
          <w:rFonts w:asciiTheme="majorHAnsi" w:hAnsiTheme="majorHAnsi"/>
          <w:i/>
          <w:iCs/>
          <w:sz w:val="18"/>
        </w:rPr>
        <w:t>Derecho Tributario</w:t>
      </w:r>
      <w:r w:rsidRPr="00B754B3">
        <w:rPr>
          <w:rFonts w:asciiTheme="majorHAnsi" w:hAnsiTheme="majorHAnsi"/>
          <w:sz w:val="18"/>
        </w:rPr>
        <w:t>. Editorial Cultura Cusco. Pp. 13.</w:t>
      </w:r>
    </w:p>
  </w:footnote>
  <w:footnote w:id="460">
    <w:p w14:paraId="53A3BC1C"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Raúl Barrios Orbegozo. </w:t>
      </w:r>
      <w:r w:rsidRPr="00B754B3">
        <w:rPr>
          <w:rFonts w:asciiTheme="majorHAnsi" w:hAnsiTheme="majorHAnsi"/>
          <w:i/>
          <w:iCs/>
          <w:sz w:val="18"/>
        </w:rPr>
        <w:t>Derecho Tributario</w:t>
      </w:r>
      <w:r w:rsidRPr="00B754B3">
        <w:rPr>
          <w:rFonts w:asciiTheme="majorHAnsi" w:hAnsiTheme="majorHAnsi"/>
          <w:sz w:val="18"/>
        </w:rPr>
        <w:t>. Editorial Cultura Cusco. Pp. 13, 14.</w:t>
      </w:r>
    </w:p>
  </w:footnote>
  <w:footnote w:id="461">
    <w:p w14:paraId="4B746007"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Instituto peruano de Derecho Tributario. Pp. 37.</w:t>
      </w:r>
    </w:p>
  </w:footnote>
  <w:footnote w:id="462">
    <w:p w14:paraId="4A94CEEC"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Ferrero Costa, Raúl. </w:t>
      </w:r>
      <w:r w:rsidRPr="00B754B3">
        <w:rPr>
          <w:rFonts w:asciiTheme="majorHAnsi" w:hAnsiTheme="majorHAnsi"/>
          <w:i/>
          <w:iCs/>
          <w:sz w:val="18"/>
        </w:rPr>
        <w:t>Curso de Derecho de las Obligaciones</w:t>
      </w:r>
      <w:r w:rsidRPr="00B754B3">
        <w:rPr>
          <w:rFonts w:asciiTheme="majorHAnsi" w:hAnsiTheme="majorHAnsi"/>
          <w:sz w:val="18"/>
        </w:rPr>
        <w:t>. Editorial Cultural Cuzco. Pp. 23,24.</w:t>
      </w:r>
    </w:p>
  </w:footnote>
  <w:footnote w:id="463">
    <w:p w14:paraId="49D32088"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Frase impresa en las Institutas de Justiniano (III, tit., 14) Según Ferrero Costa. / Ferrero Costa, Raúl. </w:t>
      </w:r>
      <w:r w:rsidRPr="00B754B3">
        <w:rPr>
          <w:rFonts w:asciiTheme="majorHAnsi" w:hAnsiTheme="majorHAnsi"/>
          <w:i/>
          <w:iCs/>
          <w:sz w:val="18"/>
        </w:rPr>
        <w:t>Curso de Derecho de las Obligaciones</w:t>
      </w:r>
      <w:r w:rsidRPr="00B754B3">
        <w:rPr>
          <w:rFonts w:asciiTheme="majorHAnsi" w:hAnsiTheme="majorHAnsi"/>
          <w:sz w:val="18"/>
        </w:rPr>
        <w:t>. Editorial Cultural Cuzco. Pp. 23,24.</w:t>
      </w:r>
    </w:p>
  </w:footnote>
  <w:footnote w:id="464">
    <w:p w14:paraId="4393D15B"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37.</w:t>
      </w:r>
    </w:p>
  </w:footnote>
  <w:footnote w:id="465">
    <w:p w14:paraId="18D362A2"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w:t>
      </w:r>
      <w:r w:rsidRPr="00B754B3">
        <w:rPr>
          <w:rFonts w:asciiTheme="majorHAnsi" w:hAnsiTheme="majorHAnsi"/>
          <w:i/>
          <w:iCs/>
          <w:sz w:val="18"/>
        </w:rPr>
        <w:t>. Hipótesis de incidencia tributaria</w:t>
      </w:r>
      <w:r w:rsidRPr="00B754B3">
        <w:rPr>
          <w:rFonts w:asciiTheme="majorHAnsi" w:hAnsiTheme="majorHAnsi"/>
          <w:sz w:val="18"/>
        </w:rPr>
        <w:t>. Editorial del Instituto Peruano de Derecho Tributario. Pp. 37.</w:t>
      </w:r>
    </w:p>
  </w:footnote>
  <w:footnote w:id="466">
    <w:p w14:paraId="007B9AC6"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37, 38.</w:t>
      </w:r>
    </w:p>
  </w:footnote>
  <w:footnote w:id="467">
    <w:p w14:paraId="20ED6111"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38.</w:t>
      </w:r>
    </w:p>
  </w:footnote>
  <w:footnote w:id="468">
    <w:p w14:paraId="4DB1996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38.</w:t>
      </w:r>
    </w:p>
  </w:footnote>
  <w:footnote w:id="469">
    <w:p w14:paraId="3157BE2E"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xml:space="preserve">. Mesa Redonda Editores S.A. pp. 540. </w:t>
      </w:r>
    </w:p>
  </w:footnote>
  <w:footnote w:id="470">
    <w:p w14:paraId="0E27C920"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“Si yo digo, por ejemplo, ‘impuesto sobre la riqueza’, es distinto que si digo ‘impuesto sobre la renta’. En el primer caso estaré gravando todos los bienes de la persona, tanto los que gane durante un año determinado, como los que ya tenía al empezar dicho. Si digo ‘impuesto sobre la renta’, sólo gravaré los ingresos o rentas que esa persona tuvo durante el año, pero no los bienes que había acumulado anteriormente.” / Marcial Rubio Correa, Enrique Bernales. Constitución y Sociedad Política. Mesa redonda editores S.A. pp. 540.</w:t>
      </w:r>
    </w:p>
  </w:footnote>
  <w:footnote w:id="471">
    <w:p w14:paraId="275B7F02"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84.</w:t>
      </w:r>
    </w:p>
  </w:footnote>
  <w:footnote w:id="472">
    <w:p w14:paraId="7C2433E8" w14:textId="77777777" w:rsidR="00444BC9" w:rsidRPr="00B754B3" w:rsidRDefault="00444BC9" w:rsidP="00FA0266">
      <w:pPr>
        <w:pStyle w:val="Textonotapie"/>
        <w:jc w:val="both"/>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y Bernales dicen “Si el hecho imponible fuera la situación de un trabajo que cobre una remuneración (sueldo o salario): el impuesto resultante puede pagarlo el empleador o el trabajador. Determinar cuál de ellos es, resulta fundamental para la aplicación del tributo.” / Marcial Rubio Correa, Enrique Bernales. </w:t>
      </w:r>
      <w:r w:rsidRPr="00B754B3">
        <w:rPr>
          <w:rFonts w:asciiTheme="majorHAnsi" w:hAnsiTheme="majorHAnsi"/>
          <w:i/>
          <w:iCs/>
          <w:sz w:val="18"/>
        </w:rPr>
        <w:t>Constitución y Sociedad Política</w:t>
      </w:r>
      <w:r w:rsidRPr="00B754B3">
        <w:rPr>
          <w:rFonts w:asciiTheme="majorHAnsi" w:hAnsiTheme="majorHAnsi"/>
          <w:sz w:val="18"/>
        </w:rPr>
        <w:t>. Mesa redonda editores S.A. pp. 540.</w:t>
      </w:r>
    </w:p>
  </w:footnote>
  <w:footnote w:id="473">
    <w:p w14:paraId="13E856BA"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Marcial Rubio Correa, Enrique Bernales. </w:t>
      </w:r>
      <w:r w:rsidRPr="00B754B3">
        <w:rPr>
          <w:rFonts w:asciiTheme="majorHAnsi" w:hAnsiTheme="majorHAnsi"/>
          <w:i/>
          <w:iCs/>
          <w:sz w:val="18"/>
        </w:rPr>
        <w:t>Constitución y Sociedad Política</w:t>
      </w:r>
      <w:r w:rsidRPr="00B754B3">
        <w:rPr>
          <w:rFonts w:asciiTheme="majorHAnsi" w:hAnsiTheme="majorHAnsi"/>
          <w:sz w:val="18"/>
        </w:rPr>
        <w:t>. Mesa redonda editores S.A. pp. 540.</w:t>
      </w:r>
    </w:p>
  </w:footnote>
  <w:footnote w:id="474">
    <w:p w14:paraId="5353D265"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Marcial Rubio Correa, Enrique Bernales. </w:t>
      </w:r>
      <w:r w:rsidRPr="00B754B3">
        <w:rPr>
          <w:rFonts w:asciiTheme="majorHAnsi" w:hAnsiTheme="majorHAnsi"/>
          <w:i/>
          <w:iCs/>
          <w:sz w:val="18"/>
        </w:rPr>
        <w:t>Constitución y Sociedad Política</w:t>
      </w:r>
      <w:r w:rsidRPr="00B754B3">
        <w:rPr>
          <w:rFonts w:asciiTheme="majorHAnsi" w:hAnsiTheme="majorHAnsi"/>
          <w:sz w:val="18"/>
        </w:rPr>
        <w:t>. Mesa redonda editores S.A. pp. 540.</w:t>
      </w:r>
    </w:p>
  </w:footnote>
  <w:footnote w:id="475">
    <w:p w14:paraId="51BB48B4"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539.</w:t>
      </w:r>
    </w:p>
  </w:footnote>
  <w:footnote w:id="476">
    <w:p w14:paraId="18E0FD55"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Barrios Orbegozo, Raúl. </w:t>
      </w:r>
      <w:r w:rsidRPr="00B754B3">
        <w:rPr>
          <w:rFonts w:asciiTheme="majorHAnsi" w:hAnsiTheme="majorHAnsi"/>
          <w:i/>
          <w:iCs/>
          <w:sz w:val="18"/>
        </w:rPr>
        <w:t>Derecho Tributario</w:t>
      </w:r>
      <w:r w:rsidRPr="00B754B3">
        <w:rPr>
          <w:rFonts w:asciiTheme="majorHAnsi" w:hAnsiTheme="majorHAnsi"/>
          <w:sz w:val="18"/>
        </w:rPr>
        <w:t xml:space="preserve">. Cultural Cuzco S.A. Editores. Pp. 15. </w:t>
      </w:r>
    </w:p>
  </w:footnote>
  <w:footnote w:id="477">
    <w:p w14:paraId="0A63547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539.</w:t>
      </w:r>
    </w:p>
  </w:footnote>
  <w:footnote w:id="478">
    <w:p w14:paraId="1FACF224"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539.</w:t>
      </w:r>
    </w:p>
  </w:footnote>
  <w:footnote w:id="479">
    <w:p w14:paraId="48D2016E" w14:textId="77777777" w:rsidR="00444BC9" w:rsidRPr="00B754B3" w:rsidRDefault="00444BC9" w:rsidP="00FA0266">
      <w:pPr>
        <w:jc w:val="both"/>
        <w:rPr>
          <w:rFonts w:asciiTheme="majorHAnsi" w:hAnsiTheme="majorHAnsi"/>
          <w:sz w:val="18"/>
        </w:rPr>
      </w:pPr>
      <w:r w:rsidRPr="00B754B3">
        <w:rPr>
          <w:rStyle w:val="Refdenotaalpie"/>
          <w:rFonts w:asciiTheme="majorHAnsi"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539.</w:t>
      </w:r>
    </w:p>
  </w:footnote>
  <w:footnote w:id="480">
    <w:p w14:paraId="3B8DB533" w14:textId="77777777" w:rsidR="00444BC9" w:rsidRPr="00B754B3" w:rsidRDefault="00444BC9" w:rsidP="00FA0266">
      <w:pPr>
        <w:jc w:val="both"/>
        <w:rPr>
          <w:rFonts w:asciiTheme="majorHAnsi" w:hAnsiTheme="majorHAnsi"/>
          <w:sz w:val="18"/>
        </w:rPr>
      </w:pPr>
      <w:r w:rsidRPr="00B754B3">
        <w:rPr>
          <w:rStyle w:val="Refdenotaalpie"/>
          <w:rFonts w:asciiTheme="majorHAnsi" w:hAnsiTheme="majorHAnsi"/>
          <w:sz w:val="18"/>
        </w:rPr>
        <w:footnoteRef/>
      </w:r>
      <w:r w:rsidRPr="00B754B3">
        <w:rPr>
          <w:rFonts w:asciiTheme="majorHAnsi" w:hAnsiTheme="majorHAnsi"/>
          <w:sz w:val="18"/>
        </w:rPr>
        <w:t xml:space="preserve"> Parafrasea Ataliba a Aliomar Beleeiro, Directo Tributario Brasileiro. / Geraldo Ataliba. </w:t>
      </w:r>
      <w:r w:rsidRPr="00B754B3">
        <w:rPr>
          <w:rFonts w:asciiTheme="majorHAnsi" w:hAnsiTheme="majorHAnsi"/>
          <w:i/>
          <w:iCs/>
          <w:sz w:val="18"/>
        </w:rPr>
        <w:t>Hipótesis de incidencia tributaria</w:t>
      </w:r>
      <w:r w:rsidRPr="00B754B3">
        <w:rPr>
          <w:rFonts w:asciiTheme="majorHAnsi" w:hAnsiTheme="majorHAnsi"/>
          <w:sz w:val="18"/>
        </w:rPr>
        <w:t>. Ediciones del Instituto Peruano de Derecho Tributario. Pp. 145.</w:t>
      </w:r>
    </w:p>
  </w:footnote>
  <w:footnote w:id="481">
    <w:p w14:paraId="466D3002"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Barrios Orbegozo, Raùl</w:t>
      </w:r>
      <w:r w:rsidRPr="00B754B3">
        <w:rPr>
          <w:rFonts w:asciiTheme="majorHAnsi" w:hAnsiTheme="majorHAnsi"/>
          <w:i/>
          <w:iCs/>
          <w:sz w:val="18"/>
        </w:rPr>
        <w:t>. Derecho Tributario</w:t>
      </w:r>
      <w:r w:rsidRPr="00B754B3">
        <w:rPr>
          <w:rFonts w:asciiTheme="majorHAnsi" w:hAnsiTheme="majorHAnsi"/>
          <w:sz w:val="18"/>
        </w:rPr>
        <w:t>. Editorial Cultural  Cuzco S.A. pp. 15.</w:t>
      </w:r>
    </w:p>
  </w:footnote>
  <w:footnote w:id="482">
    <w:p w14:paraId="65D78555"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Ediciones del Instituto Peruano de Derecho Tributario. Pp. 187.</w:t>
      </w:r>
    </w:p>
  </w:footnote>
  <w:footnote w:id="483">
    <w:p w14:paraId="1822E818"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Parafrasea a Héctor Villegas Ataliba. Ataliba, Geraldo. </w:t>
      </w:r>
      <w:r w:rsidRPr="00B754B3">
        <w:rPr>
          <w:rFonts w:asciiTheme="majorHAnsi" w:hAnsiTheme="majorHAnsi"/>
          <w:i/>
          <w:iCs/>
          <w:sz w:val="18"/>
        </w:rPr>
        <w:t>Hipótesis de incidencia tributaria</w:t>
      </w:r>
      <w:r w:rsidRPr="00B754B3">
        <w:rPr>
          <w:rFonts w:asciiTheme="majorHAnsi" w:hAnsiTheme="majorHAnsi"/>
          <w:sz w:val="18"/>
        </w:rPr>
        <w:t>. Ediciones del Instituto Peruano de Derecho Tributario. Pp. 150.</w:t>
      </w:r>
    </w:p>
  </w:footnote>
  <w:footnote w:id="484">
    <w:p w14:paraId="0E2EAEDF"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Bernales, Enrique. </w:t>
      </w:r>
      <w:r w:rsidRPr="00B754B3">
        <w:rPr>
          <w:rFonts w:asciiTheme="majorHAnsi" w:hAnsiTheme="majorHAnsi"/>
          <w:i/>
          <w:iCs/>
          <w:sz w:val="18"/>
        </w:rPr>
        <w:t>Constitución y Sociedad Política</w:t>
      </w:r>
      <w:r w:rsidRPr="00B754B3">
        <w:rPr>
          <w:rFonts w:asciiTheme="majorHAnsi" w:hAnsiTheme="majorHAnsi"/>
          <w:sz w:val="18"/>
        </w:rPr>
        <w:t>. Mesa Redonda Editores S.A. Pp. 539.</w:t>
      </w:r>
    </w:p>
  </w:footnote>
  <w:footnote w:id="485">
    <w:p w14:paraId="2FF765CC"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Barrios Orbegozo, Raùl. </w:t>
      </w:r>
      <w:r w:rsidRPr="00B754B3">
        <w:rPr>
          <w:rFonts w:asciiTheme="majorHAnsi" w:hAnsiTheme="majorHAnsi"/>
          <w:i/>
          <w:iCs/>
          <w:sz w:val="18"/>
        </w:rPr>
        <w:t>Derecho Tributario</w:t>
      </w:r>
      <w:r w:rsidRPr="00B754B3">
        <w:rPr>
          <w:rFonts w:asciiTheme="majorHAnsi" w:hAnsiTheme="majorHAnsi"/>
          <w:sz w:val="18"/>
        </w:rPr>
        <w:t>. Editorial Cultural  Cuzco S.A. pp. 15.</w:t>
      </w:r>
    </w:p>
  </w:footnote>
  <w:footnote w:id="486">
    <w:p w14:paraId="41091335"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79.</w:t>
      </w:r>
    </w:p>
  </w:footnote>
  <w:footnote w:id="487">
    <w:p w14:paraId="1432B8C4"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Editorial del Instituto Peruano de Derecho Tributario. Pp. 79.</w:t>
      </w:r>
    </w:p>
  </w:footnote>
  <w:footnote w:id="488">
    <w:p w14:paraId="78E6E8E1"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 </w:t>
      </w:r>
      <w:r w:rsidRPr="00B754B3">
        <w:rPr>
          <w:rFonts w:asciiTheme="majorHAnsi" w:hAnsiTheme="majorHAnsi"/>
          <w:i/>
          <w:iCs/>
          <w:sz w:val="18"/>
        </w:rPr>
        <w:t>Derecho Financiero y Tributario Peruano</w:t>
      </w:r>
      <w:r w:rsidRPr="00B754B3">
        <w:rPr>
          <w:rFonts w:asciiTheme="majorHAnsi" w:hAnsiTheme="majorHAnsi"/>
          <w:sz w:val="18"/>
        </w:rPr>
        <w:t>. Ediciones Justo Valenzuela V. E.I.R.L. pp. 278.</w:t>
      </w:r>
    </w:p>
  </w:footnote>
  <w:footnote w:id="489">
    <w:p w14:paraId="4D80E9FC"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Clasificación descrita, en un esquema gráfico, por Adolfo Valencia Gutiérrez, y que nosotros utilizamos por cuestión didácticas.</w:t>
      </w:r>
    </w:p>
  </w:footnote>
  <w:footnote w:id="490">
    <w:p w14:paraId="659D5843"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Según se reseña en la </w:t>
      </w:r>
      <w:r w:rsidRPr="00B754B3">
        <w:rPr>
          <w:rFonts w:asciiTheme="majorHAnsi" w:hAnsiTheme="majorHAnsi"/>
          <w:i/>
          <w:iCs/>
          <w:sz w:val="18"/>
        </w:rPr>
        <w:t>Guía procesal del abogado</w:t>
      </w:r>
      <w:r w:rsidRPr="00B754B3">
        <w:rPr>
          <w:rFonts w:asciiTheme="majorHAnsi" w:hAnsiTheme="majorHAnsi"/>
          <w:sz w:val="18"/>
        </w:rPr>
        <w:t>. Guía completa de procesos.</w:t>
      </w:r>
    </w:p>
  </w:footnote>
  <w:footnote w:id="491">
    <w:p w14:paraId="604FFBDF"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 </w:t>
      </w:r>
      <w:r w:rsidRPr="00B754B3">
        <w:rPr>
          <w:rFonts w:asciiTheme="majorHAnsi" w:hAnsiTheme="majorHAnsi"/>
          <w:i/>
          <w:iCs/>
          <w:sz w:val="18"/>
        </w:rPr>
        <w:t>Derecho Financiero y Tributario Peruano</w:t>
      </w:r>
      <w:r w:rsidRPr="00B754B3">
        <w:rPr>
          <w:rFonts w:asciiTheme="majorHAnsi" w:hAnsiTheme="majorHAnsi"/>
          <w:sz w:val="18"/>
        </w:rPr>
        <w:t>. Ediciones Justo Valenzuela V. E.I.R.L. Pp. 261.</w:t>
      </w:r>
    </w:p>
  </w:footnote>
  <w:footnote w:id="492">
    <w:p w14:paraId="777E8BAD"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Rubio Correa, Marcial. </w:t>
      </w:r>
      <w:r w:rsidRPr="00B754B3">
        <w:rPr>
          <w:rFonts w:asciiTheme="majorHAnsi" w:hAnsiTheme="majorHAnsi"/>
          <w:i/>
          <w:iCs/>
          <w:sz w:val="18"/>
        </w:rPr>
        <w:t>Para conocer la Constitución de 1993</w:t>
      </w:r>
      <w:r w:rsidRPr="00B754B3">
        <w:rPr>
          <w:rFonts w:asciiTheme="majorHAnsi" w:hAnsiTheme="majorHAnsi"/>
          <w:sz w:val="18"/>
        </w:rPr>
        <w:t>. Editorial DESCO. Sexta edición. pp. 97.</w:t>
      </w:r>
    </w:p>
  </w:footnote>
  <w:footnote w:id="493">
    <w:p w14:paraId="4CC15ABE"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Ataliba, Geraldo. </w:t>
      </w:r>
      <w:r w:rsidRPr="00B754B3">
        <w:rPr>
          <w:rFonts w:asciiTheme="majorHAnsi" w:hAnsiTheme="majorHAnsi"/>
          <w:i/>
          <w:iCs/>
          <w:sz w:val="18"/>
        </w:rPr>
        <w:t>Hipótesis de incidencia tributaria</w:t>
      </w:r>
      <w:r w:rsidRPr="00B754B3">
        <w:rPr>
          <w:rFonts w:asciiTheme="majorHAnsi" w:hAnsiTheme="majorHAnsi"/>
          <w:sz w:val="18"/>
        </w:rPr>
        <w:t>. Ediciones del Instituto Peruano de Derecho Tributario. Pp. 143, 144.</w:t>
      </w:r>
    </w:p>
  </w:footnote>
  <w:footnote w:id="494">
    <w:p w14:paraId="30C2FE45" w14:textId="77777777" w:rsidR="00444BC9" w:rsidRPr="00B754B3" w:rsidRDefault="00444BC9" w:rsidP="00FA0266">
      <w:pPr>
        <w:pStyle w:val="Textonotapie"/>
        <w:rPr>
          <w:rFonts w:asciiTheme="majorHAnsi" w:hAnsiTheme="majorHAnsi"/>
          <w:sz w:val="18"/>
        </w:rPr>
      </w:pPr>
      <w:r w:rsidRPr="00B754B3">
        <w:rPr>
          <w:rStyle w:val="Refdenotaalpie"/>
          <w:rFonts w:asciiTheme="majorHAnsi" w:eastAsiaTheme="majorEastAsia" w:hAnsiTheme="majorHAnsi"/>
          <w:sz w:val="18"/>
        </w:rPr>
        <w:footnoteRef/>
      </w:r>
      <w:r w:rsidRPr="00B754B3">
        <w:rPr>
          <w:rFonts w:asciiTheme="majorHAnsi" w:hAnsiTheme="majorHAnsi"/>
          <w:sz w:val="18"/>
        </w:rPr>
        <w:t xml:space="preserve"> Flores Polo, Pedro. </w:t>
      </w:r>
      <w:r w:rsidRPr="00B754B3">
        <w:rPr>
          <w:rFonts w:asciiTheme="majorHAnsi" w:hAnsiTheme="majorHAnsi"/>
          <w:i/>
          <w:iCs/>
          <w:sz w:val="18"/>
        </w:rPr>
        <w:t>Derecho Financiero y Tributario Peruano</w:t>
      </w:r>
      <w:r w:rsidRPr="00B754B3">
        <w:rPr>
          <w:rFonts w:asciiTheme="majorHAnsi" w:hAnsiTheme="majorHAnsi"/>
          <w:sz w:val="18"/>
        </w:rPr>
        <w:t>. Ediciones Justo Valenzuela V. E.I.R.L. pp. 148.</w:t>
      </w:r>
    </w:p>
  </w:footnote>
  <w:footnote w:id="495">
    <w:p w14:paraId="43A16F56"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Ayala Añazco, Emilio, “</w:t>
      </w:r>
      <w:r>
        <w:rPr>
          <w:rFonts w:ascii="Arial Narrow" w:hAnsi="Arial Narrow"/>
          <w:i/>
          <w:sz w:val="16"/>
        </w:rPr>
        <w:t>¿Abogacía o abogacías? ¿Distintas naturalezas o sólo diferentes modalidades de ejercicio? Descripción y análisis?;</w:t>
      </w:r>
    </w:p>
  </w:footnote>
  <w:footnote w:id="496">
    <w:p w14:paraId="23392104"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Ibid.</w:t>
      </w:r>
    </w:p>
  </w:footnote>
  <w:footnote w:id="497">
    <w:p w14:paraId="61B46A12"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Amilcar A. Mercader. “</w:t>
      </w:r>
      <w:r>
        <w:rPr>
          <w:rFonts w:ascii="Arial Narrow" w:hAnsi="Arial Narrow"/>
          <w:i/>
          <w:sz w:val="16"/>
        </w:rPr>
        <w:t>Abogados”.</w:t>
      </w:r>
    </w:p>
  </w:footnote>
  <w:footnote w:id="498">
    <w:p w14:paraId="615629A6"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Ibid.</w:t>
      </w:r>
    </w:p>
  </w:footnote>
  <w:footnote w:id="499">
    <w:p w14:paraId="4188C1D6"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Ibid.</w:t>
      </w:r>
    </w:p>
  </w:footnote>
  <w:footnote w:id="500">
    <w:p w14:paraId="3681043C"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Ibid.</w:t>
      </w:r>
    </w:p>
  </w:footnote>
  <w:footnote w:id="501">
    <w:p w14:paraId="0E8C554E"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Ibid.</w:t>
      </w:r>
    </w:p>
  </w:footnote>
  <w:footnote w:id="502">
    <w:p w14:paraId="38B14D34" w14:textId="77777777" w:rsidR="00444BC9" w:rsidRDefault="00444BC9" w:rsidP="00FA0266">
      <w:pPr>
        <w:pStyle w:val="Textonotapie"/>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Para los más atrevidos profanos la historia no sirve de nada, “¿qué es la historia sino la narración de hechos pasados?, y si ya pasaron para qué los necesitamos?” -dicen estos utilitaristas. Sin embargo hemos de hacer una constricción, es en la historia de donde podemos entresacar los más grandes complejos modernos. Los hombres son siempre “a partir de su historia”. No empiezan de cero, sino que vienen perpetuando los dogmas y valores históricos. Todos los conceptos, principios o instituciones son caracterizaciones históricas nada menos. Isaiah Berlin hablaba que todas nuestras categorías mentales, nuestras formas de categorización nos vienen de la historia. BUSCAR BASADRE  Y BERLIN. </w:t>
      </w:r>
    </w:p>
  </w:footnote>
  <w:footnote w:id="503">
    <w:p w14:paraId="04EBA2C1"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Emilio Ayala Añazco, en un artículo denominado “</w:t>
      </w:r>
      <w:r>
        <w:rPr>
          <w:rFonts w:ascii="Arial Narrow" w:hAnsi="Arial Narrow"/>
          <w:i/>
          <w:sz w:val="16"/>
        </w:rPr>
        <w:t>¿Abogacía o abogacías? ¿Distintas naturalezas o sólo diferentes modalidades de ejercicio? Descripción y análisis.</w:t>
      </w:r>
    </w:p>
  </w:footnote>
  <w:footnote w:id="504">
    <w:p w14:paraId="5ECF77F0"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Emilio Ayala Añazco, en un artículo denominado “</w:t>
      </w:r>
      <w:r>
        <w:rPr>
          <w:rFonts w:ascii="Arial Narrow" w:hAnsi="Arial Narrow"/>
          <w:i/>
          <w:sz w:val="16"/>
        </w:rPr>
        <w:t>¿Abogacía o abogacías? ¿Distintas naturalezas o sólo diferentes modalidades de ejercicio? Descripción y análisis.</w:t>
      </w:r>
    </w:p>
  </w:footnote>
  <w:footnote w:id="505">
    <w:p w14:paraId="58392A5F" w14:textId="77777777" w:rsidR="00444BC9" w:rsidRDefault="00444BC9" w:rsidP="00FA0266">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Fernando de Trazegnies Granda ha escrito un libro denominado Ciriaco de Urtecho.</w:t>
      </w:r>
      <w:r>
        <w:rPr>
          <w:rFonts w:ascii="Arial Narrow" w:hAnsi="Arial Narrow"/>
          <w:i/>
          <w:sz w:val="16"/>
        </w:rPr>
        <w:t>Litigante por amor.</w:t>
      </w:r>
    </w:p>
  </w:footnote>
  <w:footnote w:id="506">
    <w:p w14:paraId="2EA1E37C"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Trazegnies Granda, Fernado de, </w:t>
      </w:r>
      <w:r w:rsidRPr="00A6004D">
        <w:rPr>
          <w:rFonts w:ascii="Arial Narrow" w:hAnsi="Arial Narrow"/>
          <w:i/>
          <w:sz w:val="16"/>
        </w:rPr>
        <w:t>Postmodernidad y</w:t>
      </w:r>
      <w:r w:rsidRPr="00A6004D">
        <w:rPr>
          <w:rFonts w:ascii="Arial Narrow" w:hAnsi="Arial Narrow"/>
          <w:sz w:val="16"/>
        </w:rPr>
        <w:t xml:space="preserve"> </w:t>
      </w:r>
      <w:r w:rsidRPr="00A6004D">
        <w:rPr>
          <w:rFonts w:ascii="Arial Narrow" w:hAnsi="Arial Narrow"/>
          <w:i/>
          <w:sz w:val="16"/>
        </w:rPr>
        <w:t xml:space="preserve">Derecho, </w:t>
      </w:r>
      <w:r w:rsidRPr="00A6004D">
        <w:rPr>
          <w:rFonts w:ascii="Arial Narrow" w:hAnsi="Arial Narrow"/>
          <w:sz w:val="16"/>
        </w:rPr>
        <w:t>Ara editores, pp. 69.</w:t>
      </w:r>
    </w:p>
  </w:footnote>
  <w:footnote w:id="507">
    <w:p w14:paraId="13A0E4FD" w14:textId="77777777" w:rsidR="00444BC9" w:rsidRPr="00A6004D" w:rsidRDefault="00444BC9" w:rsidP="00FA0266">
      <w:pPr>
        <w:pStyle w:val="Textonotapie"/>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Fernado Savater da en el centro de lo que significó Diderot y escribe: “</w:t>
      </w:r>
      <w:r w:rsidRPr="00A6004D">
        <w:rPr>
          <w:rFonts w:ascii="Arial Narrow" w:hAnsi="Arial Narrow"/>
          <w:i/>
          <w:sz w:val="16"/>
        </w:rPr>
        <w:t>Si algo hay que agradecerle ante todo a Diderot es el haber ejemplificado con brío la más fogosa convicción de su siglo: pensar es posible”</w:t>
      </w:r>
      <w:r w:rsidRPr="00A6004D">
        <w:rPr>
          <w:rFonts w:ascii="Arial Narrow" w:hAnsi="Arial Narrow"/>
          <w:sz w:val="16"/>
        </w:rPr>
        <w:t xml:space="preserve">  y por pensar se refiere a aquel proceso mental que pueda negar toda tradición, especialmente la tradición teológica. / Savater, Fernando, </w:t>
      </w:r>
      <w:r w:rsidRPr="00A6004D">
        <w:rPr>
          <w:rFonts w:ascii="Arial Narrow" w:hAnsi="Arial Narrow"/>
          <w:i/>
          <w:sz w:val="16"/>
        </w:rPr>
        <w:t xml:space="preserve"> Instruccioines para olvidar el Quijote,</w:t>
      </w:r>
      <w:r w:rsidRPr="00A6004D">
        <w:rPr>
          <w:rFonts w:ascii="Arial Narrow" w:hAnsi="Arial Narrow"/>
          <w:sz w:val="16"/>
        </w:rPr>
        <w:t xml:space="preserve"> pp. 33. </w:t>
      </w:r>
    </w:p>
  </w:footnote>
  <w:footnote w:id="508">
    <w:p w14:paraId="1E7D88B1"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w:t>
      </w:r>
      <w:r w:rsidRPr="00A6004D">
        <w:rPr>
          <w:rFonts w:ascii="Arial Narrow" w:hAnsi="Arial Narrow"/>
          <w:smallCaps/>
          <w:sz w:val="16"/>
        </w:rPr>
        <w:t>Marías</w:t>
      </w:r>
      <w:r w:rsidRPr="00A6004D">
        <w:rPr>
          <w:rFonts w:ascii="Arial Narrow" w:hAnsi="Arial Narrow"/>
          <w:sz w:val="16"/>
        </w:rPr>
        <w:t xml:space="preserve">, Julían, </w:t>
      </w:r>
      <w:r w:rsidRPr="00A6004D">
        <w:rPr>
          <w:rFonts w:ascii="Arial Narrow" w:hAnsi="Arial Narrow"/>
          <w:i/>
          <w:sz w:val="16"/>
        </w:rPr>
        <w:t>Historia de la Filosofía</w:t>
      </w:r>
      <w:r w:rsidRPr="00A6004D">
        <w:rPr>
          <w:rFonts w:ascii="Arial Narrow" w:hAnsi="Arial Narrow"/>
          <w:sz w:val="16"/>
        </w:rPr>
        <w:t xml:space="preserve">, Editorial de la Revista de Occidente, pp. 255. </w:t>
      </w:r>
    </w:p>
  </w:footnote>
  <w:footnote w:id="509">
    <w:p w14:paraId="50F1AC6A"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Ibid. p. 253. </w:t>
      </w:r>
    </w:p>
  </w:footnote>
  <w:footnote w:id="510">
    <w:p w14:paraId="62704E99"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Ibid. p. 254.</w:t>
      </w:r>
    </w:p>
  </w:footnote>
  <w:footnote w:id="511">
    <w:p w14:paraId="09843999"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w:t>
      </w:r>
      <w:r w:rsidRPr="00A6004D">
        <w:rPr>
          <w:rFonts w:ascii="Arial Narrow" w:hAnsi="Arial Narrow"/>
          <w:smallCaps/>
          <w:sz w:val="16"/>
        </w:rPr>
        <w:t>Savater</w:t>
      </w:r>
      <w:r w:rsidRPr="00A6004D">
        <w:rPr>
          <w:rFonts w:ascii="Arial Narrow" w:hAnsi="Arial Narrow"/>
          <w:sz w:val="16"/>
        </w:rPr>
        <w:t xml:space="preserve">, Fernando, </w:t>
      </w:r>
      <w:r w:rsidRPr="00A6004D">
        <w:rPr>
          <w:rFonts w:ascii="Arial Narrow" w:hAnsi="Arial Narrow"/>
          <w:i/>
          <w:sz w:val="16"/>
        </w:rPr>
        <w:t>El Autor y su obra - Nietzsche</w:t>
      </w:r>
      <w:r w:rsidRPr="00A6004D">
        <w:rPr>
          <w:rFonts w:ascii="Arial Narrow" w:hAnsi="Arial Narrow"/>
          <w:sz w:val="16"/>
        </w:rPr>
        <w:t>, Barcanova, pp. 31.</w:t>
      </w:r>
    </w:p>
  </w:footnote>
  <w:footnote w:id="512">
    <w:p w14:paraId="30A25948" w14:textId="77777777" w:rsidR="00444BC9" w:rsidRPr="00A6004D" w:rsidRDefault="00444BC9" w:rsidP="00FA0266">
      <w:pPr>
        <w:ind w:left="142" w:hanging="142"/>
        <w:jc w:val="both"/>
        <w:rPr>
          <w:rFonts w:ascii="Arial Narrow" w:hAnsi="Arial Narrow"/>
          <w:sz w:val="16"/>
          <w:lang w:val="en-US"/>
        </w:rPr>
      </w:pPr>
      <w:r w:rsidRPr="00A6004D">
        <w:rPr>
          <w:rStyle w:val="Refdenotaalpie"/>
          <w:rFonts w:ascii="Arial Narrow" w:hAnsi="Arial Narrow"/>
          <w:sz w:val="16"/>
        </w:rPr>
        <w:footnoteRef/>
      </w:r>
      <w:r w:rsidRPr="00A6004D">
        <w:rPr>
          <w:rFonts w:ascii="Arial Narrow" w:hAnsi="Arial Narrow"/>
          <w:sz w:val="16"/>
          <w:lang w:val="en-US"/>
        </w:rPr>
        <w:t xml:space="preserve"> Ibid. p. 31.</w:t>
      </w:r>
    </w:p>
  </w:footnote>
  <w:footnote w:id="513">
    <w:p w14:paraId="5F47E98F" w14:textId="77777777" w:rsidR="00444BC9" w:rsidRPr="00A6004D" w:rsidRDefault="00444BC9" w:rsidP="00FA0266">
      <w:pPr>
        <w:ind w:left="142" w:hanging="142"/>
        <w:jc w:val="both"/>
        <w:rPr>
          <w:rFonts w:ascii="Arial Narrow" w:hAnsi="Arial Narrow"/>
          <w:sz w:val="16"/>
          <w:lang w:val="en-US"/>
        </w:rPr>
      </w:pPr>
      <w:r w:rsidRPr="00A6004D">
        <w:rPr>
          <w:rStyle w:val="Refdenotaalpie"/>
          <w:rFonts w:ascii="Arial Narrow" w:hAnsi="Arial Narrow"/>
          <w:sz w:val="16"/>
        </w:rPr>
        <w:footnoteRef/>
      </w:r>
      <w:r w:rsidRPr="00A6004D">
        <w:rPr>
          <w:rFonts w:ascii="Arial Narrow" w:hAnsi="Arial Narrow"/>
          <w:sz w:val="16"/>
          <w:lang w:val="en-US"/>
        </w:rPr>
        <w:t xml:space="preserve"> Ibid. p. 31.</w:t>
      </w:r>
    </w:p>
  </w:footnote>
  <w:footnote w:id="514">
    <w:p w14:paraId="64D7FAF3" w14:textId="77777777" w:rsidR="00444BC9" w:rsidRPr="00A6004D" w:rsidRDefault="00444BC9" w:rsidP="00FA0266">
      <w:pPr>
        <w:ind w:left="142" w:hanging="142"/>
        <w:jc w:val="both"/>
        <w:rPr>
          <w:rFonts w:ascii="Arial Narrow" w:hAnsi="Arial Narrow"/>
          <w:sz w:val="16"/>
          <w:lang w:val="en-US"/>
        </w:rPr>
      </w:pPr>
      <w:r w:rsidRPr="00A6004D">
        <w:rPr>
          <w:rStyle w:val="Refdenotaalpie"/>
          <w:rFonts w:ascii="Arial Narrow" w:hAnsi="Arial Narrow"/>
          <w:sz w:val="16"/>
        </w:rPr>
        <w:footnoteRef/>
      </w:r>
      <w:r w:rsidRPr="00A6004D">
        <w:rPr>
          <w:rFonts w:ascii="Arial Narrow" w:hAnsi="Arial Narrow"/>
          <w:sz w:val="16"/>
          <w:lang w:val="en-US"/>
        </w:rPr>
        <w:t xml:space="preserve"> Ibid. p. 32.</w:t>
      </w:r>
    </w:p>
  </w:footnote>
  <w:footnote w:id="515">
    <w:p w14:paraId="4CC31A9D"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Ibid. p. 32.</w:t>
      </w:r>
    </w:p>
  </w:footnote>
  <w:footnote w:id="516">
    <w:p w14:paraId="73E0C6CF"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Ibid. p. 34.</w:t>
      </w:r>
    </w:p>
  </w:footnote>
  <w:footnote w:id="517">
    <w:p w14:paraId="1137E1DF" w14:textId="77777777" w:rsidR="00444BC9" w:rsidRPr="00A6004D" w:rsidRDefault="00444BC9" w:rsidP="00FA0266">
      <w:pPr>
        <w:pStyle w:val="Textonotapie"/>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Últimos ronquidos, suspiros del moribundo</w:t>
      </w:r>
    </w:p>
  </w:footnote>
  <w:footnote w:id="518">
    <w:p w14:paraId="27E0E66E"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Ibid. p. 47.</w:t>
      </w:r>
    </w:p>
  </w:footnote>
  <w:footnote w:id="519">
    <w:p w14:paraId="79F4C932" w14:textId="77777777" w:rsidR="00444BC9"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w:t>
      </w:r>
      <w:r w:rsidRPr="00A6004D">
        <w:rPr>
          <w:rFonts w:ascii="Arial Narrow" w:hAnsi="Arial Narrow"/>
          <w:smallCaps/>
          <w:sz w:val="16"/>
        </w:rPr>
        <w:t>Trazegnies Granda</w:t>
      </w:r>
      <w:r w:rsidRPr="00A6004D">
        <w:rPr>
          <w:rFonts w:ascii="Arial Narrow" w:hAnsi="Arial Narrow"/>
          <w:sz w:val="16"/>
        </w:rPr>
        <w:t xml:space="preserve">, Fernado de, </w:t>
      </w:r>
      <w:r w:rsidRPr="00A6004D">
        <w:rPr>
          <w:rFonts w:ascii="Arial Narrow" w:hAnsi="Arial Narrow"/>
          <w:i/>
          <w:sz w:val="16"/>
        </w:rPr>
        <w:t>Postmodernidad y</w:t>
      </w:r>
      <w:r w:rsidRPr="00A6004D">
        <w:rPr>
          <w:rFonts w:ascii="Arial Narrow" w:hAnsi="Arial Narrow"/>
          <w:sz w:val="16"/>
        </w:rPr>
        <w:t xml:space="preserve"> </w:t>
      </w:r>
      <w:r w:rsidRPr="00A6004D">
        <w:rPr>
          <w:rFonts w:ascii="Arial Narrow" w:hAnsi="Arial Narrow"/>
          <w:i/>
          <w:sz w:val="16"/>
        </w:rPr>
        <w:t xml:space="preserve">Derecho, </w:t>
      </w:r>
      <w:r w:rsidRPr="00A6004D">
        <w:rPr>
          <w:rFonts w:ascii="Arial Narrow" w:hAnsi="Arial Narrow"/>
          <w:sz w:val="16"/>
        </w:rPr>
        <w:t>Ara e</w:t>
      </w:r>
    </w:p>
    <w:p w14:paraId="3ED78F0E" w14:textId="77777777" w:rsidR="00444BC9" w:rsidRPr="00A6004D" w:rsidRDefault="00444BC9" w:rsidP="00FA0266">
      <w:pPr>
        <w:ind w:left="142" w:hanging="142"/>
        <w:jc w:val="both"/>
        <w:rPr>
          <w:rFonts w:ascii="Arial Narrow" w:hAnsi="Arial Narrow"/>
          <w:sz w:val="16"/>
        </w:rPr>
      </w:pPr>
      <w:r w:rsidRPr="00A6004D">
        <w:rPr>
          <w:rFonts w:ascii="Arial Narrow" w:hAnsi="Arial Narrow"/>
          <w:sz w:val="16"/>
        </w:rPr>
        <w:t>ditores, pp. 69.</w:t>
      </w:r>
    </w:p>
  </w:footnote>
  <w:footnote w:id="520">
    <w:p w14:paraId="6E97EAB8"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Luis Martínez Roldan. Jesús…</w:t>
      </w:r>
      <w:r w:rsidRPr="00A6004D">
        <w:rPr>
          <w:rFonts w:ascii="Arial Narrow" w:hAnsi="Arial Narrow"/>
          <w:i/>
          <w:sz w:val="16"/>
        </w:rPr>
        <w:t>Curso de teoría del Derecho y metodología jurídica,</w:t>
      </w:r>
      <w:r w:rsidRPr="00A6004D">
        <w:rPr>
          <w:rFonts w:ascii="Arial Narrow" w:hAnsi="Arial Narrow"/>
          <w:sz w:val="16"/>
        </w:rPr>
        <w:t xml:space="preserve">   pp. 41.</w:t>
      </w:r>
    </w:p>
  </w:footnote>
  <w:footnote w:id="521">
    <w:p w14:paraId="55147E7E"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Giddens, A. Sociología Po/Itica, Madrid, Alianza Editorial, 1992, pp. 331.</w:t>
      </w:r>
    </w:p>
  </w:footnote>
  <w:footnote w:id="522">
    <w:p w14:paraId="0E45861D" w14:textId="77777777" w:rsidR="00444BC9" w:rsidRPr="0049231E" w:rsidRDefault="00444BC9" w:rsidP="00FA0266">
      <w:pPr>
        <w:jc w:val="both"/>
        <w:rPr>
          <w:rFonts w:cs="Arial"/>
          <w:sz w:val="12"/>
          <w:szCs w:val="12"/>
        </w:rPr>
      </w:pPr>
      <w:r w:rsidRPr="0049231E">
        <w:rPr>
          <w:rStyle w:val="Refdenotaalpie"/>
          <w:sz w:val="12"/>
          <w:szCs w:val="12"/>
        </w:rPr>
        <w:footnoteRef/>
      </w:r>
      <w:r w:rsidRPr="0049231E">
        <w:rPr>
          <w:sz w:val="12"/>
          <w:szCs w:val="12"/>
        </w:rPr>
        <w:t xml:space="preserve"> </w:t>
      </w:r>
      <w:r w:rsidRPr="0049231E">
        <w:rPr>
          <w:rFonts w:cs="Arial"/>
          <w:sz w:val="12"/>
          <w:szCs w:val="12"/>
        </w:rPr>
        <w:t>Bobbio, Norberto, Teoría general del Derecho, Editorial Temis, pp. 9.</w:t>
      </w:r>
    </w:p>
  </w:footnote>
  <w:footnote w:id="523">
    <w:p w14:paraId="1C36ADF3"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Villoro Toranzo, Miguel, Lecciones de filosofía de/Derecho, Editorial Porrúa S.A., pp. 136.</w:t>
      </w:r>
    </w:p>
  </w:footnote>
  <w:footnote w:id="524">
    <w:p w14:paraId="78BC0B94"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Trazegnies Granda, Femado de, PostinodernidadyDerecho Ma editores, pp. 72.</w:t>
      </w:r>
    </w:p>
  </w:footnote>
  <w:footnote w:id="525">
    <w:p w14:paraId="611537D5"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Escribe Luis Eguiguren Callirgos, en la Revista “Cuadernos de Debate Judicial”, Reflexiones sobre Ética Judicial”, Lima, Siglo XXI, 1999. p. 24.</w:t>
      </w:r>
    </w:p>
  </w:footnote>
  <w:footnote w:id="526">
    <w:p w14:paraId="060BC504"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25.</w:t>
      </w:r>
    </w:p>
  </w:footnote>
  <w:footnote w:id="527">
    <w:p w14:paraId="0C91EDBE"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Bobbio, Norberto. Diccionario Político, México, 1981. p. 626.</w:t>
      </w:r>
    </w:p>
  </w:footnote>
  <w:footnote w:id="528">
    <w:p w14:paraId="555A49D8"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626.</w:t>
      </w:r>
    </w:p>
  </w:footnote>
  <w:footnote w:id="529">
    <w:p w14:paraId="03CFC9AD"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626.</w:t>
      </w:r>
    </w:p>
  </w:footnote>
  <w:footnote w:id="530">
    <w:p w14:paraId="55789C08"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626.</w:t>
      </w:r>
    </w:p>
  </w:footnote>
  <w:footnote w:id="531">
    <w:p w14:paraId="0F06C2DD"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626.</w:t>
      </w:r>
    </w:p>
  </w:footnote>
  <w:footnote w:id="532">
    <w:p w14:paraId="116E579A"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626.</w:t>
      </w:r>
    </w:p>
  </w:footnote>
  <w:footnote w:id="533">
    <w:p w14:paraId="51237514"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Rubio Correa, Marcial. Constitución, ¿Qué y para qué?, Editado por DESCO, pp. 33.</w:t>
      </w:r>
    </w:p>
  </w:footnote>
  <w:footnote w:id="534">
    <w:p w14:paraId="584F5AB4"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34.</w:t>
      </w:r>
    </w:p>
  </w:footnote>
  <w:footnote w:id="535">
    <w:p w14:paraId="77578E71" w14:textId="77777777" w:rsidR="00444BC9" w:rsidRPr="0049231E" w:rsidRDefault="00444BC9" w:rsidP="00FA0266">
      <w:pPr>
        <w:pStyle w:val="Textonotapie"/>
        <w:rPr>
          <w:sz w:val="12"/>
          <w:szCs w:val="12"/>
          <w:lang w:val="es-ES_tradnl"/>
        </w:rPr>
      </w:pPr>
      <w:r w:rsidRPr="0049231E">
        <w:rPr>
          <w:rStyle w:val="Refdenotaalpie"/>
          <w:rFonts w:eastAsiaTheme="majorEastAsia"/>
          <w:sz w:val="12"/>
          <w:szCs w:val="12"/>
        </w:rPr>
        <w:footnoteRef/>
      </w:r>
      <w:r w:rsidRPr="0049231E">
        <w:rPr>
          <w:sz w:val="12"/>
          <w:szCs w:val="12"/>
        </w:rPr>
        <w:t xml:space="preserve"> </w:t>
      </w:r>
      <w:r w:rsidRPr="0049231E">
        <w:rPr>
          <w:rFonts w:cs="Arial"/>
          <w:sz w:val="12"/>
          <w:szCs w:val="12"/>
        </w:rPr>
        <w:t>Ibid. p. 35.</w:t>
      </w:r>
    </w:p>
  </w:footnote>
  <w:footnote w:id="536">
    <w:p w14:paraId="344756A4" w14:textId="77777777" w:rsidR="00444BC9" w:rsidRDefault="00444BC9" w:rsidP="00FA0266">
      <w:pPr>
        <w:pStyle w:val="Pie"/>
        <w:ind w:left="425" w:hanging="425"/>
      </w:pPr>
      <w:r>
        <w:t xml:space="preserve">     </w:t>
      </w:r>
      <w:r>
        <w:rPr>
          <w:rStyle w:val="Refdenotaalpie"/>
          <w:rFonts w:eastAsiaTheme="majorEastAsia"/>
        </w:rPr>
        <w:footnoteRef/>
      </w:r>
      <w:r>
        <w:t xml:space="preserve">  "...los tributos impuestos por el inca eran aplastantes; pero estaban tan acertadamente concebidos y tan ingeniosamente repartidos, que los indios los soportaban más cómodamente que soportaron después los impuestos españoles".</w:t>
      </w:r>
    </w:p>
  </w:footnote>
  <w:footnote w:id="537">
    <w:p w14:paraId="2FD39504" w14:textId="77777777" w:rsidR="00444BC9" w:rsidRDefault="00444BC9" w:rsidP="00FA0266">
      <w:pPr>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Escribe Pablo Macera,  "Las Furias y las penas", 1982. Pág. 8</w:t>
      </w:r>
      <w:r>
        <w:rPr>
          <w:rFonts w:ascii="Arial Narrow" w:hAnsi="Arial Narrow"/>
          <w:sz w:val="18"/>
        </w:rPr>
        <w:noBreakHyphen/>
        <w:t>9.</w:t>
      </w:r>
    </w:p>
  </w:footnote>
  <w:footnote w:id="538">
    <w:p w14:paraId="63088036" w14:textId="77777777" w:rsidR="00444BC9" w:rsidRDefault="00444BC9" w:rsidP="00FA0266">
      <w:pPr>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La Corona Española atrapó y mató a Tupac Amaru para suprimir cualquier nuevo intento de liberación.</w:t>
      </w:r>
    </w:p>
  </w:footnote>
  <w:footnote w:id="539">
    <w:p w14:paraId="582B7593" w14:textId="77777777" w:rsidR="00444BC9" w:rsidRDefault="00444BC9" w:rsidP="00FA0266">
      <w:pPr>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Describe Efraín Trelles, en un artículo títulado “El Perú en su historia: linderos de un nuevo desafío.</w:t>
      </w:r>
    </w:p>
  </w:footnote>
  <w:footnote w:id="540">
    <w:p w14:paraId="164A8011" w14:textId="77777777" w:rsidR="00444BC9" w:rsidRDefault="00444BC9" w:rsidP="00FA0266">
      <w:pPr>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José Ignacio López Soria, </w:t>
      </w:r>
      <w:r>
        <w:rPr>
          <w:rFonts w:ascii="Arial Narrow" w:hAnsi="Arial Narrow"/>
          <w:i/>
          <w:sz w:val="18"/>
        </w:rPr>
        <w:t>Nueva Historia General del Perú</w:t>
      </w:r>
      <w:r>
        <w:rPr>
          <w:rFonts w:ascii="Arial Narrow" w:hAnsi="Arial Narrow"/>
          <w:sz w:val="18"/>
        </w:rPr>
        <w:t>, pág. 93</w:t>
      </w:r>
    </w:p>
  </w:footnote>
  <w:footnote w:id="541">
    <w:p w14:paraId="431FC2B9" w14:textId="77777777" w:rsidR="00444BC9" w:rsidRPr="00A6004D" w:rsidRDefault="00444BC9" w:rsidP="00FA0266">
      <w:pPr>
        <w:ind w:left="142" w:hanging="142"/>
        <w:jc w:val="both"/>
        <w:rPr>
          <w:rFonts w:ascii="Arial Narrow" w:hAnsi="Arial Narrow"/>
          <w:sz w:val="16"/>
        </w:rPr>
      </w:pPr>
      <w:r w:rsidRPr="00A6004D">
        <w:rPr>
          <w:rStyle w:val="Refdenotaalpie"/>
          <w:rFonts w:ascii="Arial Narrow" w:hAnsi="Arial Narrow"/>
          <w:sz w:val="16"/>
        </w:rPr>
        <w:footnoteRef/>
      </w:r>
      <w:r w:rsidRPr="00A6004D">
        <w:rPr>
          <w:rFonts w:ascii="Arial Narrow" w:hAnsi="Arial Narrow"/>
          <w:sz w:val="16"/>
        </w:rPr>
        <w:t xml:space="preserve"> </w:t>
      </w:r>
      <w:r w:rsidRPr="00A6004D">
        <w:rPr>
          <w:rFonts w:ascii="Arial Narrow" w:hAnsi="Arial Narrow"/>
          <w:smallCaps/>
          <w:sz w:val="16"/>
        </w:rPr>
        <w:t>Ruiz Zevallos</w:t>
      </w:r>
      <w:r w:rsidRPr="00A6004D">
        <w:rPr>
          <w:rFonts w:ascii="Arial Narrow" w:hAnsi="Arial Narrow"/>
          <w:sz w:val="16"/>
        </w:rPr>
        <w:t xml:space="preserve">, Augusto, </w:t>
      </w:r>
      <w:r w:rsidRPr="00A6004D">
        <w:rPr>
          <w:rFonts w:ascii="Arial Narrow" w:hAnsi="Arial Narrow"/>
          <w:i/>
          <w:sz w:val="16"/>
        </w:rPr>
        <w:t>Psiquiatras y Locos,</w:t>
      </w:r>
      <w:r w:rsidRPr="00A6004D">
        <w:rPr>
          <w:rFonts w:ascii="Arial Narrow" w:hAnsi="Arial Narrow"/>
          <w:sz w:val="16"/>
        </w:rPr>
        <w:t xml:space="preserve"> Editado por el Instituto Pasado &amp; Presente, pp. 25.</w:t>
      </w:r>
    </w:p>
  </w:footnote>
  <w:footnote w:id="542">
    <w:p w14:paraId="347E160A" w14:textId="77777777" w:rsidR="00444BC9" w:rsidRDefault="00444BC9" w:rsidP="00FA0266">
      <w:pPr>
        <w:pStyle w:val="Textonotapie"/>
        <w:rPr>
          <w:sz w:val="16"/>
        </w:rPr>
      </w:pPr>
      <w:r>
        <w:rPr>
          <w:rStyle w:val="Refdenotaalpie"/>
          <w:rFonts w:eastAsiaTheme="majorEastAsia"/>
          <w:sz w:val="16"/>
        </w:rPr>
        <w:footnoteRef/>
      </w:r>
      <w:r>
        <w:rPr>
          <w:sz w:val="16"/>
        </w:rPr>
        <w:t xml:space="preserve"> Este  tema no esta aún acabado, pero puede servir como referencia.</w:t>
      </w:r>
    </w:p>
  </w:footnote>
  <w:footnote w:id="543">
    <w:p w14:paraId="64204783" w14:textId="77777777" w:rsidR="00444BC9" w:rsidRDefault="00444BC9" w:rsidP="00FA0266">
      <w:pPr>
        <w:pStyle w:val="Textonotapie"/>
        <w:ind w:left="142"/>
        <w:jc w:val="both"/>
        <w:rPr>
          <w:sz w:val="16"/>
        </w:rPr>
      </w:pPr>
      <w:r>
        <w:rPr>
          <w:rStyle w:val="Refdenotaalpie"/>
          <w:rFonts w:eastAsiaTheme="majorEastAsia"/>
          <w:sz w:val="16"/>
        </w:rPr>
        <w:footnoteRef/>
      </w:r>
      <w:r>
        <w:rPr>
          <w:sz w:val="16"/>
        </w:rPr>
        <w:t xml:space="preserve"> Ataliba escribe dentro del título “El Derecho tributario como capítulo del derecho administrativo”, el elemento que le da sentido y vida a la institución “Cobranza Coactiva”, que responde a una pregunta “qué ocurre si no se paga?. Y a esta pregunta que tiene como respuesta la mencionada “Cobranza Coactiva”, la inserta dentro de un esquema más amplio, general, es decir dentro del derecho administrativo tributario. El texto completo es el que sigue. “El estudio del derecho tributario material responde a las preguntas: quién debe pagar, a quién se debe pagar, cuándo es que se está obligado a pagar. Y estas preguntas: cómo se debe pagar; </w:t>
      </w:r>
      <w:r>
        <w:rPr>
          <w:b/>
          <w:sz w:val="16"/>
        </w:rPr>
        <w:t>qué ocurre si no se paga</w:t>
      </w:r>
      <w:r>
        <w:rPr>
          <w:sz w:val="16"/>
        </w:rPr>
        <w:t>; cuáles son las consecuencias de rehuir el deber de pagar, qué procedimientos se pueden adoptar par impugnar la exigencia de un pago irregular, etc., no son de derecho tributario material, sino de derecho administrativo tributario.” / Ataliba, Geraldo. Hipótesis de Incidencia Tributaria.  Ediciones del Instituto Peruano de Derecho Tributario. Pp. 44.</w:t>
      </w:r>
    </w:p>
  </w:footnote>
  <w:footnote w:id="544">
    <w:p w14:paraId="45644A2D"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Messinero, Francesco. Manual de Derecho Civil y Comercial. Traducción de Santiago Sentís Melendo. Ediciones Jurídicas Europa-América. Pp. 12.</w:t>
      </w:r>
    </w:p>
  </w:footnote>
  <w:footnote w:id="545">
    <w:p w14:paraId="337E752B"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Ataliba, Geraldo. Hipótesis de Incidencia Tributaria. Instituto peruano de Derecho Tributario. Pp. 33.</w:t>
      </w:r>
    </w:p>
  </w:footnote>
  <w:footnote w:id="546">
    <w:p w14:paraId="1561BDC7"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Ataliba, Geraldo. Hipótesis de Incidencia Tributaria. Instituto peruano de Derecho Tributario. Pp. 33.</w:t>
      </w:r>
    </w:p>
  </w:footnote>
  <w:footnote w:id="547">
    <w:p w14:paraId="61BA35E3"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Según Monroy Gálvez, citado por Rosendo Huamán Cueva. Código Tributario comentado. Gaceta Jurídica. Pp. 547.</w:t>
      </w:r>
    </w:p>
  </w:footnote>
  <w:footnote w:id="548">
    <w:p w14:paraId="3FB220F4"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Este concepto de validez es insertado por Marcial Rubio Correa en su libro Sistema Jurídico, en el capítulo referente a las fuentes formales del Derecho. La validez jurídica también es tratada por otro gran jurista, de talla más bien universal, como es Luis Diez Picazo, en su libro Experiencias Jurídicas y Teoría del Derecho. Editorial Ariel. Otro filósofo Lyotard, habla también sobre la validez y la legitimidad en su libro sobre la Postmodernidad.</w:t>
      </w:r>
    </w:p>
  </w:footnote>
  <w:footnote w:id="549">
    <w:p w14:paraId="2FA7022A"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Marcial Rubio Correa, hablando sobre el Juez explicaba que el Juez, por ejemplo, lo que hace es decir el derecho. Eso significa que no lo crea sino que lo exterioriza o expone. Esta idea de “decir el derecho” ha tenido su mayor relevancia en la época contigua y posterior a la revolución Francesa, a través de ese principio “El Juez es boca de la ley”, por medio del cual se intentaba subordinar el poder de la autoridad, a la letra de la ley, que representaba a su vez, la voluntad del pueblo. </w:t>
      </w:r>
    </w:p>
  </w:footnote>
  <w:footnote w:id="550">
    <w:p w14:paraId="350AD0B6"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Monroy Gálvez, Juan. Para mi otro corazón. Derecho Proceso y otras angustias. Palestra Editores. Pp. 273. </w:t>
      </w:r>
    </w:p>
  </w:footnote>
  <w:footnote w:id="551">
    <w:p w14:paraId="7AF5AC95"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Monroy Gálvez, Juan. Para mi otro corazón. Derecho Proceso y otras angustias. Palestra Editores. Pp. 274.</w:t>
      </w:r>
    </w:p>
  </w:footnote>
  <w:footnote w:id="552">
    <w:p w14:paraId="3DEAC17F"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Monroy Gálvez, Juan. Para mi otro corazón. Derecho Proceso y otras angustias. Palestra Editores. Pp. 274.</w:t>
      </w:r>
    </w:p>
  </w:footnote>
  <w:footnote w:id="553">
    <w:p w14:paraId="720DF83B" w14:textId="77777777" w:rsidR="00444BC9" w:rsidRDefault="00444BC9" w:rsidP="00FA0266">
      <w:pPr>
        <w:pStyle w:val="Textonotapie"/>
        <w:ind w:left="142" w:hanging="142"/>
        <w:jc w:val="both"/>
        <w:rPr>
          <w:sz w:val="16"/>
        </w:rPr>
      </w:pPr>
      <w:r>
        <w:rPr>
          <w:rStyle w:val="Refdenotaalpie"/>
          <w:rFonts w:eastAsiaTheme="majorEastAsia"/>
          <w:sz w:val="16"/>
        </w:rPr>
        <w:footnoteRef/>
      </w:r>
      <w:r>
        <w:rPr>
          <w:sz w:val="16"/>
        </w:rPr>
        <w:t xml:space="preserve"> Rosendo Huamán Cueva. Código Tributario comentado. Gaceta Jurídica. Pp. 547.</w:t>
      </w:r>
    </w:p>
  </w:footnote>
  <w:footnote w:id="554">
    <w:p w14:paraId="1CF8DA22" w14:textId="77777777" w:rsidR="00444BC9" w:rsidRDefault="00444BC9" w:rsidP="00FA0266">
      <w:pPr>
        <w:pStyle w:val="Textonotapie"/>
        <w:rPr>
          <w:sz w:val="16"/>
        </w:rPr>
      </w:pPr>
      <w:r>
        <w:rPr>
          <w:rStyle w:val="Refdenotaalpie"/>
          <w:rFonts w:eastAsiaTheme="majorEastAsia"/>
          <w:sz w:val="16"/>
        </w:rPr>
        <w:footnoteRef/>
      </w:r>
      <w:r>
        <w:rPr>
          <w:sz w:val="16"/>
        </w:rPr>
        <w:t xml:space="preserve"> ………………….Derecho financiero y Tributario. Pp. 220.</w:t>
      </w:r>
    </w:p>
  </w:footnote>
  <w:footnote w:id="555">
    <w:p w14:paraId="11D51702"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Cabe preguntar si esta idea, que el deudor no pague su deuda, o que intente eludir esta obligación se da en los países desarrollados; si el fenómeno es de naturaleza social, o natural, es decir, si tiene su origen en la cosmovisión del ser humano, en su cultura, o en sus genes. Aunque la pregunta parece ingenua no lo es, porque hoy aún se discute si el hombre responde primero a los mandatos de los genes, o si la cultura, la civilización, le ha arrancado, desde su nacimiento, toda dirección genética, y es más un producto de la sociedad. La respuesta podríamos hallarla en la Filosofía del Derecho y en Derecho comparado (Recordemos que el Derecho comparado es un “método de inclusión hipotética fundamental” que permite darnos datos sobre cómo un “sistema jurídico específico se vería transformado dada la adición o supresión de tal o cual instituto jurídico concreto” (Armando S- Andruet. Crítica filosófica a la teoría del Derecho. “Revista Anuario de Derecho Civil”. pp. 1136.)</w:t>
      </w:r>
    </w:p>
    <w:p w14:paraId="36E0543C" w14:textId="77777777" w:rsidR="00444BC9" w:rsidRDefault="00444BC9" w:rsidP="00FA0266">
      <w:pPr>
        <w:pStyle w:val="Textonotapie"/>
        <w:jc w:val="both"/>
        <w:rPr>
          <w:sz w:val="16"/>
        </w:rPr>
      </w:pPr>
      <w:r>
        <w:rPr>
          <w:sz w:val="16"/>
        </w:rPr>
        <w:t>Debemos entender que la idea de deuda lleva implícita el concepto de deber, deber jurídico, y éste no es más que un comportamiento que se debe, un comportamiento debido. La deuda revela o expresa una relación normativa (Ataliba) en la cual no basta la presencia o existencia del sujeto, sino la “imputación de algo como deber, como debido”</w:t>
      </w:r>
    </w:p>
  </w:footnote>
  <w:footnote w:id="556">
    <w:p w14:paraId="570C5797" w14:textId="77777777" w:rsidR="00444BC9" w:rsidRDefault="00444BC9" w:rsidP="00FA0266">
      <w:pPr>
        <w:pStyle w:val="Textonotapie"/>
        <w:rPr>
          <w:sz w:val="16"/>
        </w:rPr>
      </w:pPr>
      <w:r>
        <w:rPr>
          <w:rStyle w:val="Refdenotaalpie"/>
          <w:rFonts w:eastAsiaTheme="majorEastAsia"/>
          <w:sz w:val="16"/>
        </w:rPr>
        <w:footnoteRef/>
      </w:r>
      <w:r>
        <w:rPr>
          <w:sz w:val="16"/>
        </w:rPr>
        <w:t xml:space="preserve"> Huamán Cueva, Rosendo. Código Tributario comentado. Gaceta Jurídica. Pp. 547.</w:t>
      </w:r>
    </w:p>
  </w:footnote>
  <w:footnote w:id="557">
    <w:p w14:paraId="0F8914E0" w14:textId="77777777" w:rsidR="00444BC9" w:rsidRDefault="00444BC9" w:rsidP="00FA0266">
      <w:pPr>
        <w:pStyle w:val="Textonotapie"/>
        <w:rPr>
          <w:sz w:val="16"/>
        </w:rPr>
      </w:pPr>
      <w:r>
        <w:rPr>
          <w:rStyle w:val="Refdenotaalpie"/>
          <w:rFonts w:eastAsiaTheme="majorEastAsia"/>
          <w:sz w:val="16"/>
        </w:rPr>
        <w:footnoteRef/>
      </w:r>
      <w:r>
        <w:rPr>
          <w:sz w:val="16"/>
        </w:rPr>
        <w:t xml:space="preserve"> Diccionario de la Lengua Española. Real Academia Española. Vigésima Edición. Versión Virtual en CD. </w:t>
      </w:r>
    </w:p>
  </w:footnote>
  <w:footnote w:id="558">
    <w:p w14:paraId="18F280C3" w14:textId="77777777" w:rsidR="00444BC9" w:rsidRDefault="00444BC9" w:rsidP="00FA0266">
      <w:pPr>
        <w:pStyle w:val="Textonotapie"/>
        <w:rPr>
          <w:sz w:val="16"/>
        </w:rPr>
      </w:pPr>
      <w:r>
        <w:rPr>
          <w:rStyle w:val="Refdenotaalpie"/>
          <w:rFonts w:eastAsiaTheme="majorEastAsia"/>
          <w:sz w:val="16"/>
        </w:rPr>
        <w:footnoteRef/>
      </w:r>
      <w:r>
        <w:rPr>
          <w:sz w:val="16"/>
        </w:rPr>
        <w:t xml:space="preserve"> Cabanellas de Torres, Guillermo. Diccionario Jurídico. Editorial Heliasta S.R.L. pp. 112. </w:t>
      </w:r>
    </w:p>
  </w:footnote>
  <w:footnote w:id="559">
    <w:p w14:paraId="2A4272D6"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“El deber indica cierto grado de poder reconocido y garantizado”. Podemos aclarar el asunto del deber, o de la obligación del deber con Kant la idea de la deuda, que el refiere más bien como el derecho inseparable de la facultad de obligar, “Así, pues, cuando se dice: Un acreedor tiene el derecho de exigir de su deudor el pago de su deuda, no se quiere decir que pueda persuadirse a que u propia razón le obligue a esta devolución, sino que el forzarle a esta devolución, fuerza que se extiende a todos, puede subsistir con la libertad  general; por consiguiente, hasta con la del mismo deudor, según una ley general exterior. El derecho y la facultad de obligar son, pues, una misma cosa.”  Kant, Enmanuel. Principios Metafísicos del Derecho. Editorial Cajica. Pp. 55.</w:t>
      </w:r>
    </w:p>
  </w:footnote>
  <w:footnote w:id="560">
    <w:p w14:paraId="523C45D8" w14:textId="77777777" w:rsidR="00444BC9" w:rsidRDefault="00444BC9" w:rsidP="00FA0266">
      <w:pPr>
        <w:pStyle w:val="Textonotapie"/>
        <w:rPr>
          <w:sz w:val="16"/>
        </w:rPr>
      </w:pPr>
      <w:r>
        <w:rPr>
          <w:rStyle w:val="Refdenotaalpie"/>
          <w:rFonts w:eastAsiaTheme="majorEastAsia"/>
          <w:sz w:val="16"/>
        </w:rPr>
        <w:footnoteRef/>
      </w:r>
      <w:r>
        <w:rPr>
          <w:sz w:val="16"/>
        </w:rPr>
        <w:t xml:space="preserve"> Luis Diez Picazo hace estas apreciaciones en su libro Experiencias Jurídicas y Teoría del Derecho, de la Editorial Ariel.</w:t>
      </w:r>
    </w:p>
  </w:footnote>
  <w:footnote w:id="561">
    <w:p w14:paraId="6D5061F5" w14:textId="77777777" w:rsidR="00444BC9" w:rsidRDefault="00444BC9" w:rsidP="00FA0266">
      <w:pPr>
        <w:pStyle w:val="Textonotapie"/>
        <w:rPr>
          <w:sz w:val="16"/>
        </w:rPr>
      </w:pPr>
      <w:r>
        <w:rPr>
          <w:rStyle w:val="Refdenotaalpie"/>
          <w:rFonts w:eastAsiaTheme="majorEastAsia"/>
          <w:sz w:val="16"/>
        </w:rPr>
        <w:footnoteRef/>
      </w:r>
      <w:r>
        <w:rPr>
          <w:sz w:val="16"/>
        </w:rPr>
        <w:t xml:space="preserve"> Parafrasea Huaman Cueva a Arias Velasco y Satorio Albalat, que parafrasean a Fenech. / Huamán Cueva, Rosendo. Código Tributario comentado. Gaceta Jurídica. Pp. 548.</w:t>
      </w:r>
    </w:p>
  </w:footnote>
  <w:footnote w:id="562">
    <w:p w14:paraId="3FCAE2D3" w14:textId="77777777" w:rsidR="00444BC9" w:rsidRDefault="00444BC9" w:rsidP="00FA0266">
      <w:pPr>
        <w:pStyle w:val="Textonotapie"/>
        <w:rPr>
          <w:sz w:val="16"/>
          <w:lang w:val="en-US"/>
        </w:rPr>
      </w:pPr>
      <w:r>
        <w:rPr>
          <w:rStyle w:val="Refdenotaalpie"/>
          <w:rFonts w:eastAsiaTheme="majorEastAsia"/>
          <w:sz w:val="16"/>
        </w:rPr>
        <w:footnoteRef/>
      </w:r>
      <w:r>
        <w:rPr>
          <w:sz w:val="16"/>
        </w:rPr>
        <w:t xml:space="preserve"> Sobre la acción nos dice Guuseppe Chiovenda, La acción es “el derecho de obrar correspondiente al particular para la defensa de aquel derecho no satisfecho”. / Chiovenda, Giuseppe. La acción en el sistema de los derechos. Editorial Temis. Bogotá-Colombia. </w:t>
      </w:r>
      <w:r>
        <w:rPr>
          <w:sz w:val="16"/>
          <w:lang w:val="fr-FR"/>
        </w:rPr>
        <w:t>Pp. 4.</w:t>
      </w:r>
    </w:p>
  </w:footnote>
  <w:footnote w:id="563">
    <w:p w14:paraId="656C8501" w14:textId="77777777" w:rsidR="00444BC9" w:rsidRDefault="00444BC9" w:rsidP="00FA0266">
      <w:pPr>
        <w:pStyle w:val="Textonotapie"/>
        <w:rPr>
          <w:sz w:val="16"/>
        </w:rPr>
      </w:pPr>
      <w:r>
        <w:rPr>
          <w:rStyle w:val="Refdenotaalpie"/>
          <w:rFonts w:eastAsiaTheme="majorEastAsia"/>
          <w:sz w:val="16"/>
        </w:rPr>
        <w:footnoteRef/>
      </w:r>
      <w:r>
        <w:rPr>
          <w:sz w:val="16"/>
          <w:lang w:val="fr-FR"/>
        </w:rPr>
        <w:t xml:space="preserve"> Kant, Enmanuel. </w:t>
      </w:r>
      <w:r>
        <w:rPr>
          <w:sz w:val="16"/>
        </w:rPr>
        <w:t>Principios metafísicos del Derecho. Editorial Cajica. Pp. 55.</w:t>
      </w:r>
    </w:p>
  </w:footnote>
  <w:footnote w:id="564">
    <w:p w14:paraId="0F3754BA"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Saliéndonos del contexto, podemos anotar que el crédito, del que hablamos hoy tan libremente, como algo tan normal, en la Edad Media, la Edad de la Oscuridad, se tenía como acto sacrílego, condenada por la Iglesia como pecado, porque el crédito era confundido como usura. “El comercio y, sobre todo, el crédito (al que se confundía con la usura) estaban condenados por la Iglesia, lo que significaba una grave restricción al desarrollo económico.”. Como se sabe por la historia, es la Reforma protestante quien logra que el crédito tenga posibilidades de existencia y libertad de acción. “…el protestantismo revoca la condenación de la Iglesia romana contra el comercio y abre las puertas del crédito”  / Montenegro, Walter. Introducción a las doctrinas político-económicas. Fondo de Cultura Económica. México-Buenos Aires. Pags. 27,28,29.</w:t>
      </w:r>
    </w:p>
  </w:footnote>
  <w:footnote w:id="565">
    <w:p w14:paraId="58BA237C" w14:textId="77777777" w:rsidR="00444BC9" w:rsidRDefault="00444BC9" w:rsidP="00FA0266">
      <w:pPr>
        <w:pStyle w:val="Textonotapie"/>
        <w:rPr>
          <w:sz w:val="16"/>
        </w:rPr>
      </w:pPr>
      <w:r>
        <w:rPr>
          <w:rStyle w:val="Refdenotaalpie"/>
          <w:rFonts w:eastAsiaTheme="majorEastAsia"/>
          <w:sz w:val="16"/>
        </w:rPr>
        <w:footnoteRef/>
      </w:r>
      <w:r>
        <w:rPr>
          <w:sz w:val="16"/>
        </w:rPr>
        <w:t xml:space="preserve"> Según el libro…………, del autor………pp. 173.</w:t>
      </w:r>
    </w:p>
  </w:footnote>
  <w:footnote w:id="566">
    <w:p w14:paraId="77F0238F"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Como habíamos explicado líneas arriba,  el Ejecutor Coactivo es un funcionario de la SUNAT. Según lo ha determinado el Reglamento del Procedimiento de Cobranza Coactiva Título I, Disposiciones Generales, Artículo 1°, inciso f) que a la letra dice: “…f) Ejecutor: Ejecutor Coactivo, funcionario de la SUNAT.” .</w:t>
      </w:r>
    </w:p>
    <w:p w14:paraId="52912B25" w14:textId="77777777" w:rsidR="00444BC9" w:rsidRDefault="00444BC9" w:rsidP="00FA0266">
      <w:pPr>
        <w:pStyle w:val="Textonotapie"/>
        <w:ind w:firstLine="708"/>
        <w:jc w:val="both"/>
        <w:rPr>
          <w:sz w:val="16"/>
        </w:rPr>
      </w:pPr>
      <w:r>
        <w:rPr>
          <w:sz w:val="16"/>
        </w:rPr>
        <w:t>Cabe además volver a insertar los requisitos dispuestos  por  el Código Tributario para ser Ejecutor Coactivo, que en su artículo 114 dice: Para acceder al cargo de Ejecutor Coactivo, se deberán reunir los siguientes requisitos:</w:t>
      </w:r>
    </w:p>
    <w:p w14:paraId="26311092" w14:textId="77777777" w:rsidR="00444BC9" w:rsidRDefault="00444BC9" w:rsidP="00FA0266">
      <w:pPr>
        <w:pStyle w:val="Textonotapie"/>
        <w:jc w:val="both"/>
        <w:rPr>
          <w:sz w:val="16"/>
        </w:rPr>
      </w:pPr>
      <w:r>
        <w:rPr>
          <w:sz w:val="16"/>
        </w:rPr>
        <w:t xml:space="preserve">a) Ser ciudadano en ejercicio y estar en pleno goce de sus derechos civiles; b) Tener título de abogado expedido o revalidado conforme a ley.  c) No haber sido condenado ni hallarse procesado por delito doloso. d) No haber sido destituido de la carrera judicial o del Ministerio Público o de la Administración Pública o de empresas estatales por medidas disciplinarias, ni de la actividad privada por causa o falta grave laboral.; e) Tener conocimiento y experiencia en derecho administrativo y/o tributario; y, f) No tener ninguna otra incompatibilidad señalada por ley. </w:t>
      </w:r>
    </w:p>
    <w:p w14:paraId="43557A9E" w14:textId="77777777" w:rsidR="00444BC9" w:rsidRDefault="00444BC9" w:rsidP="00FA0266">
      <w:pPr>
        <w:pStyle w:val="Textonotapie"/>
        <w:jc w:val="both"/>
        <w:rPr>
          <w:sz w:val="16"/>
        </w:rPr>
      </w:pPr>
      <w:r>
        <w:rPr>
          <w:sz w:val="16"/>
        </w:rPr>
        <w:tab/>
      </w:r>
      <w:r>
        <w:rPr>
          <w:b/>
          <w:sz w:val="16"/>
        </w:rPr>
        <w:t xml:space="preserve">La función del Ejecutor Coactivo </w:t>
      </w:r>
      <w:r>
        <w:rPr>
          <w:sz w:val="16"/>
        </w:rPr>
        <w:t>es la de “llevar a cabo la cobranza compulsiva gozando de amplias atribuciones, otorgadas todas ellas por el órgano administrador del tributo. Para llevar a cabo su labor ejecutiva este funcionario actuará mediante auxiliares coactivos y en caso que se presente resistencia solicitará el apoyo de las autoridades policiales o administrativas (Art. 123° Código Tributario) las que prestarán su apoyo sin costo alguno bajo sanción de destitución.”  ( Sanabria Ortiz, Rubén D. Derecho Tributario e ilícitos tributarios. Edición 1999. Lima- Perú. pp. 332.)</w:t>
      </w:r>
    </w:p>
    <w:p w14:paraId="414DE779" w14:textId="77777777" w:rsidR="00444BC9" w:rsidRDefault="00444BC9" w:rsidP="00FA0266">
      <w:pPr>
        <w:pStyle w:val="Textonotapie"/>
        <w:jc w:val="both"/>
        <w:rPr>
          <w:sz w:val="16"/>
        </w:rPr>
      </w:pPr>
      <w:r>
        <w:rPr>
          <w:sz w:val="16"/>
        </w:rPr>
        <w:tab/>
        <w:t>La Ley N° 26979, Ley de Procedimiento de Ejecución Coactiva define la función del Ejecutor Coactivo en su artículo 3°, que a la letra dice: Artículo 3°.- Función del Ejecutor Coactivo. El Ejecutor es el titular del Procedimiento y ejerce, a nombre de la Entidad, las acciones de coerción para el cumplimiento de la Obligación, de acuerdo a lo establecido en esta Ley.”</w:t>
      </w:r>
    </w:p>
  </w:footnote>
  <w:footnote w:id="567">
    <w:p w14:paraId="64B5F242" w14:textId="77777777" w:rsidR="00444BC9" w:rsidRDefault="00444BC9" w:rsidP="00FA0266">
      <w:pPr>
        <w:pStyle w:val="Textonotapie"/>
        <w:rPr>
          <w:sz w:val="16"/>
        </w:rPr>
      </w:pPr>
      <w:r>
        <w:rPr>
          <w:rStyle w:val="Refdenotaalpie"/>
          <w:rFonts w:eastAsiaTheme="majorEastAsia"/>
          <w:sz w:val="16"/>
        </w:rPr>
        <w:footnoteRef/>
      </w:r>
      <w:r>
        <w:rPr>
          <w:sz w:val="16"/>
        </w:rPr>
        <w:t xml:space="preserve">  Comentarios Legales……. Pp. 173.</w:t>
      </w:r>
    </w:p>
  </w:footnote>
  <w:footnote w:id="568">
    <w:p w14:paraId="331BBDFF"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Hemos de anotar que en Derecho existen ciertos entes, instituciones, bienes sobre las cuales no se puede disponer ninguna medida jurídica, como por ejemplo sobre las herramientas de trabajo (en Derecho Laboral), puestos que estos afectarían directamente al ente productor, al que genera la posibilidad de riqueza y trabajo. Estos bienes se constituyen en inembargables por su constitución y condición primaria, fundamental e indispensable.</w:t>
      </w:r>
    </w:p>
  </w:footnote>
  <w:footnote w:id="569">
    <w:p w14:paraId="4A54A851" w14:textId="77777777" w:rsidR="00444BC9" w:rsidRDefault="00444BC9" w:rsidP="00FA0266">
      <w:pPr>
        <w:pStyle w:val="Textonotapie"/>
        <w:rPr>
          <w:sz w:val="16"/>
        </w:rPr>
      </w:pPr>
      <w:r>
        <w:rPr>
          <w:rStyle w:val="Refdenotaalpie"/>
          <w:rFonts w:eastAsiaTheme="majorEastAsia"/>
          <w:sz w:val="16"/>
        </w:rPr>
        <w:footnoteRef/>
      </w:r>
      <w:r>
        <w:rPr>
          <w:sz w:val="16"/>
        </w:rPr>
        <w:t xml:space="preserve"> Parafraseado del libro  Comentarios Legales………… pp. 174.</w:t>
      </w:r>
    </w:p>
  </w:footnote>
  <w:footnote w:id="570">
    <w:p w14:paraId="2CCA0C9C" w14:textId="77777777" w:rsidR="00444BC9" w:rsidRDefault="00444BC9" w:rsidP="00FA0266">
      <w:pPr>
        <w:pStyle w:val="Textonotapie"/>
        <w:rPr>
          <w:sz w:val="16"/>
        </w:rPr>
      </w:pPr>
      <w:r>
        <w:rPr>
          <w:rStyle w:val="Refdenotaalpie"/>
          <w:rFonts w:eastAsiaTheme="majorEastAsia"/>
          <w:sz w:val="16"/>
        </w:rPr>
        <w:footnoteRef/>
      </w:r>
      <w:r>
        <w:rPr>
          <w:sz w:val="16"/>
        </w:rPr>
        <w:t xml:space="preserve"> Citado del libro Comentarios Legales……………. Pp. 74.</w:t>
      </w:r>
    </w:p>
  </w:footnote>
  <w:footnote w:id="571">
    <w:p w14:paraId="5E5286B3" w14:textId="77777777" w:rsidR="00444BC9" w:rsidRDefault="00444BC9" w:rsidP="00FA0266">
      <w:pPr>
        <w:pStyle w:val="Textonotapie"/>
        <w:rPr>
          <w:sz w:val="16"/>
        </w:rPr>
      </w:pPr>
      <w:r>
        <w:rPr>
          <w:rStyle w:val="Refdenotaalpie"/>
          <w:rFonts w:eastAsiaTheme="majorEastAsia"/>
          <w:sz w:val="16"/>
        </w:rPr>
        <w:footnoteRef/>
      </w:r>
      <w:r>
        <w:rPr>
          <w:sz w:val="16"/>
        </w:rPr>
        <w:t xml:space="preserve"> Según el libro Comentarios Legales. ….., del autor…</w:t>
      </w:r>
    </w:p>
  </w:footnote>
  <w:footnote w:id="572">
    <w:p w14:paraId="1F066C8D" w14:textId="77777777" w:rsidR="00444BC9" w:rsidRDefault="00444BC9" w:rsidP="00FA0266">
      <w:pPr>
        <w:pStyle w:val="Textonotapie"/>
        <w:rPr>
          <w:sz w:val="16"/>
        </w:rPr>
      </w:pPr>
      <w:r>
        <w:rPr>
          <w:rStyle w:val="Refdenotaalpie"/>
          <w:rFonts w:eastAsiaTheme="majorEastAsia"/>
          <w:sz w:val="16"/>
        </w:rPr>
        <w:footnoteRef/>
      </w:r>
      <w:r>
        <w:rPr>
          <w:sz w:val="16"/>
        </w:rPr>
        <w:t xml:space="preserve">  Sanabria Ortiz, Rubén D. Derecho Tributario e ilícitos tributarios. Edición 1999. Lima- Perú. Pp. 6.</w:t>
      </w:r>
    </w:p>
  </w:footnote>
  <w:footnote w:id="573">
    <w:p w14:paraId="547F29CC" w14:textId="77777777" w:rsidR="00444BC9" w:rsidRDefault="00444BC9" w:rsidP="00FA0266">
      <w:pPr>
        <w:pStyle w:val="Textonotapie"/>
        <w:jc w:val="both"/>
        <w:rPr>
          <w:sz w:val="16"/>
        </w:rPr>
      </w:pPr>
      <w:r>
        <w:rPr>
          <w:rStyle w:val="Refdenotaalpie"/>
          <w:rFonts w:eastAsiaTheme="majorEastAsia"/>
          <w:sz w:val="16"/>
        </w:rPr>
        <w:footnoteRef/>
      </w:r>
      <w:r>
        <w:rPr>
          <w:sz w:val="16"/>
        </w:rPr>
        <w:t xml:space="preserve"> Rubén Sanabria escribe además que “El interventor-recaudador deberá informar si la intervención resultad producta para que el ente recaudador solicite al ejecutor coactivo la usura del negocio y la conversión del embargo de intervención a secuestro. El Código Procesal Civil expresa que el ejecutor coactivo procederá de esta forma previo traslado al afectado por el plazo de tres días y tomando en cuenta el informe del interventor y del veedor, si los hay. Contra tal resolución, el contribuyente afectado podrá interponer apelación.”  / Sanabria Ortiz, Rubén D. Derecho Tributario e ilícitos tributarios. Edición 1999. Lima- Perú. Pp 6.</w:t>
      </w:r>
    </w:p>
  </w:footnote>
  <w:footnote w:id="574">
    <w:p w14:paraId="2D736960" w14:textId="77777777" w:rsidR="00444BC9" w:rsidRDefault="00444BC9" w:rsidP="00FA0266">
      <w:pPr>
        <w:spacing w:after="6"/>
        <w:ind w:left="142" w:hanging="142"/>
        <w:jc w:val="both"/>
        <w:rPr>
          <w:sz w:val="16"/>
        </w:rPr>
      </w:pPr>
      <w:r>
        <w:rPr>
          <w:rStyle w:val="Refdenotaalpie"/>
          <w:sz w:val="16"/>
        </w:rPr>
        <w:footnoteRef/>
      </w:r>
      <w:r>
        <w:rPr>
          <w:smallCaps/>
          <w:sz w:val="16"/>
        </w:rPr>
        <w:t xml:space="preserve"> Sanabria ortiz, </w:t>
      </w:r>
      <w:r>
        <w:rPr>
          <w:sz w:val="16"/>
        </w:rPr>
        <w:t xml:space="preserve">Rubén D.  </w:t>
      </w:r>
      <w:r>
        <w:rPr>
          <w:i/>
          <w:sz w:val="16"/>
        </w:rPr>
        <w:t>Derecho Tributario e ilícitos tributarios.</w:t>
      </w:r>
      <w:r>
        <w:rPr>
          <w:sz w:val="16"/>
        </w:rPr>
        <w:t xml:space="preserve"> Edición 1999. Lima-Perú. 334.</w:t>
      </w:r>
    </w:p>
  </w:footnote>
  <w:footnote w:id="575">
    <w:p w14:paraId="3F9E61CA" w14:textId="77777777" w:rsidR="00444BC9" w:rsidRDefault="00444BC9" w:rsidP="00FA0266">
      <w:pPr>
        <w:spacing w:after="6"/>
        <w:ind w:left="142" w:hanging="142"/>
        <w:jc w:val="both"/>
        <w:rPr>
          <w:sz w:val="16"/>
        </w:rPr>
      </w:pPr>
      <w:r>
        <w:rPr>
          <w:rStyle w:val="Refdenotaalpie"/>
          <w:sz w:val="16"/>
        </w:rPr>
        <w:footnoteRef/>
      </w:r>
      <w:r>
        <w:rPr>
          <w:smallCaps/>
          <w:sz w:val="16"/>
        </w:rPr>
        <w:t xml:space="preserve"> </w:t>
      </w:r>
      <w:r>
        <w:rPr>
          <w:sz w:val="16"/>
        </w:rPr>
        <w:t xml:space="preserve">Es curioso observar cómo en todos los textos, o libros consultados el tipo de descripción y conceptualización del tema en investigación y sus componentes, reciben el mismo tratamiento, es decir, son simplemente una copia casi completa de lo que el texto, el Código Tributario, La Ley, El Reglamento, dice. Y no es la copia lo que nos preocupa, sino la visión que se usa para explicar, entender, y aplicar el Derecho, esta visión es la legalista, la positivista. El Derecho Tributario, así perfilado, se nos revela como simple mecánica, como simple operación matemática y no como valoración. Pero la ley, y el Derecho Tributario no descansa sobre una concepción legal (aunque sea tratado sí sólo desde la perspectiva legal), “La ley no es nada absoluto que descanse sobre sí mismo” ( Engisch, Karl. Introducción al pensamiento jurídico. Ediciones Guadarrama. Madrid. Pp. 226). </w:t>
      </w:r>
    </w:p>
  </w:footnote>
  <w:footnote w:id="576">
    <w:p w14:paraId="3A1A5B06" w14:textId="77777777" w:rsidR="00444BC9" w:rsidRDefault="00444BC9" w:rsidP="00FA0266">
      <w:pPr>
        <w:spacing w:after="6"/>
        <w:ind w:left="142" w:hanging="142"/>
        <w:jc w:val="both"/>
        <w:rPr>
          <w:sz w:val="16"/>
        </w:rPr>
      </w:pPr>
      <w:r>
        <w:rPr>
          <w:rStyle w:val="Refdenotaalpie"/>
          <w:sz w:val="16"/>
        </w:rPr>
        <w:footnoteRef/>
      </w:r>
      <w:r>
        <w:rPr>
          <w:sz w:val="16"/>
        </w:rPr>
        <w:t xml:space="preserve"> </w:t>
      </w:r>
      <w:r>
        <w:rPr>
          <w:smallCaps/>
          <w:sz w:val="16"/>
        </w:rPr>
        <w:t xml:space="preserve">Sanabria ortiz, </w:t>
      </w:r>
      <w:r>
        <w:rPr>
          <w:sz w:val="16"/>
        </w:rPr>
        <w:t xml:space="preserve">Rubén D.  </w:t>
      </w:r>
      <w:r>
        <w:rPr>
          <w:i/>
          <w:sz w:val="16"/>
        </w:rPr>
        <w:t>Derecho Tributario e ilícitos tributarios.</w:t>
      </w:r>
      <w:r>
        <w:rPr>
          <w:sz w:val="16"/>
        </w:rPr>
        <w:t xml:space="preserve"> Edición 1999. Lima-Perú. 334.</w:t>
      </w:r>
    </w:p>
  </w:footnote>
  <w:footnote w:id="577">
    <w:p w14:paraId="2022CA73" w14:textId="77777777" w:rsidR="00444BC9" w:rsidRDefault="00444BC9" w:rsidP="00FA0266">
      <w:pPr>
        <w:spacing w:after="6"/>
        <w:ind w:left="142" w:hanging="142"/>
        <w:jc w:val="both"/>
        <w:rPr>
          <w:sz w:val="16"/>
        </w:rPr>
      </w:pPr>
      <w:r>
        <w:rPr>
          <w:rStyle w:val="Refdenotaalpie"/>
          <w:sz w:val="16"/>
        </w:rPr>
        <w:footnoteRef/>
      </w:r>
      <w:r>
        <w:rPr>
          <w:i/>
          <w:sz w:val="16"/>
        </w:rPr>
        <w:t>.</w:t>
      </w:r>
      <w:r>
        <w:rPr>
          <w:sz w:val="16"/>
        </w:rPr>
        <w:t xml:space="preserve"> recordemos con Cabanellas que cuando hablamos de empresa nos estamos refiriendo a “una unidad de producción o de cambio basada en el capital y que persigue la obtención del beneficio, a través de la explotación de la riqueza, de la publicidad, el crédito,…”  Una empresa, es además una “organización de personal, capital y trabajo”, pero para verificar si esta organizaciíon es rentable, o cómo está su movimiento económico y su patrimonio, necesitamos más que saber la definición de lo que es una empresa. Debemos explorar allí en el eje que le da vida: el movimiento económico y el patrimonio que tiene, y que el embargo en forma de intervención en información tiende más a encuadrarse como un fenómeno económico, más que normativo. Hay entonces una relación directa entra la economía y el derecho, relación de subordinación de la primera a la segunda, porque si se trata de averiguar como esta el movimiento económico y el patrimonio, es sólo en referencia a lograr una conducta determinada por la norma jurídica, en este caso de la norma tributaria. Hay que aclarar que la perspectiva de la norma tributaria, en este tipo de embargo tiene como referente al movimiento de la economía de la empresa y de su patrimonio por la concepción que encierran sobre lo que constituye a la empresa, sobre su solidez como institución. Si nos remontamos a la historia podríamos observar que las empresas se han fundado en diversos ítems, que la riqueza ha descansado en diferentes factores, que han cambiado con el tiempo. La riqueza ya no se determina como antaño, por ejemplo con las ideas de los fisiócratas -que consideraban el origen de la riqueza las tierras, y por lo tanto si aplicáramos esta idea, el embargo con interventores de información centraría su atención -esta información- en si la empresa tiene o no tierras. No hoy ya no es sólo el patrimonio lo que determina la solidez económica de una empresa, es además y necesariamente su movimiento de bienes. La riqueza depende -hoy- mucho más de “la producción y circulación de bienes, más que de la acumulación”.  Es sabiendo esto que los interventores en información colocan bajo su atenta mirada no sólo el patrimonio de la empresa, sino su movimiento económico. Ahora bien, para determinar la capacidad de pago de una empresa no basta hacer computar sus deudas; una empresa puede tener deudas (muchas empresas trabajan con deudas perfectamente) pero esto no lo descalifica como agente capaz de generar el pago a su acreedor. Recordemos que tener deudas no significa insolvencia, sino recordemos incluso al mayor deudor del mundo, que es Estados Unidos, según narra Nelson Manrique en su libro La Sociedad Virtual. </w:t>
      </w:r>
    </w:p>
  </w:footnote>
  <w:footnote w:id="578">
    <w:p w14:paraId="71BD6C60" w14:textId="77777777" w:rsidR="00444BC9" w:rsidRDefault="00444BC9" w:rsidP="00FA0266">
      <w:pPr>
        <w:spacing w:after="6"/>
        <w:ind w:left="142" w:hanging="142"/>
        <w:jc w:val="both"/>
        <w:rPr>
          <w:sz w:val="16"/>
        </w:rPr>
      </w:pPr>
      <w:r>
        <w:rPr>
          <w:rStyle w:val="Refdenotaalpie"/>
          <w:sz w:val="16"/>
        </w:rPr>
        <w:footnoteRef/>
      </w:r>
      <w:r>
        <w:rPr>
          <w:sz w:val="16"/>
        </w:rPr>
        <w:t xml:space="preserve"> </w:t>
      </w:r>
      <w:r>
        <w:rPr>
          <w:smallCaps/>
          <w:sz w:val="16"/>
        </w:rPr>
        <w:t xml:space="preserve">Sanabria ortiz, </w:t>
      </w:r>
      <w:r>
        <w:rPr>
          <w:sz w:val="16"/>
        </w:rPr>
        <w:t xml:space="preserve">Rubén D.  </w:t>
      </w:r>
      <w:r>
        <w:rPr>
          <w:i/>
          <w:sz w:val="16"/>
        </w:rPr>
        <w:t>Derecho Tributario e ilícitos tributarios.</w:t>
      </w:r>
      <w:r>
        <w:rPr>
          <w:sz w:val="16"/>
        </w:rPr>
        <w:t xml:space="preserve"> Edición 1999. Lima-Perú. 335.</w:t>
      </w:r>
    </w:p>
  </w:footnote>
  <w:footnote w:id="579">
    <w:p w14:paraId="0AF38D79" w14:textId="77777777" w:rsidR="00444BC9" w:rsidRDefault="00444BC9" w:rsidP="00FA0266">
      <w:pPr>
        <w:spacing w:after="6"/>
        <w:ind w:left="142" w:hanging="142"/>
        <w:jc w:val="both"/>
        <w:rPr>
          <w:sz w:val="16"/>
        </w:rPr>
      </w:pPr>
      <w:r>
        <w:rPr>
          <w:rStyle w:val="Refdenotaalpie"/>
          <w:sz w:val="16"/>
        </w:rPr>
        <w:footnoteRef/>
      </w:r>
      <w:r>
        <w:rPr>
          <w:sz w:val="16"/>
        </w:rPr>
        <w:t xml:space="preserve"> </w:t>
      </w:r>
      <w:r>
        <w:rPr>
          <w:smallCaps/>
          <w:sz w:val="16"/>
        </w:rPr>
        <w:t xml:space="preserve">Sanabria ortiz, </w:t>
      </w:r>
      <w:r>
        <w:rPr>
          <w:sz w:val="16"/>
        </w:rPr>
        <w:t xml:space="preserve">Rubén D.  </w:t>
      </w:r>
      <w:r>
        <w:rPr>
          <w:i/>
          <w:sz w:val="16"/>
        </w:rPr>
        <w:t>Derecho Tributario e ilícitos tributarios.</w:t>
      </w:r>
      <w:r>
        <w:rPr>
          <w:sz w:val="16"/>
        </w:rPr>
        <w:t xml:space="preserve"> Edición 1999. Lima-Perú. 335.</w:t>
      </w:r>
    </w:p>
  </w:footnote>
  <w:footnote w:id="580">
    <w:p w14:paraId="3C871254"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Marcuse, Herbert. </w:t>
      </w:r>
      <w:r w:rsidRPr="004C25F2">
        <w:rPr>
          <w:rFonts w:asciiTheme="majorHAnsi" w:hAnsiTheme="majorHAnsi"/>
          <w:i/>
          <w:iCs/>
          <w:sz w:val="16"/>
        </w:rPr>
        <w:t>Etica de la Revolución. Capítulo: Acerca de los fundamentos filosóficos del concepto científico-económico del trabajo.</w:t>
      </w:r>
      <w:r w:rsidRPr="004C25F2">
        <w:rPr>
          <w:rFonts w:asciiTheme="majorHAnsi" w:hAnsiTheme="majorHAnsi"/>
          <w:sz w:val="16"/>
        </w:rPr>
        <w:t xml:space="preserve"> Taurus Ediciones, S.A. pp. 9.</w:t>
      </w:r>
    </w:p>
  </w:footnote>
  <w:footnote w:id="581">
    <w:p w14:paraId="24D70346"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Marcuse, Herbert. </w:t>
      </w:r>
      <w:r w:rsidRPr="004C25F2">
        <w:rPr>
          <w:rFonts w:asciiTheme="majorHAnsi" w:hAnsiTheme="majorHAnsi"/>
          <w:i/>
          <w:iCs/>
          <w:sz w:val="16"/>
        </w:rPr>
        <w:t>Etica de la Revolución. Capítulo: Acerca de los fundamentos filosóficos del concepto científico-económico del trabajo.</w:t>
      </w:r>
      <w:r w:rsidRPr="004C25F2">
        <w:rPr>
          <w:rFonts w:asciiTheme="majorHAnsi" w:hAnsiTheme="majorHAnsi"/>
          <w:sz w:val="16"/>
        </w:rPr>
        <w:t xml:space="preserve"> Taurus Ediciones, S.A. pp. 9, 10.</w:t>
      </w:r>
    </w:p>
  </w:footnote>
  <w:footnote w:id="582">
    <w:p w14:paraId="67A55757"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Marcuse, Herbert. </w:t>
      </w:r>
      <w:r w:rsidRPr="004C25F2">
        <w:rPr>
          <w:rFonts w:asciiTheme="majorHAnsi" w:hAnsiTheme="majorHAnsi"/>
          <w:i/>
          <w:iCs/>
          <w:sz w:val="16"/>
        </w:rPr>
        <w:t>Etica de la Revolución. Capítulo: Acerca de los fundamentos filosóficos del concepto científico-económico del trabajo.</w:t>
      </w:r>
      <w:r w:rsidRPr="004C25F2">
        <w:rPr>
          <w:rFonts w:asciiTheme="majorHAnsi" w:hAnsiTheme="majorHAnsi"/>
          <w:sz w:val="16"/>
        </w:rPr>
        <w:t xml:space="preserve"> Taurus Ediciones, S.A. pp. 10.</w:t>
      </w:r>
    </w:p>
  </w:footnote>
  <w:footnote w:id="583">
    <w:p w14:paraId="4D148650"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Marcuse, Herbert. </w:t>
      </w:r>
      <w:r w:rsidRPr="004C25F2">
        <w:rPr>
          <w:rFonts w:asciiTheme="majorHAnsi" w:hAnsiTheme="majorHAnsi"/>
          <w:i/>
          <w:iCs/>
          <w:sz w:val="16"/>
        </w:rPr>
        <w:t>Etica de la Revolución. Capítulo: Acerca de los fundamentos filosóficos del concepto científico-económico del trabajo.</w:t>
      </w:r>
      <w:r w:rsidRPr="004C25F2">
        <w:rPr>
          <w:rFonts w:asciiTheme="majorHAnsi" w:hAnsiTheme="majorHAnsi"/>
          <w:sz w:val="16"/>
        </w:rPr>
        <w:t xml:space="preserve"> Taurus Ediciones, S.A. pp. 10.</w:t>
      </w:r>
    </w:p>
  </w:footnote>
  <w:footnote w:id="584">
    <w:p w14:paraId="27717F82"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Marcuse, Herbert. </w:t>
      </w:r>
      <w:r w:rsidRPr="004C25F2">
        <w:rPr>
          <w:rFonts w:asciiTheme="majorHAnsi" w:hAnsiTheme="majorHAnsi"/>
          <w:i/>
          <w:iCs/>
          <w:sz w:val="16"/>
        </w:rPr>
        <w:t>Etica de la Revolución. Capítulo: Acerca de los fundamentos filosóficos del concepto científico-económico del trabajo.</w:t>
      </w:r>
      <w:r w:rsidRPr="004C25F2">
        <w:rPr>
          <w:rFonts w:asciiTheme="majorHAnsi" w:hAnsiTheme="majorHAnsi"/>
          <w:sz w:val="16"/>
        </w:rPr>
        <w:t xml:space="preserve"> Taurus Ediciones, S.A. pp.11.</w:t>
      </w:r>
    </w:p>
  </w:footnote>
  <w:footnote w:id="585">
    <w:p w14:paraId="48356CE7" w14:textId="77777777" w:rsidR="00444BC9" w:rsidRPr="004C25F2" w:rsidRDefault="00444BC9" w:rsidP="00FA79B0">
      <w:pPr>
        <w:pStyle w:val="Textonotapie"/>
        <w:jc w:val="both"/>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Jorge Castillo Guzmán. Jaime Abal Abarca. Vanesa Barzola Ortiz. Raquel Diaz Quintanilla. Manual de Derecho Individual de Trabajo. Edición de Estudio Caballero Bustamante. Pp. A-1.</w:t>
      </w:r>
    </w:p>
  </w:footnote>
  <w:footnote w:id="586">
    <w:p w14:paraId="449FA91E"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Neves Mujica, Javier. Introducción al Derecho del trabajo. Ara Editores. Pp. 13.</w:t>
      </w:r>
    </w:p>
  </w:footnote>
  <w:footnote w:id="587">
    <w:p w14:paraId="3C27BD83"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Neves Mujica, Javier. Introducción al Derecho del trabajo. Ara Editores. Pp. 13.</w:t>
      </w:r>
    </w:p>
  </w:footnote>
  <w:footnote w:id="588">
    <w:p w14:paraId="5B9E2DB8"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Neves Mujica, Javier. Introducción al Derecho del trabajo. Ara Editores. Pp. 14.</w:t>
      </w:r>
    </w:p>
  </w:footnote>
  <w:footnote w:id="589">
    <w:p w14:paraId="5E4CD198" w14:textId="77777777" w:rsidR="00444BC9" w:rsidRPr="004C25F2" w:rsidRDefault="00444BC9" w:rsidP="00FA79B0">
      <w:pPr>
        <w:pStyle w:val="Textonotapie"/>
        <w:rPr>
          <w:rFonts w:asciiTheme="majorHAnsi" w:hAnsiTheme="majorHAnsi"/>
          <w:sz w:val="16"/>
        </w:rPr>
      </w:pPr>
      <w:r w:rsidRPr="004C25F2">
        <w:rPr>
          <w:rStyle w:val="Refdenotaalpie"/>
          <w:rFonts w:asciiTheme="majorHAnsi" w:eastAsiaTheme="majorEastAsia" w:hAnsiTheme="majorHAnsi"/>
          <w:sz w:val="16"/>
        </w:rPr>
        <w:footnoteRef/>
      </w:r>
      <w:r w:rsidRPr="004C25F2">
        <w:rPr>
          <w:rFonts w:asciiTheme="majorHAnsi" w:hAnsiTheme="majorHAnsi"/>
          <w:sz w:val="16"/>
        </w:rPr>
        <w:t xml:space="preserve"> ASIMOV, Isaac. El monstruo subatómico. Editorial Plaza &amp; Janes. Pp. 15, 16.</w:t>
      </w:r>
    </w:p>
  </w:footnote>
  <w:footnote w:id="590">
    <w:p w14:paraId="4411A7AF" w14:textId="77777777" w:rsidR="00444BC9" w:rsidRPr="004C25F2" w:rsidRDefault="00444BC9" w:rsidP="00FA79B0">
      <w:pPr>
        <w:pStyle w:val="Textonotapie"/>
        <w:rPr>
          <w:rFonts w:asciiTheme="majorHAnsi" w:hAnsiTheme="majorHAnsi"/>
          <w:sz w:val="12"/>
        </w:rPr>
      </w:pPr>
      <w:r w:rsidRPr="004C25F2">
        <w:rPr>
          <w:rStyle w:val="Refdenotaalpie"/>
          <w:rFonts w:asciiTheme="majorHAnsi" w:eastAsiaTheme="majorEastAsia" w:hAnsiTheme="majorHAnsi"/>
          <w:sz w:val="12"/>
        </w:rPr>
        <w:footnoteRef/>
      </w:r>
      <w:r w:rsidRPr="004C25F2">
        <w:rPr>
          <w:rFonts w:asciiTheme="majorHAnsi" w:hAnsiTheme="majorHAnsi"/>
          <w:sz w:val="12"/>
        </w:rPr>
        <w:t xml:space="preserve"> Una disgreción: ¿había la concepción del “pan”, en el Jardin del Edén? ¿No todo era frutas?, Solo un comentario.</w:t>
      </w:r>
    </w:p>
  </w:footnote>
  <w:footnote w:id="591">
    <w:p w14:paraId="745ABAE4" w14:textId="77777777" w:rsidR="00444BC9" w:rsidRPr="004C25F2" w:rsidRDefault="00444BC9" w:rsidP="00FA79B0">
      <w:pPr>
        <w:pStyle w:val="Textonotapie"/>
        <w:rPr>
          <w:rFonts w:asciiTheme="majorHAnsi" w:hAnsiTheme="majorHAnsi"/>
          <w:color w:val="008080"/>
          <w:sz w:val="12"/>
        </w:rPr>
      </w:pPr>
      <w:r w:rsidRPr="004C25F2">
        <w:rPr>
          <w:rStyle w:val="Refdenotaalpie"/>
          <w:rFonts w:asciiTheme="majorHAnsi" w:eastAsiaTheme="majorEastAsia" w:hAnsiTheme="majorHAnsi"/>
          <w:color w:val="008080"/>
          <w:sz w:val="12"/>
        </w:rPr>
        <w:footnoteRef/>
      </w:r>
      <w:r w:rsidRPr="004C25F2">
        <w:rPr>
          <w:rFonts w:asciiTheme="majorHAnsi" w:hAnsiTheme="majorHAnsi"/>
          <w:color w:val="008080"/>
          <w:sz w:val="12"/>
        </w:rPr>
        <w:t xml:space="preserve"> Una disgreción: ¿había la concepción del “pan”, en el Jardin del Edén? ¿No todo era frutas?, Solo un comentario.</w:t>
      </w:r>
    </w:p>
  </w:footnote>
  <w:footnote w:id="592">
    <w:p w14:paraId="4F13EA03" w14:textId="77777777" w:rsidR="00444BC9" w:rsidRDefault="00444BC9" w:rsidP="001B03E0">
      <w:pPr>
        <w:jc w:val="both"/>
        <w:rPr>
          <w:rFonts w:ascii="Arial Narrow" w:hAnsi="Arial Narrow"/>
          <w:sz w:val="16"/>
          <w:lang w:val="en-US"/>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lang w:val="en-US"/>
        </w:rPr>
        <w:t xml:space="preserve">Deleuze, Gilles, </w:t>
      </w:r>
      <w:r>
        <w:rPr>
          <w:rFonts w:ascii="Arial Narrow" w:hAnsi="Arial Narrow"/>
          <w:i/>
          <w:sz w:val="16"/>
          <w:lang w:val="en-US"/>
        </w:rPr>
        <w:t xml:space="preserve">Foucault, pp. </w:t>
      </w:r>
      <w:r>
        <w:rPr>
          <w:rFonts w:ascii="Arial Narrow" w:hAnsi="Arial Narrow"/>
          <w:sz w:val="16"/>
          <w:lang w:val="en-US"/>
        </w:rPr>
        <w:t>106.</w:t>
      </w:r>
    </w:p>
  </w:footnote>
  <w:footnote w:id="593">
    <w:p w14:paraId="4A0548C9" w14:textId="77777777" w:rsidR="00444BC9" w:rsidRDefault="00444BC9" w:rsidP="001B03E0">
      <w:pPr>
        <w:jc w:val="both"/>
        <w:rPr>
          <w:rFonts w:ascii="Arial Narrow" w:hAnsi="Arial Narrow"/>
          <w:i/>
          <w:sz w:val="16"/>
          <w:lang w:val="en-US"/>
        </w:rPr>
      </w:pPr>
      <w:r>
        <w:rPr>
          <w:rStyle w:val="Refdenotaalpie"/>
          <w:rFonts w:ascii="Arial Narrow" w:hAnsi="Arial Narrow"/>
          <w:sz w:val="16"/>
        </w:rPr>
        <w:footnoteRef/>
      </w:r>
      <w:r>
        <w:rPr>
          <w:rFonts w:ascii="Arial Narrow" w:hAnsi="Arial Narrow"/>
          <w:sz w:val="16"/>
          <w:lang w:val="en-US"/>
        </w:rPr>
        <w:t xml:space="preserve"> Deleuze, Gilles, </w:t>
      </w:r>
      <w:r>
        <w:rPr>
          <w:rFonts w:ascii="Arial Narrow" w:hAnsi="Arial Narrow"/>
          <w:i/>
          <w:sz w:val="16"/>
          <w:lang w:val="en-US"/>
        </w:rPr>
        <w:t>Foucault, pp. 105.</w:t>
      </w:r>
    </w:p>
  </w:footnote>
  <w:footnote w:id="594">
    <w:p w14:paraId="47C61CBD" w14:textId="77777777" w:rsidR="00444BC9" w:rsidRDefault="00444BC9" w:rsidP="001B03E0">
      <w:pPr>
        <w:jc w:val="both"/>
        <w:rPr>
          <w:rFonts w:ascii="Arial Narrow" w:hAnsi="Arial Narrow"/>
          <w:sz w:val="16"/>
          <w:lang w:val="en-US"/>
        </w:rPr>
      </w:pPr>
      <w:r>
        <w:rPr>
          <w:rFonts w:ascii="Arial Narrow" w:hAnsi="Arial Narrow"/>
          <w:sz w:val="16"/>
          <w:lang w:val="en-US"/>
        </w:rPr>
        <w:t xml:space="preserve">     </w:t>
      </w:r>
      <w:r>
        <w:rPr>
          <w:rStyle w:val="Refdenotaalpie"/>
          <w:rFonts w:ascii="Arial Narrow" w:hAnsi="Arial Narrow"/>
          <w:sz w:val="16"/>
        </w:rPr>
        <w:footnoteRef/>
      </w:r>
      <w:r>
        <w:rPr>
          <w:rFonts w:ascii="Arial Narrow" w:hAnsi="Arial Narrow"/>
          <w:sz w:val="16"/>
          <w:lang w:val="en-US"/>
        </w:rPr>
        <w:t xml:space="preserve">Deleuze, Gilles, </w:t>
      </w:r>
      <w:r>
        <w:rPr>
          <w:rFonts w:ascii="Arial Narrow" w:hAnsi="Arial Narrow"/>
          <w:i/>
          <w:sz w:val="16"/>
          <w:lang w:val="en-US"/>
        </w:rPr>
        <w:t xml:space="preserve">Foucault, pp. </w:t>
      </w:r>
      <w:r>
        <w:rPr>
          <w:rFonts w:ascii="Arial Narrow" w:hAnsi="Arial Narrow"/>
          <w:sz w:val="16"/>
          <w:lang w:val="en-US"/>
        </w:rPr>
        <w:t>105.</w:t>
      </w:r>
    </w:p>
  </w:footnote>
  <w:footnote w:id="595">
    <w:p w14:paraId="164950B6" w14:textId="77777777" w:rsidR="00444BC9" w:rsidRDefault="00444BC9" w:rsidP="001B03E0">
      <w:pPr>
        <w:jc w:val="both"/>
        <w:rPr>
          <w:rFonts w:ascii="Arial Narrow" w:hAnsi="Arial Narrow"/>
          <w:sz w:val="16"/>
        </w:rPr>
      </w:pPr>
      <w:r>
        <w:rPr>
          <w:rFonts w:ascii="Arial Narrow" w:hAnsi="Arial Narrow"/>
          <w:sz w:val="16"/>
          <w:lang w:val="en-US"/>
        </w:rPr>
        <w:t xml:space="preserve">     </w:t>
      </w:r>
      <w:r>
        <w:rPr>
          <w:rStyle w:val="Refdenotaalpie"/>
          <w:rFonts w:ascii="Arial Narrow" w:hAnsi="Arial Narrow"/>
          <w:sz w:val="16"/>
        </w:rPr>
        <w:footnoteRef/>
      </w:r>
      <w:r>
        <w:rPr>
          <w:rFonts w:ascii="Arial Narrow" w:hAnsi="Arial Narrow"/>
          <w:sz w:val="16"/>
        </w:rPr>
        <w:t xml:space="preserve"> Massini, Carlos Ignacio, </w:t>
      </w:r>
      <w:r>
        <w:rPr>
          <w:rFonts w:ascii="Arial Narrow" w:hAnsi="Arial Narrow"/>
          <w:i/>
          <w:sz w:val="16"/>
        </w:rPr>
        <w:t>Sobre el Realismo Jurídico,</w:t>
      </w:r>
      <w:r>
        <w:rPr>
          <w:rFonts w:ascii="Arial Narrow" w:hAnsi="Arial Narrow"/>
          <w:sz w:val="16"/>
        </w:rPr>
        <w:t xml:space="preserve"> Editorial Abeledo-Perrot, pp. 14.</w:t>
      </w:r>
    </w:p>
  </w:footnote>
  <w:footnote w:id="596">
    <w:p w14:paraId="15AA05A0"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Massini, Carlos Ignacio, </w:t>
      </w:r>
      <w:r>
        <w:rPr>
          <w:rFonts w:ascii="Arial Narrow" w:hAnsi="Arial Narrow"/>
          <w:i/>
          <w:sz w:val="16"/>
        </w:rPr>
        <w:t>Sobre el Realismo Jurídico,</w:t>
      </w:r>
      <w:r>
        <w:rPr>
          <w:rFonts w:ascii="Arial Narrow" w:hAnsi="Arial Narrow"/>
          <w:sz w:val="16"/>
        </w:rPr>
        <w:t xml:space="preserve"> Editorial Abeledo-Perrot, pp. 14. </w:t>
      </w:r>
    </w:p>
  </w:footnote>
  <w:footnote w:id="597">
    <w:p w14:paraId="36A684BF"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Escribe Massini parafraseando a Michel Grison. Massini, Carlos Ignacio, </w:t>
      </w:r>
      <w:r>
        <w:rPr>
          <w:rFonts w:ascii="Arial Narrow" w:hAnsi="Arial Narrow"/>
          <w:i/>
          <w:sz w:val="16"/>
        </w:rPr>
        <w:t>Sobre el Realismo Jurídico,</w:t>
      </w:r>
      <w:r>
        <w:rPr>
          <w:rFonts w:ascii="Arial Narrow" w:hAnsi="Arial Narrow"/>
          <w:sz w:val="16"/>
        </w:rPr>
        <w:t xml:space="preserve"> Editorial Abeledo-Perrot, pp. 14.</w:t>
      </w:r>
    </w:p>
  </w:footnote>
  <w:footnote w:id="598">
    <w:p w14:paraId="2D3F6104"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Massini, Carlos Ignacio, </w:t>
      </w:r>
      <w:r>
        <w:rPr>
          <w:rFonts w:ascii="Arial Narrow" w:hAnsi="Arial Narrow"/>
          <w:i/>
          <w:sz w:val="16"/>
        </w:rPr>
        <w:t>Sobre el Realismo Jurídico,</w:t>
      </w:r>
      <w:r>
        <w:rPr>
          <w:rFonts w:ascii="Arial Narrow" w:hAnsi="Arial Narrow"/>
          <w:sz w:val="16"/>
        </w:rPr>
        <w:t xml:space="preserve"> Editorial Abeledo-Perrot, pp. 15. </w:t>
      </w:r>
    </w:p>
  </w:footnote>
  <w:footnote w:id="599">
    <w:p w14:paraId="737990D2"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w:t>
      </w:r>
      <w:r>
        <w:rPr>
          <w:rFonts w:ascii="Arial Narrow" w:hAnsi="Arial Narrow"/>
          <w:i/>
          <w:sz w:val="16"/>
        </w:rPr>
        <w:t>“...es identificable la norma jurídica por el carácter coercitivo que, de hecho, tuvo o que su inobservancia pudo crear; y por su relación con instituciones o actos que pertenecen al Derecho.” Basadre, pp. 79</w:t>
      </w:r>
      <w:r>
        <w:rPr>
          <w:rFonts w:ascii="Arial Narrow" w:hAnsi="Arial Narrow"/>
          <w:sz w:val="16"/>
        </w:rPr>
        <w:t>.</w:t>
      </w:r>
    </w:p>
  </w:footnote>
  <w:footnote w:id="600">
    <w:p w14:paraId="19B5B53D"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Parafraseando a Foucault, escribe Miguel Morey. Gilles Deleuze, "Foucault", Ediciones Paidos Studio, pág. 14.</w:t>
      </w:r>
    </w:p>
  </w:footnote>
  <w:footnote w:id="601">
    <w:p w14:paraId="6AF69CD4"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Manuel Burga, "Nueva Historia General del Perú, La Sociedad Colonial", pág. 78.</w:t>
      </w:r>
    </w:p>
  </w:footnote>
  <w:footnote w:id="602">
    <w:p w14:paraId="11EB6FA6"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Fernando de Trazegnies LIDRSXIX, pág 48.</w:t>
      </w:r>
    </w:p>
  </w:footnote>
  <w:footnote w:id="603">
    <w:p w14:paraId="1026E5E2"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Hablando de la Fe, hay un párrafo en la obra de Woody Allen, que explica la concepción de Kierkergaard sobre el mundo y la vida: </w:t>
      </w:r>
    </w:p>
    <w:p w14:paraId="3F4DD9E1" w14:textId="77777777" w:rsidR="00444BC9" w:rsidRDefault="00444BC9" w:rsidP="001B03E0">
      <w:pPr>
        <w:jc w:val="both"/>
        <w:rPr>
          <w:rFonts w:ascii="Arial Narrow" w:hAnsi="Arial Narrow"/>
          <w:i/>
          <w:sz w:val="16"/>
        </w:rPr>
      </w:pPr>
      <w:r>
        <w:rPr>
          <w:rFonts w:ascii="Arial Narrow" w:hAnsi="Arial Narrow"/>
          <w:i/>
          <w:sz w:val="16"/>
        </w:rPr>
        <w:t>"- Claire, ¿y si Kerkegaard tuviera razón?</w:t>
      </w:r>
    </w:p>
    <w:p w14:paraId="28AC7138" w14:textId="77777777" w:rsidR="00444BC9" w:rsidRDefault="00444BC9" w:rsidP="001B03E0">
      <w:pPr>
        <w:jc w:val="both"/>
        <w:rPr>
          <w:rFonts w:ascii="Arial Narrow" w:hAnsi="Arial Narrow"/>
          <w:i/>
          <w:sz w:val="16"/>
        </w:rPr>
      </w:pPr>
      <w:r>
        <w:rPr>
          <w:rFonts w:ascii="Arial Narrow" w:hAnsi="Arial Narrow"/>
          <w:i/>
          <w:sz w:val="16"/>
        </w:rPr>
        <w:t>- ¿qué quieres decir?</w:t>
      </w:r>
    </w:p>
    <w:p w14:paraId="7A803B12" w14:textId="77777777" w:rsidR="00444BC9" w:rsidRDefault="00444BC9" w:rsidP="001B03E0">
      <w:pPr>
        <w:jc w:val="both"/>
        <w:rPr>
          <w:rFonts w:ascii="Arial Narrow" w:hAnsi="Arial Narrow"/>
          <w:sz w:val="16"/>
        </w:rPr>
      </w:pPr>
      <w:r>
        <w:rPr>
          <w:rFonts w:ascii="Arial Narrow" w:hAnsi="Arial Narrow"/>
          <w:i/>
          <w:sz w:val="16"/>
        </w:rPr>
        <w:t>- Si realmente jamás se pudiera saber. Solo tener fe."</w:t>
      </w:r>
    </w:p>
    <w:p w14:paraId="2467178E" w14:textId="77777777" w:rsidR="00444BC9" w:rsidRDefault="00444BC9" w:rsidP="001B03E0">
      <w:pPr>
        <w:tabs>
          <w:tab w:val="left" w:pos="-1870"/>
          <w:tab w:val="left" w:pos="-1150"/>
          <w:tab w:val="left" w:pos="-430"/>
          <w:tab w:val="left" w:pos="290"/>
          <w:tab w:val="left" w:pos="1010"/>
          <w:tab w:val="left" w:pos="1730"/>
          <w:tab w:val="left" w:pos="2450"/>
          <w:tab w:val="left" w:pos="3170"/>
          <w:tab w:val="left" w:pos="3890"/>
          <w:tab w:val="left" w:pos="4610"/>
          <w:tab w:val="left" w:pos="5330"/>
          <w:tab w:val="left" w:pos="6050"/>
          <w:tab w:val="left" w:pos="6770"/>
          <w:tab w:val="left" w:pos="7490"/>
          <w:tab w:val="left" w:pos="8210"/>
        </w:tabs>
        <w:ind w:hanging="720"/>
        <w:jc w:val="both"/>
        <w:rPr>
          <w:rFonts w:ascii="Arial Narrow" w:hAnsi="Arial Narrow"/>
          <w:sz w:val="16"/>
        </w:rPr>
      </w:pPr>
      <w:r>
        <w:rPr>
          <w:rFonts w:ascii="Arial Narrow" w:hAnsi="Arial Narrow"/>
          <w:sz w:val="16"/>
        </w:rPr>
        <w:t xml:space="preserve"> </w:t>
      </w:r>
      <w:r>
        <w:rPr>
          <w:rFonts w:ascii="Arial Narrow" w:hAnsi="Arial Narrow"/>
          <w:sz w:val="16"/>
        </w:rPr>
        <w:tab/>
        <w:t>Se sabe además que Kierkegaard odiaba la misa y la iglesia.</w:t>
      </w:r>
    </w:p>
    <w:p w14:paraId="21FF595C" w14:textId="77777777" w:rsidR="00444BC9" w:rsidRDefault="00444BC9" w:rsidP="001B03E0">
      <w:pPr>
        <w:tabs>
          <w:tab w:val="left" w:pos="-1870"/>
          <w:tab w:val="left" w:pos="-1150"/>
          <w:tab w:val="left" w:pos="-430"/>
          <w:tab w:val="left" w:pos="290"/>
          <w:tab w:val="left" w:pos="1010"/>
          <w:tab w:val="left" w:pos="1730"/>
          <w:tab w:val="left" w:pos="2450"/>
          <w:tab w:val="left" w:pos="3170"/>
          <w:tab w:val="left" w:pos="3890"/>
          <w:tab w:val="left" w:pos="4610"/>
          <w:tab w:val="left" w:pos="5330"/>
          <w:tab w:val="left" w:pos="6050"/>
          <w:tab w:val="left" w:pos="6770"/>
          <w:tab w:val="left" w:pos="7490"/>
          <w:tab w:val="left" w:pos="8210"/>
        </w:tabs>
        <w:ind w:hanging="720"/>
        <w:jc w:val="both"/>
        <w:rPr>
          <w:rFonts w:ascii="Arial Narrow" w:hAnsi="Arial Narrow"/>
          <w:sz w:val="16"/>
        </w:rPr>
      </w:pPr>
    </w:p>
  </w:footnote>
  <w:footnote w:id="604">
    <w:p w14:paraId="5C13EFCB"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Jostein Gaarder, "El mundo de sofía", pág. 469.</w:t>
      </w:r>
    </w:p>
  </w:footnote>
  <w:footnote w:id="605">
    <w:p w14:paraId="03E322A1"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Jostein Gaarder, "El mundo de sofía", pág. 210.</w:t>
      </w:r>
    </w:p>
  </w:footnote>
  <w:footnote w:id="606">
    <w:p w14:paraId="3BB432D6" w14:textId="77777777" w:rsidR="00444BC9" w:rsidRDefault="00444BC9" w:rsidP="001B03E0">
      <w:pPr>
        <w:jc w:val="both"/>
        <w:rPr>
          <w:rFonts w:ascii="Arial Narrow" w:hAnsi="Arial Narrow"/>
          <w:sz w:val="16"/>
          <w:lang w:val="en-US"/>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lang w:val="en-US"/>
        </w:rPr>
        <w:t xml:space="preserve"> Gaarder, 583.</w:t>
      </w:r>
    </w:p>
  </w:footnote>
  <w:footnote w:id="607">
    <w:p w14:paraId="0B0F0600" w14:textId="77777777" w:rsidR="00444BC9" w:rsidRDefault="00444BC9" w:rsidP="001B03E0">
      <w:pPr>
        <w:jc w:val="both"/>
        <w:rPr>
          <w:rFonts w:ascii="Arial Narrow" w:hAnsi="Arial Narrow"/>
          <w:sz w:val="16"/>
        </w:rPr>
      </w:pPr>
      <w:r>
        <w:rPr>
          <w:rFonts w:ascii="Arial Narrow" w:hAnsi="Arial Narrow"/>
          <w:sz w:val="16"/>
          <w:lang w:val="en-US"/>
        </w:rPr>
        <w:t xml:space="preserve">     </w:t>
      </w:r>
      <w:r>
        <w:rPr>
          <w:rStyle w:val="Refdenotaalpie"/>
          <w:rFonts w:ascii="Arial Narrow" w:hAnsi="Arial Narrow"/>
          <w:sz w:val="16"/>
        </w:rPr>
        <w:footnoteRef/>
      </w:r>
      <w:r>
        <w:rPr>
          <w:rFonts w:ascii="Arial Narrow" w:hAnsi="Arial Narrow"/>
          <w:sz w:val="16"/>
          <w:lang w:val="en-US"/>
        </w:rPr>
        <w:t xml:space="preserve"> Jaime Barylko, pág. 116. </w:t>
      </w:r>
      <w:r>
        <w:rPr>
          <w:rFonts w:ascii="Arial Narrow" w:hAnsi="Arial Narrow"/>
          <w:sz w:val="16"/>
        </w:rPr>
        <w:t>El negreado es nuestro.</w:t>
      </w:r>
    </w:p>
  </w:footnote>
  <w:footnote w:id="608">
    <w:p w14:paraId="5A65E1B3"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Jaime Barylko,117.</w:t>
      </w:r>
    </w:p>
  </w:footnote>
  <w:footnote w:id="609">
    <w:p w14:paraId="1190769B" w14:textId="77777777" w:rsidR="00444BC9" w:rsidRDefault="00444BC9" w:rsidP="001B03E0">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Gonzáles Faus, José I., “Postmodernidad europea y cristianismo latinoamericano”, </w:t>
      </w:r>
      <w:r>
        <w:rPr>
          <w:rFonts w:ascii="Arial Narrow" w:hAnsi="Arial Narrow"/>
          <w:i/>
          <w:sz w:val="16"/>
        </w:rPr>
        <w:t xml:space="preserve"> Postmodernidad en grueso, </w:t>
      </w:r>
      <w:r>
        <w:rPr>
          <w:rFonts w:ascii="Arial Narrow" w:hAnsi="Arial Narrow"/>
          <w:sz w:val="16"/>
        </w:rPr>
        <w:t xml:space="preserve"> pp. 132.</w:t>
      </w:r>
    </w:p>
  </w:footnote>
  <w:footnote w:id="610">
    <w:p w14:paraId="6E22E555" w14:textId="77777777" w:rsidR="00444BC9" w:rsidRDefault="00444BC9" w:rsidP="001B03E0">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Gonzáles Faus, José I., “Postmodernidad europea y cristianismo latinoamericano”, </w:t>
      </w:r>
      <w:r>
        <w:rPr>
          <w:rFonts w:ascii="Arial Narrow" w:hAnsi="Arial Narrow"/>
          <w:i/>
          <w:sz w:val="16"/>
        </w:rPr>
        <w:t xml:space="preserve"> Postmodernidad en grueso, </w:t>
      </w:r>
      <w:r>
        <w:rPr>
          <w:rFonts w:ascii="Arial Narrow" w:hAnsi="Arial Narrow"/>
          <w:sz w:val="16"/>
        </w:rPr>
        <w:t xml:space="preserve"> pp. 146.</w:t>
      </w:r>
    </w:p>
  </w:footnote>
  <w:footnote w:id="611">
    <w:p w14:paraId="4BC4E397" w14:textId="77777777" w:rsidR="00444BC9" w:rsidRDefault="00444BC9" w:rsidP="001B03E0">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Sánchez Miñambres, Jacinto,  “Ortega y el nacimiento de la posmodenridad”,  </w:t>
      </w:r>
      <w:r>
        <w:rPr>
          <w:rFonts w:ascii="Arial Narrow" w:hAnsi="Arial Narrow"/>
          <w:i/>
          <w:sz w:val="16"/>
        </w:rPr>
        <w:t>Postmodernidad en grueso,</w:t>
      </w:r>
      <w:r>
        <w:rPr>
          <w:rFonts w:ascii="Arial Narrow" w:hAnsi="Arial Narrow"/>
          <w:sz w:val="16"/>
        </w:rPr>
        <w:t xml:space="preserve"> pp. 65.</w:t>
      </w:r>
    </w:p>
  </w:footnote>
  <w:footnote w:id="612">
    <w:p w14:paraId="5B5BFF7B" w14:textId="77777777" w:rsidR="00444BC9" w:rsidRDefault="00444BC9" w:rsidP="001B03E0">
      <w:pPr>
        <w:pStyle w:val="Textonotapie"/>
        <w:jc w:val="both"/>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Así se expresa Gonzalo Puente Ojea comentando la obra de Ernest Gellner </w:t>
      </w:r>
      <w:r>
        <w:rPr>
          <w:rFonts w:ascii="Arial Narrow" w:hAnsi="Arial Narrow"/>
          <w:b/>
          <w:i/>
          <w:sz w:val="16"/>
        </w:rPr>
        <w:t>Postmodernismo, razón y religión</w:t>
      </w:r>
      <w:r>
        <w:rPr>
          <w:rFonts w:ascii="Arial Narrow" w:hAnsi="Arial Narrow"/>
          <w:sz w:val="16"/>
        </w:rPr>
        <w:t>, (Barcelona 1994)</w:t>
      </w:r>
    </w:p>
  </w:footnote>
  <w:footnote w:id="613">
    <w:p w14:paraId="7364F38A" w14:textId="77777777" w:rsidR="00444BC9" w:rsidRDefault="00444BC9" w:rsidP="001B03E0">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Nietzsche, Friedrich, </w:t>
      </w:r>
      <w:r>
        <w:rPr>
          <w:rFonts w:ascii="Arial Narrow" w:hAnsi="Arial Narrow"/>
          <w:i/>
          <w:sz w:val="16"/>
        </w:rPr>
        <w:t>El ocaso de los ídolos,</w:t>
      </w:r>
      <w:r>
        <w:rPr>
          <w:rFonts w:ascii="Arial Narrow" w:hAnsi="Arial Narrow"/>
          <w:sz w:val="16"/>
        </w:rPr>
        <w:t xml:space="preserve"> Ediciones Busma, pp. 133.</w:t>
      </w:r>
    </w:p>
  </w:footnote>
  <w:footnote w:id="614">
    <w:p w14:paraId="02DFD785"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Urbano, Henrique, </w:t>
      </w:r>
      <w:r>
        <w:rPr>
          <w:rFonts w:ascii="Arial Narrow" w:hAnsi="Arial Narrow"/>
          <w:i/>
          <w:sz w:val="16"/>
        </w:rPr>
        <w:t>Modernidad en los Andes,</w:t>
      </w:r>
      <w:r>
        <w:rPr>
          <w:rFonts w:ascii="Arial Narrow" w:hAnsi="Arial Narrow"/>
          <w:sz w:val="16"/>
        </w:rPr>
        <w:t xml:space="preserve"> Editado por el Centro de Estudios Regionales Andinos Bartolomé de las Casas, pp. XII.</w:t>
      </w:r>
    </w:p>
  </w:footnote>
  <w:footnote w:id="615">
    <w:p w14:paraId="605BA976"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Toffler, Alvin, </w:t>
      </w:r>
      <w:r>
        <w:rPr>
          <w:rFonts w:ascii="Arial Narrow" w:hAnsi="Arial Narrow"/>
          <w:i/>
          <w:sz w:val="16"/>
        </w:rPr>
        <w:t xml:space="preserve">La tercera ola, </w:t>
      </w:r>
      <w:r>
        <w:rPr>
          <w:rFonts w:ascii="Arial Narrow" w:hAnsi="Arial Narrow"/>
          <w:sz w:val="16"/>
        </w:rPr>
        <w:t>pp. 74.</w:t>
      </w:r>
    </w:p>
  </w:footnote>
  <w:footnote w:id="616">
    <w:p w14:paraId="3780EACA"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Toffler, Alvin, </w:t>
      </w:r>
      <w:r>
        <w:rPr>
          <w:rFonts w:ascii="Arial Narrow" w:hAnsi="Arial Narrow"/>
          <w:i/>
          <w:sz w:val="16"/>
        </w:rPr>
        <w:t xml:space="preserve">La tercera ola, </w:t>
      </w:r>
      <w:r>
        <w:rPr>
          <w:rFonts w:ascii="Arial Narrow" w:hAnsi="Arial Narrow"/>
          <w:sz w:val="16"/>
        </w:rPr>
        <w:t xml:space="preserve">pp. 73. </w:t>
      </w:r>
    </w:p>
  </w:footnote>
  <w:footnote w:id="617">
    <w:p w14:paraId="67BC0678"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51.</w:t>
      </w:r>
    </w:p>
  </w:footnote>
  <w:footnote w:id="618">
    <w:p w14:paraId="3351278D"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51.</w:t>
      </w:r>
    </w:p>
  </w:footnote>
  <w:footnote w:id="619">
    <w:p w14:paraId="4B670CA9"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Deleuze, Giles, </w:t>
      </w:r>
      <w:r>
        <w:rPr>
          <w:rFonts w:ascii="Arial Narrow" w:hAnsi="Arial Narrow"/>
          <w:i/>
          <w:sz w:val="16"/>
        </w:rPr>
        <w:t>Foucault,</w:t>
      </w:r>
      <w:r>
        <w:rPr>
          <w:rFonts w:ascii="Arial Narrow" w:hAnsi="Arial Narrow"/>
          <w:sz w:val="16"/>
        </w:rPr>
        <w:t xml:space="preserve"> Edicion Paidos, pp. 51.</w:t>
      </w:r>
    </w:p>
  </w:footnote>
  <w:footnote w:id="620">
    <w:p w14:paraId="4B5D9153"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52.</w:t>
      </w:r>
    </w:p>
  </w:footnote>
  <w:footnote w:id="621">
    <w:p w14:paraId="5F9D0680"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53-54.</w:t>
      </w:r>
    </w:p>
  </w:footnote>
  <w:footnote w:id="622">
    <w:p w14:paraId="260F452D"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54.</w:t>
      </w:r>
    </w:p>
  </w:footnote>
  <w:footnote w:id="623">
    <w:p w14:paraId="32DD9FAC"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54, 55.</w:t>
      </w:r>
    </w:p>
  </w:footnote>
  <w:footnote w:id="624">
    <w:p w14:paraId="7B435888"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55.</w:t>
      </w:r>
    </w:p>
  </w:footnote>
  <w:footnote w:id="625">
    <w:p w14:paraId="61A84B72"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55.</w:t>
      </w:r>
    </w:p>
  </w:footnote>
  <w:footnote w:id="626">
    <w:p w14:paraId="10633FF0"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56.</w:t>
      </w:r>
    </w:p>
  </w:footnote>
  <w:footnote w:id="627">
    <w:p w14:paraId="4A98A6C4"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56.</w:t>
      </w:r>
    </w:p>
  </w:footnote>
  <w:footnote w:id="628">
    <w:p w14:paraId="5D42791B" w14:textId="77777777" w:rsidR="00444BC9" w:rsidRDefault="00444BC9" w:rsidP="001B03E0">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Deleuze, Giles, </w:t>
      </w:r>
      <w:r>
        <w:rPr>
          <w:rFonts w:ascii="Arial Narrow" w:hAnsi="Arial Narrow"/>
          <w:i/>
          <w:sz w:val="16"/>
        </w:rPr>
        <w:t>Foucault,</w:t>
      </w:r>
      <w:r>
        <w:rPr>
          <w:rFonts w:ascii="Arial Narrow" w:hAnsi="Arial Narrow"/>
          <w:sz w:val="16"/>
        </w:rPr>
        <w:t xml:space="preserve"> Edicion Paidos, pp. 56.</w:t>
      </w:r>
    </w:p>
  </w:footnote>
  <w:footnote w:id="629">
    <w:p w14:paraId="5A2CDAB9"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Massini, Carlos Ignacio,</w:t>
      </w:r>
      <w:r>
        <w:rPr>
          <w:rFonts w:ascii="Arial Narrow" w:hAnsi="Arial Narrow"/>
          <w:i/>
          <w:sz w:val="16"/>
        </w:rPr>
        <w:t xml:space="preserve"> La desintegración del pensar jurídico en la edad moderna</w:t>
      </w:r>
      <w:r>
        <w:rPr>
          <w:rFonts w:ascii="Arial Narrow" w:hAnsi="Arial Narrow"/>
          <w:sz w:val="16"/>
        </w:rPr>
        <w:t>, Editorial Abeledo-Perrot, pp. 78.</w:t>
      </w:r>
    </w:p>
  </w:footnote>
  <w:footnote w:id="630">
    <w:p w14:paraId="05CFC3DA"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Massini, Carlos Ignacio,</w:t>
      </w:r>
      <w:r>
        <w:rPr>
          <w:rFonts w:ascii="Arial Narrow" w:hAnsi="Arial Narrow"/>
          <w:i/>
          <w:sz w:val="16"/>
        </w:rPr>
        <w:t xml:space="preserve"> La desintegración del pensar jurídico en la edad moderna</w:t>
      </w:r>
      <w:r>
        <w:rPr>
          <w:rFonts w:ascii="Arial Narrow" w:hAnsi="Arial Narrow"/>
          <w:sz w:val="16"/>
        </w:rPr>
        <w:t>, Editorial Abeledo-Perrot, pp. 78, 79.</w:t>
      </w:r>
    </w:p>
  </w:footnote>
  <w:footnote w:id="631">
    <w:p w14:paraId="0E99311B"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Massini, Carlos Ignacio,</w:t>
      </w:r>
      <w:r>
        <w:rPr>
          <w:rFonts w:ascii="Arial Narrow" w:hAnsi="Arial Narrow"/>
          <w:i/>
          <w:sz w:val="16"/>
        </w:rPr>
        <w:t xml:space="preserve"> La desintegración del pensar jurídico en la edad moderna</w:t>
      </w:r>
      <w:r>
        <w:rPr>
          <w:rFonts w:ascii="Arial Narrow" w:hAnsi="Arial Narrow"/>
          <w:sz w:val="16"/>
        </w:rPr>
        <w:t>, Editorial Abeledo-Perrot, pp. 79.</w:t>
      </w:r>
    </w:p>
  </w:footnote>
  <w:footnote w:id="632">
    <w:p w14:paraId="25FD810C"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Ruiz Zevallos, Augusto, </w:t>
      </w:r>
      <w:r>
        <w:rPr>
          <w:rFonts w:ascii="Arial Narrow" w:hAnsi="Arial Narrow"/>
          <w:i/>
          <w:sz w:val="16"/>
        </w:rPr>
        <w:t>Psiquiatras y Locos,</w:t>
      </w:r>
      <w:r>
        <w:rPr>
          <w:rFonts w:ascii="Arial Narrow" w:hAnsi="Arial Narrow"/>
          <w:sz w:val="16"/>
        </w:rPr>
        <w:t xml:space="preserve"> Editado por el Instituto Pasado &amp; Presente, pp. 24.</w:t>
      </w:r>
    </w:p>
  </w:footnote>
  <w:footnote w:id="633">
    <w:p w14:paraId="094C7198"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w:t>
      </w:r>
      <w:r>
        <w:rPr>
          <w:rFonts w:ascii="Arial Narrow" w:hAnsi="Arial Narrow"/>
          <w:i/>
          <w:sz w:val="16"/>
        </w:rPr>
        <w:t>Liberalismo y Postmodernidad, El Perú en los albores del siglo XXI, editorial del congreso de la república, pp. 103.</w:t>
      </w:r>
      <w:r>
        <w:rPr>
          <w:rFonts w:ascii="Arial Narrow" w:hAnsi="Arial Narrow"/>
          <w:sz w:val="16"/>
        </w:rPr>
        <w:t xml:space="preserve"> </w:t>
      </w:r>
    </w:p>
  </w:footnote>
  <w:footnote w:id="634">
    <w:p w14:paraId="54AE8B97"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w:t>
      </w:r>
      <w:r>
        <w:rPr>
          <w:rFonts w:ascii="Arial Narrow" w:hAnsi="Arial Narrow"/>
          <w:i/>
          <w:sz w:val="16"/>
        </w:rPr>
        <w:t>Liberalismo y Postmodernidad, El Perú en los albores del siglo XXI, editorial del congreso de la república, pp. 104.</w:t>
      </w:r>
      <w:r>
        <w:rPr>
          <w:rFonts w:ascii="Arial Narrow" w:hAnsi="Arial Narrow"/>
          <w:sz w:val="16"/>
        </w:rPr>
        <w:t xml:space="preserve"> </w:t>
      </w:r>
    </w:p>
  </w:footnote>
  <w:footnote w:id="635">
    <w:p w14:paraId="472E029C"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w:t>
      </w:r>
      <w:r>
        <w:rPr>
          <w:rFonts w:ascii="Arial Narrow" w:hAnsi="Arial Narrow"/>
          <w:i/>
          <w:sz w:val="16"/>
        </w:rPr>
        <w:t>Liberalismo y Postmodernidad, El Perú en los albores del siglo XXI, editorial del congreso de la república, pp. 105.</w:t>
      </w:r>
      <w:r>
        <w:rPr>
          <w:rFonts w:ascii="Arial Narrow" w:hAnsi="Arial Narrow"/>
          <w:sz w:val="16"/>
        </w:rPr>
        <w:t xml:space="preserve"> </w:t>
      </w:r>
    </w:p>
  </w:footnote>
  <w:footnote w:id="636">
    <w:p w14:paraId="4B2703F2"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de, </w:t>
      </w:r>
      <w:r>
        <w:rPr>
          <w:rFonts w:ascii="Arial Narrow" w:hAnsi="Arial Narrow"/>
          <w:i/>
          <w:sz w:val="16"/>
        </w:rPr>
        <w:t xml:space="preserve">Postmodenidad y Derecho, </w:t>
      </w:r>
      <w:r>
        <w:rPr>
          <w:rFonts w:ascii="Arial Narrow" w:hAnsi="Arial Narrow"/>
          <w:sz w:val="16"/>
        </w:rPr>
        <w:t xml:space="preserve">Editorial Ara, pp. 44, 45. </w:t>
      </w:r>
    </w:p>
  </w:footnote>
  <w:footnote w:id="637">
    <w:p w14:paraId="32CF3C9F"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de, </w:t>
      </w:r>
      <w:r>
        <w:rPr>
          <w:rFonts w:ascii="Arial Narrow" w:hAnsi="Arial Narrow"/>
          <w:i/>
          <w:sz w:val="16"/>
        </w:rPr>
        <w:t xml:space="preserve">Postmodenidad y Derecho, </w:t>
      </w:r>
      <w:r>
        <w:rPr>
          <w:rFonts w:ascii="Arial Narrow" w:hAnsi="Arial Narrow"/>
          <w:sz w:val="16"/>
        </w:rPr>
        <w:t xml:space="preserve">Editorial Ara, pp. 45 </w:t>
      </w:r>
    </w:p>
  </w:footnote>
  <w:footnote w:id="638">
    <w:p w14:paraId="53557434"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de, </w:t>
      </w:r>
      <w:r>
        <w:rPr>
          <w:rFonts w:ascii="Arial Narrow" w:hAnsi="Arial Narrow"/>
          <w:i/>
          <w:sz w:val="16"/>
        </w:rPr>
        <w:t xml:space="preserve">Postmodenidad y Derecho, </w:t>
      </w:r>
      <w:r>
        <w:rPr>
          <w:rFonts w:ascii="Arial Narrow" w:hAnsi="Arial Narrow"/>
          <w:sz w:val="16"/>
        </w:rPr>
        <w:t xml:space="preserve">Editorial Ara, pp. 45. </w:t>
      </w:r>
    </w:p>
  </w:footnote>
  <w:footnote w:id="639">
    <w:p w14:paraId="1057E3EF"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de, </w:t>
      </w:r>
      <w:r>
        <w:rPr>
          <w:rFonts w:ascii="Arial Narrow" w:hAnsi="Arial Narrow"/>
          <w:i/>
          <w:sz w:val="16"/>
        </w:rPr>
        <w:t xml:space="preserve">Postmodenidad y Derecho, </w:t>
      </w:r>
      <w:r>
        <w:rPr>
          <w:rFonts w:ascii="Arial Narrow" w:hAnsi="Arial Narrow"/>
          <w:sz w:val="16"/>
        </w:rPr>
        <w:t xml:space="preserve">Editorial Ara, pp. 77. </w:t>
      </w:r>
    </w:p>
  </w:footnote>
  <w:footnote w:id="640">
    <w:p w14:paraId="16CFF0AA"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Trazegnies Granda, Fernando, </w:t>
      </w:r>
      <w:r>
        <w:rPr>
          <w:rFonts w:ascii="Arial Narrow" w:hAnsi="Arial Narrow"/>
          <w:i/>
          <w:sz w:val="16"/>
        </w:rPr>
        <w:t>Liberalismo y Postmodernidad, El Perú en los albores del siglo XXI, editorial del congreso de la república, pp. 103.</w:t>
      </w:r>
      <w:r>
        <w:rPr>
          <w:rFonts w:ascii="Arial Narrow" w:hAnsi="Arial Narrow"/>
          <w:sz w:val="16"/>
        </w:rPr>
        <w:t xml:space="preserve"> </w:t>
      </w:r>
    </w:p>
  </w:footnote>
  <w:footnote w:id="641">
    <w:p w14:paraId="42505D02" w14:textId="77777777" w:rsidR="00444BC9" w:rsidRDefault="00444BC9" w:rsidP="001B03E0">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Pp. 91 libro grueso “La postmodernidad en grues”</w:t>
      </w:r>
    </w:p>
  </w:footnote>
  <w:footnote w:id="642">
    <w:p w14:paraId="200CF8DC" w14:textId="77777777" w:rsidR="00444BC9" w:rsidRDefault="00444BC9" w:rsidP="001B03E0">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Trazegnies Granda, Fernando de,  “Liberalismo y Postmodernidad”, </w:t>
      </w:r>
      <w:r>
        <w:rPr>
          <w:rFonts w:ascii="Arial Narrow" w:hAnsi="Arial Narrow"/>
          <w:i/>
          <w:sz w:val="16"/>
        </w:rPr>
        <w:t>El Perú en los albores del siglo XXI,</w:t>
      </w:r>
      <w:r>
        <w:rPr>
          <w:rFonts w:ascii="Arial Narrow" w:hAnsi="Arial Narrow"/>
          <w:sz w:val="16"/>
        </w:rPr>
        <w:t xml:space="preserve"> Ediciones del Congreso de la República.,  pp. 113.</w:t>
      </w:r>
    </w:p>
  </w:footnote>
  <w:footnote w:id="643">
    <w:p w14:paraId="2CB3CF50" w14:textId="77777777" w:rsidR="00444BC9" w:rsidRDefault="00444BC9" w:rsidP="001B03E0">
      <w:pPr>
        <w:ind w:firstLine="720"/>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Ruiz Zevallos, Augusto, </w:t>
      </w:r>
      <w:r>
        <w:rPr>
          <w:rFonts w:ascii="Arial Narrow" w:hAnsi="Arial Narrow"/>
          <w:i/>
          <w:sz w:val="16"/>
        </w:rPr>
        <w:t>Psiquiatras y Locos,</w:t>
      </w:r>
      <w:r>
        <w:rPr>
          <w:rFonts w:ascii="Arial Narrow" w:hAnsi="Arial Narrow"/>
          <w:sz w:val="16"/>
        </w:rPr>
        <w:t xml:space="preserve"> Editado por el Instituto Pasado &amp; Presente, pp. 25.</w:t>
      </w:r>
    </w:p>
  </w:footnote>
  <w:footnote w:id="644">
    <w:p w14:paraId="0924FD2B" w14:textId="77777777" w:rsidR="00444BC9" w:rsidRPr="00C76A34" w:rsidRDefault="00444BC9" w:rsidP="003A15D9">
      <w:pPr>
        <w:pStyle w:val="Textonotapie"/>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vertAlign w:val="superscript"/>
        </w:rPr>
        <w:t xml:space="preserve"> </w:t>
      </w:r>
      <w:r w:rsidRPr="00C76A34">
        <w:rPr>
          <w:rFonts w:ascii="Arial Narrow" w:hAnsi="Arial Narrow"/>
          <w:sz w:val="16"/>
          <w:szCs w:val="16"/>
        </w:rPr>
        <w:t>Papini, Giovanni. Obras. Un hombre acabado (Un uomo finito) Editorial Aguilar. Segunda edición, 1966. Pp. 775.</w:t>
      </w:r>
    </w:p>
  </w:footnote>
  <w:footnote w:id="645">
    <w:p w14:paraId="6B110A93" w14:textId="77777777" w:rsidR="00444BC9" w:rsidRPr="00C76A34" w:rsidRDefault="00444BC9" w:rsidP="003A15D9">
      <w:pPr>
        <w:ind w:firstLine="720"/>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Massini, Carlos Ignacio, La desintegración del pensar jurídico en la edad moderna, Editorial Abeledo-Perrot, pp. 78, 79.</w:t>
      </w:r>
    </w:p>
  </w:footnote>
  <w:footnote w:id="646">
    <w:p w14:paraId="07CF8CD6" w14:textId="77777777" w:rsidR="00444BC9" w:rsidRPr="00C76A34" w:rsidRDefault="00444BC9" w:rsidP="003A15D9">
      <w:pPr>
        <w:jc w:val="both"/>
        <w:rPr>
          <w:rFonts w:ascii="Arial Narrow" w:hAnsi="Arial Narrow"/>
          <w:sz w:val="16"/>
          <w:szCs w:val="16"/>
        </w:rPr>
      </w:pPr>
      <w:r w:rsidRPr="00C76A34">
        <w:rPr>
          <w:rFonts w:ascii="Arial Narrow" w:hAnsi="Arial Narrow"/>
          <w:sz w:val="16"/>
          <w:szCs w:val="16"/>
        </w:rPr>
        <w:t xml:space="preserve">     </w:t>
      </w: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 xml:space="preserve">Barylko, </w:t>
      </w:r>
      <w:r w:rsidRPr="00C76A34">
        <w:rPr>
          <w:rFonts w:ascii="Arial Narrow" w:hAnsi="Arial Narrow"/>
          <w:sz w:val="16"/>
          <w:szCs w:val="16"/>
        </w:rPr>
        <w:t>Jaime. La Filosofía, Una invitación a pensar. Argentina. Planeta. 4ta. Edición, 1997. p.,117.</w:t>
      </w:r>
    </w:p>
  </w:footnote>
  <w:footnote w:id="647">
    <w:p w14:paraId="405AA2B8"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Urbano</w:t>
      </w:r>
      <w:r w:rsidRPr="00C76A34">
        <w:rPr>
          <w:rFonts w:ascii="Arial Narrow" w:hAnsi="Arial Narrow"/>
          <w:sz w:val="16"/>
          <w:szCs w:val="16"/>
        </w:rPr>
        <w:t>, Henrique, Modernidad en los Andes, Editado por el Centro de Estudios Regionales Andinos Bartolomé de las Casas, pp. XX.</w:t>
      </w:r>
    </w:p>
  </w:footnote>
  <w:footnote w:id="648">
    <w:p w14:paraId="7021306D" w14:textId="77777777" w:rsidR="00444BC9" w:rsidRPr="00C76A34" w:rsidRDefault="00444BC9" w:rsidP="003A15D9">
      <w:pPr>
        <w:pStyle w:val="Textonotapie"/>
        <w:rPr>
          <w:rFonts w:ascii="Arial Narrow" w:hAnsi="Arial Narrow"/>
          <w:sz w:val="16"/>
          <w:szCs w:val="16"/>
          <w:lang w:val="en-US"/>
        </w:rPr>
      </w:pPr>
      <w:r w:rsidRPr="00C76A34">
        <w:rPr>
          <w:rStyle w:val="Refdenotaalpie"/>
          <w:rFonts w:ascii="Arial Narrow" w:hAnsi="Arial Narrow"/>
          <w:sz w:val="16"/>
          <w:szCs w:val="16"/>
        </w:rPr>
        <w:footnoteRef/>
      </w:r>
      <w:r w:rsidRPr="00C76A34">
        <w:rPr>
          <w:rFonts w:ascii="Arial Narrow" w:hAnsi="Arial Narrow"/>
          <w:sz w:val="16"/>
          <w:szCs w:val="16"/>
          <w:lang w:val="en-US"/>
        </w:rPr>
        <w:t xml:space="preserve"> Ibid. 146</w:t>
      </w:r>
    </w:p>
  </w:footnote>
  <w:footnote w:id="649">
    <w:p w14:paraId="444BBFA8" w14:textId="77777777" w:rsidR="00444BC9" w:rsidRPr="00C76A34" w:rsidRDefault="00444BC9" w:rsidP="003A15D9">
      <w:pPr>
        <w:pStyle w:val="Textonotapie"/>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Escribe Benjamín Woolley en un artículo denominado Postmodernidad (52)</w:t>
      </w:r>
    </w:p>
  </w:footnote>
  <w:footnote w:id="650">
    <w:p w14:paraId="290465D3"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color w:val="000000"/>
          <w:sz w:val="16"/>
          <w:szCs w:val="16"/>
        </w:rPr>
        <w:t>Urbano</w:t>
      </w:r>
      <w:r w:rsidRPr="00C76A34">
        <w:rPr>
          <w:rFonts w:ascii="Arial Narrow" w:hAnsi="Arial Narrow"/>
          <w:sz w:val="16"/>
          <w:szCs w:val="16"/>
        </w:rPr>
        <w:t>, Henrique, Modernidad en los Andes, Editado por el Centro de Estudios Regionales Andinos Bartolomé de las Casas, pp. X.</w:t>
      </w:r>
    </w:p>
  </w:footnote>
  <w:footnote w:id="651">
    <w:p w14:paraId="28C328AB"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color w:val="000000"/>
          <w:sz w:val="16"/>
          <w:szCs w:val="16"/>
        </w:rPr>
        <w:t>Ruiz Zevallos</w:t>
      </w:r>
      <w:r w:rsidRPr="00C76A34">
        <w:rPr>
          <w:rFonts w:ascii="Arial Narrow" w:hAnsi="Arial Narrow"/>
          <w:sz w:val="16"/>
          <w:szCs w:val="16"/>
        </w:rPr>
        <w:t>, Augusto, Psiquiatras y Locos, Editado por el Instituto Pasado &amp; Presente, pp. 25.</w:t>
      </w:r>
    </w:p>
  </w:footnote>
  <w:footnote w:id="652">
    <w:p w14:paraId="61FBF9DE" w14:textId="77777777" w:rsidR="00444BC9" w:rsidRPr="00C76A34" w:rsidRDefault="00444BC9" w:rsidP="003A15D9">
      <w:pPr>
        <w:ind w:firstLine="720"/>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Massini, Carlos Ignacio, La desintegración del pensar jurídico en la edad moderna, Editorial Abeledo-Perrot, pp. 79.</w:t>
      </w:r>
    </w:p>
  </w:footnote>
  <w:footnote w:id="653">
    <w:p w14:paraId="1AAD9A02" w14:textId="77777777" w:rsidR="00444BC9" w:rsidRPr="00C76A34" w:rsidRDefault="00444BC9" w:rsidP="003A15D9">
      <w:pPr>
        <w:spacing w:after="6"/>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Massini</w:t>
      </w:r>
      <w:r w:rsidRPr="00C76A34">
        <w:rPr>
          <w:rFonts w:ascii="Arial Narrow" w:hAnsi="Arial Narrow"/>
          <w:sz w:val="16"/>
          <w:szCs w:val="16"/>
        </w:rPr>
        <w:t xml:space="preserve">, Carlos Ignacio. La desintegración del pensar jurídico en la edad moderna. Buenos Aires. Abeledo-Perrot, 1980. p. 17. (el subrayado es nuestro). </w:t>
      </w:r>
    </w:p>
  </w:footnote>
  <w:footnote w:id="654">
    <w:p w14:paraId="10FA08D5" w14:textId="77777777" w:rsidR="00444BC9" w:rsidRPr="00C76A34" w:rsidRDefault="00444BC9" w:rsidP="003A15D9">
      <w:pPr>
        <w:ind w:hanging="284"/>
        <w:jc w:val="both"/>
        <w:rPr>
          <w:rFonts w:ascii="Arial Narrow" w:hAnsi="Arial Narrow"/>
          <w:sz w:val="16"/>
          <w:szCs w:val="16"/>
          <w:lang w:val="en-US"/>
        </w:rPr>
      </w:pPr>
      <w:r w:rsidRPr="00C76A34">
        <w:rPr>
          <w:rFonts w:ascii="Arial Narrow" w:hAnsi="Arial Narrow"/>
          <w:sz w:val="16"/>
          <w:szCs w:val="16"/>
        </w:rPr>
        <w:t xml:space="preserve">     </w:t>
      </w: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Massini</w:t>
      </w:r>
      <w:r w:rsidRPr="00C76A34">
        <w:rPr>
          <w:rFonts w:ascii="Arial Narrow" w:hAnsi="Arial Narrow"/>
          <w:sz w:val="16"/>
          <w:szCs w:val="16"/>
        </w:rPr>
        <w:t xml:space="preserve">, Carlos Ignacio. Sobre el Realismo Jurídico. Buenos Aires, Abeledo-Perrot, p.  </w:t>
      </w:r>
      <w:r w:rsidRPr="00C76A34">
        <w:rPr>
          <w:rFonts w:ascii="Arial Narrow" w:hAnsi="Arial Narrow"/>
          <w:sz w:val="16"/>
          <w:szCs w:val="16"/>
          <w:lang w:val="en-US"/>
        </w:rPr>
        <w:t>41.</w:t>
      </w:r>
    </w:p>
  </w:footnote>
  <w:footnote w:id="655">
    <w:p w14:paraId="63319F81"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color w:val="000000"/>
          <w:sz w:val="16"/>
          <w:szCs w:val="16"/>
        </w:rPr>
        <w:t>Trazegnies</w:t>
      </w:r>
      <w:r w:rsidRPr="00C76A34">
        <w:rPr>
          <w:rFonts w:ascii="Arial Narrow" w:hAnsi="Arial Narrow"/>
          <w:sz w:val="16"/>
          <w:szCs w:val="16"/>
        </w:rPr>
        <w:t>, Fernando de. “El Peruano”, 28, marzo 1997. A-8.</w:t>
      </w:r>
    </w:p>
  </w:footnote>
  <w:footnote w:id="656">
    <w:p w14:paraId="01C106B0" w14:textId="77777777" w:rsidR="00444BC9" w:rsidRPr="00C76A34" w:rsidRDefault="00444BC9" w:rsidP="003A15D9">
      <w:pPr>
        <w:spacing w:after="6"/>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Bobbio</w:t>
      </w:r>
      <w:r w:rsidRPr="00C76A34">
        <w:rPr>
          <w:rFonts w:ascii="Arial Narrow" w:hAnsi="Arial Narrow"/>
          <w:sz w:val="16"/>
          <w:szCs w:val="16"/>
        </w:rPr>
        <w:t>, Norberto, Teoría General del Derecho, Editorial Temis, pp. 9.</w:t>
      </w:r>
    </w:p>
    <w:p w14:paraId="652A33D9" w14:textId="77777777" w:rsidR="00444BC9" w:rsidRPr="00C76A34" w:rsidRDefault="00444BC9" w:rsidP="003A15D9">
      <w:pPr>
        <w:pStyle w:val="Textonotapie"/>
        <w:rPr>
          <w:rFonts w:ascii="Arial Narrow" w:hAnsi="Arial Narrow"/>
          <w:sz w:val="16"/>
          <w:szCs w:val="16"/>
        </w:rPr>
      </w:pPr>
    </w:p>
  </w:footnote>
  <w:footnote w:id="657">
    <w:p w14:paraId="1F140898" w14:textId="77777777" w:rsidR="00444BC9" w:rsidRPr="00C76A34" w:rsidRDefault="00444BC9" w:rsidP="003A15D9">
      <w:pPr>
        <w:ind w:left="284" w:hanging="284"/>
        <w:jc w:val="both"/>
        <w:rPr>
          <w:rFonts w:ascii="Arial Narrow" w:hAnsi="Arial Narrow"/>
          <w:sz w:val="16"/>
          <w:szCs w:val="16"/>
        </w:rPr>
      </w:pPr>
      <w:r w:rsidRPr="00C76A34">
        <w:rPr>
          <w:rFonts w:ascii="Arial Narrow" w:hAnsi="Arial Narrow"/>
          <w:sz w:val="16"/>
          <w:szCs w:val="16"/>
        </w:rPr>
        <w:t xml:space="preserve">     </w:t>
      </w:r>
      <w:r w:rsidRPr="00C76A34">
        <w:rPr>
          <w:rStyle w:val="Refdenotaalpie"/>
          <w:rFonts w:ascii="Arial Narrow" w:hAnsi="Arial Narrow"/>
          <w:sz w:val="16"/>
          <w:szCs w:val="16"/>
        </w:rPr>
        <w:footnoteRef/>
      </w:r>
      <w:r w:rsidRPr="00C76A34">
        <w:rPr>
          <w:rFonts w:ascii="Arial Narrow" w:hAnsi="Arial Narrow"/>
          <w:sz w:val="16"/>
          <w:szCs w:val="16"/>
        </w:rPr>
        <w:t xml:space="preserve">   Escribe Germán J. Bidart Campos en el prólogo hecho al libro Sobre el Realismo Jurídico. Massini, Carlos Ignacio, Sobre el realismo jurídico, Editorial Abeledo</w:t>
      </w:r>
      <w:r w:rsidRPr="00C76A34">
        <w:rPr>
          <w:rFonts w:ascii="Arial Narrow" w:hAnsi="Arial Narrow"/>
          <w:sz w:val="16"/>
          <w:szCs w:val="16"/>
        </w:rPr>
        <w:noBreakHyphen/>
        <w:t>Perrot S.A.,  pág. 11.</w:t>
      </w:r>
    </w:p>
  </w:footnote>
  <w:footnote w:id="658">
    <w:p w14:paraId="5E9A63E4" w14:textId="77777777" w:rsidR="00444BC9" w:rsidRPr="00C76A34" w:rsidRDefault="00444BC9" w:rsidP="003A15D9">
      <w:pPr>
        <w:pStyle w:val="Textonotapie"/>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 xml:space="preserve"> Ferrater Mora</w:t>
      </w:r>
      <w:r w:rsidRPr="00C76A34">
        <w:rPr>
          <w:rFonts w:ascii="Arial Narrow" w:hAnsi="Arial Narrow"/>
          <w:sz w:val="16"/>
          <w:szCs w:val="16"/>
        </w:rPr>
        <w:t>, José, Diccionario de Filosofía Abreviado, Editorial Sudamericana-Buenos Aires, p. 392.</w:t>
      </w:r>
    </w:p>
  </w:footnote>
  <w:footnote w:id="659">
    <w:p w14:paraId="63F71644"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Massini</w:t>
      </w:r>
      <w:r w:rsidRPr="00C76A34">
        <w:rPr>
          <w:rFonts w:ascii="Arial Narrow" w:hAnsi="Arial Narrow"/>
          <w:sz w:val="16"/>
          <w:szCs w:val="16"/>
        </w:rPr>
        <w:t>, Carlos Ignacio. La desintegración del pensar jurídico en la edad moderna. Buenos Aires. Abeledo-Perrot, 1980. p. 62.</w:t>
      </w:r>
    </w:p>
  </w:footnote>
  <w:footnote w:id="660">
    <w:p w14:paraId="191E12E3"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sz w:val="16"/>
          <w:szCs w:val="16"/>
        </w:rPr>
        <w:t>Trazegnies Granda</w:t>
      </w:r>
      <w:r w:rsidRPr="00C76A34">
        <w:rPr>
          <w:rFonts w:ascii="Arial Narrow" w:hAnsi="Arial Narrow"/>
          <w:sz w:val="16"/>
          <w:szCs w:val="16"/>
        </w:rPr>
        <w:t xml:space="preserve">, Fernando de, Postmodenidad y Derecho, Editorial Ara, pp. 77. </w:t>
      </w:r>
    </w:p>
  </w:footnote>
  <w:footnote w:id="661">
    <w:p w14:paraId="31C73C52" w14:textId="77777777" w:rsidR="00444BC9" w:rsidRPr="00C76A34" w:rsidRDefault="00444BC9" w:rsidP="003A15D9">
      <w:pPr>
        <w:ind w:left="142" w:hanging="142"/>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w:t>
      </w:r>
      <w:r w:rsidRPr="00C76A34">
        <w:rPr>
          <w:rFonts w:ascii="Arial Narrow" w:hAnsi="Arial Narrow"/>
          <w:smallCaps/>
          <w:color w:val="000000"/>
          <w:sz w:val="16"/>
          <w:szCs w:val="16"/>
        </w:rPr>
        <w:t>Trazegnies Granda</w:t>
      </w:r>
      <w:r w:rsidRPr="00C76A34">
        <w:rPr>
          <w:rFonts w:ascii="Arial Narrow" w:hAnsi="Arial Narrow"/>
          <w:sz w:val="16"/>
          <w:szCs w:val="16"/>
        </w:rPr>
        <w:t>, Fernando de. “Liberalismo y Postmodernidad”, en: El Perú en los albores del siglo XXI, Ediciones del Congreso de la República del Perú. Lima, 1997. p. 94.</w:t>
      </w:r>
    </w:p>
  </w:footnote>
  <w:footnote w:id="662">
    <w:p w14:paraId="4361F5EC" w14:textId="77777777" w:rsidR="00444BC9" w:rsidRPr="00C76A34" w:rsidRDefault="00444BC9" w:rsidP="003A15D9">
      <w:pPr>
        <w:pStyle w:val="Textonotapie"/>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Sánchez Miñambres, Jacinto,  “Ortega y el nacimiento de la posmodenridad”,  Postmodernidad en grueso, pp. 65.</w:t>
      </w:r>
    </w:p>
  </w:footnote>
  <w:footnote w:id="663">
    <w:p w14:paraId="20243A4D" w14:textId="77777777" w:rsidR="00444BC9" w:rsidRPr="00C76A34" w:rsidRDefault="00444BC9" w:rsidP="003A15D9">
      <w:pPr>
        <w:ind w:firstLine="720"/>
        <w:jc w:val="both"/>
        <w:rPr>
          <w:rFonts w:ascii="Arial Narrow" w:hAnsi="Arial Narrow"/>
          <w:sz w:val="16"/>
          <w:szCs w:val="16"/>
        </w:rPr>
      </w:pPr>
      <w:r w:rsidRPr="00C76A34">
        <w:rPr>
          <w:rStyle w:val="Refdenotaalpie"/>
          <w:rFonts w:ascii="Arial Narrow" w:hAnsi="Arial Narrow"/>
          <w:sz w:val="16"/>
          <w:szCs w:val="16"/>
        </w:rPr>
        <w:footnoteRef/>
      </w:r>
      <w:r w:rsidRPr="00C76A34">
        <w:rPr>
          <w:rFonts w:ascii="Arial Narrow" w:hAnsi="Arial Narrow"/>
          <w:sz w:val="16"/>
          <w:szCs w:val="16"/>
        </w:rPr>
        <w:t xml:space="preserve"> Trazegnies Granda, Fernando de, Postmodenidad y Derecho, Editorial Ara, pp. 77. </w:t>
      </w:r>
    </w:p>
  </w:footnote>
  <w:footnote w:id="664">
    <w:p w14:paraId="28DD4E1A"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w:t>
      </w:r>
      <w:r w:rsidRPr="00C14D1C">
        <w:rPr>
          <w:rFonts w:ascii="Arial" w:hAnsi="Arial" w:cs="Arial"/>
          <w:sz w:val="16"/>
          <w:szCs w:val="16"/>
          <w:lang w:val="es-ES_tradnl"/>
        </w:rPr>
        <w:t xml:space="preserve">Juan Morales Godo, -quien hablando del derecho a la vida privada (que en el Perú es el Derecho a la intimidad)- escribe: “Este concepto es recogido por diversos fallos como </w:t>
      </w:r>
      <w:r w:rsidRPr="00C14D1C">
        <w:rPr>
          <w:rFonts w:ascii="Arial" w:hAnsi="Arial" w:cs="Arial"/>
          <w:i/>
          <w:sz w:val="16"/>
          <w:szCs w:val="16"/>
          <w:lang w:val="es-ES_tradnl"/>
        </w:rPr>
        <w:t xml:space="preserve">Brents vs. Morgan / </w:t>
      </w:r>
      <w:r w:rsidRPr="00C14D1C">
        <w:rPr>
          <w:rFonts w:ascii="Arial" w:hAnsi="Arial" w:cs="Arial"/>
          <w:smallCaps/>
          <w:sz w:val="16"/>
          <w:szCs w:val="16"/>
        </w:rPr>
        <w:t>Morales Rodo</w:t>
      </w:r>
      <w:r w:rsidRPr="00C14D1C">
        <w:rPr>
          <w:rFonts w:ascii="Arial" w:hAnsi="Arial" w:cs="Arial"/>
          <w:sz w:val="16"/>
          <w:szCs w:val="16"/>
        </w:rPr>
        <w:t xml:space="preserve">, Juan. </w:t>
      </w:r>
      <w:r w:rsidRPr="00C14D1C">
        <w:rPr>
          <w:rFonts w:ascii="Arial" w:hAnsi="Arial" w:cs="Arial"/>
          <w:i/>
          <w:sz w:val="16"/>
          <w:szCs w:val="16"/>
        </w:rPr>
        <w:t>El Derecho a la vida privada y el conflicto con la libertad de información</w:t>
      </w:r>
      <w:r w:rsidRPr="00C14D1C">
        <w:rPr>
          <w:rFonts w:ascii="Arial" w:hAnsi="Arial" w:cs="Arial"/>
          <w:sz w:val="16"/>
          <w:szCs w:val="16"/>
        </w:rPr>
        <w:t>. Editorial Grijley. Lima-Perú. Pp. 105.</w:t>
      </w:r>
    </w:p>
  </w:footnote>
  <w:footnote w:id="665">
    <w:p w14:paraId="4D0A02C7"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Concepto tomado de una compilación casera hecha por el Dr. Francisco Carruitero, de denominación Derechos Humanos; y que usamos sólo como referencia de estudio y análisis. </w:t>
      </w:r>
    </w:p>
  </w:footnote>
  <w:footnote w:id="666">
    <w:p w14:paraId="14196323"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w:t>
      </w:r>
      <w:r w:rsidRPr="00C14D1C">
        <w:rPr>
          <w:rFonts w:ascii="Arial" w:hAnsi="Arial" w:cs="Arial"/>
          <w:smallCaps/>
          <w:sz w:val="16"/>
          <w:szCs w:val="16"/>
        </w:rPr>
        <w:t xml:space="preserve">rubio correa, </w:t>
      </w:r>
      <w:r w:rsidRPr="00C14D1C">
        <w:rPr>
          <w:rFonts w:ascii="Arial" w:hAnsi="Arial" w:cs="Arial"/>
          <w:sz w:val="16"/>
          <w:szCs w:val="16"/>
        </w:rPr>
        <w:t xml:space="preserve">Marcial. </w:t>
      </w:r>
      <w:r w:rsidRPr="00C14D1C">
        <w:rPr>
          <w:rFonts w:ascii="Arial" w:hAnsi="Arial" w:cs="Arial"/>
          <w:i/>
          <w:sz w:val="16"/>
          <w:szCs w:val="16"/>
        </w:rPr>
        <w:t xml:space="preserve">El Ser Humano como Persona Natural. </w:t>
      </w:r>
      <w:r w:rsidRPr="00C14D1C">
        <w:rPr>
          <w:rFonts w:ascii="Arial" w:hAnsi="Arial" w:cs="Arial"/>
          <w:sz w:val="16"/>
          <w:szCs w:val="16"/>
        </w:rPr>
        <w:t>Editorial de la Pontificia Universidad Católica del Perú. Para leer el Código Civil. Lima. pp. 22.</w:t>
      </w:r>
    </w:p>
  </w:footnote>
  <w:footnote w:id="667">
    <w:p w14:paraId="2CFCFD33"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z w:val="16"/>
          <w:szCs w:val="16"/>
          <w:lang w:val="es-ES_tradnl"/>
        </w:rPr>
        <w:t xml:space="preserve"> </w:t>
      </w:r>
      <w:r w:rsidRPr="00C14D1C">
        <w:rPr>
          <w:rFonts w:cs="Arial"/>
          <w:smallCaps/>
          <w:sz w:val="16"/>
          <w:szCs w:val="16"/>
          <w:lang w:val="es-ES_tradnl"/>
        </w:rPr>
        <w:t>rubio correa</w:t>
      </w:r>
      <w:r w:rsidRPr="00C14D1C">
        <w:rPr>
          <w:rFonts w:cs="Arial"/>
          <w:sz w:val="16"/>
          <w:szCs w:val="16"/>
          <w:lang w:val="es-ES_tradnl"/>
        </w:rPr>
        <w:t xml:space="preserve">, Marcial. </w:t>
      </w:r>
      <w:r w:rsidRPr="00C14D1C">
        <w:rPr>
          <w:rFonts w:cs="Arial"/>
          <w:i/>
          <w:sz w:val="16"/>
          <w:szCs w:val="16"/>
          <w:lang w:val="es-ES_tradnl"/>
        </w:rPr>
        <w:t xml:space="preserve">El Ser Humano como Persona Natural. </w:t>
      </w:r>
      <w:r w:rsidRPr="00C14D1C">
        <w:rPr>
          <w:rFonts w:cs="Arial"/>
          <w:sz w:val="16"/>
          <w:szCs w:val="16"/>
          <w:lang w:val="es-ES_tradnl"/>
        </w:rPr>
        <w:t>Editorial de la Pontificia Universidad Católica del Perú. Para leer el Código Civil. Lima. pp. 156.</w:t>
      </w:r>
    </w:p>
  </w:footnote>
  <w:footnote w:id="668">
    <w:p w14:paraId="008A4BF2"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z w:val="16"/>
          <w:szCs w:val="16"/>
          <w:lang w:val="es-ES_tradnl"/>
        </w:rPr>
        <w:t xml:space="preserve"> </w:t>
      </w:r>
      <w:r w:rsidRPr="00C14D1C">
        <w:rPr>
          <w:rFonts w:cs="Arial"/>
          <w:smallCaps/>
          <w:sz w:val="16"/>
          <w:szCs w:val="16"/>
          <w:lang w:val="es-ES_tradnl"/>
        </w:rPr>
        <w:t>rubio correa</w:t>
      </w:r>
      <w:r w:rsidRPr="00C14D1C">
        <w:rPr>
          <w:rFonts w:cs="Arial"/>
          <w:sz w:val="16"/>
          <w:szCs w:val="16"/>
          <w:lang w:val="es-ES_tradnl"/>
        </w:rPr>
        <w:t xml:space="preserve">, Marcial. </w:t>
      </w:r>
      <w:r w:rsidRPr="00C14D1C">
        <w:rPr>
          <w:rFonts w:cs="Arial"/>
          <w:i/>
          <w:sz w:val="16"/>
          <w:szCs w:val="16"/>
          <w:lang w:val="es-ES_tradnl"/>
        </w:rPr>
        <w:t xml:space="preserve">El Ser Humano como Persona Natural. </w:t>
      </w:r>
      <w:r w:rsidRPr="00C14D1C">
        <w:rPr>
          <w:rFonts w:cs="Arial"/>
          <w:sz w:val="16"/>
          <w:szCs w:val="16"/>
          <w:lang w:val="es-ES_tradnl"/>
        </w:rPr>
        <w:t>Editorial de la Pontificia Universidad Católica del Perú. Para leer el Código Civil. Lima. pp. 159.</w:t>
      </w:r>
    </w:p>
  </w:footnote>
  <w:footnote w:id="669">
    <w:p w14:paraId="54904227"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z w:val="16"/>
          <w:szCs w:val="16"/>
          <w:lang w:val="es-ES_tradnl"/>
        </w:rPr>
        <w:t xml:space="preserve"> </w:t>
      </w:r>
      <w:r w:rsidRPr="00C14D1C">
        <w:rPr>
          <w:rFonts w:cs="Arial"/>
          <w:smallCaps/>
          <w:sz w:val="16"/>
          <w:szCs w:val="16"/>
          <w:lang w:val="es-ES_tradnl"/>
        </w:rPr>
        <w:t>rubio correa</w:t>
      </w:r>
      <w:r w:rsidRPr="00C14D1C">
        <w:rPr>
          <w:rFonts w:cs="Arial"/>
          <w:sz w:val="16"/>
          <w:szCs w:val="16"/>
          <w:lang w:val="es-ES_tradnl"/>
        </w:rPr>
        <w:t xml:space="preserve">, Marcial. </w:t>
      </w:r>
      <w:r w:rsidRPr="00C14D1C">
        <w:rPr>
          <w:rFonts w:cs="Arial"/>
          <w:i/>
          <w:sz w:val="16"/>
          <w:szCs w:val="16"/>
          <w:lang w:val="es-ES_tradnl"/>
        </w:rPr>
        <w:t xml:space="preserve">El Ser Humano como Persona Natural. </w:t>
      </w:r>
      <w:r w:rsidRPr="00C14D1C">
        <w:rPr>
          <w:rFonts w:cs="Arial"/>
          <w:sz w:val="16"/>
          <w:szCs w:val="16"/>
          <w:lang w:val="es-ES_tradnl"/>
        </w:rPr>
        <w:t>Editorial de la Pontificia Universidad Católica del Perú. Para leer el Código Civil. Lima. pp. 163.</w:t>
      </w:r>
    </w:p>
    <w:p w14:paraId="3D46B7B3" w14:textId="77777777" w:rsidR="00444BC9" w:rsidRPr="00C14D1C" w:rsidRDefault="00444BC9" w:rsidP="005D54AE">
      <w:pPr>
        <w:pStyle w:val="Textonotapie"/>
        <w:jc w:val="both"/>
        <w:rPr>
          <w:rFonts w:ascii="Arial" w:hAnsi="Arial" w:cs="Arial"/>
          <w:sz w:val="16"/>
          <w:szCs w:val="16"/>
        </w:rPr>
      </w:pPr>
    </w:p>
  </w:footnote>
  <w:footnote w:id="670">
    <w:p w14:paraId="5D0211B0"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w:t>
      </w:r>
      <w:r w:rsidRPr="00C14D1C">
        <w:rPr>
          <w:rFonts w:ascii="Arial" w:hAnsi="Arial" w:cs="Arial"/>
          <w:smallCaps/>
          <w:sz w:val="16"/>
          <w:szCs w:val="16"/>
        </w:rPr>
        <w:t>Morales Godo</w:t>
      </w:r>
      <w:r w:rsidRPr="00C14D1C">
        <w:rPr>
          <w:rFonts w:ascii="Arial" w:hAnsi="Arial" w:cs="Arial"/>
          <w:sz w:val="16"/>
          <w:szCs w:val="16"/>
        </w:rPr>
        <w:t xml:space="preserve">, Juan. </w:t>
      </w:r>
      <w:r w:rsidRPr="00C14D1C">
        <w:rPr>
          <w:rFonts w:ascii="Arial" w:hAnsi="Arial" w:cs="Arial"/>
          <w:i/>
          <w:sz w:val="16"/>
          <w:szCs w:val="16"/>
        </w:rPr>
        <w:t>El Derecho a la vida privada y el conflicto con la libertad de información.</w:t>
      </w:r>
      <w:r w:rsidRPr="00C14D1C">
        <w:rPr>
          <w:rFonts w:ascii="Arial" w:hAnsi="Arial" w:cs="Arial"/>
          <w:sz w:val="16"/>
          <w:szCs w:val="16"/>
        </w:rPr>
        <w:t xml:space="preserve"> Editorial Grijley. Lima, Perú. 1995. Pp. 45.</w:t>
      </w:r>
    </w:p>
  </w:footnote>
  <w:footnote w:id="671">
    <w:p w14:paraId="336D679A"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w:t>
      </w:r>
      <w:r w:rsidRPr="00C14D1C">
        <w:rPr>
          <w:rFonts w:ascii="Arial" w:hAnsi="Arial" w:cs="Arial"/>
          <w:smallCaps/>
          <w:sz w:val="16"/>
          <w:szCs w:val="16"/>
        </w:rPr>
        <w:t>Morales Godo</w:t>
      </w:r>
      <w:r w:rsidRPr="00C14D1C">
        <w:rPr>
          <w:rFonts w:ascii="Arial" w:hAnsi="Arial" w:cs="Arial"/>
          <w:sz w:val="16"/>
          <w:szCs w:val="16"/>
        </w:rPr>
        <w:t xml:space="preserve">, Juan. </w:t>
      </w:r>
      <w:r w:rsidRPr="00C14D1C">
        <w:rPr>
          <w:rFonts w:ascii="Arial" w:hAnsi="Arial" w:cs="Arial"/>
          <w:i/>
          <w:sz w:val="16"/>
          <w:szCs w:val="16"/>
        </w:rPr>
        <w:t>El Derecho a la vida privada y el conflicto con la libertad de información.</w:t>
      </w:r>
      <w:r w:rsidRPr="00C14D1C">
        <w:rPr>
          <w:rFonts w:ascii="Arial" w:hAnsi="Arial" w:cs="Arial"/>
          <w:sz w:val="16"/>
          <w:szCs w:val="16"/>
        </w:rPr>
        <w:t xml:space="preserve"> Editorial Grijley. Lima, Perú. 1995. Pp. 48.</w:t>
      </w:r>
    </w:p>
  </w:footnote>
  <w:footnote w:id="672">
    <w:p w14:paraId="072C508C"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mallCaps/>
          <w:sz w:val="16"/>
          <w:szCs w:val="16"/>
          <w:lang w:val="es-ES_tradnl"/>
        </w:rPr>
        <w:t xml:space="preserve"> de trazegnies granda,Fernando. </w:t>
      </w:r>
      <w:r w:rsidRPr="00C14D1C">
        <w:rPr>
          <w:rFonts w:cs="Arial"/>
          <w:sz w:val="16"/>
          <w:szCs w:val="16"/>
          <w:lang w:val="es-ES_tradnl"/>
        </w:rPr>
        <w:t xml:space="preserve">Reflexiones sobre la </w:t>
      </w:r>
      <w:r w:rsidRPr="00C14D1C">
        <w:rPr>
          <w:rFonts w:cs="Arial"/>
          <w:i/>
          <w:smallCaps/>
          <w:sz w:val="16"/>
          <w:szCs w:val="16"/>
          <w:lang w:val="es-ES_tradnl"/>
        </w:rPr>
        <w:t>S</w:t>
      </w:r>
      <w:r w:rsidRPr="00C14D1C">
        <w:rPr>
          <w:rFonts w:cs="Arial"/>
          <w:i/>
          <w:sz w:val="16"/>
          <w:szCs w:val="16"/>
          <w:lang w:val="es-ES_tradnl"/>
        </w:rPr>
        <w:t>ociedad Civil y el Poder Judicial</w:t>
      </w:r>
      <w:r w:rsidRPr="00C14D1C">
        <w:rPr>
          <w:rFonts w:cs="Arial"/>
          <w:sz w:val="16"/>
          <w:szCs w:val="16"/>
          <w:lang w:val="es-ES_tradnl"/>
        </w:rPr>
        <w:t>. Editorial Ara. pp. 53.</w:t>
      </w:r>
    </w:p>
  </w:footnote>
  <w:footnote w:id="673">
    <w:p w14:paraId="4A1AB6EB"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z w:val="16"/>
          <w:szCs w:val="16"/>
          <w:lang w:val="es-ES_tradnl"/>
        </w:rPr>
        <w:t xml:space="preserve"> </w:t>
      </w:r>
      <w:r w:rsidRPr="00C14D1C">
        <w:rPr>
          <w:rFonts w:cs="Arial"/>
          <w:smallCaps/>
          <w:sz w:val="16"/>
          <w:szCs w:val="16"/>
          <w:lang w:val="es-ES_tradnl"/>
        </w:rPr>
        <w:t xml:space="preserve">de trazegnies granda,Fernando. </w:t>
      </w:r>
      <w:r w:rsidRPr="00C14D1C">
        <w:rPr>
          <w:rFonts w:cs="Arial"/>
          <w:sz w:val="16"/>
          <w:szCs w:val="16"/>
          <w:lang w:val="es-ES_tradnl"/>
        </w:rPr>
        <w:t xml:space="preserve">Reflexiones sobre la </w:t>
      </w:r>
      <w:r w:rsidRPr="00C14D1C">
        <w:rPr>
          <w:rFonts w:cs="Arial"/>
          <w:i/>
          <w:smallCaps/>
          <w:sz w:val="16"/>
          <w:szCs w:val="16"/>
          <w:lang w:val="es-ES_tradnl"/>
        </w:rPr>
        <w:t>S</w:t>
      </w:r>
      <w:r w:rsidRPr="00C14D1C">
        <w:rPr>
          <w:rFonts w:cs="Arial"/>
          <w:i/>
          <w:sz w:val="16"/>
          <w:szCs w:val="16"/>
          <w:lang w:val="es-ES_tradnl"/>
        </w:rPr>
        <w:t>ociedad Civil y el Poder Judicial</w:t>
      </w:r>
      <w:r w:rsidRPr="00C14D1C">
        <w:rPr>
          <w:rFonts w:cs="Arial"/>
          <w:sz w:val="16"/>
          <w:szCs w:val="16"/>
          <w:lang w:val="es-ES_tradnl"/>
        </w:rPr>
        <w:t>. Editorial Ara. pp. 53</w:t>
      </w:r>
    </w:p>
  </w:footnote>
  <w:footnote w:id="674">
    <w:p w14:paraId="7DE827B7"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z w:val="16"/>
          <w:szCs w:val="16"/>
          <w:lang w:val="es-ES_tradnl"/>
        </w:rPr>
        <w:t xml:space="preserve"> </w:t>
      </w:r>
      <w:r w:rsidRPr="00C14D1C">
        <w:rPr>
          <w:rFonts w:cs="Arial"/>
          <w:smallCaps/>
          <w:sz w:val="16"/>
          <w:szCs w:val="16"/>
          <w:lang w:val="es-ES_tradnl"/>
        </w:rPr>
        <w:t xml:space="preserve">rubio correa, </w:t>
      </w:r>
      <w:r w:rsidRPr="00C14D1C">
        <w:rPr>
          <w:rFonts w:cs="Arial"/>
          <w:sz w:val="16"/>
          <w:szCs w:val="16"/>
          <w:lang w:val="es-ES_tradnl"/>
        </w:rPr>
        <w:t xml:space="preserve">Marcial. </w:t>
      </w:r>
      <w:r w:rsidRPr="00C14D1C">
        <w:rPr>
          <w:rFonts w:cs="Arial"/>
          <w:i/>
          <w:sz w:val="16"/>
          <w:szCs w:val="16"/>
          <w:lang w:val="es-ES_tradnl"/>
        </w:rPr>
        <w:t xml:space="preserve">El Ser Humano como Persona Natural. </w:t>
      </w:r>
      <w:r w:rsidRPr="00C14D1C">
        <w:rPr>
          <w:rFonts w:cs="Arial"/>
          <w:sz w:val="16"/>
          <w:szCs w:val="16"/>
          <w:lang w:val="es-ES_tradnl"/>
        </w:rPr>
        <w:t>Editorial de la Pontificia Universidad Católica del Perú. Para leer el Código Civil. Lima. pp. 36.</w:t>
      </w:r>
    </w:p>
  </w:footnote>
  <w:footnote w:id="675">
    <w:p w14:paraId="4E488939"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mallCaps/>
          <w:sz w:val="16"/>
          <w:szCs w:val="16"/>
          <w:lang w:val="es-ES_tradnl"/>
        </w:rPr>
        <w:t xml:space="preserve">rubio correa, </w:t>
      </w:r>
      <w:r w:rsidRPr="00C14D1C">
        <w:rPr>
          <w:rFonts w:cs="Arial"/>
          <w:sz w:val="16"/>
          <w:szCs w:val="16"/>
          <w:lang w:val="es-ES_tradnl"/>
        </w:rPr>
        <w:t xml:space="preserve">Marcial. </w:t>
      </w:r>
      <w:r w:rsidRPr="00C14D1C">
        <w:rPr>
          <w:rFonts w:cs="Arial"/>
          <w:i/>
          <w:sz w:val="16"/>
          <w:szCs w:val="16"/>
          <w:lang w:val="es-ES_tradnl"/>
        </w:rPr>
        <w:t xml:space="preserve">El Ser Humano como Persona Natural. </w:t>
      </w:r>
      <w:r w:rsidRPr="00C14D1C">
        <w:rPr>
          <w:rFonts w:cs="Arial"/>
          <w:sz w:val="16"/>
          <w:szCs w:val="16"/>
          <w:lang w:val="es-ES_tradnl"/>
        </w:rPr>
        <w:t>Editorial de la Pontificia Universidad Católica del Perú. Para leer el Código Civil. Lima. pp. 40.</w:t>
      </w:r>
    </w:p>
  </w:footnote>
  <w:footnote w:id="676">
    <w:p w14:paraId="4FC51F5B"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mallCaps/>
          <w:sz w:val="16"/>
          <w:szCs w:val="16"/>
          <w:lang w:val="es-ES_tradnl"/>
        </w:rPr>
        <w:t xml:space="preserve">rubio correa, </w:t>
      </w:r>
      <w:r w:rsidRPr="00C14D1C">
        <w:rPr>
          <w:rFonts w:cs="Arial"/>
          <w:sz w:val="16"/>
          <w:szCs w:val="16"/>
          <w:lang w:val="es-ES_tradnl"/>
        </w:rPr>
        <w:t xml:space="preserve">Marcial. </w:t>
      </w:r>
      <w:r w:rsidRPr="00C14D1C">
        <w:rPr>
          <w:rFonts w:cs="Arial"/>
          <w:i/>
          <w:sz w:val="16"/>
          <w:szCs w:val="16"/>
          <w:lang w:val="es-ES_tradnl"/>
        </w:rPr>
        <w:t xml:space="preserve">El Ser Humano como Persona Natural. </w:t>
      </w:r>
      <w:r w:rsidRPr="00C14D1C">
        <w:rPr>
          <w:rFonts w:cs="Arial"/>
          <w:sz w:val="16"/>
          <w:szCs w:val="16"/>
          <w:lang w:val="es-ES_tradnl"/>
        </w:rPr>
        <w:t xml:space="preserve">Editorial de la Pontificia Universidad Católica del Perú. Para leer el Código Civil. Lima. pp. 40. </w:t>
      </w:r>
    </w:p>
  </w:footnote>
  <w:footnote w:id="677">
    <w:p w14:paraId="5850C31E"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mallCaps/>
          <w:sz w:val="16"/>
          <w:szCs w:val="16"/>
          <w:lang w:val="es-ES_tradnl"/>
        </w:rPr>
        <w:t xml:space="preserve">rubio correa, </w:t>
      </w:r>
      <w:r w:rsidRPr="00C14D1C">
        <w:rPr>
          <w:rFonts w:cs="Arial"/>
          <w:sz w:val="16"/>
          <w:szCs w:val="16"/>
          <w:lang w:val="es-ES_tradnl"/>
        </w:rPr>
        <w:t xml:space="preserve">Marcial. </w:t>
      </w:r>
      <w:r w:rsidRPr="00C14D1C">
        <w:rPr>
          <w:rFonts w:cs="Arial"/>
          <w:i/>
          <w:sz w:val="16"/>
          <w:szCs w:val="16"/>
          <w:lang w:val="es-ES_tradnl"/>
        </w:rPr>
        <w:t xml:space="preserve">El Ser Humano como Persona Natural. </w:t>
      </w:r>
      <w:r w:rsidRPr="00C14D1C">
        <w:rPr>
          <w:rFonts w:cs="Arial"/>
          <w:sz w:val="16"/>
          <w:szCs w:val="16"/>
          <w:lang w:val="es-ES_tradnl"/>
        </w:rPr>
        <w:t>Editorial de la Pontificia Universidad Católica del Perú. Para leer el Código Civil. Lima. pp. 40.</w:t>
      </w:r>
    </w:p>
  </w:footnote>
  <w:footnote w:id="678">
    <w:p w14:paraId="2D5A46AB" w14:textId="77777777" w:rsidR="00444BC9" w:rsidRPr="00C14D1C" w:rsidRDefault="00444BC9" w:rsidP="005D54AE">
      <w:pPr>
        <w:pStyle w:val="Textodecuerpo"/>
        <w:rPr>
          <w:rFonts w:cs="Arial"/>
          <w:sz w:val="16"/>
          <w:szCs w:val="16"/>
          <w:lang w:val="es-ES_tradnl"/>
        </w:rPr>
      </w:pPr>
      <w:r w:rsidRPr="00C14D1C">
        <w:rPr>
          <w:rStyle w:val="Refdenotaalpie"/>
          <w:rFonts w:cs="Arial"/>
          <w:sz w:val="16"/>
          <w:szCs w:val="16"/>
        </w:rPr>
        <w:footnoteRef/>
      </w:r>
      <w:r w:rsidRPr="00C14D1C">
        <w:rPr>
          <w:rFonts w:cs="Arial"/>
          <w:smallCaps/>
          <w:sz w:val="16"/>
          <w:szCs w:val="16"/>
          <w:lang w:val="es-ES_tradnl"/>
        </w:rPr>
        <w:t>bullard,</w:t>
      </w:r>
      <w:r w:rsidRPr="00C14D1C">
        <w:rPr>
          <w:rFonts w:cs="Arial"/>
          <w:sz w:val="16"/>
          <w:szCs w:val="16"/>
          <w:lang w:val="es-ES_tradnl"/>
        </w:rPr>
        <w:t xml:space="preserve">Alfredo. </w:t>
      </w:r>
      <w:r w:rsidRPr="00C14D1C">
        <w:rPr>
          <w:rFonts w:cs="Arial"/>
          <w:i/>
          <w:sz w:val="16"/>
          <w:szCs w:val="16"/>
          <w:lang w:val="es-ES_tradnl"/>
        </w:rPr>
        <w:t xml:space="preserve">La Relación Jurídico Patrimonial. </w:t>
      </w:r>
      <w:r w:rsidRPr="00C14D1C">
        <w:rPr>
          <w:rFonts w:cs="Arial"/>
          <w:sz w:val="16"/>
          <w:szCs w:val="16"/>
          <w:lang w:val="es-ES_tradnl"/>
        </w:rPr>
        <w:t>Editorial Lluvia. Pp. 53</w:t>
      </w:r>
    </w:p>
  </w:footnote>
  <w:footnote w:id="679">
    <w:p w14:paraId="7B55CFC1"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Balotario Desarrollado para aspirantes a Magistrados (Jueces y Fiscales). Tomo III. Editado por la Universidad Inca Garcilaso de la Vega. Facultad de Derecho y Ciencias Políticas, y el Ilustre Colegio de Abogados de lima. Dirección académica y de promoción cultural. Lima. Pp. 1918.</w:t>
      </w:r>
    </w:p>
  </w:footnote>
  <w:footnote w:id="680">
    <w:p w14:paraId="261023D0" w14:textId="77777777" w:rsidR="00444BC9" w:rsidRPr="00C14D1C" w:rsidRDefault="00444BC9" w:rsidP="005D54AE">
      <w:pPr>
        <w:pStyle w:val="Textonotapie"/>
        <w:jc w:val="both"/>
        <w:rPr>
          <w:rFonts w:ascii="Arial" w:hAnsi="Arial" w:cs="Arial"/>
          <w:sz w:val="16"/>
          <w:szCs w:val="16"/>
        </w:rPr>
      </w:pPr>
      <w:r w:rsidRPr="00C14D1C">
        <w:rPr>
          <w:rStyle w:val="Refdenotaalpie"/>
          <w:rFonts w:ascii="Arial" w:hAnsi="Arial" w:cs="Arial"/>
          <w:sz w:val="16"/>
          <w:szCs w:val="16"/>
        </w:rPr>
        <w:footnoteRef/>
      </w:r>
      <w:r w:rsidRPr="00C14D1C">
        <w:rPr>
          <w:rFonts w:ascii="Arial" w:hAnsi="Arial" w:cs="Arial"/>
          <w:sz w:val="16"/>
          <w:szCs w:val="16"/>
        </w:rPr>
        <w:t xml:space="preserve"> Balotario Desarrollado para aspirantes a Magistrados (Jueces y Fiscales). Tomo III. Editado por la Universidad Inca Garcilaso de la Vega. Facultad de Derecho y Ciencias Políticas, y el Ilustre Colegio de Abogados de lima. Dirección académica y de promoción cultural. Lima. Pp. 1923.</w:t>
      </w:r>
    </w:p>
  </w:footnote>
  <w:footnote w:id="681">
    <w:p w14:paraId="543AB069" w14:textId="77777777" w:rsidR="00444BC9" w:rsidRDefault="00444BC9" w:rsidP="00D06C42">
      <w:pPr>
        <w:ind w:left="426" w:hanging="425"/>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Villoro Toranzo</w:t>
      </w:r>
      <w:r>
        <w:rPr>
          <w:rFonts w:ascii="Arial Narrow" w:hAnsi="Arial Narrow"/>
          <w:sz w:val="16"/>
        </w:rPr>
        <w:t xml:space="preserve">, Miguel. </w:t>
      </w:r>
      <w:r>
        <w:rPr>
          <w:rFonts w:ascii="Arial Narrow" w:hAnsi="Arial Narrow"/>
          <w:i/>
          <w:sz w:val="16"/>
        </w:rPr>
        <w:t>Lecciones de Filosofía,</w:t>
      </w:r>
      <w:r>
        <w:rPr>
          <w:rFonts w:ascii="Arial Narrow" w:hAnsi="Arial Narrow"/>
          <w:sz w:val="16"/>
        </w:rPr>
        <w:t xml:space="preserve"> Editorial Porrua S.A., pp. 407.</w:t>
      </w:r>
    </w:p>
  </w:footnote>
  <w:footnote w:id="682">
    <w:p w14:paraId="6A8EA1C8" w14:textId="77777777" w:rsidR="00444BC9" w:rsidRDefault="00444BC9" w:rsidP="00D06C42">
      <w:pPr>
        <w:ind w:left="426" w:hanging="425"/>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Escribe Kelsen, parafraseado por Miguel Villoro./ Villoro Toranzo, Miguel, </w:t>
      </w:r>
      <w:r>
        <w:rPr>
          <w:rFonts w:ascii="Arial Narrow" w:hAnsi="Arial Narrow"/>
          <w:i/>
          <w:sz w:val="16"/>
        </w:rPr>
        <w:t>Lecciones de Filosofía,</w:t>
      </w:r>
      <w:r>
        <w:rPr>
          <w:rFonts w:ascii="Arial Narrow" w:hAnsi="Arial Narrow"/>
          <w:sz w:val="16"/>
        </w:rPr>
        <w:t xml:space="preserve"> Editorial Porrua S.A., pp. 407.</w:t>
      </w:r>
    </w:p>
  </w:footnote>
  <w:footnote w:id="683">
    <w:p w14:paraId="7CE1563C" w14:textId="77777777" w:rsidR="00444BC9" w:rsidRDefault="00444BC9" w:rsidP="00D06C42">
      <w:pPr>
        <w:ind w:left="426" w:hanging="425"/>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Villoro Toranzo</w:t>
      </w:r>
      <w:r>
        <w:rPr>
          <w:rFonts w:ascii="Arial Narrow" w:hAnsi="Arial Narrow"/>
          <w:sz w:val="16"/>
        </w:rPr>
        <w:t xml:space="preserve">, Miguel. </w:t>
      </w:r>
      <w:r>
        <w:rPr>
          <w:rFonts w:ascii="Arial Narrow" w:hAnsi="Arial Narrow"/>
          <w:i/>
          <w:sz w:val="16"/>
        </w:rPr>
        <w:t>Lecciones de Filosofía,</w:t>
      </w:r>
      <w:r>
        <w:rPr>
          <w:rFonts w:ascii="Arial Narrow" w:hAnsi="Arial Narrow"/>
          <w:sz w:val="16"/>
        </w:rPr>
        <w:t xml:space="preserve"> Editorial Porrua S.A., pp. 410.</w:t>
      </w:r>
    </w:p>
  </w:footnote>
  <w:footnote w:id="684">
    <w:p w14:paraId="6BB6412B" w14:textId="77777777" w:rsidR="00444BC9" w:rsidRDefault="00444BC9" w:rsidP="00D06C42">
      <w:pPr>
        <w:ind w:left="426" w:hanging="425"/>
        <w:jc w:val="both"/>
        <w:rPr>
          <w:rFonts w:ascii="Arial Narrow" w:hAnsi="Arial Narrow"/>
          <w:sz w:val="16"/>
          <w:lang w:val="en-US"/>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lang w:val="en-US"/>
        </w:rPr>
        <w:t xml:space="preserve"> Ibid. p. 410.</w:t>
      </w:r>
    </w:p>
  </w:footnote>
  <w:footnote w:id="685">
    <w:p w14:paraId="49EEF4C0" w14:textId="77777777" w:rsidR="00444BC9" w:rsidRDefault="00444BC9" w:rsidP="00D06C42">
      <w:pPr>
        <w:ind w:left="426" w:hanging="425"/>
        <w:jc w:val="both"/>
        <w:rPr>
          <w:rFonts w:ascii="Arial Narrow" w:hAnsi="Arial Narrow"/>
          <w:sz w:val="16"/>
          <w:lang w:val="en-US"/>
        </w:rPr>
      </w:pPr>
      <w:r>
        <w:rPr>
          <w:rFonts w:ascii="Arial Narrow" w:hAnsi="Arial Narrow"/>
          <w:sz w:val="16"/>
          <w:lang w:val="en-US"/>
        </w:rPr>
        <w:t xml:space="preserve">     </w:t>
      </w:r>
      <w:r>
        <w:rPr>
          <w:rStyle w:val="Refdenotaalpie"/>
          <w:rFonts w:ascii="Arial Narrow" w:hAnsi="Arial Narrow"/>
          <w:sz w:val="16"/>
        </w:rPr>
        <w:footnoteRef/>
      </w:r>
      <w:r>
        <w:rPr>
          <w:rFonts w:ascii="Arial Narrow" w:hAnsi="Arial Narrow"/>
          <w:sz w:val="16"/>
          <w:lang w:val="en-US"/>
        </w:rPr>
        <w:t xml:space="preserve"> Ibid. p. 410.</w:t>
      </w:r>
    </w:p>
  </w:footnote>
  <w:footnote w:id="686">
    <w:p w14:paraId="6F303367" w14:textId="77777777" w:rsidR="00444BC9" w:rsidRDefault="00444BC9" w:rsidP="00D06C42">
      <w:pPr>
        <w:ind w:left="426" w:hanging="425"/>
        <w:jc w:val="both"/>
        <w:rPr>
          <w:rFonts w:ascii="Arial Narrow" w:hAnsi="Arial Narrow"/>
          <w:sz w:val="16"/>
          <w:lang w:val="en-US"/>
        </w:rPr>
      </w:pPr>
      <w:r>
        <w:rPr>
          <w:rFonts w:ascii="Arial Narrow" w:hAnsi="Arial Narrow"/>
          <w:sz w:val="16"/>
          <w:lang w:val="en-US"/>
        </w:rPr>
        <w:t xml:space="preserve">     </w:t>
      </w:r>
      <w:r>
        <w:rPr>
          <w:rStyle w:val="Refdenotaalpie"/>
          <w:rFonts w:ascii="Arial Narrow" w:hAnsi="Arial Narrow"/>
          <w:sz w:val="16"/>
        </w:rPr>
        <w:footnoteRef/>
      </w:r>
      <w:r>
        <w:rPr>
          <w:rFonts w:ascii="Arial Narrow" w:hAnsi="Arial Narrow"/>
          <w:sz w:val="16"/>
          <w:lang w:val="en-US"/>
        </w:rPr>
        <w:t xml:space="preserve"> Ibid. p. 41,412.</w:t>
      </w:r>
    </w:p>
  </w:footnote>
  <w:footnote w:id="687">
    <w:p w14:paraId="2730E577" w14:textId="77777777" w:rsidR="00444BC9" w:rsidRDefault="00444BC9" w:rsidP="00D06C42">
      <w:pPr>
        <w:pStyle w:val="Textonotapie"/>
        <w:ind w:left="426"/>
        <w:jc w:val="both"/>
        <w:rPr>
          <w:rFonts w:ascii="Arial Narrow" w:hAnsi="Arial Narrow"/>
          <w:sz w:val="16"/>
          <w:lang w:val="en-US"/>
        </w:rPr>
      </w:pPr>
      <w:r>
        <w:rPr>
          <w:rStyle w:val="Refdenotaalpie"/>
          <w:rFonts w:ascii="Arial Narrow" w:hAnsi="Arial Narrow"/>
          <w:sz w:val="16"/>
        </w:rPr>
        <w:footnoteRef/>
      </w:r>
      <w:r>
        <w:rPr>
          <w:rFonts w:ascii="Arial Narrow" w:hAnsi="Arial Narrow"/>
          <w:sz w:val="16"/>
        </w:rPr>
        <w:t xml:space="preserve"> Leer, por favor, el capítulo 2 Ciencias de la naturaleza y ciencias sociales. Causalidad e imputación. / Kelsen, Hans. </w:t>
      </w:r>
      <w:r>
        <w:rPr>
          <w:rFonts w:ascii="Arial Narrow" w:hAnsi="Arial Narrow"/>
          <w:i/>
          <w:sz w:val="16"/>
        </w:rPr>
        <w:t xml:space="preserve">Teoría pura del Derecho. </w:t>
      </w:r>
      <w:r>
        <w:rPr>
          <w:rFonts w:ascii="Arial Narrow" w:hAnsi="Arial Narrow"/>
          <w:sz w:val="16"/>
        </w:rPr>
        <w:t xml:space="preserve">Editorial universitaria de Buenos Aires. </w:t>
      </w:r>
      <w:r>
        <w:rPr>
          <w:rFonts w:ascii="Arial Narrow" w:hAnsi="Arial Narrow"/>
          <w:sz w:val="16"/>
          <w:lang w:val="en-US"/>
        </w:rPr>
        <w:t>Argentina.1981. Pp. 16.</w:t>
      </w:r>
    </w:p>
  </w:footnote>
  <w:footnote w:id="688">
    <w:p w14:paraId="19DFC134" w14:textId="77777777" w:rsidR="00444BC9" w:rsidRDefault="00444BC9" w:rsidP="00D06C42">
      <w:pPr>
        <w:pStyle w:val="Textonotapie"/>
        <w:ind w:left="426"/>
        <w:jc w:val="both"/>
        <w:rPr>
          <w:rFonts w:ascii="Arial Narrow" w:hAnsi="Arial Narrow"/>
          <w:sz w:val="16"/>
        </w:rPr>
      </w:pPr>
      <w:r>
        <w:rPr>
          <w:rStyle w:val="Refdenotaalpie"/>
          <w:rFonts w:ascii="Arial Narrow" w:hAnsi="Arial Narrow"/>
          <w:sz w:val="16"/>
        </w:rPr>
        <w:footnoteRef/>
      </w:r>
      <w:r>
        <w:rPr>
          <w:rFonts w:ascii="Arial Narrow" w:hAnsi="Arial Narrow"/>
          <w:sz w:val="16"/>
          <w:lang w:val="en-US"/>
        </w:rPr>
        <w:t xml:space="preserve"> Hart, Herbert L. A. </w:t>
      </w:r>
      <w:r>
        <w:rPr>
          <w:rFonts w:ascii="Arial Narrow" w:hAnsi="Arial Narrow"/>
          <w:i/>
          <w:sz w:val="16"/>
          <w:lang w:val="en-US"/>
        </w:rPr>
        <w:t xml:space="preserve">The concept of law. </w:t>
      </w:r>
      <w:r>
        <w:rPr>
          <w:rFonts w:ascii="Arial Narrow" w:hAnsi="Arial Narrow"/>
          <w:i/>
          <w:sz w:val="16"/>
        </w:rPr>
        <w:t>El concepto de Derecho.</w:t>
      </w:r>
      <w:r>
        <w:rPr>
          <w:rFonts w:ascii="Arial Narrow" w:hAnsi="Arial Narrow"/>
          <w:sz w:val="16"/>
        </w:rPr>
        <w:t xml:space="preserve"> Editorial Abeledo Perrot. Buenos Aires. Traducción de Genaro R. Carrio. 1995. Pp. 231.</w:t>
      </w:r>
    </w:p>
  </w:footnote>
  <w:footnote w:id="689">
    <w:p w14:paraId="3803997E" w14:textId="77777777" w:rsidR="00444BC9" w:rsidRDefault="00444BC9" w:rsidP="00D06C42">
      <w:pPr>
        <w:pStyle w:val="Textonotapie"/>
        <w:ind w:left="426"/>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John Stuar Mill tiene un libro clásico que se denomina: </w:t>
      </w:r>
      <w:r>
        <w:rPr>
          <w:rFonts w:ascii="Arial Narrow" w:hAnsi="Arial Narrow"/>
          <w:i/>
          <w:sz w:val="16"/>
        </w:rPr>
        <w:t>Sobre la libertad.</w:t>
      </w:r>
      <w:r>
        <w:rPr>
          <w:rFonts w:ascii="Arial Narrow" w:hAnsi="Arial Narrow"/>
          <w:sz w:val="16"/>
        </w:rPr>
        <w:t xml:space="preserve"> Y de su vida existe una introducción, en el mismo libro, fantástica, que lo describe con una capacidad asombrosa, casi mágica. Esta breve descripción de la vida del autor está hecha por el filósofo I. Berlin. Autor descubierto en el Perú por un otro gran, pero muy por debajo, autor peruano: Mario Vargas Llosa. Este último tiene un artículo sobre I. Berlín muy suculento en su libro Contra viento y marea El primer Número o Tomo. El artículo se denomina: </w:t>
      </w:r>
      <w:r>
        <w:rPr>
          <w:rFonts w:ascii="Arial Narrow" w:hAnsi="Arial Narrow"/>
          <w:i/>
          <w:sz w:val="16"/>
        </w:rPr>
        <w:t>“Isaiah Berlin, un héroe de nuestro tiempo”.</w:t>
      </w:r>
    </w:p>
  </w:footnote>
  <w:footnote w:id="690">
    <w:p w14:paraId="7D245A0D" w14:textId="77777777" w:rsidR="00444BC9" w:rsidRDefault="00444BC9" w:rsidP="00D06C42">
      <w:pPr>
        <w:pStyle w:val="Textonotapie"/>
        <w:ind w:left="426"/>
      </w:pPr>
      <w:r>
        <w:rPr>
          <w:rStyle w:val="Refdenotaalpie"/>
        </w:rPr>
        <w:footnoteRef/>
      </w:r>
      <w:r>
        <w:t xml:space="preserve">  Trazegnies Granda, Fernando de. Introducción a la Filosofía del Derecho y a la teroría general del Derecho. Fondo Editorial de la Pontificia Universidad Católica del Perú. Pp. 79.</w:t>
      </w:r>
    </w:p>
  </w:footnote>
  <w:footnote w:id="691">
    <w:p w14:paraId="769F9869"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80.</w:t>
      </w:r>
    </w:p>
  </w:footnote>
  <w:footnote w:id="692">
    <w:p w14:paraId="63A6DF5D"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79.</w:t>
      </w:r>
    </w:p>
  </w:footnote>
  <w:footnote w:id="693">
    <w:p w14:paraId="13D3F04B"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79.</w:t>
      </w:r>
    </w:p>
  </w:footnote>
  <w:footnote w:id="694">
    <w:p w14:paraId="44B62A3D"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79 y 80.</w:t>
      </w:r>
    </w:p>
  </w:footnote>
  <w:footnote w:id="695">
    <w:p w14:paraId="1B7F3A75"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80.</w:t>
      </w:r>
    </w:p>
  </w:footnote>
  <w:footnote w:id="696">
    <w:p w14:paraId="7AF25B3D"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80.</w:t>
      </w:r>
    </w:p>
  </w:footnote>
  <w:footnote w:id="697">
    <w:p w14:paraId="3EA330F7" w14:textId="77777777" w:rsidR="00444BC9" w:rsidRDefault="00444BC9" w:rsidP="00D06C42">
      <w:pPr>
        <w:pStyle w:val="Textonotapie"/>
        <w:ind w:left="426"/>
      </w:pPr>
      <w:r>
        <w:rPr>
          <w:rStyle w:val="Refdenotaalpie"/>
        </w:rPr>
        <w:footnoteRef/>
      </w:r>
      <w:r>
        <w:t xml:space="preserve"> Fernando de Trazegnies. Introducción a la Filosofía del Derecho y a la Teoría General del Derecho. Fondo Editorial de la Pontificia Universidad Católica del Perú. pp. 81.</w:t>
      </w:r>
    </w:p>
  </w:footnote>
  <w:footnote w:id="698">
    <w:p w14:paraId="159A4CAC" w14:textId="77777777" w:rsidR="00444BC9" w:rsidRDefault="00444BC9" w:rsidP="0082775B">
      <w:pPr>
        <w:pStyle w:val="Textonotapie"/>
      </w:pPr>
      <w:r>
        <w:rPr>
          <w:rStyle w:val="Refdenotaalpie"/>
        </w:rPr>
        <w:footnoteRef/>
      </w:r>
      <w:r>
        <w:t xml:space="preserve"> Trazengies Granda, Fernando. Introducción a la Filosofía del Derecho y a la Teoría General del Derecho. Fondo editorial de la Pontificia Universidad Católica del Perú. pp. 29.</w:t>
      </w:r>
    </w:p>
  </w:footnote>
  <w:footnote w:id="699">
    <w:p w14:paraId="5B7C2D43" w14:textId="77777777" w:rsidR="00444BC9" w:rsidRDefault="00444BC9" w:rsidP="0082775B">
      <w:pPr>
        <w:pStyle w:val="Textonotapie"/>
      </w:pPr>
      <w:r>
        <w:rPr>
          <w:rStyle w:val="Refdenotaalpie"/>
        </w:rPr>
        <w:footnoteRef/>
      </w:r>
      <w:r>
        <w:t xml:space="preserve"> Del Vecchio. Giorgio. Derecho y Vida. Casa Editorial Bosch. Pp. 51.</w:t>
      </w:r>
    </w:p>
  </w:footnote>
  <w:footnote w:id="700">
    <w:p w14:paraId="45E147D2" w14:textId="77777777" w:rsidR="00444BC9" w:rsidRDefault="00444BC9" w:rsidP="0082775B">
      <w:pPr>
        <w:pStyle w:val="Textonotapie"/>
      </w:pPr>
      <w:r>
        <w:rPr>
          <w:rStyle w:val="Refdenotaalpie"/>
        </w:rPr>
        <w:footnoteRef/>
      </w:r>
      <w:r>
        <w:t xml:space="preserve"> Fernando R. Carbonell Lazo. Jorge T. Lanzon Perez. Silvia R. Mosquera López. Código Civil. Comentado-Concordado-Anotado. Ediciones Jurídicas. Lima Perú. pp. 4183.</w:t>
      </w:r>
    </w:p>
  </w:footnote>
  <w:footnote w:id="701">
    <w:p w14:paraId="6E8D0D04" w14:textId="77777777" w:rsidR="00444BC9" w:rsidRDefault="00444BC9" w:rsidP="0082775B">
      <w:pPr>
        <w:pStyle w:val="Textonotapie"/>
      </w:pPr>
      <w:r>
        <w:rPr>
          <w:rStyle w:val="Refdenotaalpie"/>
        </w:rPr>
        <w:footnoteRef/>
      </w:r>
      <w:r>
        <w:t xml:space="preserve"> Bullard, Alfredo. </w:t>
      </w:r>
      <w:r>
        <w:rPr>
          <w:i/>
        </w:rPr>
        <w:t>La relación jurídico patrimonial. Reales vs. obligaciones.</w:t>
      </w:r>
      <w:r>
        <w:t xml:space="preserve"> Lluvia editores. 1990. Perú, pág. 281.</w:t>
      </w:r>
    </w:p>
  </w:footnote>
  <w:footnote w:id="702">
    <w:p w14:paraId="34394877" w14:textId="77777777" w:rsidR="00444BC9" w:rsidRDefault="00444BC9" w:rsidP="0082775B">
      <w:pPr>
        <w:pStyle w:val="Textonotapie"/>
      </w:pPr>
      <w:r>
        <w:rPr>
          <w:rStyle w:val="Refdenotaalpie"/>
        </w:rPr>
        <w:footnoteRef/>
      </w:r>
      <w:r>
        <w:t xml:space="preserve"> Carnelutti, Francesco. </w:t>
      </w:r>
      <w:r>
        <w:rPr>
          <w:i/>
        </w:rPr>
        <w:t xml:space="preserve">Cómo nace el Derecho. </w:t>
      </w:r>
      <w:r>
        <w:t xml:space="preserve"> Editorial Temis. S.A., Colombia. 2000, pp. 10.</w:t>
      </w:r>
    </w:p>
  </w:footnote>
  <w:footnote w:id="703">
    <w:p w14:paraId="149DDA5F" w14:textId="77777777" w:rsidR="00444BC9" w:rsidRDefault="00444BC9" w:rsidP="0082775B">
      <w:pPr>
        <w:pStyle w:val="Textonotapie"/>
      </w:pPr>
      <w:r>
        <w:rPr>
          <w:rStyle w:val="Refdenotaalpie"/>
        </w:rPr>
        <w:footnoteRef/>
      </w:r>
      <w:r>
        <w:t xml:space="preserve"> Arce y Cervantes, José. </w:t>
      </w:r>
      <w:r>
        <w:rPr>
          <w:i/>
        </w:rPr>
        <w:t xml:space="preserve">De los bienes. </w:t>
      </w:r>
      <w:r>
        <w:t>Editorial Porrúa. S.A. México, 1994. 45.</w:t>
      </w:r>
    </w:p>
  </w:footnote>
  <w:footnote w:id="704">
    <w:p w14:paraId="06CF1986"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Montesquieu plantea que: </w:t>
      </w:r>
      <w:r>
        <w:rPr>
          <w:rFonts w:ascii="Arial Narrow" w:hAnsi="Arial Narrow"/>
          <w:i/>
          <w:sz w:val="18"/>
        </w:rPr>
        <w:t>“Para que no se pueda abusar del poder, es preciso que el poder detenga al poder”. “Estudia al Derecho cuál es, como componente del ambiente histórica y en el que el hombre vive y que debe tenerse en cuenta para las leyes jurídicas nuevas. Por eso la misión del legislador es comprender e interpretar la “naturaleza”, el “espíritu general de su pueblo”. Se le ha llamado el padre del Constitucionalismo.”</w:t>
      </w:r>
      <w:r>
        <w:rPr>
          <w:rFonts w:ascii="Arial Narrow" w:hAnsi="Arial Narrow"/>
          <w:sz w:val="18"/>
        </w:rPr>
        <w:t xml:space="preserve"> / Castillo, Melquiades, </w:t>
      </w:r>
      <w:r>
        <w:rPr>
          <w:rFonts w:ascii="Arial Narrow" w:hAnsi="Arial Narrow"/>
          <w:i/>
          <w:sz w:val="18"/>
        </w:rPr>
        <w:t>Filosofía del Derecho,</w:t>
      </w:r>
      <w:r>
        <w:rPr>
          <w:rFonts w:ascii="Arial Narrow" w:hAnsi="Arial Narrow"/>
          <w:sz w:val="18"/>
        </w:rPr>
        <w:t xml:space="preserve"> Ediciones Edigraf S.A., pp. 35.  </w:t>
      </w:r>
    </w:p>
  </w:footnote>
  <w:footnote w:id="705">
    <w:p w14:paraId="5212E732" w14:textId="77777777" w:rsidR="00444BC9" w:rsidRDefault="00444BC9" w:rsidP="0082775B">
      <w:pPr>
        <w:widowControl/>
        <w:spacing w:after="6"/>
        <w:ind w:left="426" w:hanging="284"/>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Grondona,</w:t>
      </w:r>
      <w:r>
        <w:rPr>
          <w:rFonts w:ascii="Arial Narrow" w:hAnsi="Arial Narrow"/>
          <w:sz w:val="18"/>
        </w:rPr>
        <w:t xml:space="preserve"> Mariano. </w:t>
      </w:r>
      <w:r>
        <w:rPr>
          <w:rFonts w:ascii="Arial Narrow" w:hAnsi="Arial Narrow"/>
          <w:i/>
          <w:sz w:val="18"/>
        </w:rPr>
        <w:t xml:space="preserve">Los Pensadores de la Libertad </w:t>
      </w:r>
      <w:r>
        <w:rPr>
          <w:rFonts w:ascii="Arial Narrow" w:hAnsi="Arial Narrow"/>
          <w:i/>
          <w:sz w:val="18"/>
        </w:rPr>
        <w:noBreakHyphen/>
        <w:t xml:space="preserve"> de John Locke a Robert Nozick.</w:t>
      </w:r>
      <w:r>
        <w:rPr>
          <w:rFonts w:ascii="Arial Narrow" w:hAnsi="Arial Narrow"/>
          <w:sz w:val="18"/>
        </w:rPr>
        <w:t xml:space="preserve"> Editorial Sudamericana, Tercera Edición, diciembre 1986. p. 18.</w:t>
      </w:r>
    </w:p>
  </w:footnote>
  <w:footnote w:id="706">
    <w:p w14:paraId="3A3C47E0" w14:textId="77777777" w:rsidR="00444BC9" w:rsidRDefault="00444BC9" w:rsidP="0082775B">
      <w:pPr>
        <w:widowControl/>
        <w:ind w:left="142" w:hanging="142"/>
        <w:jc w:val="both"/>
      </w:pPr>
      <w:r>
        <w:rPr>
          <w:rStyle w:val="Refdenotaalpie"/>
          <w:rFonts w:ascii="Arial Narrow" w:hAnsi="Arial Narrow"/>
          <w:sz w:val="18"/>
        </w:rPr>
        <w:footnoteRef/>
      </w:r>
      <w:r>
        <w:rPr>
          <w:rFonts w:ascii="Arial Narrow" w:hAnsi="Arial Narrow"/>
          <w:sz w:val="18"/>
        </w:rPr>
        <w:t xml:space="preserve">  Escribe Foustes de Coulangues, en su libro </w:t>
      </w:r>
      <w:r>
        <w:rPr>
          <w:rFonts w:ascii="Arial Narrow" w:hAnsi="Arial Narrow"/>
          <w:i/>
          <w:sz w:val="18"/>
        </w:rPr>
        <w:t>La ciudad antigua,</w:t>
      </w:r>
      <w:r>
        <w:rPr>
          <w:rFonts w:ascii="Arial Narrow" w:hAnsi="Arial Narrow"/>
          <w:sz w:val="18"/>
        </w:rPr>
        <w:t xml:space="preserve"> pp. 73.</w:t>
      </w:r>
    </w:p>
  </w:footnote>
  <w:footnote w:id="707">
    <w:p w14:paraId="359E26A1" w14:textId="77777777" w:rsidR="00444BC9" w:rsidRPr="002216A6" w:rsidRDefault="00444BC9" w:rsidP="0082775B">
      <w:pPr>
        <w:widowControl/>
        <w:ind w:left="142" w:hanging="142"/>
        <w:jc w:val="both"/>
        <w:rPr>
          <w:lang w:val="en-US"/>
        </w:rPr>
      </w:pPr>
      <w:r>
        <w:rPr>
          <w:rStyle w:val="Refdenotaalpie"/>
          <w:rFonts w:ascii="Arial Narrow" w:hAnsi="Arial Narrow"/>
          <w:sz w:val="18"/>
        </w:rPr>
        <w:footnoteRef/>
      </w:r>
      <w:r>
        <w:rPr>
          <w:rFonts w:ascii="Arial Narrow" w:hAnsi="Arial Narrow"/>
          <w:sz w:val="18"/>
          <w:lang w:val="en-US"/>
        </w:rPr>
        <w:t xml:space="preserve">  Ibid. p. 72.</w:t>
      </w:r>
    </w:p>
  </w:footnote>
  <w:footnote w:id="708">
    <w:p w14:paraId="0F3CC88E" w14:textId="77777777" w:rsidR="00444BC9" w:rsidRPr="002216A6" w:rsidRDefault="00444BC9" w:rsidP="0082775B">
      <w:pPr>
        <w:widowControl/>
        <w:ind w:left="142" w:hanging="142"/>
        <w:jc w:val="both"/>
        <w:rPr>
          <w:lang w:val="en-US"/>
        </w:rPr>
      </w:pPr>
      <w:r>
        <w:rPr>
          <w:rStyle w:val="Refdenotaalpie"/>
          <w:rFonts w:ascii="Arial Narrow" w:hAnsi="Arial Narrow"/>
          <w:sz w:val="18"/>
        </w:rPr>
        <w:footnoteRef/>
      </w:r>
      <w:r>
        <w:rPr>
          <w:rFonts w:ascii="Arial Narrow" w:hAnsi="Arial Narrow"/>
          <w:sz w:val="18"/>
          <w:lang w:val="en-US"/>
        </w:rPr>
        <w:t xml:space="preserve">  Ibid. p. 205.</w:t>
      </w:r>
    </w:p>
  </w:footnote>
  <w:footnote w:id="709">
    <w:p w14:paraId="29E6AFCD" w14:textId="77777777" w:rsidR="00444BC9" w:rsidRPr="002216A6" w:rsidRDefault="00444BC9" w:rsidP="0082775B">
      <w:pPr>
        <w:widowControl/>
        <w:ind w:left="142" w:hanging="142"/>
        <w:jc w:val="both"/>
        <w:rPr>
          <w:lang w:val="en-US"/>
        </w:rPr>
      </w:pPr>
      <w:r>
        <w:rPr>
          <w:rStyle w:val="Refdenotaalpie"/>
          <w:rFonts w:ascii="Arial Narrow" w:hAnsi="Arial Narrow"/>
          <w:sz w:val="18"/>
        </w:rPr>
        <w:footnoteRef/>
      </w:r>
      <w:r>
        <w:rPr>
          <w:rFonts w:ascii="Arial Narrow" w:hAnsi="Arial Narrow"/>
          <w:sz w:val="18"/>
          <w:lang w:val="en-US"/>
        </w:rPr>
        <w:t xml:space="preserve">  Ibid. p. 209.</w:t>
      </w:r>
    </w:p>
  </w:footnote>
  <w:footnote w:id="710">
    <w:p w14:paraId="11F31881" w14:textId="77777777" w:rsidR="00444BC9" w:rsidRPr="002216A6" w:rsidRDefault="00444BC9" w:rsidP="0082775B">
      <w:pPr>
        <w:widowControl/>
        <w:ind w:left="142" w:hanging="142"/>
        <w:jc w:val="both"/>
        <w:rPr>
          <w:lang w:val="en-US"/>
        </w:rPr>
      </w:pPr>
      <w:r>
        <w:rPr>
          <w:rStyle w:val="Refdenotaalpie"/>
          <w:rFonts w:ascii="Arial Narrow" w:hAnsi="Arial Narrow"/>
          <w:sz w:val="18"/>
        </w:rPr>
        <w:footnoteRef/>
      </w:r>
      <w:r>
        <w:rPr>
          <w:rFonts w:ascii="Arial Narrow" w:hAnsi="Arial Narrow"/>
          <w:sz w:val="18"/>
          <w:lang w:val="en-US"/>
        </w:rPr>
        <w:t xml:space="preserve">  Ibid. p. 180.</w:t>
      </w:r>
    </w:p>
  </w:footnote>
  <w:footnote w:id="711">
    <w:p w14:paraId="35FFB5DA" w14:textId="77777777" w:rsidR="00444BC9" w:rsidRPr="002216A6" w:rsidRDefault="00444BC9" w:rsidP="0082775B">
      <w:pPr>
        <w:widowControl/>
        <w:ind w:left="142" w:hanging="142"/>
        <w:jc w:val="both"/>
        <w:rPr>
          <w:lang w:val="en-US"/>
        </w:rPr>
      </w:pPr>
      <w:r>
        <w:rPr>
          <w:rStyle w:val="Refdenotaalpie"/>
          <w:rFonts w:ascii="Arial Narrow" w:hAnsi="Arial Narrow"/>
          <w:sz w:val="18"/>
        </w:rPr>
        <w:footnoteRef/>
      </w:r>
      <w:r>
        <w:rPr>
          <w:rFonts w:ascii="Arial Narrow" w:hAnsi="Arial Narrow"/>
          <w:sz w:val="18"/>
          <w:lang w:val="en-US"/>
        </w:rPr>
        <w:t xml:space="preserve">  Ibid. p. 181.</w:t>
      </w:r>
    </w:p>
  </w:footnote>
  <w:footnote w:id="712">
    <w:p w14:paraId="2DF02D62" w14:textId="77777777" w:rsidR="00444BC9" w:rsidRPr="002216A6" w:rsidRDefault="00444BC9" w:rsidP="0082775B">
      <w:pPr>
        <w:widowControl/>
        <w:ind w:left="142" w:hanging="142"/>
        <w:jc w:val="both"/>
        <w:rPr>
          <w:lang w:val="en-US"/>
        </w:rPr>
      </w:pPr>
      <w:r>
        <w:rPr>
          <w:rStyle w:val="Refdenotaalpie"/>
          <w:rFonts w:ascii="Arial Narrow" w:hAnsi="Arial Narrow"/>
          <w:sz w:val="18"/>
        </w:rPr>
        <w:footnoteRef/>
      </w:r>
      <w:r>
        <w:rPr>
          <w:rFonts w:ascii="Arial Narrow" w:hAnsi="Arial Narrow"/>
          <w:sz w:val="18"/>
          <w:lang w:val="en-US"/>
        </w:rPr>
        <w:t xml:space="preserve">  Ibid. p. 205.</w:t>
      </w:r>
    </w:p>
  </w:footnote>
  <w:footnote w:id="713">
    <w:p w14:paraId="7209E37D" w14:textId="77777777" w:rsidR="00444BC9" w:rsidRDefault="00444BC9" w:rsidP="0082775B">
      <w:pPr>
        <w:widowControl/>
        <w:ind w:left="142" w:hanging="142"/>
        <w:jc w:val="both"/>
      </w:pP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Diez Picazo</w:t>
      </w:r>
      <w:r>
        <w:rPr>
          <w:rFonts w:ascii="Arial Narrow" w:hAnsi="Arial Narrow"/>
          <w:sz w:val="18"/>
        </w:rPr>
        <w:t xml:space="preserve">, Luis, </w:t>
      </w:r>
      <w:r>
        <w:rPr>
          <w:rFonts w:ascii="Arial Narrow" w:hAnsi="Arial Narrow"/>
          <w:i/>
          <w:sz w:val="18"/>
        </w:rPr>
        <w:t>Experiencias jurídicas y Teoría del Derecho,</w:t>
      </w:r>
      <w:r>
        <w:rPr>
          <w:rFonts w:ascii="Arial Narrow" w:hAnsi="Arial Narrow"/>
          <w:sz w:val="18"/>
        </w:rPr>
        <w:t xml:space="preserve"> Editorial Ariel, pp. 21.</w:t>
      </w:r>
    </w:p>
  </w:footnote>
  <w:footnote w:id="714">
    <w:p w14:paraId="006918EB"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Ibid. p. 80</w:t>
      </w:r>
    </w:p>
  </w:footnote>
  <w:footnote w:id="715">
    <w:p w14:paraId="5AED8F10" w14:textId="77777777" w:rsidR="00444BC9" w:rsidRDefault="00444BC9" w:rsidP="0082775B">
      <w:pPr>
        <w:widowControl/>
        <w:ind w:left="142" w:hanging="142"/>
        <w:jc w:val="both"/>
      </w:pP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Trazegnies Granda</w:t>
      </w:r>
      <w:r>
        <w:rPr>
          <w:rFonts w:ascii="Arial Narrow" w:hAnsi="Arial Narrow"/>
          <w:sz w:val="18"/>
        </w:rPr>
        <w:t xml:space="preserve">, Fernado de, </w:t>
      </w:r>
      <w:r>
        <w:rPr>
          <w:rFonts w:ascii="Arial Narrow" w:hAnsi="Arial Narrow"/>
          <w:i/>
          <w:sz w:val="18"/>
        </w:rPr>
        <w:t>Postmodernidad y</w:t>
      </w:r>
      <w:r>
        <w:rPr>
          <w:rFonts w:ascii="Arial Narrow" w:hAnsi="Arial Narrow"/>
          <w:sz w:val="18"/>
        </w:rPr>
        <w:t xml:space="preserve"> </w:t>
      </w:r>
      <w:r>
        <w:rPr>
          <w:rFonts w:ascii="Arial Narrow" w:hAnsi="Arial Narrow"/>
          <w:i/>
          <w:sz w:val="18"/>
        </w:rPr>
        <w:t xml:space="preserve">Derecho, </w:t>
      </w:r>
      <w:r>
        <w:rPr>
          <w:rFonts w:ascii="Arial Narrow" w:hAnsi="Arial Narrow"/>
          <w:sz w:val="18"/>
        </w:rPr>
        <w:t xml:space="preserve">Ara editores, pp. 74. </w:t>
      </w:r>
    </w:p>
  </w:footnote>
  <w:footnote w:id="716">
    <w:p w14:paraId="669652A5" w14:textId="77777777" w:rsidR="00444BC9" w:rsidRDefault="00444BC9" w:rsidP="0082775B">
      <w:pPr>
        <w:widowControl/>
        <w:ind w:left="142" w:hanging="142"/>
        <w:jc w:val="both"/>
      </w:pPr>
      <w:r>
        <w:rPr>
          <w:rStyle w:val="Refdenotaalpie"/>
          <w:rFonts w:ascii="Arial Narrow" w:hAnsi="Arial Narrow"/>
          <w:sz w:val="18"/>
        </w:rPr>
        <w:footnoteRef/>
      </w:r>
      <w:r>
        <w:rPr>
          <w:rFonts w:ascii="Arial Narrow" w:hAnsi="Arial Narrow"/>
          <w:sz w:val="18"/>
        </w:rPr>
        <w:t xml:space="preserve"> Ibid. p. 74, 75.</w:t>
      </w:r>
    </w:p>
  </w:footnote>
  <w:footnote w:id="717">
    <w:p w14:paraId="2FED7981" w14:textId="77777777" w:rsidR="00444BC9" w:rsidRDefault="00444BC9" w:rsidP="0082775B">
      <w:pPr>
        <w:spacing w:after="6"/>
        <w:jc w:val="both"/>
      </w:pPr>
      <w:r>
        <w:rPr>
          <w:rStyle w:val="Refdenotaalpie"/>
          <w:rFonts w:ascii="Arial Narrow" w:hAnsi="Arial Narrow"/>
          <w:sz w:val="18"/>
        </w:rPr>
        <w:footnoteRef/>
      </w:r>
      <w:r>
        <w:rPr>
          <w:rFonts w:ascii="Arial Narrow" w:hAnsi="Arial Narrow"/>
          <w:sz w:val="18"/>
        </w:rPr>
        <w:t xml:space="preserve"> Toffler, Alvin, </w:t>
      </w:r>
      <w:r>
        <w:rPr>
          <w:rFonts w:ascii="Arial Narrow" w:hAnsi="Arial Narrow"/>
          <w:i/>
          <w:sz w:val="18"/>
        </w:rPr>
        <w:t xml:space="preserve">La tercera ola, </w:t>
      </w:r>
      <w:r>
        <w:rPr>
          <w:rFonts w:ascii="Arial Narrow" w:hAnsi="Arial Narrow"/>
          <w:sz w:val="18"/>
        </w:rPr>
        <w:t>pp. 74.</w:t>
      </w:r>
    </w:p>
  </w:footnote>
  <w:footnote w:id="718">
    <w:p w14:paraId="445B237A" w14:textId="77777777" w:rsidR="00444BC9" w:rsidRDefault="00444BC9" w:rsidP="0082775B">
      <w:pPr>
        <w:spacing w:after="6"/>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Toffler, Alvin, </w:t>
      </w:r>
      <w:r>
        <w:rPr>
          <w:rFonts w:ascii="Arial Narrow" w:hAnsi="Arial Narrow"/>
          <w:i/>
          <w:sz w:val="18"/>
        </w:rPr>
        <w:t xml:space="preserve">La tercera ola, </w:t>
      </w:r>
      <w:r>
        <w:rPr>
          <w:rFonts w:ascii="Arial Narrow" w:hAnsi="Arial Narrow"/>
          <w:sz w:val="18"/>
        </w:rPr>
        <w:t xml:space="preserve">pp. 73. </w:t>
      </w:r>
    </w:p>
  </w:footnote>
  <w:footnote w:id="719">
    <w:p w14:paraId="776CE273" w14:textId="77777777" w:rsidR="00444BC9" w:rsidRDefault="00444BC9" w:rsidP="0082775B">
      <w:pPr>
        <w:spacing w:after="6"/>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Deleuze, Giles, </w:t>
      </w:r>
      <w:r>
        <w:rPr>
          <w:rFonts w:ascii="Arial Narrow" w:hAnsi="Arial Narrow"/>
          <w:i/>
          <w:sz w:val="18"/>
        </w:rPr>
        <w:t>Foucault,</w:t>
      </w:r>
      <w:r>
        <w:rPr>
          <w:rFonts w:ascii="Arial Narrow" w:hAnsi="Arial Narrow"/>
          <w:sz w:val="18"/>
        </w:rPr>
        <w:t xml:space="preserve"> Edicion Paidos, pp. 51.</w:t>
      </w:r>
    </w:p>
  </w:footnote>
  <w:footnote w:id="720">
    <w:p w14:paraId="27383B88"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Vargas Llosa</w:t>
      </w:r>
      <w:r>
        <w:rPr>
          <w:rFonts w:ascii="Arial Narrow" w:hAnsi="Arial Narrow"/>
          <w:sz w:val="18"/>
        </w:rPr>
        <w:t xml:space="preserve">, Mario. </w:t>
      </w:r>
      <w:r>
        <w:rPr>
          <w:rFonts w:ascii="Arial Narrow" w:hAnsi="Arial Narrow"/>
          <w:i/>
          <w:sz w:val="18"/>
        </w:rPr>
        <w:t xml:space="preserve">Contra viento y marea, 3. </w:t>
      </w:r>
      <w:r>
        <w:rPr>
          <w:rFonts w:ascii="Arial Narrow" w:hAnsi="Arial Narrow"/>
          <w:sz w:val="18"/>
        </w:rPr>
        <w:t>Lima,</w:t>
      </w:r>
      <w:r>
        <w:rPr>
          <w:rFonts w:ascii="Arial Narrow" w:hAnsi="Arial Narrow"/>
          <w:i/>
          <w:sz w:val="18"/>
        </w:rPr>
        <w:t xml:space="preserve"> </w:t>
      </w:r>
      <w:r>
        <w:rPr>
          <w:rFonts w:ascii="Arial Narrow" w:hAnsi="Arial Narrow"/>
          <w:sz w:val="18"/>
        </w:rPr>
        <w:t>Peisa, 1990. p. 330.</w:t>
      </w:r>
    </w:p>
  </w:footnote>
  <w:footnote w:id="721">
    <w:p w14:paraId="33509DA9"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Ibid. p. 71.</w:t>
      </w:r>
    </w:p>
  </w:footnote>
  <w:footnote w:id="722">
    <w:p w14:paraId="36BD1A49"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Ibid. p. 73.</w:t>
      </w:r>
    </w:p>
  </w:footnote>
  <w:footnote w:id="723">
    <w:p w14:paraId="0FA63DB6"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45.</w:t>
      </w:r>
    </w:p>
  </w:footnote>
  <w:footnote w:id="724">
    <w:p w14:paraId="779A24C3"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"Con relación a la política económica, el programa liberal pretendía crear las condiciones de una sociedad de mercado, suprimiendo todo tipo de privilegios hereditarios en materia de empleos y toda clase de vinculaciones que dificultaban la transferencia de propiedades. Por último los liberales querían una rápida abolición de la esclavitud; por eso, la primera Constitución declaraba: "Nadie nace esclavo en el Perú, ni de nuevo puede entrar en él alguno de esta condición. Queda abolido el comercio de negros". como lo declaraba el art. 11 de la Constitución liberal de 1823.  / </w:t>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46.</w:t>
      </w:r>
    </w:p>
  </w:footnote>
  <w:footnote w:id="725">
    <w:p w14:paraId="6F814F23"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"Es así como, a pesar de que muchas constituciones políticas se sucedieron durante esos años, las leyes civiles españolas quedaron vigentes durante toda la primera mitad del S. XIX, cuando incluso ya habían sido derogadas en España: la preocupación fundamental del Perú independiente era la de las Constituciones" (...) Es así como el nuevo orden legal inspirado en las premisas liberales, era utilizado con fines muy ajenos a los del liberalismo."  / </w:t>
      </w:r>
      <w:r>
        <w:rPr>
          <w:rFonts w:ascii="Arial Narrow" w:hAnsi="Arial Narrow"/>
          <w:smallCaps/>
          <w:sz w:val="18"/>
        </w:rPr>
        <w:t>Trazegnies Granda</w:t>
      </w:r>
      <w:r>
        <w:rPr>
          <w:rFonts w:ascii="Arial Narrow" w:hAnsi="Arial Narrow"/>
          <w:sz w:val="18"/>
        </w:rPr>
        <w:t xml:space="preserve">, Fernando De. </w:t>
      </w:r>
      <w:r>
        <w:rPr>
          <w:rFonts w:ascii="Arial Narrow" w:hAnsi="Arial Narrow"/>
          <w:i/>
          <w:sz w:val="18"/>
        </w:rPr>
        <w:t>La idea del Derecho en el Perú republicano del siglo XIX</w:t>
      </w:r>
      <w:r>
        <w:rPr>
          <w:rFonts w:ascii="Arial Narrow" w:hAnsi="Arial Narrow"/>
          <w:sz w:val="18"/>
        </w:rPr>
        <w:t>. Lima, Fondo Editorial de la Pontificia Universidad Católica del Perú, 1979. p. 48.</w:t>
      </w:r>
    </w:p>
  </w:footnote>
  <w:footnote w:id="726">
    <w:p w14:paraId="4EC5ED1F"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Filosofía del Derecho,</w:t>
      </w:r>
      <w:r>
        <w:rPr>
          <w:rFonts w:ascii="Arial Narrow" w:hAnsi="Arial Narrow"/>
          <w:sz w:val="18"/>
        </w:rPr>
        <w:t xml:space="preserve"> Editorial Edigraf S.A., pp. 37.</w:t>
      </w:r>
    </w:p>
  </w:footnote>
  <w:footnote w:id="727">
    <w:p w14:paraId="1A269E66" w14:textId="77777777" w:rsidR="00444BC9" w:rsidRDefault="00444BC9" w:rsidP="0082775B">
      <w:pPr>
        <w:spacing w:after="6"/>
        <w:ind w:left="425" w:hanging="425"/>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Castillo</w:t>
      </w:r>
      <w:r>
        <w:rPr>
          <w:rFonts w:ascii="Arial Narrow" w:hAnsi="Arial Narrow"/>
          <w:sz w:val="18"/>
        </w:rPr>
        <w:t xml:space="preserve">, Melquiades, </w:t>
      </w:r>
      <w:r>
        <w:rPr>
          <w:rFonts w:ascii="Arial Narrow" w:hAnsi="Arial Narrow"/>
          <w:i/>
          <w:sz w:val="18"/>
        </w:rPr>
        <w:t xml:space="preserve">Filosofía del Derecho, </w:t>
      </w:r>
      <w:r>
        <w:rPr>
          <w:rFonts w:ascii="Arial Narrow" w:hAnsi="Arial Narrow"/>
          <w:sz w:val="18"/>
        </w:rPr>
        <w:t>Ediciones Edigraf, pp. 41.</w:t>
      </w:r>
    </w:p>
  </w:footnote>
  <w:footnote w:id="728">
    <w:p w14:paraId="56976441" w14:textId="77777777" w:rsidR="00444BC9" w:rsidRDefault="00444BC9" w:rsidP="0082775B">
      <w:pPr>
        <w:widowControl/>
        <w:spacing w:after="6"/>
        <w:ind w:left="426" w:hanging="284"/>
        <w:jc w:val="both"/>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Alfonso Reyes, "Presentación de Grecia"; en: “</w:t>
      </w:r>
      <w:r>
        <w:rPr>
          <w:rFonts w:ascii="Arial Narrow" w:hAnsi="Arial Narrow"/>
          <w:i/>
          <w:sz w:val="18"/>
        </w:rPr>
        <w:t>La Gaceta”,</w:t>
      </w:r>
      <w:r>
        <w:rPr>
          <w:rFonts w:ascii="Arial Narrow" w:hAnsi="Arial Narrow"/>
          <w:sz w:val="18"/>
        </w:rPr>
        <w:t xml:space="preserve"> Revista del Fondo de Cultura Económica, 1954, pág. 6.</w:t>
      </w:r>
    </w:p>
  </w:footnote>
  <w:footnote w:id="729">
    <w:p w14:paraId="08EDEA1B" w14:textId="77777777" w:rsidR="00444BC9" w:rsidRDefault="00444BC9" w:rsidP="0082775B">
      <w:pPr>
        <w:pStyle w:val="Textonotapie"/>
      </w:pPr>
      <w:r>
        <w:rPr>
          <w:rStyle w:val="Refdenotaalpie"/>
        </w:rPr>
        <w:footnoteRef/>
      </w:r>
      <w:r>
        <w:t xml:space="preserve"> Basadre, Jorge. Historia del Derecho Peruano. Ediciones Studium. Pp. 138.</w:t>
      </w:r>
    </w:p>
  </w:footnote>
  <w:footnote w:id="730">
    <w:p w14:paraId="2A3AD524" w14:textId="77777777" w:rsidR="00444BC9" w:rsidRDefault="00444BC9" w:rsidP="0082775B">
      <w:pPr>
        <w:pStyle w:val="Textonotapie"/>
      </w:pPr>
      <w:r>
        <w:rPr>
          <w:rStyle w:val="Refdenotaalpie"/>
        </w:rPr>
        <w:footnoteRef/>
      </w:r>
      <w:r>
        <w:t xml:space="preserve"> Basadre, Jorge. Historia del Derecho Peruano. Ediciones Studium. Pp. 139.</w:t>
      </w:r>
    </w:p>
  </w:footnote>
  <w:footnote w:id="731">
    <w:p w14:paraId="2E0F9CEC" w14:textId="77777777" w:rsidR="00444BC9" w:rsidRDefault="00444BC9" w:rsidP="0082775B">
      <w:pPr>
        <w:pStyle w:val="Textonotapie"/>
      </w:pPr>
      <w:r>
        <w:rPr>
          <w:rStyle w:val="Refdenotaalpie"/>
        </w:rPr>
        <w:footnoteRef/>
      </w:r>
      <w:r>
        <w:t xml:space="preserve"> Basadre, Jorge. Historia del Derecho Peruano. Ediciones Studium. Pp. 142.</w:t>
      </w:r>
    </w:p>
  </w:footnote>
  <w:footnote w:id="732">
    <w:p w14:paraId="2803D138" w14:textId="77777777" w:rsidR="00444BC9" w:rsidRDefault="00444BC9" w:rsidP="0082775B">
      <w:pPr>
        <w:pStyle w:val="Textonotapie"/>
      </w:pPr>
      <w:r>
        <w:rPr>
          <w:rStyle w:val="Refdenotaalpie"/>
        </w:rPr>
        <w:footnoteRef/>
      </w:r>
      <w:r>
        <w:t xml:space="preserve">  Trazegnies Granda, Fernando de. Introducción a la Filosofía del Derecho y a la teroría general del Derecho. Fondo Editorial de la Pontificia Universidad Católica del Perú. Pp. 79.</w:t>
      </w:r>
    </w:p>
  </w:footnote>
  <w:footnote w:id="733">
    <w:p w14:paraId="357E0FC3"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80.</w:t>
      </w:r>
    </w:p>
  </w:footnote>
  <w:footnote w:id="734">
    <w:p w14:paraId="402F6B14"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79.</w:t>
      </w:r>
    </w:p>
  </w:footnote>
  <w:footnote w:id="735">
    <w:p w14:paraId="762BC3CA"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79.</w:t>
      </w:r>
    </w:p>
  </w:footnote>
  <w:footnote w:id="736">
    <w:p w14:paraId="0803214F"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79 y 80.</w:t>
      </w:r>
    </w:p>
  </w:footnote>
  <w:footnote w:id="737">
    <w:p w14:paraId="7B21902A"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80.</w:t>
      </w:r>
    </w:p>
  </w:footnote>
  <w:footnote w:id="738">
    <w:p w14:paraId="51A48B80"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80.</w:t>
      </w:r>
    </w:p>
  </w:footnote>
  <w:footnote w:id="739">
    <w:p w14:paraId="30888B3D" w14:textId="77777777" w:rsidR="00444BC9" w:rsidRDefault="00444BC9" w:rsidP="0082775B">
      <w:pPr>
        <w:pStyle w:val="Textonotapie"/>
      </w:pPr>
      <w:r>
        <w:rPr>
          <w:rStyle w:val="Refdenotaalpie"/>
        </w:rPr>
        <w:footnoteRef/>
      </w:r>
      <w:r>
        <w:t xml:space="preserve"> Fernando de Trazegnies. Introducción a la Filosofía del Derecho y a la Teoría General del Derecho. Fondo Editorial de la Pontificia Universidad Católica del Perú. pp. 81.</w:t>
      </w:r>
    </w:p>
  </w:footnote>
  <w:footnote w:id="740">
    <w:p w14:paraId="01525F8E" w14:textId="77777777" w:rsidR="00444BC9" w:rsidRDefault="00444BC9" w:rsidP="0082775B">
      <w:pPr>
        <w:pStyle w:val="Textonotapie"/>
      </w:pPr>
      <w:r>
        <w:rPr>
          <w:rStyle w:val="Refdenotaalpie"/>
        </w:rPr>
        <w:footnoteRef/>
      </w:r>
      <w:r>
        <w:t xml:space="preserve"> Diez Picazo, Luis. Experiencias jurídicas y teoría del Derecho. Editorial Ariel. Pp. 208.</w:t>
      </w:r>
    </w:p>
  </w:footnote>
  <w:footnote w:id="741">
    <w:p w14:paraId="50288D7F" w14:textId="77777777" w:rsidR="00444BC9" w:rsidRDefault="00444BC9" w:rsidP="0082775B">
      <w:pPr>
        <w:pStyle w:val="Textonotapie"/>
      </w:pPr>
      <w:r>
        <w:rPr>
          <w:rStyle w:val="Refdenotaalpie"/>
        </w:rPr>
        <w:footnoteRef/>
      </w:r>
      <w:r>
        <w:t xml:space="preserve"> Diez Picazo, Luis. Experiencias jurídicas y teoría del Derecho. Editorial Ariel. Pp. 208.</w:t>
      </w:r>
    </w:p>
  </w:footnote>
  <w:footnote w:id="742">
    <w:p w14:paraId="3EC922D8" w14:textId="77777777" w:rsidR="00444BC9" w:rsidRDefault="00444BC9" w:rsidP="0082775B">
      <w:pPr>
        <w:pStyle w:val="Textonotapie"/>
      </w:pPr>
      <w:r>
        <w:rPr>
          <w:rStyle w:val="Refdenotaalpie"/>
        </w:rPr>
        <w:footnoteRef/>
      </w:r>
      <w:r>
        <w:t xml:space="preserve"> Diez Picazo, Luis. Experiencias jurídicas y teoría del Derecho. Editorial Ariel. Pp. 208.</w:t>
      </w:r>
    </w:p>
  </w:footnote>
  <w:footnote w:id="743">
    <w:p w14:paraId="454A9861" w14:textId="77777777" w:rsidR="00444BC9" w:rsidRDefault="00444BC9" w:rsidP="0082775B">
      <w:pPr>
        <w:pStyle w:val="Textonotapie"/>
      </w:pPr>
      <w:r>
        <w:rPr>
          <w:rStyle w:val="Refdenotaalpie"/>
        </w:rPr>
        <w:footnoteRef/>
      </w:r>
      <w:r>
        <w:t xml:space="preserve"> Diez Picazo, Luis. Experiencias jurídicas y teoría del Derecho. Editorial Ariel. Pp. 209.</w:t>
      </w:r>
    </w:p>
  </w:footnote>
  <w:footnote w:id="744">
    <w:p w14:paraId="59C487E5" w14:textId="77777777" w:rsidR="00444BC9" w:rsidRDefault="00444BC9" w:rsidP="0082775B">
      <w:pPr>
        <w:pStyle w:val="Textonotapie"/>
      </w:pPr>
      <w:r>
        <w:rPr>
          <w:rStyle w:val="Refdenotaalpie"/>
        </w:rPr>
        <w:footnoteRef/>
      </w:r>
      <w:r>
        <w:t xml:space="preserve"> Diez Picazo, Luis. Experiencias jurídicas y teoría del Derecho. Editorial Ariel. Pp. 210.</w:t>
      </w:r>
    </w:p>
  </w:footnote>
  <w:footnote w:id="745">
    <w:p w14:paraId="639E410B" w14:textId="77777777" w:rsidR="00444BC9" w:rsidRDefault="00444BC9" w:rsidP="0082775B">
      <w:pPr>
        <w:pStyle w:val="Textonotapie"/>
      </w:pPr>
      <w:r>
        <w:rPr>
          <w:rStyle w:val="Refdenotaalpie"/>
        </w:rPr>
        <w:footnoteRef/>
      </w:r>
      <w:r>
        <w:t xml:space="preserve"> Diez Picazo, Luis, Experiencias jurídicas y Teoría del Derecho. Editorial Ariel. Pp. 212.</w:t>
      </w:r>
    </w:p>
  </w:footnote>
  <w:footnote w:id="746">
    <w:p w14:paraId="49322F91" w14:textId="77777777" w:rsidR="00444BC9" w:rsidRDefault="00444BC9" w:rsidP="0082775B">
      <w:pPr>
        <w:pStyle w:val="Textonotapie"/>
      </w:pPr>
      <w:r>
        <w:rPr>
          <w:rStyle w:val="Refdenotaalpie"/>
        </w:rPr>
        <w:footnoteRef/>
      </w:r>
      <w:r>
        <w:t xml:space="preserve">  Diez Picazo, Luis, Experiencias jurídicas y Teoría del Derecho. Editorial Ariel. Pp. 208.</w:t>
      </w:r>
    </w:p>
  </w:footnote>
  <w:footnote w:id="747">
    <w:p w14:paraId="2557AF16" w14:textId="77777777" w:rsidR="00444BC9" w:rsidRDefault="00444BC9" w:rsidP="0082775B">
      <w:pPr>
        <w:pStyle w:val="Textonotapie"/>
      </w:pPr>
      <w:r>
        <w:rPr>
          <w:rStyle w:val="Refdenotaalpie"/>
        </w:rPr>
        <w:footnoteRef/>
      </w:r>
      <w:r>
        <w:t xml:space="preserve"> Diez Picazo, Luis, Experiencias jurídicas y Teoría del Derecho. Editorial Ariel. Pp. 214.</w:t>
      </w:r>
    </w:p>
  </w:footnote>
  <w:footnote w:id="748">
    <w:p w14:paraId="2FE49790" w14:textId="77777777" w:rsidR="00444BC9" w:rsidRDefault="00444BC9" w:rsidP="0082775B">
      <w:pPr>
        <w:pStyle w:val="Textonotapie"/>
      </w:pPr>
      <w:r>
        <w:rPr>
          <w:rStyle w:val="Refdenotaalpie"/>
        </w:rPr>
        <w:footnoteRef/>
      </w:r>
      <w:r>
        <w:t xml:space="preserve"> Diez Picazo, Luis, Experiencias jurídicas y Teoría del Derecho. Editorial Ariel. Pp. 214.</w:t>
      </w:r>
    </w:p>
  </w:footnote>
  <w:footnote w:id="749">
    <w:p w14:paraId="6F974E78" w14:textId="77777777" w:rsidR="00444BC9" w:rsidRDefault="00444BC9" w:rsidP="0082775B">
      <w:pPr>
        <w:pStyle w:val="Textonotapie"/>
      </w:pPr>
      <w:r>
        <w:rPr>
          <w:rStyle w:val="Refdenotaalpie"/>
        </w:rPr>
        <w:footnoteRef/>
      </w:r>
      <w:r>
        <w:t xml:space="preserve"> Diez Picazo, Luis, Experiencias jurídicas y Teoría del Derecho. Editorial Ariel. Pp. 216.</w:t>
      </w:r>
    </w:p>
  </w:footnote>
  <w:footnote w:id="750">
    <w:p w14:paraId="1AAA45A9" w14:textId="77777777" w:rsidR="00444BC9" w:rsidRDefault="00444BC9" w:rsidP="0082775B">
      <w:pPr>
        <w:pStyle w:val="Textonotapie"/>
      </w:pPr>
      <w:r>
        <w:rPr>
          <w:rStyle w:val="Refdenotaalpie"/>
        </w:rPr>
        <w:footnoteRef/>
      </w:r>
      <w:r>
        <w:t xml:space="preserve"> Diez Picazo, Luis, Experiencias jurídicas y Teoría del Derecho. Editorial Ariel. Pp. 218.</w:t>
      </w:r>
    </w:p>
  </w:footnote>
  <w:footnote w:id="751">
    <w:p w14:paraId="113F25CF" w14:textId="77777777" w:rsidR="00444BC9" w:rsidRDefault="00444BC9" w:rsidP="0082775B">
      <w:pPr>
        <w:pStyle w:val="Textonotapie"/>
      </w:pPr>
      <w:r>
        <w:rPr>
          <w:rStyle w:val="Refdenotaalpie"/>
        </w:rPr>
        <w:footnoteRef/>
      </w:r>
      <w:r>
        <w:t xml:space="preserve"> Diez Picazo, Luis, Experiencias jurídicas y Teoría del Derecho. Editorial Ariel. Pp. 220.</w:t>
      </w:r>
    </w:p>
  </w:footnote>
  <w:footnote w:id="752">
    <w:p w14:paraId="3E9A3FA1" w14:textId="77777777" w:rsidR="00444BC9" w:rsidRDefault="00444BC9" w:rsidP="0082775B">
      <w:pPr>
        <w:pStyle w:val="Textonotapie"/>
        <w:widowControl/>
        <w:ind w:left="142" w:hanging="142"/>
        <w:jc w:val="both"/>
      </w:pPr>
      <w:r>
        <w:rPr>
          <w:rStyle w:val="Refdenotaalpie"/>
          <w:rFonts w:ascii="Arial Narrow" w:hAnsi="Arial Narrow"/>
          <w:sz w:val="18"/>
        </w:rPr>
        <w:footnoteRef/>
      </w:r>
      <w:r>
        <w:rPr>
          <w:rFonts w:ascii="Arial Narrow" w:hAnsi="Arial Narrow"/>
          <w:sz w:val="18"/>
        </w:rPr>
        <w:t xml:space="preserve">    </w:t>
      </w:r>
    </w:p>
  </w:footnote>
  <w:footnote w:id="753">
    <w:p w14:paraId="3E87DDA1" w14:textId="77777777" w:rsidR="00444BC9" w:rsidRDefault="00444BC9" w:rsidP="0082775B">
      <w:pPr>
        <w:pStyle w:val="Textonotapie"/>
        <w:widowControl/>
        <w:ind w:left="142" w:hanging="142"/>
        <w:jc w:val="both"/>
      </w:pPr>
      <w:r>
        <w:rPr>
          <w:rStyle w:val="Refdenotaalpie"/>
          <w:rFonts w:ascii="Arial Narrow" w:hAnsi="Arial Narrow"/>
          <w:sz w:val="18"/>
        </w:rPr>
        <w:footnoteRef/>
      </w:r>
      <w:r>
        <w:rPr>
          <w:rFonts w:ascii="Arial Narrow" w:hAnsi="Arial Narrow"/>
          <w:sz w:val="18"/>
        </w:rPr>
        <w:t xml:space="preserve"> Escriben Patricia Buñuelos, Pedro Vargas y Nemesio Hernández, Modernidad-posmodernidad, (61).</w:t>
      </w:r>
    </w:p>
  </w:footnote>
  <w:footnote w:id="754">
    <w:p w14:paraId="7D4E30AB" w14:textId="77777777" w:rsidR="00444BC9" w:rsidRDefault="00444BC9" w:rsidP="0082775B">
      <w:pPr>
        <w:pStyle w:val="Textonotapie"/>
      </w:pPr>
      <w:r>
        <w:rPr>
          <w:rStyle w:val="Refdenotaalpie"/>
        </w:rPr>
        <w:footnoteRef/>
      </w:r>
      <w:r>
        <w:t xml:space="preserve"> En Busca del lote propio. Hacia una verdadera política de vivienda en el Perú. pp. 423.</w:t>
      </w:r>
    </w:p>
  </w:footnote>
  <w:footnote w:id="755">
    <w:p w14:paraId="3BADFF64" w14:textId="77777777" w:rsidR="00444BC9" w:rsidRDefault="00444BC9" w:rsidP="0082775B">
      <w:pPr>
        <w:pStyle w:val="Textonotapie"/>
      </w:pPr>
      <w:r>
        <w:rPr>
          <w:rStyle w:val="Refdenotaalpie"/>
        </w:rPr>
        <w:footnoteRef/>
      </w:r>
      <w:r w:rsidRPr="00777E06">
        <w:rPr>
          <w:lang w:val="fr-FR"/>
        </w:rPr>
        <w:t xml:space="preserve"> Moisés Quispe Aucca y Richard Quispe Salazar. </w:t>
      </w:r>
      <w:r>
        <w:t>Teoría General del Derecho Judicial. Pp. 29.</w:t>
      </w:r>
    </w:p>
  </w:footnote>
  <w:footnote w:id="756">
    <w:p w14:paraId="1D2B6F21" w14:textId="77777777" w:rsidR="00444BC9" w:rsidRDefault="00444BC9" w:rsidP="0082775B">
      <w:pPr>
        <w:pStyle w:val="Textonotapie"/>
      </w:pPr>
      <w:r>
        <w:rPr>
          <w:rStyle w:val="Refdenotaalpie"/>
        </w:rPr>
        <w:footnoteRef/>
      </w:r>
      <w:r>
        <w:t xml:space="preserve"> Moisés Quispe Aucca y Richard Quispe Salazar. Teoría General del Derecho Judicial. Pp. 29.</w:t>
      </w:r>
    </w:p>
  </w:footnote>
  <w:footnote w:id="757">
    <w:p w14:paraId="265309A0" w14:textId="77777777" w:rsidR="00444BC9" w:rsidRDefault="00444BC9" w:rsidP="0082775B">
      <w:pPr>
        <w:pStyle w:val="Textonotapie"/>
      </w:pPr>
      <w:r>
        <w:rPr>
          <w:rStyle w:val="Refdenotaalpie"/>
        </w:rPr>
        <w:footnoteRef/>
      </w:r>
      <w:r>
        <w:t xml:space="preserve"> Según el Manual del sistema peruano de justicia. Instituto de Defensa Legal. Pontificia Universidad Católica del Perú. pp. 21. </w:t>
      </w:r>
    </w:p>
  </w:footnote>
  <w:footnote w:id="758">
    <w:p w14:paraId="5AA50149" w14:textId="77777777" w:rsidR="00444BC9" w:rsidRDefault="00444BC9" w:rsidP="0082775B">
      <w:pPr>
        <w:pStyle w:val="Textonotapie"/>
      </w:pPr>
      <w:r>
        <w:rPr>
          <w:rStyle w:val="Refdenotaalpie"/>
        </w:rPr>
        <w:footnoteRef/>
      </w:r>
      <w:r>
        <w:t xml:space="preserve"> Diez Picazo, Luis; Gullón, Antonio. Sistema de Derecho Civil. Vol. I. Editorial Tecnos, Madrid, 1980. Pp. 55.</w:t>
      </w:r>
    </w:p>
  </w:footnote>
  <w:footnote w:id="759">
    <w:p w14:paraId="072F3646" w14:textId="77777777" w:rsidR="00444BC9" w:rsidRDefault="00444BC9" w:rsidP="0082775B">
      <w:pPr>
        <w:spacing w:after="6"/>
        <w:ind w:left="142" w:hanging="142"/>
        <w:jc w:val="both"/>
      </w:pPr>
      <w:r>
        <w:rPr>
          <w:rStyle w:val="Refdenotaalpie"/>
          <w:color w:val="000000"/>
          <w:sz w:val="16"/>
          <w:vertAlign w:val="superscript"/>
        </w:rPr>
        <w:footnoteRef/>
      </w:r>
      <w:r>
        <w:rPr>
          <w:smallCaps/>
          <w:color w:val="000000"/>
          <w:sz w:val="16"/>
        </w:rPr>
        <w:t xml:space="preserve"> </w:t>
      </w:r>
      <w:r>
        <w:rPr>
          <w:color w:val="000000"/>
          <w:sz w:val="16"/>
        </w:rPr>
        <w:t>Stewart Balbuena, Alberto. El Derecho Económico: Derecho de las relaciones económicas (Hacia una concepción jurídica congruente con la concepción económica). pp 87.</w:t>
      </w:r>
    </w:p>
  </w:footnote>
  <w:footnote w:id="760">
    <w:p w14:paraId="3941CC5C" w14:textId="77777777" w:rsidR="00444BC9" w:rsidRDefault="00444BC9" w:rsidP="0082775B">
      <w:pPr>
        <w:spacing w:after="6"/>
        <w:ind w:left="142" w:hanging="142"/>
        <w:jc w:val="both"/>
      </w:pPr>
      <w:r>
        <w:rPr>
          <w:rStyle w:val="Refdenotaalpie"/>
          <w:color w:val="000000"/>
          <w:sz w:val="16"/>
          <w:vertAlign w:val="superscript"/>
        </w:rPr>
        <w:footnoteRef/>
      </w:r>
      <w:r>
        <w:rPr>
          <w:smallCaps/>
          <w:color w:val="000000"/>
          <w:sz w:val="16"/>
        </w:rPr>
        <w:t xml:space="preserve"> </w:t>
      </w:r>
      <w:r>
        <w:rPr>
          <w:color w:val="000000"/>
          <w:sz w:val="16"/>
        </w:rPr>
        <w:t>Stewart Balbuena, Alberto. El Derecho Económico: Derecho de las relaciones económicas (Hacia una concepción jurídica congruente con la concepción económica). pp 88.</w:t>
      </w:r>
    </w:p>
  </w:footnote>
  <w:footnote w:id="761">
    <w:p w14:paraId="2C49B05A" w14:textId="77777777" w:rsidR="00444BC9" w:rsidRDefault="00444BC9" w:rsidP="0082775B">
      <w:pPr>
        <w:spacing w:after="6"/>
        <w:ind w:left="142" w:hanging="142"/>
        <w:jc w:val="both"/>
      </w:pPr>
      <w:r>
        <w:rPr>
          <w:rStyle w:val="Refdenotaalpie"/>
          <w:color w:val="000000"/>
          <w:sz w:val="16"/>
          <w:vertAlign w:val="superscript"/>
        </w:rPr>
        <w:footnoteRef/>
      </w:r>
      <w:r>
        <w:rPr>
          <w:smallCaps/>
          <w:color w:val="000000"/>
          <w:sz w:val="16"/>
        </w:rPr>
        <w:t xml:space="preserve"> </w:t>
      </w:r>
      <w:r>
        <w:rPr>
          <w:color w:val="000000"/>
          <w:sz w:val="16"/>
        </w:rPr>
        <w:t>Montenegro, Walter. Introducción a las doctrinas políticas económicas. Fondo de cultura económica. México-Buenos Aires. Pp. 30.</w:t>
      </w:r>
    </w:p>
  </w:footnote>
  <w:footnote w:id="762">
    <w:p w14:paraId="21FF38C0" w14:textId="77777777" w:rsidR="00444BC9" w:rsidRDefault="00444BC9" w:rsidP="0082775B">
      <w:pPr>
        <w:spacing w:after="6"/>
        <w:ind w:left="142" w:hanging="142"/>
        <w:jc w:val="both"/>
      </w:pPr>
      <w:r>
        <w:rPr>
          <w:rStyle w:val="Refdenotaalpie"/>
          <w:color w:val="000000"/>
          <w:sz w:val="16"/>
          <w:vertAlign w:val="superscript"/>
        </w:rPr>
        <w:footnoteRef/>
      </w:r>
      <w:r>
        <w:rPr>
          <w:smallCaps/>
          <w:color w:val="000000"/>
          <w:sz w:val="16"/>
        </w:rPr>
        <w:t xml:space="preserve"> </w:t>
      </w:r>
      <w:r>
        <w:rPr>
          <w:color w:val="000000"/>
          <w:sz w:val="16"/>
        </w:rPr>
        <w:t>Stewart Balbuena, Alberto. El Derecho Económico: Derecho de las relaciones económicas (Hacia una concepción jurídica congruente con la concepción económica). pp 88.</w:t>
      </w:r>
    </w:p>
  </w:footnote>
  <w:footnote w:id="763">
    <w:p w14:paraId="5730DF3C" w14:textId="77777777" w:rsidR="00444BC9" w:rsidRDefault="00444BC9" w:rsidP="0082775B">
      <w:pPr>
        <w:spacing w:after="6"/>
        <w:ind w:left="142" w:hanging="142"/>
        <w:jc w:val="both"/>
      </w:pPr>
      <w:r>
        <w:rPr>
          <w:rStyle w:val="Refdenotaalpie"/>
          <w:color w:val="000000"/>
          <w:sz w:val="16"/>
          <w:vertAlign w:val="superscript"/>
        </w:rPr>
        <w:footnoteRef/>
      </w:r>
      <w:r>
        <w:rPr>
          <w:smallCaps/>
          <w:color w:val="000000"/>
          <w:sz w:val="16"/>
        </w:rPr>
        <w:t xml:space="preserve"> </w:t>
      </w:r>
      <w:r>
        <w:rPr>
          <w:color w:val="000000"/>
          <w:sz w:val="16"/>
        </w:rPr>
        <w:t>Stewart Balbuena, Alberto. El Derecho Económico: Derecho de las relaciones económicas (Hacia una concepción jurídica congruente con la concepción económica). pp 89.</w:t>
      </w:r>
    </w:p>
  </w:footnote>
  <w:footnote w:id="764">
    <w:p w14:paraId="08F0F790" w14:textId="77777777" w:rsidR="00444BC9" w:rsidRDefault="00444BC9" w:rsidP="0082775B">
      <w:pPr>
        <w:pStyle w:val="Textonotapie"/>
      </w:pPr>
      <w:r>
        <w:rPr>
          <w:rStyle w:val="Refdenotaalpie"/>
          <w:color w:val="000000"/>
        </w:rPr>
        <w:footnoteRef/>
      </w:r>
      <w:r>
        <w:rPr>
          <w:color w:val="000000"/>
        </w:rPr>
        <w:t xml:space="preserve"> Carnelutti, Francesco. Cómo nace el Derecho. Editorial Themis. Colombia. 2000. Pp. 11. </w:t>
      </w:r>
    </w:p>
  </w:footnote>
  <w:footnote w:id="765">
    <w:p w14:paraId="1F55FEF8" w14:textId="77777777" w:rsidR="00444BC9" w:rsidRDefault="00444BC9" w:rsidP="0082775B">
      <w:pPr>
        <w:pStyle w:val="Textonotapie"/>
      </w:pPr>
      <w:r>
        <w:rPr>
          <w:rStyle w:val="Refdenotaalpie"/>
          <w:color w:val="000000"/>
        </w:rPr>
        <w:footnoteRef/>
      </w:r>
      <w:r>
        <w:rPr>
          <w:color w:val="000000"/>
        </w:rPr>
        <w:t xml:space="preserve"> Carnelutti, Francesco. Cómo nace el Derecho. Editorial Themis. Colombia. 2000. Pp. 9.</w:t>
      </w:r>
    </w:p>
  </w:footnote>
  <w:footnote w:id="766">
    <w:p w14:paraId="412337A7" w14:textId="77777777" w:rsidR="00444BC9" w:rsidRDefault="00444BC9" w:rsidP="0082775B">
      <w:pPr>
        <w:pStyle w:val="Textonotapie"/>
      </w:pPr>
      <w:r>
        <w:rPr>
          <w:rStyle w:val="Refdenotaalpie"/>
          <w:color w:val="000000"/>
        </w:rPr>
        <w:footnoteRef/>
      </w:r>
      <w:r>
        <w:rPr>
          <w:color w:val="000000"/>
        </w:rPr>
        <w:t xml:space="preserve"> Y a veces “se hace el loco”, porque no ve nada, ni aquello que debiera ver. Recordemos que la Justicia está vendada no porque sea ciega, sino porque necesita ser imparcial -como lo explicaba Juan Monroy Gálvez-. </w:t>
      </w:r>
    </w:p>
  </w:footnote>
  <w:footnote w:id="767">
    <w:p w14:paraId="7F1AC70C" w14:textId="77777777" w:rsidR="00444BC9" w:rsidRDefault="00444BC9" w:rsidP="0082775B">
      <w:pPr>
        <w:pStyle w:val="Textonotapie"/>
      </w:pPr>
      <w:r>
        <w:rPr>
          <w:rStyle w:val="Refdenotaalpie"/>
          <w:color w:val="000000"/>
        </w:rPr>
        <w:footnoteRef/>
      </w:r>
      <w:r>
        <w:rPr>
          <w:color w:val="000000"/>
        </w:rPr>
        <w:t xml:space="preserve"> Principios de Microeconomía. </w:t>
      </w:r>
      <w:r w:rsidRPr="00AC54AC">
        <w:rPr>
          <w:color w:val="000000"/>
        </w:rPr>
        <w:t xml:space="preserve">N. Gregory Mankiw. </w:t>
      </w:r>
      <w:r>
        <w:rPr>
          <w:color w:val="000000"/>
        </w:rPr>
        <w:t>Harvard University. Traducción. Esther Rabasco espariz, Luis Toharia Cortés. Editorial McGraw-Hill / Interamericana de España, S.A.U. pp. 4.</w:t>
      </w:r>
    </w:p>
  </w:footnote>
  <w:footnote w:id="768">
    <w:p w14:paraId="63FC8F29" w14:textId="77777777" w:rsidR="00444BC9" w:rsidRDefault="00444BC9" w:rsidP="0082775B">
      <w:pPr>
        <w:pStyle w:val="Textonotapie"/>
      </w:pPr>
      <w:r>
        <w:rPr>
          <w:rStyle w:val="Refdenotaalpie"/>
        </w:rPr>
        <w:footnoteRef/>
      </w:r>
      <w:r>
        <w:rPr>
          <w:sz w:val="16"/>
        </w:rPr>
        <w:t xml:space="preserve"> Lastra Lastra, José Manuel. Fundamentos de Derecho. </w:t>
      </w:r>
      <w:r>
        <w:rPr>
          <w:sz w:val="16"/>
          <w:lang w:val="en-US"/>
        </w:rPr>
        <w:t>Editorial McGRAW-HILL pp. 139.</w:t>
      </w:r>
    </w:p>
  </w:footnote>
  <w:footnote w:id="769">
    <w:p w14:paraId="41531F34"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209.</w:t>
      </w:r>
    </w:p>
  </w:footnote>
  <w:footnote w:id="770">
    <w:p w14:paraId="2CE0F3DF"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209.</w:t>
      </w:r>
    </w:p>
  </w:footnote>
  <w:footnote w:id="771">
    <w:p w14:paraId="4CF86DA7"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209.</w:t>
      </w:r>
    </w:p>
  </w:footnote>
  <w:footnote w:id="772">
    <w:p w14:paraId="71938FFC"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209,210.</w:t>
      </w:r>
    </w:p>
  </w:footnote>
  <w:footnote w:id="773">
    <w:p w14:paraId="45079B1A"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210.</w:t>
      </w:r>
    </w:p>
  </w:footnote>
  <w:footnote w:id="774">
    <w:p w14:paraId="4FD6054B"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210.</w:t>
      </w:r>
    </w:p>
  </w:footnote>
  <w:footnote w:id="775">
    <w:p w14:paraId="6095E7B5"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54.</w:t>
      </w:r>
    </w:p>
  </w:footnote>
  <w:footnote w:id="776">
    <w:p w14:paraId="71E7064F"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54.</w:t>
      </w:r>
    </w:p>
  </w:footnote>
  <w:footnote w:id="777">
    <w:p w14:paraId="46E9F2B2"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54.</w:t>
      </w:r>
    </w:p>
  </w:footnote>
  <w:footnote w:id="778">
    <w:p w14:paraId="18106305"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 xml:space="preserve">schopenhauer, Arturo. </w:t>
      </w:r>
      <w:r>
        <w:rPr>
          <w:rFonts w:ascii="Arial Narrow" w:hAnsi="Arial Narrow"/>
          <w:i/>
          <w:smallCaps/>
          <w:sz w:val="16"/>
        </w:rPr>
        <w:t>S</w:t>
      </w:r>
      <w:r>
        <w:rPr>
          <w:rFonts w:ascii="Arial Narrow" w:hAnsi="Arial Narrow"/>
          <w:i/>
          <w:sz w:val="16"/>
        </w:rPr>
        <w:t>chopenhauer en sus Páginas.</w:t>
      </w:r>
      <w:r>
        <w:rPr>
          <w:rFonts w:ascii="Arial Narrow" w:hAnsi="Arial Narrow"/>
          <w:sz w:val="16"/>
        </w:rPr>
        <w:t xml:space="preserve"> Editorial Fondo de Cultura Económica de México. pp. 210.</w:t>
      </w:r>
    </w:p>
  </w:footnote>
  <w:footnote w:id="779">
    <w:p w14:paraId="6B0CF806" w14:textId="77777777" w:rsidR="00444BC9" w:rsidRPr="0068766B" w:rsidRDefault="00444BC9" w:rsidP="0082775B">
      <w:pPr>
        <w:pStyle w:val="Textonotapie"/>
      </w:pPr>
      <w:r>
        <w:rPr>
          <w:rStyle w:val="Refdenotaalpie"/>
          <w:sz w:val="16"/>
        </w:rPr>
        <w:footnoteRef/>
      </w:r>
      <w:r>
        <w:rPr>
          <w:sz w:val="16"/>
        </w:rPr>
        <w:t xml:space="preserve"> Savater, Fernando. Política para Amador. Editorial Ariel. Pp. 22.</w:t>
      </w:r>
    </w:p>
  </w:footnote>
  <w:footnote w:id="780">
    <w:p w14:paraId="6B94001A" w14:textId="77777777" w:rsidR="00444BC9" w:rsidRPr="0068766B" w:rsidRDefault="00444BC9" w:rsidP="0082775B">
      <w:pPr>
        <w:pStyle w:val="Textonotapie"/>
      </w:pPr>
      <w:r>
        <w:rPr>
          <w:rStyle w:val="Refdenotaalpie"/>
          <w:sz w:val="16"/>
        </w:rPr>
        <w:footnoteRef/>
      </w:r>
      <w:r>
        <w:rPr>
          <w:sz w:val="16"/>
        </w:rPr>
        <w:t xml:space="preserve"> Savater, Fernando. Política para Amador. Editorial Ariel. Pp. 23.</w:t>
      </w:r>
    </w:p>
  </w:footnote>
  <w:footnote w:id="781">
    <w:p w14:paraId="27D4E473" w14:textId="77777777" w:rsidR="00444BC9" w:rsidRPr="0068766B" w:rsidRDefault="00444BC9" w:rsidP="0082775B">
      <w:pPr>
        <w:pStyle w:val="Textonotapie"/>
        <w:ind w:left="142" w:hanging="142"/>
        <w:jc w:val="both"/>
      </w:pPr>
      <w:r>
        <w:rPr>
          <w:rStyle w:val="Refdenotaalpie"/>
          <w:rFonts w:ascii="Arial Narrow" w:hAnsi="Arial Narrow"/>
          <w:sz w:val="16"/>
        </w:rPr>
        <w:footnoteRef/>
      </w:r>
      <w:r>
        <w:rPr>
          <w:rFonts w:ascii="Arial Narrow" w:hAnsi="Arial Narrow"/>
          <w:sz w:val="16"/>
        </w:rPr>
        <w:t xml:space="preserve">  </w:t>
      </w:r>
      <w:r>
        <w:rPr>
          <w:rFonts w:ascii="Arial Narrow" w:hAnsi="Arial Narrow"/>
          <w:caps/>
          <w:sz w:val="16"/>
        </w:rPr>
        <w:t>Giddens</w:t>
      </w:r>
      <w:r>
        <w:rPr>
          <w:rFonts w:ascii="Arial Narrow" w:hAnsi="Arial Narrow"/>
          <w:sz w:val="16"/>
        </w:rPr>
        <w:t xml:space="preserve">, A. </w:t>
      </w:r>
      <w:r>
        <w:rPr>
          <w:rFonts w:ascii="Arial Narrow" w:hAnsi="Arial Narrow"/>
          <w:i/>
          <w:sz w:val="16"/>
        </w:rPr>
        <w:t xml:space="preserve">Sociología Política, </w:t>
      </w:r>
      <w:r>
        <w:rPr>
          <w:rFonts w:ascii="Arial Narrow" w:hAnsi="Arial Narrow"/>
          <w:sz w:val="16"/>
        </w:rPr>
        <w:t>Madrid,  Alianza Editorial,  1992, pp. 331.</w:t>
      </w:r>
    </w:p>
  </w:footnote>
  <w:footnote w:id="782">
    <w:p w14:paraId="2D4CE51F" w14:textId="77777777" w:rsidR="00444BC9" w:rsidRDefault="00444BC9" w:rsidP="0082775B">
      <w:pPr>
        <w:pStyle w:val="Textonotapie"/>
        <w:ind w:left="142" w:hanging="142"/>
        <w:jc w:val="both"/>
        <w:rPr>
          <w:rFonts w:ascii="Arial Narrow" w:hAnsi="Arial Narrow"/>
          <w:sz w:val="16"/>
        </w:rPr>
      </w:pPr>
      <w:r>
        <w:rPr>
          <w:rStyle w:val="Refdenotaalpie"/>
          <w:rFonts w:ascii="Arial Narrow" w:hAnsi="Arial Narrow"/>
          <w:sz w:val="16"/>
        </w:rPr>
        <w:footnoteRef/>
      </w:r>
      <w:r>
        <w:rPr>
          <w:rFonts w:ascii="Arial Narrow" w:hAnsi="Arial Narrow"/>
          <w:sz w:val="16"/>
        </w:rPr>
        <w:t xml:space="preserve">   Bobbio, Norberto, </w:t>
      </w:r>
      <w:r>
        <w:rPr>
          <w:rFonts w:ascii="Arial Narrow" w:hAnsi="Arial Narrow"/>
          <w:i/>
          <w:sz w:val="16"/>
        </w:rPr>
        <w:t>Teoría general del Derecho,</w:t>
      </w:r>
      <w:r>
        <w:rPr>
          <w:rFonts w:ascii="Arial Narrow" w:hAnsi="Arial Narrow"/>
          <w:sz w:val="16"/>
        </w:rPr>
        <w:t xml:space="preserve"> Editorial Temis, pp. 9</w:t>
      </w:r>
    </w:p>
    <w:p w14:paraId="33EE9297" w14:textId="77777777" w:rsidR="00444BC9" w:rsidRDefault="00444BC9" w:rsidP="0082775B">
      <w:pPr>
        <w:pStyle w:val="Textonotapie"/>
        <w:ind w:left="142" w:hanging="142"/>
        <w:jc w:val="both"/>
        <w:rPr>
          <w:rFonts w:ascii="Arial Narrow" w:hAnsi="Arial Narrow"/>
          <w:sz w:val="16"/>
        </w:rPr>
      </w:pPr>
    </w:p>
    <w:p w14:paraId="627A83CB" w14:textId="77777777" w:rsidR="00444BC9" w:rsidRDefault="00444BC9" w:rsidP="0082775B">
      <w:pPr>
        <w:pStyle w:val="Textonotapie"/>
        <w:ind w:left="142" w:hanging="142"/>
        <w:jc w:val="both"/>
        <w:rPr>
          <w:rFonts w:ascii="Arial Narrow" w:hAnsi="Arial Narrow"/>
          <w:sz w:val="16"/>
        </w:rPr>
      </w:pPr>
    </w:p>
    <w:p w14:paraId="111EF3E4" w14:textId="77777777" w:rsidR="00444BC9" w:rsidRDefault="00444BC9" w:rsidP="0082775B">
      <w:pPr>
        <w:pStyle w:val="Textonotapie"/>
        <w:ind w:left="142" w:hanging="142"/>
        <w:jc w:val="both"/>
        <w:rPr>
          <w:rFonts w:ascii="Arial Narrow" w:hAnsi="Arial Narrow"/>
          <w:sz w:val="16"/>
        </w:rPr>
      </w:pPr>
    </w:p>
    <w:p w14:paraId="6B7F2FF1" w14:textId="77777777" w:rsidR="00444BC9" w:rsidRDefault="00444BC9" w:rsidP="0082775B">
      <w:pPr>
        <w:pStyle w:val="Textonotapie"/>
        <w:ind w:left="142" w:hanging="142"/>
        <w:jc w:val="both"/>
        <w:rPr>
          <w:rFonts w:ascii="Arial Narrow" w:hAnsi="Arial Narrow"/>
          <w:sz w:val="16"/>
        </w:rPr>
      </w:pPr>
    </w:p>
    <w:p w14:paraId="095F20A6" w14:textId="77777777" w:rsidR="00444BC9" w:rsidRDefault="00444BC9" w:rsidP="0082775B">
      <w:pPr>
        <w:pStyle w:val="Textonotapie"/>
        <w:ind w:left="142" w:hanging="142"/>
        <w:jc w:val="both"/>
        <w:rPr>
          <w:rFonts w:ascii="Arial Narrow" w:hAnsi="Arial Narrow"/>
          <w:sz w:val="16"/>
        </w:rPr>
      </w:pPr>
    </w:p>
    <w:p w14:paraId="21742998" w14:textId="77777777" w:rsidR="00444BC9" w:rsidRDefault="00444BC9" w:rsidP="0082775B">
      <w:pPr>
        <w:pStyle w:val="Textonotapie"/>
        <w:ind w:left="142" w:hanging="142"/>
        <w:jc w:val="both"/>
        <w:rPr>
          <w:rFonts w:ascii="Arial Narrow" w:hAnsi="Arial Narrow"/>
          <w:sz w:val="16"/>
        </w:rPr>
      </w:pPr>
    </w:p>
    <w:p w14:paraId="006C62EC" w14:textId="77777777" w:rsidR="00444BC9" w:rsidRPr="0068766B" w:rsidRDefault="00444BC9" w:rsidP="0082775B">
      <w:pPr>
        <w:pStyle w:val="Textonotapie"/>
        <w:ind w:left="142" w:hanging="142"/>
        <w:jc w:val="both"/>
      </w:pPr>
    </w:p>
  </w:footnote>
  <w:footnote w:id="783">
    <w:p w14:paraId="47B36DD0" w14:textId="77777777" w:rsidR="00444BC9" w:rsidRDefault="00444BC9" w:rsidP="0082775B">
      <w:pPr>
        <w:pStyle w:val="Textonotapie"/>
        <w:rPr>
          <w:sz w:val="18"/>
        </w:rPr>
      </w:pPr>
      <w:r>
        <w:rPr>
          <w:rStyle w:val="Refdenotaalpie"/>
          <w:sz w:val="18"/>
        </w:rPr>
        <w:footnoteRef/>
      </w:r>
      <w:r>
        <w:rPr>
          <w:sz w:val="18"/>
        </w:rPr>
        <w:t xml:space="preserve"> Los métodos son formas o técnicas debidamente estructuradas que sirven como instrumentos para llegar a un fin.</w:t>
      </w:r>
    </w:p>
  </w:footnote>
  <w:footnote w:id="784">
    <w:p w14:paraId="4988AAD7" w14:textId="77777777" w:rsidR="00444BC9" w:rsidRDefault="00444BC9" w:rsidP="0082775B">
      <w:pPr>
        <w:pStyle w:val="Textonotapie"/>
        <w:rPr>
          <w:sz w:val="18"/>
        </w:rPr>
      </w:pPr>
      <w:r>
        <w:rPr>
          <w:rStyle w:val="Refdenotaalpie"/>
          <w:sz w:val="18"/>
        </w:rPr>
        <w:footnoteRef/>
      </w:r>
      <w:r>
        <w:rPr>
          <w:sz w:val="18"/>
        </w:rPr>
        <w:t xml:space="preserve"> Carnelutti, Francesco. Sistema de Derecho Procesal Civil. Pág. 11.</w:t>
      </w:r>
    </w:p>
  </w:footnote>
  <w:footnote w:id="785">
    <w:p w14:paraId="1B0ED1A0" w14:textId="77777777" w:rsidR="00444BC9" w:rsidRDefault="00444BC9" w:rsidP="0082775B">
      <w:pPr>
        <w:pStyle w:val="Textonotapie"/>
        <w:rPr>
          <w:sz w:val="18"/>
        </w:rPr>
      </w:pPr>
      <w:r>
        <w:rPr>
          <w:rStyle w:val="Refdenotaalpie"/>
          <w:sz w:val="18"/>
        </w:rPr>
        <w:footnoteRef/>
      </w:r>
      <w:r>
        <w:rPr>
          <w:sz w:val="18"/>
        </w:rPr>
        <w:t xml:space="preserve"> Este es un concepto dado en el curso del Dr. Jiménez.</w:t>
      </w:r>
    </w:p>
  </w:footnote>
  <w:footnote w:id="786">
    <w:p w14:paraId="228CA099" w14:textId="77777777" w:rsidR="00444BC9" w:rsidRDefault="00444BC9" w:rsidP="0082775B">
      <w:pPr>
        <w:pStyle w:val="Textonotapie"/>
        <w:rPr>
          <w:sz w:val="18"/>
        </w:rPr>
      </w:pPr>
      <w:r>
        <w:rPr>
          <w:rStyle w:val="Refdenotaalpie"/>
          <w:sz w:val="18"/>
        </w:rPr>
        <w:footnoteRef/>
      </w:r>
      <w:r>
        <w:rPr>
          <w:sz w:val="18"/>
        </w:rPr>
        <w:t xml:space="preserve"> </w:t>
      </w:r>
      <w:r>
        <w:rPr>
          <w:rFonts w:ascii="AmeriGarmnd BT" w:hAnsi="AmeriGarmnd BT"/>
          <w:b/>
          <w:sz w:val="18"/>
        </w:rPr>
        <w:t>Martinez 6</w:t>
      </w:r>
    </w:p>
  </w:footnote>
  <w:footnote w:id="787">
    <w:p w14:paraId="07F9CD46" w14:textId="77777777" w:rsidR="00444BC9" w:rsidRDefault="00444BC9" w:rsidP="0082775B">
      <w:pPr>
        <w:pStyle w:val="Textonotapie"/>
        <w:rPr>
          <w:sz w:val="18"/>
        </w:rPr>
      </w:pPr>
      <w:r>
        <w:rPr>
          <w:rStyle w:val="Refdenotaalpie"/>
          <w:sz w:val="18"/>
        </w:rPr>
        <w:footnoteRef/>
      </w:r>
      <w:r>
        <w:rPr>
          <w:sz w:val="18"/>
        </w:rPr>
        <w:t xml:space="preserve">  Martínez 6</w:t>
      </w:r>
    </w:p>
  </w:footnote>
  <w:footnote w:id="788">
    <w:p w14:paraId="1544B90B" w14:textId="77777777" w:rsidR="00444BC9" w:rsidRDefault="00444BC9" w:rsidP="0082775B">
      <w:pPr>
        <w:pStyle w:val="Textonotapie"/>
        <w:rPr>
          <w:sz w:val="18"/>
        </w:rPr>
      </w:pPr>
      <w:r>
        <w:rPr>
          <w:rStyle w:val="Refdenotaalpie"/>
          <w:sz w:val="18"/>
        </w:rPr>
        <w:footnoteRef/>
      </w:r>
      <w:r>
        <w:rPr>
          <w:sz w:val="18"/>
        </w:rPr>
        <w:t xml:space="preserve"> Savater 15</w:t>
      </w:r>
    </w:p>
  </w:footnote>
  <w:footnote w:id="789">
    <w:p w14:paraId="087BA0D5" w14:textId="77777777" w:rsidR="00444BC9" w:rsidRDefault="00444BC9" w:rsidP="0082775B">
      <w:pPr>
        <w:pStyle w:val="Textonotapie"/>
        <w:rPr>
          <w:sz w:val="18"/>
        </w:rPr>
      </w:pPr>
      <w:r>
        <w:rPr>
          <w:rStyle w:val="Refdenotaalpie"/>
          <w:sz w:val="18"/>
        </w:rPr>
        <w:footnoteRef/>
      </w:r>
      <w:r>
        <w:rPr>
          <w:sz w:val="18"/>
        </w:rPr>
        <w:t xml:space="preserve"> Ciriaco 15</w:t>
      </w:r>
    </w:p>
  </w:footnote>
  <w:footnote w:id="790">
    <w:p w14:paraId="09D5C9F3" w14:textId="77777777" w:rsidR="00444BC9" w:rsidRDefault="00444BC9" w:rsidP="0082775B">
      <w:pPr>
        <w:pStyle w:val="Textonotapie"/>
        <w:ind w:left="142" w:hanging="142"/>
        <w:jc w:val="both"/>
      </w:pPr>
      <w:r>
        <w:rPr>
          <w:rStyle w:val="Refdenotaalpie"/>
          <w:rFonts w:ascii="Garamond" w:hAnsi="Garamond"/>
          <w:sz w:val="16"/>
        </w:rPr>
        <w:footnoteRef/>
      </w:r>
      <w:r>
        <w:rPr>
          <w:rFonts w:ascii="Garamond" w:hAnsi="Garamond"/>
          <w:sz w:val="16"/>
          <w:vertAlign w:val="superscript"/>
        </w:rPr>
        <w:t xml:space="preserve"> </w:t>
      </w:r>
      <w:r>
        <w:rPr>
          <w:rFonts w:ascii="Garamond" w:hAnsi="Garamond"/>
          <w:sz w:val="16"/>
        </w:rPr>
        <w:t xml:space="preserve"> </w:t>
      </w:r>
      <w:r>
        <w:rPr>
          <w:rFonts w:ascii="Garamond" w:hAnsi="Garamond"/>
          <w:smallCaps/>
          <w:sz w:val="16"/>
        </w:rPr>
        <w:t>Diez Picazo</w:t>
      </w:r>
      <w:r>
        <w:rPr>
          <w:rFonts w:ascii="Garamond" w:hAnsi="Garamond"/>
          <w:sz w:val="16"/>
        </w:rPr>
        <w:t xml:space="preserve"> Luis, y </w:t>
      </w:r>
      <w:r>
        <w:rPr>
          <w:rFonts w:ascii="Garamond" w:hAnsi="Garamond"/>
          <w:smallCaps/>
          <w:sz w:val="16"/>
        </w:rPr>
        <w:t>Gullon</w:t>
      </w:r>
      <w:r>
        <w:rPr>
          <w:rFonts w:ascii="Garamond" w:hAnsi="Garamond"/>
          <w:sz w:val="16"/>
        </w:rPr>
        <w:t>, Antonio. Sistema de Derecho Civil. Vol. I. Editorial Tecnos, Madrid, 1980. Pp. 55.</w:t>
      </w:r>
    </w:p>
  </w:footnote>
  <w:footnote w:id="791">
    <w:p w14:paraId="69B11617" w14:textId="77777777" w:rsidR="00444BC9" w:rsidRDefault="00444BC9" w:rsidP="0082775B">
      <w:pPr>
        <w:spacing w:after="6"/>
        <w:ind w:left="284" w:hanging="284"/>
        <w:jc w:val="both"/>
        <w:rPr>
          <w:vertAlign w:val="superscript"/>
        </w:rPr>
      </w:pPr>
      <w:r>
        <w:rPr>
          <w:rStyle w:val="Refdenotaalpie"/>
          <w:rFonts w:ascii="Arial Narrow" w:hAnsi="Arial Narrow"/>
        </w:rPr>
        <w:footnoteRef/>
      </w:r>
      <w:r>
        <w:rPr>
          <w:vertAlign w:val="superscript"/>
        </w:rPr>
        <w:t xml:space="preserve"> Escriben LUIS DIEZ PICAZO Y ANTONIO GULLON. El Derecho civil. pp. 46.</w:t>
      </w:r>
    </w:p>
  </w:footnote>
  <w:footnote w:id="792">
    <w:p w14:paraId="49A94DA4" w14:textId="77777777" w:rsidR="00444BC9" w:rsidRPr="0050170E" w:rsidRDefault="00444BC9" w:rsidP="0082775B">
      <w:pPr>
        <w:pStyle w:val="Textonotapie"/>
        <w:jc w:val="both"/>
        <w:rPr>
          <w:i/>
        </w:rPr>
      </w:pPr>
      <w:r>
        <w:rPr>
          <w:rStyle w:val="Refdenotaalpie"/>
        </w:rPr>
        <w:footnoteRef/>
      </w:r>
      <w:r>
        <w:t xml:space="preserve"> Escribe De Francisci  recogiendo la idea de Ehrlich. / Luis Diez Picazo y Antonio Gullón escriben que fue Ehrlich quien encuentra “la más antigua definición y sentido genuino y originario de la expresión Derecho civil en dos textos de Pomponio: ‘</w:t>
      </w:r>
      <w:r w:rsidRPr="0050170E">
        <w:rPr>
          <w:i/>
        </w:rPr>
        <w:t xml:space="preserve">Quod sine scripto in sola prudentium interpretatione consistit’; haec disputatio et oc ius quod sine scripto venit compositum a prudentibus’. </w:t>
      </w:r>
    </w:p>
  </w:footnote>
  <w:footnote w:id="793">
    <w:p w14:paraId="7F146BE2" w14:textId="77777777" w:rsidR="00444BC9" w:rsidRDefault="00444BC9" w:rsidP="0082775B">
      <w:pPr>
        <w:pStyle w:val="Textonotapie"/>
        <w:ind w:left="142" w:hanging="142"/>
        <w:jc w:val="both"/>
      </w:pPr>
      <w:r>
        <w:rPr>
          <w:rStyle w:val="Refdenotaalpie"/>
          <w:rFonts w:ascii="Garamond" w:hAnsi="Garamond"/>
          <w:sz w:val="16"/>
        </w:rPr>
        <w:footnoteRef/>
      </w:r>
      <w:r>
        <w:rPr>
          <w:rFonts w:ascii="Garamond" w:hAnsi="Garamond"/>
          <w:sz w:val="16"/>
          <w:vertAlign w:val="superscript"/>
        </w:rPr>
        <w:t xml:space="preserve"> </w:t>
      </w:r>
      <w:r>
        <w:rPr>
          <w:rFonts w:ascii="Garamond" w:hAnsi="Garamond"/>
          <w:smallCaps/>
          <w:sz w:val="16"/>
        </w:rPr>
        <w:t>Diez Picazo</w:t>
      </w:r>
      <w:r>
        <w:rPr>
          <w:rFonts w:ascii="Garamond" w:hAnsi="Garamond"/>
          <w:sz w:val="16"/>
        </w:rPr>
        <w:t xml:space="preserve"> Luis, y </w:t>
      </w:r>
      <w:r>
        <w:rPr>
          <w:rFonts w:ascii="Garamond" w:hAnsi="Garamond"/>
          <w:smallCaps/>
          <w:sz w:val="16"/>
        </w:rPr>
        <w:t>Gullon</w:t>
      </w:r>
      <w:r>
        <w:rPr>
          <w:rFonts w:ascii="Garamond" w:hAnsi="Garamond"/>
          <w:sz w:val="16"/>
        </w:rPr>
        <w:t>, Antonio. Sistema de Derecho Civil. Vol. I. Editorial Tecnos, Madrid, 1980. Pp. 55.</w:t>
      </w:r>
    </w:p>
  </w:footnote>
  <w:footnote w:id="794">
    <w:p w14:paraId="4D7BBF1A" w14:textId="77777777" w:rsidR="00444BC9" w:rsidRDefault="00444BC9" w:rsidP="0082775B">
      <w:pPr>
        <w:pStyle w:val="Textonotapie"/>
        <w:jc w:val="both"/>
      </w:pPr>
      <w:r>
        <w:rPr>
          <w:rStyle w:val="Refdenotaalpie"/>
          <w:rFonts w:ascii="Garamond" w:hAnsi="Garamond"/>
          <w:sz w:val="16"/>
        </w:rPr>
        <w:footnoteRef/>
      </w:r>
      <w:r>
        <w:rPr>
          <w:rFonts w:ascii="Garamond" w:hAnsi="Garamond"/>
          <w:sz w:val="16"/>
        </w:rPr>
        <w:t xml:space="preserve"> </w:t>
      </w:r>
      <w:r>
        <w:rPr>
          <w:rFonts w:ascii="Garamond" w:hAnsi="Garamond"/>
          <w:smallCaps/>
          <w:sz w:val="16"/>
        </w:rPr>
        <w:t>Fernandez Sessarego</w:t>
      </w:r>
      <w:r>
        <w:rPr>
          <w:rFonts w:ascii="Garamond" w:hAnsi="Garamond"/>
          <w:sz w:val="16"/>
        </w:rPr>
        <w:t>, Carlos. Derecho y Persona. Grijley. Tercera edición, 1998. Lima. Pág. 36.</w:t>
      </w:r>
    </w:p>
  </w:footnote>
  <w:footnote w:id="795">
    <w:p w14:paraId="1F5F27FB" w14:textId="77777777" w:rsidR="00444BC9" w:rsidRDefault="00444BC9" w:rsidP="0082775B">
      <w:pPr>
        <w:pStyle w:val="Textonotapie"/>
        <w:jc w:val="both"/>
      </w:pPr>
      <w:r>
        <w:rPr>
          <w:rStyle w:val="Refdenotaalpie"/>
          <w:rFonts w:ascii="Garamond" w:hAnsi="Garamond"/>
          <w:sz w:val="16"/>
        </w:rPr>
        <w:footnoteRef/>
      </w:r>
      <w:r>
        <w:rPr>
          <w:rFonts w:ascii="Garamond" w:hAnsi="Garamond"/>
          <w:sz w:val="16"/>
        </w:rPr>
        <w:t xml:space="preserve"> </w:t>
      </w:r>
      <w:r>
        <w:rPr>
          <w:rFonts w:ascii="Garamond" w:hAnsi="Garamond"/>
          <w:smallCaps/>
          <w:sz w:val="16"/>
        </w:rPr>
        <w:t>Bullard,</w:t>
      </w:r>
      <w:r>
        <w:rPr>
          <w:rFonts w:ascii="Garamond" w:hAnsi="Garamond"/>
          <w:sz w:val="16"/>
        </w:rPr>
        <w:t xml:space="preserve"> Alfredo. La relación jurídica patrimonial. Lluvia editores. 1990. Lima. Pág. 141.</w:t>
      </w:r>
    </w:p>
  </w:footnote>
  <w:footnote w:id="796">
    <w:p w14:paraId="208D925D" w14:textId="77777777" w:rsidR="00444BC9" w:rsidRDefault="00444BC9" w:rsidP="0082775B">
      <w:pPr>
        <w:pStyle w:val="Textonotapie"/>
        <w:ind w:left="142" w:hanging="142"/>
        <w:jc w:val="both"/>
      </w:pPr>
      <w:r>
        <w:rPr>
          <w:rStyle w:val="Refdenotaalpie"/>
          <w:rFonts w:ascii="Garamond" w:hAnsi="Garamond"/>
          <w:sz w:val="16"/>
        </w:rPr>
        <w:footnoteRef/>
      </w:r>
      <w:r>
        <w:rPr>
          <w:rFonts w:ascii="Garamond" w:hAnsi="Garamond"/>
          <w:sz w:val="16"/>
        </w:rPr>
        <w:t xml:space="preserve"> </w:t>
      </w:r>
      <w:r>
        <w:rPr>
          <w:rFonts w:ascii="Garamond" w:hAnsi="Garamond"/>
          <w:smallCaps/>
          <w:sz w:val="16"/>
        </w:rPr>
        <w:t>Deleuze</w:t>
      </w:r>
      <w:r>
        <w:rPr>
          <w:rFonts w:ascii="Garamond" w:hAnsi="Garamond"/>
          <w:sz w:val="16"/>
        </w:rPr>
        <w:t xml:space="preserve">, Gilles. Nietzsche y la Filosofía. Editorial Anagrama, Barcelona. Quinta edición, 1998. Pp. 8.  </w:t>
      </w:r>
    </w:p>
  </w:footnote>
  <w:footnote w:id="797">
    <w:p w14:paraId="7234CCE1" w14:textId="77777777" w:rsidR="00444BC9" w:rsidRDefault="00444BC9" w:rsidP="0082775B">
      <w:pPr>
        <w:pStyle w:val="Textonotapie"/>
        <w:ind w:left="142" w:hanging="142"/>
        <w:jc w:val="both"/>
      </w:pPr>
      <w:r>
        <w:rPr>
          <w:rStyle w:val="Refdenotaalpie"/>
          <w:rFonts w:ascii="Garamond" w:hAnsi="Garamond"/>
          <w:sz w:val="16"/>
        </w:rPr>
        <w:footnoteRef/>
      </w:r>
      <w:r>
        <w:rPr>
          <w:rFonts w:ascii="Garamond" w:hAnsi="Garamond"/>
          <w:sz w:val="16"/>
        </w:rPr>
        <w:t xml:space="preserve"> </w:t>
      </w:r>
      <w:r>
        <w:rPr>
          <w:rFonts w:ascii="Garamond" w:hAnsi="Garamond"/>
          <w:smallCaps/>
          <w:sz w:val="16"/>
        </w:rPr>
        <w:t>Diez Picazo</w:t>
      </w:r>
      <w:r>
        <w:rPr>
          <w:rFonts w:ascii="Garamond" w:hAnsi="Garamond"/>
          <w:sz w:val="16"/>
        </w:rPr>
        <w:t xml:space="preserve"> Luis, y </w:t>
      </w:r>
      <w:r>
        <w:rPr>
          <w:rFonts w:ascii="Garamond" w:hAnsi="Garamond"/>
          <w:smallCaps/>
          <w:sz w:val="16"/>
        </w:rPr>
        <w:t>Gullon</w:t>
      </w:r>
      <w:r>
        <w:rPr>
          <w:rFonts w:ascii="Garamond" w:hAnsi="Garamond"/>
          <w:sz w:val="16"/>
        </w:rPr>
        <w:t>, Antonio. Sistema de Derecho Civil. Vol. I. Editorial Tecnos, Madrid, 1980. Pp. 56.</w:t>
      </w:r>
    </w:p>
  </w:footnote>
  <w:footnote w:id="798">
    <w:p w14:paraId="6EA4BE6F" w14:textId="77777777" w:rsidR="00444BC9" w:rsidRDefault="00444BC9" w:rsidP="0082775B">
      <w:pPr>
        <w:pStyle w:val="Textonotapie"/>
        <w:jc w:val="both"/>
        <w:rPr>
          <w:sz w:val="16"/>
        </w:rPr>
      </w:pPr>
      <w:r>
        <w:rPr>
          <w:rStyle w:val="Refdenotaalpie"/>
          <w:sz w:val="16"/>
        </w:rPr>
        <w:footnoteRef/>
      </w:r>
      <w:r>
        <w:rPr>
          <w:sz w:val="16"/>
        </w:rPr>
        <w:t xml:space="preserve"> </w:t>
      </w:r>
      <w:r>
        <w:rPr>
          <w:rFonts w:ascii="Garamond" w:hAnsi="Garamond"/>
          <w:smallCaps/>
          <w:sz w:val="16"/>
        </w:rPr>
        <w:t xml:space="preserve">rubio correa, </w:t>
      </w:r>
      <w:r>
        <w:rPr>
          <w:rFonts w:ascii="Garamond" w:hAnsi="Garamond"/>
          <w:sz w:val="16"/>
        </w:rPr>
        <w:t>Marcial. El Ser Humano como Persona Natural. Editorial de la Pontificia Universidad Católica del Perú. Para leer el Código Civil. Lima. pp. 22.</w:t>
      </w:r>
    </w:p>
  </w:footnote>
  <w:footnote w:id="799">
    <w:p w14:paraId="412A9B57" w14:textId="77777777" w:rsidR="00444BC9" w:rsidRDefault="00444BC9" w:rsidP="0082775B">
      <w:pPr>
        <w:pStyle w:val="Textonotapie"/>
        <w:jc w:val="both"/>
        <w:rPr>
          <w:sz w:val="16"/>
        </w:rPr>
      </w:pPr>
      <w:r>
        <w:rPr>
          <w:rStyle w:val="Refdenotaalpie"/>
          <w:sz w:val="16"/>
        </w:rPr>
        <w:footnoteRef/>
      </w:r>
      <w:r>
        <w:rPr>
          <w:sz w:val="16"/>
        </w:rPr>
        <w:t xml:space="preserve"> Fernández Sessarego, Carlos. Derecho y persona. Editorial Grijley. Lima. Pp. 28.</w:t>
      </w:r>
    </w:p>
  </w:footnote>
  <w:footnote w:id="800">
    <w:p w14:paraId="1A962B8E" w14:textId="77777777" w:rsidR="00444BC9" w:rsidRDefault="00444BC9" w:rsidP="0082775B">
      <w:pPr>
        <w:pStyle w:val="Textonotapie"/>
        <w:jc w:val="both"/>
        <w:rPr>
          <w:sz w:val="16"/>
        </w:rPr>
      </w:pPr>
      <w:r>
        <w:rPr>
          <w:rStyle w:val="Refdenotaalpie"/>
          <w:sz w:val="16"/>
        </w:rPr>
        <w:footnoteRef/>
      </w:r>
      <w:r>
        <w:rPr>
          <w:sz w:val="16"/>
        </w:rPr>
        <w:t xml:space="preserve"> </w:t>
      </w:r>
      <w:r>
        <w:rPr>
          <w:smallCaps/>
          <w:sz w:val="16"/>
        </w:rPr>
        <w:t>Fernández Sessarego</w:t>
      </w:r>
      <w:r>
        <w:rPr>
          <w:sz w:val="16"/>
        </w:rPr>
        <w:t>, Carlos. Derecho y persona. Editorial Grijley. Lima. Pp. 28.</w:t>
      </w:r>
    </w:p>
  </w:footnote>
  <w:footnote w:id="801">
    <w:p w14:paraId="0E119CFD" w14:textId="77777777" w:rsidR="00444BC9" w:rsidRDefault="00444BC9" w:rsidP="0082775B">
      <w:pPr>
        <w:pStyle w:val="Textonotapie"/>
        <w:jc w:val="both"/>
      </w:pPr>
      <w:r>
        <w:rPr>
          <w:rStyle w:val="Refdenotaalpie"/>
        </w:rPr>
        <w:footnoteRef/>
      </w:r>
      <w:r>
        <w:t xml:space="preserve"> RUBIO CORREA, Marcial. El Derecho Civil. Fondo Editorial de la Pontificia Universidad Católica del Perú. Pp. 25.</w:t>
      </w:r>
    </w:p>
  </w:footnote>
  <w:footnote w:id="802">
    <w:p w14:paraId="54C04471" w14:textId="77777777" w:rsidR="00444BC9" w:rsidRDefault="00444BC9" w:rsidP="0082775B">
      <w:pPr>
        <w:pStyle w:val="Textonotapie"/>
        <w:jc w:val="both"/>
      </w:pPr>
      <w:r>
        <w:rPr>
          <w:rStyle w:val="Refdenotaalpie"/>
        </w:rPr>
        <w:footnoteRef/>
      </w:r>
      <w:r>
        <w:t xml:space="preserve"> RUBIO CORREA, Marcial. El Derecho Civil. Fondo Editorial de la Pontificia Universidad Católica del Perú. Pp. 27.</w:t>
      </w:r>
    </w:p>
  </w:footnote>
  <w:footnote w:id="803">
    <w:p w14:paraId="6F0E752B" w14:textId="77777777" w:rsidR="00444BC9" w:rsidRDefault="00444BC9" w:rsidP="0082775B">
      <w:pPr>
        <w:pStyle w:val="Textonotapie"/>
        <w:jc w:val="both"/>
      </w:pPr>
      <w:r>
        <w:rPr>
          <w:rStyle w:val="Refdenotaalpie"/>
        </w:rPr>
        <w:footnoteRef/>
      </w:r>
      <w:r>
        <w:t xml:space="preserve"> RUBIO CORREA, Marcial. El Derecho Civil. Fondo Editorial de la Pontificia Universidad Católica del Perú. Pp. 29.</w:t>
      </w:r>
    </w:p>
  </w:footnote>
  <w:footnote w:id="804">
    <w:p w14:paraId="18B1F5D3" w14:textId="77777777" w:rsidR="00444BC9" w:rsidRDefault="00444BC9" w:rsidP="0082775B">
      <w:pPr>
        <w:pStyle w:val="Textonotapie"/>
        <w:jc w:val="both"/>
      </w:pPr>
      <w:r>
        <w:rPr>
          <w:rStyle w:val="Refdenotaalpie"/>
        </w:rPr>
        <w:footnoteRef/>
      </w:r>
      <w:r>
        <w:t xml:space="preserve"> RUBIO CORREA, Marcial. El Derecho Civil. Fondo Editorial de la Pontificia Universidad Católica del Perú. Pp. 29.</w:t>
      </w:r>
    </w:p>
  </w:footnote>
  <w:footnote w:id="805">
    <w:p w14:paraId="7E305539" w14:textId="77777777" w:rsidR="00444BC9" w:rsidRDefault="00444BC9" w:rsidP="0082775B">
      <w:pPr>
        <w:pStyle w:val="Textodecuerpo"/>
        <w:rPr>
          <w:b/>
          <w:i/>
          <w:sz w:val="16"/>
          <w:lang w:val="es-ES_tradnl"/>
        </w:rPr>
      </w:pPr>
      <w:r>
        <w:rPr>
          <w:rStyle w:val="Refdenotaalpie"/>
          <w:b/>
          <w:i/>
          <w:sz w:val="16"/>
        </w:rPr>
        <w:footnoteRef/>
      </w:r>
      <w:r>
        <w:rPr>
          <w:rFonts w:ascii="Garamond" w:hAnsi="Garamond"/>
          <w:b/>
          <w:i/>
          <w:smallCaps/>
          <w:sz w:val="16"/>
          <w:lang w:val="es-ES_tradnl"/>
        </w:rPr>
        <w:t xml:space="preserve">rubio correa, </w:t>
      </w:r>
      <w:r>
        <w:rPr>
          <w:rFonts w:ascii="Garamond" w:hAnsi="Garamond"/>
          <w:b/>
          <w:i/>
          <w:sz w:val="16"/>
          <w:lang w:val="es-ES_tradnl"/>
        </w:rPr>
        <w:t>Marcial. El Ser Humano como Persona Natural. Editorial de la Pontificia Universidad Católica del Perú. Para leer el Código Civil. Lima. pp. 153.</w:t>
      </w:r>
    </w:p>
  </w:footnote>
  <w:footnote w:id="806">
    <w:p w14:paraId="1F42670B" w14:textId="77777777" w:rsidR="00444BC9" w:rsidRDefault="00444BC9" w:rsidP="0082775B">
      <w:pPr>
        <w:pStyle w:val="Textodecuerpo"/>
        <w:rPr>
          <w:b/>
          <w:i/>
          <w:sz w:val="16"/>
          <w:lang w:val="es-ES_tradnl"/>
        </w:rPr>
      </w:pPr>
      <w:r>
        <w:rPr>
          <w:rStyle w:val="Refdenotaalpie"/>
          <w:b/>
          <w:i/>
          <w:sz w:val="16"/>
        </w:rPr>
        <w:footnoteRef/>
      </w:r>
      <w:r>
        <w:rPr>
          <w:b/>
          <w:i/>
          <w:smallCaps/>
          <w:sz w:val="16"/>
          <w:lang w:val="es-ES_tradnl"/>
        </w:rPr>
        <w:t>rubio correa</w:t>
      </w:r>
      <w:r>
        <w:rPr>
          <w:b/>
          <w:i/>
          <w:sz w:val="16"/>
          <w:lang w:val="es-ES_tradnl"/>
        </w:rPr>
        <w:t>, Marcial. El Ser Humano como Persona Natural. Editorial de la Pontificia Universidad Católica del Perú. Para leer el Código Civil. Lima. pp. 153.</w:t>
      </w:r>
    </w:p>
  </w:footnote>
  <w:footnote w:id="807">
    <w:p w14:paraId="5177C3DF" w14:textId="77777777" w:rsidR="00444BC9" w:rsidRDefault="00444BC9" w:rsidP="0082775B">
      <w:pPr>
        <w:pStyle w:val="Textodecuerpo"/>
        <w:rPr>
          <w:b/>
          <w:i/>
          <w:sz w:val="16"/>
          <w:lang w:val="es-ES_tradnl"/>
        </w:rPr>
      </w:pPr>
      <w:r>
        <w:rPr>
          <w:rStyle w:val="Refdenotaalpie"/>
          <w:b/>
          <w:i/>
          <w:sz w:val="16"/>
        </w:rPr>
        <w:footnoteRef/>
      </w:r>
      <w:r>
        <w:rPr>
          <w:b/>
          <w:i/>
          <w:sz w:val="16"/>
          <w:lang w:val="es-ES_tradnl"/>
        </w:rPr>
        <w:t xml:space="preserve"> </w:t>
      </w:r>
      <w:r>
        <w:rPr>
          <w:b/>
          <w:i/>
          <w:smallCaps/>
          <w:sz w:val="16"/>
          <w:lang w:val="es-ES_tradnl"/>
        </w:rPr>
        <w:t>rubio correa</w:t>
      </w:r>
      <w:r>
        <w:rPr>
          <w:b/>
          <w:i/>
          <w:sz w:val="16"/>
          <w:lang w:val="es-ES_tradnl"/>
        </w:rPr>
        <w:t>, Marcial. El Ser Humano como Persona Natural. Editorial de la Pontificia Universidad Católica del Perú. Para leer el Código Civil. Lima. pp. 156.</w:t>
      </w:r>
    </w:p>
  </w:footnote>
  <w:footnote w:id="808">
    <w:p w14:paraId="7AA228A9" w14:textId="77777777" w:rsidR="00444BC9" w:rsidRDefault="00444BC9" w:rsidP="0082775B">
      <w:pPr>
        <w:pStyle w:val="Textodecuerpo"/>
        <w:rPr>
          <w:b/>
          <w:i/>
          <w:sz w:val="16"/>
          <w:lang w:val="es-ES_tradnl"/>
        </w:rPr>
      </w:pPr>
      <w:r>
        <w:rPr>
          <w:rStyle w:val="Refdenotaalpie"/>
          <w:b/>
          <w:i/>
          <w:sz w:val="16"/>
        </w:rPr>
        <w:footnoteRef/>
      </w:r>
      <w:r>
        <w:rPr>
          <w:b/>
          <w:i/>
          <w:sz w:val="16"/>
          <w:lang w:val="es-ES_tradnl"/>
        </w:rPr>
        <w:t xml:space="preserve"> </w:t>
      </w:r>
      <w:r>
        <w:rPr>
          <w:b/>
          <w:i/>
          <w:smallCaps/>
          <w:sz w:val="16"/>
          <w:lang w:val="es-ES_tradnl"/>
        </w:rPr>
        <w:t>rubio correa</w:t>
      </w:r>
      <w:r>
        <w:rPr>
          <w:b/>
          <w:i/>
          <w:sz w:val="16"/>
          <w:lang w:val="es-ES_tradnl"/>
        </w:rPr>
        <w:t>, Marcial. El Ser Humano como Persona Natural. Editorial de la Pontificia Universidad Católica del Perú. Para leer el Código Civil. Lima. pp. 159.</w:t>
      </w:r>
    </w:p>
  </w:footnote>
  <w:footnote w:id="809">
    <w:p w14:paraId="39FED5C1" w14:textId="77777777" w:rsidR="00444BC9" w:rsidRDefault="00444BC9" w:rsidP="0082775B">
      <w:pPr>
        <w:pStyle w:val="Textodecuerpo"/>
        <w:rPr>
          <w:b/>
          <w:i/>
          <w:sz w:val="16"/>
          <w:lang w:val="es-ES_tradnl"/>
        </w:rPr>
      </w:pPr>
      <w:r>
        <w:rPr>
          <w:rStyle w:val="Refdenotaalpie"/>
          <w:b/>
          <w:i/>
          <w:sz w:val="16"/>
        </w:rPr>
        <w:footnoteRef/>
      </w:r>
      <w:r>
        <w:rPr>
          <w:b/>
          <w:i/>
          <w:sz w:val="16"/>
          <w:lang w:val="es-ES_tradnl"/>
        </w:rPr>
        <w:t xml:space="preserve"> </w:t>
      </w:r>
      <w:r>
        <w:rPr>
          <w:b/>
          <w:i/>
          <w:smallCaps/>
          <w:sz w:val="16"/>
          <w:lang w:val="es-ES_tradnl"/>
        </w:rPr>
        <w:t>rubio correa</w:t>
      </w:r>
      <w:r>
        <w:rPr>
          <w:b/>
          <w:i/>
          <w:sz w:val="16"/>
          <w:lang w:val="es-ES_tradnl"/>
        </w:rPr>
        <w:t>, Marcial. El Ser Humano como Persona Natural. Editorial de la Pontificia Universidad Católica del Perú. Para leer el Código Civil. Lima. pp. 163.</w:t>
      </w:r>
    </w:p>
    <w:p w14:paraId="005B186C" w14:textId="77777777" w:rsidR="00444BC9" w:rsidRDefault="00444BC9" w:rsidP="0082775B">
      <w:pPr>
        <w:pStyle w:val="Textonotapie"/>
        <w:jc w:val="both"/>
        <w:rPr>
          <w:sz w:val="16"/>
        </w:rPr>
      </w:pPr>
    </w:p>
  </w:footnote>
  <w:footnote w:id="810">
    <w:p w14:paraId="41C48967" w14:textId="77777777" w:rsidR="00444BC9" w:rsidRDefault="00444BC9" w:rsidP="0082775B">
      <w:pPr>
        <w:pStyle w:val="Textonotapie"/>
        <w:jc w:val="both"/>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Bullard,</w:t>
      </w:r>
      <w:r>
        <w:rPr>
          <w:rFonts w:ascii="Arial Narrow" w:hAnsi="Arial Narrow"/>
          <w:sz w:val="16"/>
        </w:rPr>
        <w:t xml:space="preserve"> Alfredo.</w:t>
      </w:r>
      <w:r>
        <w:rPr>
          <w:rFonts w:ascii="Arial Narrow" w:hAnsi="Arial Narrow"/>
          <w:i/>
          <w:sz w:val="16"/>
        </w:rPr>
        <w:t xml:space="preserve"> La relación jurídica patrimonial</w:t>
      </w:r>
      <w:r>
        <w:rPr>
          <w:rFonts w:ascii="Arial Narrow" w:hAnsi="Arial Narrow"/>
          <w:sz w:val="16"/>
        </w:rPr>
        <w:t>. Lluvia editores. 1990. Lima. Pág. 59.</w:t>
      </w:r>
    </w:p>
  </w:footnote>
  <w:footnote w:id="811">
    <w:p w14:paraId="2BD807AB" w14:textId="77777777" w:rsidR="00444BC9" w:rsidRDefault="00444BC9" w:rsidP="0082775B">
      <w:pPr>
        <w:pStyle w:val="Textonotapie"/>
        <w:ind w:left="142" w:hanging="142"/>
        <w:jc w:val="both"/>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Deleuze</w:t>
      </w:r>
      <w:r>
        <w:rPr>
          <w:rFonts w:ascii="Arial Narrow" w:hAnsi="Arial Narrow"/>
          <w:sz w:val="16"/>
        </w:rPr>
        <w:t xml:space="preserve">, Gilles. </w:t>
      </w:r>
      <w:r>
        <w:rPr>
          <w:rFonts w:ascii="Arial Narrow" w:hAnsi="Arial Narrow"/>
          <w:i/>
          <w:sz w:val="16"/>
        </w:rPr>
        <w:t>Nietzsche y la Filosofía.</w:t>
      </w:r>
      <w:r>
        <w:rPr>
          <w:rFonts w:ascii="Arial Narrow" w:hAnsi="Arial Narrow"/>
          <w:sz w:val="16"/>
        </w:rPr>
        <w:t xml:space="preserve"> Editorial Anagrama, Barcelona. Quinta edición, 1998. Pp. 59.</w:t>
      </w:r>
    </w:p>
  </w:footnote>
  <w:footnote w:id="812">
    <w:p w14:paraId="19AAE56B" w14:textId="77777777" w:rsidR="00444BC9" w:rsidRDefault="00444BC9" w:rsidP="0082775B">
      <w:pPr>
        <w:pStyle w:val="Textonotapie"/>
        <w:ind w:left="142" w:hanging="142"/>
        <w:jc w:val="both"/>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Deleuze</w:t>
      </w:r>
      <w:r>
        <w:rPr>
          <w:rFonts w:ascii="Arial Narrow" w:hAnsi="Arial Narrow"/>
          <w:sz w:val="16"/>
        </w:rPr>
        <w:t xml:space="preserve">, Gilles. </w:t>
      </w:r>
      <w:r>
        <w:rPr>
          <w:rFonts w:ascii="Arial Narrow" w:hAnsi="Arial Narrow"/>
          <w:i/>
          <w:sz w:val="16"/>
        </w:rPr>
        <w:t>Nietzsche y la Filosofía.</w:t>
      </w:r>
      <w:r>
        <w:rPr>
          <w:rFonts w:ascii="Arial Narrow" w:hAnsi="Arial Narrow"/>
          <w:sz w:val="16"/>
        </w:rPr>
        <w:t xml:space="preserve"> Editorial Anagrama, Barcelona. Quinta edición, 1998. Pp. 60.</w:t>
      </w:r>
    </w:p>
  </w:footnote>
  <w:footnote w:id="813">
    <w:p w14:paraId="4C2FF97C" w14:textId="77777777" w:rsidR="00444BC9" w:rsidRDefault="00444BC9" w:rsidP="0082775B">
      <w:pPr>
        <w:pStyle w:val="Textonotapie"/>
      </w:pPr>
      <w:r>
        <w:rPr>
          <w:rStyle w:val="Refdenotaalpie"/>
        </w:rPr>
        <w:footnoteRef/>
      </w:r>
      <w:r>
        <w:t xml:space="preserve"> Foucault, Michel. Microfísica del Poder. </w:t>
      </w:r>
      <w:r w:rsidRPr="00D90338">
        <w:t>Pp. 88.</w:t>
      </w:r>
    </w:p>
  </w:footnote>
  <w:footnote w:id="814">
    <w:p w14:paraId="6782EC0D" w14:textId="77777777" w:rsidR="00444BC9" w:rsidRDefault="00444BC9" w:rsidP="0082775B">
      <w:pPr>
        <w:pStyle w:val="Textonotapie"/>
        <w:ind w:left="142" w:hanging="142"/>
        <w:jc w:val="both"/>
      </w:pPr>
      <w:r>
        <w:rPr>
          <w:rStyle w:val="Refdenotaalpie"/>
          <w:rFonts w:ascii="Arial Narrow" w:hAnsi="Arial Narrow"/>
          <w:sz w:val="18"/>
        </w:rPr>
        <w:footnoteRef/>
      </w:r>
      <w:r w:rsidRPr="00D90338">
        <w:rPr>
          <w:rFonts w:ascii="Arial Narrow" w:hAnsi="Arial Narrow"/>
          <w:smallCaps/>
          <w:sz w:val="18"/>
        </w:rPr>
        <w:t xml:space="preserve"> Berlin</w:t>
      </w:r>
      <w:r w:rsidRPr="00D90338">
        <w:rPr>
          <w:rFonts w:ascii="Arial Narrow" w:hAnsi="Arial Narrow"/>
          <w:sz w:val="18"/>
        </w:rPr>
        <w:t xml:space="preserve">, Isaiah. </w:t>
      </w:r>
      <w:r w:rsidRPr="00D90338">
        <w:rPr>
          <w:rFonts w:ascii="Arial Narrow" w:hAnsi="Arial Narrow"/>
          <w:i/>
          <w:sz w:val="18"/>
        </w:rPr>
        <w:t xml:space="preserve"> </w:t>
      </w:r>
      <w:r>
        <w:rPr>
          <w:rFonts w:ascii="Arial Narrow" w:hAnsi="Arial Narrow"/>
          <w:i/>
          <w:sz w:val="18"/>
        </w:rPr>
        <w:t>Lo inevitable en la historia.</w:t>
      </w:r>
      <w:r>
        <w:rPr>
          <w:rFonts w:ascii="Arial Narrow" w:hAnsi="Arial Narrow"/>
          <w:sz w:val="18"/>
        </w:rPr>
        <w:t xml:space="preserve"> Ediciones Galatea. Nueva Visión. Buenos Aires, Argentina. Pp. 22. </w:t>
      </w:r>
    </w:p>
  </w:footnote>
  <w:footnote w:id="815">
    <w:p w14:paraId="24A69F0B" w14:textId="77777777" w:rsidR="00444BC9" w:rsidRDefault="00444BC9" w:rsidP="0082775B">
      <w:pPr>
        <w:pStyle w:val="Textonotapie"/>
        <w:jc w:val="both"/>
      </w:pP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Fernandez Sessarego</w:t>
      </w:r>
      <w:r>
        <w:rPr>
          <w:rFonts w:ascii="Arial Narrow" w:hAnsi="Arial Narrow"/>
          <w:sz w:val="18"/>
        </w:rPr>
        <w:t>, Carlos. Derecho y Persona. Grijley. Tercera edición, 1998. Lima. Pág. 46.</w:t>
      </w:r>
    </w:p>
  </w:footnote>
  <w:footnote w:id="816">
    <w:p w14:paraId="27302730" w14:textId="77777777" w:rsidR="00444BC9" w:rsidRDefault="00444BC9" w:rsidP="0082775B">
      <w:pPr>
        <w:pStyle w:val="Textonotapie"/>
        <w:ind w:left="142" w:hanging="142"/>
        <w:jc w:val="both"/>
      </w:pP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Carnelutti</w:t>
      </w:r>
      <w:r>
        <w:rPr>
          <w:rFonts w:ascii="Arial Narrow" w:hAnsi="Arial Narrow"/>
          <w:sz w:val="18"/>
        </w:rPr>
        <w:t xml:space="preserve">, Francesco. </w:t>
      </w:r>
      <w:r>
        <w:rPr>
          <w:rFonts w:ascii="Arial Narrow" w:hAnsi="Arial Narrow"/>
          <w:i/>
          <w:sz w:val="18"/>
        </w:rPr>
        <w:t xml:space="preserve">Arte del Derecho. </w:t>
      </w:r>
      <w:r>
        <w:rPr>
          <w:rFonts w:ascii="Arial Narrow" w:hAnsi="Arial Narrow"/>
          <w:sz w:val="18"/>
        </w:rPr>
        <w:t xml:space="preserve">Ediciones jurídicas Europa-Americana, Buenos Aires. 1956. Pp. 107. </w:t>
      </w:r>
    </w:p>
  </w:footnote>
  <w:footnote w:id="817">
    <w:p w14:paraId="7D5C2D22" w14:textId="77777777" w:rsidR="00444BC9" w:rsidRDefault="00444BC9" w:rsidP="0082775B">
      <w:pPr>
        <w:pStyle w:val="Textonotapie"/>
        <w:jc w:val="both"/>
      </w:pPr>
      <w:r>
        <w:rPr>
          <w:rStyle w:val="Refdenotaalpie"/>
          <w:rFonts w:ascii="Arial Narrow" w:hAnsi="Arial Narrow"/>
          <w:sz w:val="18"/>
        </w:rPr>
        <w:footnoteRef/>
      </w:r>
      <w:r>
        <w:rPr>
          <w:rFonts w:ascii="Arial Narrow" w:hAnsi="Arial Narrow"/>
          <w:sz w:val="18"/>
        </w:rPr>
        <w:t xml:space="preserve"> Sessarego advierte que: “Para que aparezcan las normas valiosamente reguladoras de conductas humanas intersubjetivas no es necesario esperar las leyes”. </w:t>
      </w:r>
      <w:r>
        <w:rPr>
          <w:rFonts w:ascii="Arial Narrow" w:hAnsi="Arial Narrow"/>
          <w:smallCaps/>
          <w:sz w:val="18"/>
        </w:rPr>
        <w:t>Fernandez Sessarego</w:t>
      </w:r>
      <w:r>
        <w:rPr>
          <w:rFonts w:ascii="Arial Narrow" w:hAnsi="Arial Narrow"/>
          <w:sz w:val="18"/>
        </w:rPr>
        <w:t>, Carlos</w:t>
      </w:r>
      <w:r>
        <w:rPr>
          <w:rFonts w:ascii="Arial Narrow" w:hAnsi="Arial Narrow"/>
          <w:i/>
          <w:sz w:val="18"/>
        </w:rPr>
        <w:t>. Derecho y Persona</w:t>
      </w:r>
      <w:r>
        <w:rPr>
          <w:rFonts w:ascii="Arial Narrow" w:hAnsi="Arial Narrow"/>
          <w:sz w:val="18"/>
        </w:rPr>
        <w:t>. Grijley. Tercera edición, 1998. Lima. Pág. 42</w:t>
      </w:r>
    </w:p>
  </w:footnote>
  <w:footnote w:id="818">
    <w:p w14:paraId="543C633E" w14:textId="77777777" w:rsidR="00444BC9" w:rsidRDefault="00444BC9" w:rsidP="0082775B">
      <w:pPr>
        <w:pStyle w:val="Textonotapie"/>
        <w:jc w:val="both"/>
      </w:pP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Gambara</w:t>
      </w:r>
      <w:r>
        <w:rPr>
          <w:rFonts w:ascii="Arial Narrow" w:hAnsi="Arial Narrow"/>
          <w:sz w:val="18"/>
        </w:rPr>
        <w:t xml:space="preserve">, L. </w:t>
      </w:r>
      <w:r>
        <w:rPr>
          <w:rFonts w:ascii="Arial Narrow" w:hAnsi="Arial Narrow"/>
          <w:i/>
          <w:sz w:val="18"/>
        </w:rPr>
        <w:t>El Racionalismo</w:t>
      </w:r>
      <w:r>
        <w:rPr>
          <w:rFonts w:ascii="Arial Narrow" w:hAnsi="Arial Narrow"/>
          <w:sz w:val="18"/>
        </w:rPr>
        <w:t>. Granada YC., editores, Barcelona. Pág. 16.</w:t>
      </w:r>
    </w:p>
  </w:footnote>
  <w:footnote w:id="819">
    <w:p w14:paraId="2BB81EF6" w14:textId="77777777" w:rsidR="00444BC9" w:rsidRDefault="00444BC9" w:rsidP="0082775B">
      <w:pPr>
        <w:pStyle w:val="Textonotapie"/>
        <w:ind w:left="142" w:hanging="142"/>
        <w:jc w:val="both"/>
      </w:pP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Massini</w:t>
      </w:r>
      <w:r>
        <w:rPr>
          <w:rFonts w:ascii="Arial Narrow" w:hAnsi="Arial Narrow"/>
          <w:sz w:val="18"/>
        </w:rPr>
        <w:t xml:space="preserve">, Carlos I. </w:t>
      </w:r>
      <w:r>
        <w:rPr>
          <w:rFonts w:ascii="Arial Narrow" w:hAnsi="Arial Narrow"/>
          <w:i/>
          <w:sz w:val="18"/>
        </w:rPr>
        <w:t>Filosofía del Derecho. El Derecho y los Derechos Humanos.</w:t>
      </w:r>
      <w:r>
        <w:rPr>
          <w:rFonts w:ascii="Arial Narrow" w:hAnsi="Arial Narrow"/>
          <w:sz w:val="18"/>
        </w:rPr>
        <w:t xml:space="preserve"> Abeledo-Perrot, Buenos Aires, Argentina. </w:t>
      </w:r>
      <w:r w:rsidRPr="00D90338">
        <w:rPr>
          <w:rFonts w:ascii="Arial Narrow" w:hAnsi="Arial Narrow"/>
          <w:sz w:val="18"/>
        </w:rPr>
        <w:t>Pp. 33.</w:t>
      </w:r>
    </w:p>
  </w:footnote>
  <w:footnote w:id="820">
    <w:p w14:paraId="51888A40" w14:textId="77777777" w:rsidR="00444BC9" w:rsidRDefault="00444BC9" w:rsidP="0082775B">
      <w:pPr>
        <w:pStyle w:val="Textonotapie"/>
      </w:pPr>
      <w:r>
        <w:rPr>
          <w:rStyle w:val="Refdenotaalpie"/>
        </w:rPr>
        <w:footnoteRef/>
      </w:r>
      <w:r w:rsidRPr="00D90338">
        <w:t xml:space="preserve"> Foucault, Michel. </w:t>
      </w:r>
      <w:r>
        <w:t>Microfísica del Poder. Pp. 88.</w:t>
      </w:r>
    </w:p>
  </w:footnote>
  <w:footnote w:id="821">
    <w:p w14:paraId="7E2C8CA4" w14:textId="77777777" w:rsidR="00444BC9" w:rsidRDefault="00444BC9" w:rsidP="0082775B">
      <w:pPr>
        <w:pStyle w:val="Textonotapie"/>
      </w:pPr>
      <w:r>
        <w:rPr>
          <w:rStyle w:val="Refdenotaalpie"/>
        </w:rPr>
        <w:footnoteRef/>
      </w:r>
      <w:r>
        <w:t xml:space="preserve"> Como lo comentaba la jurista peruana Eugenia Ariano Deho, en la Conferencia que dio en la Corte Superior de Justicia de Tacna, sobre la Ley que regula el proceso de filiación judicial de paternidad extramatrimonial, el día viernes 04 de febrero del 2004.</w:t>
      </w:r>
    </w:p>
  </w:footnote>
  <w:footnote w:id="822">
    <w:p w14:paraId="0E1C7627" w14:textId="77777777" w:rsidR="00444BC9" w:rsidRDefault="00444BC9" w:rsidP="0082775B">
      <w:pPr>
        <w:jc w:val="both"/>
      </w:pPr>
      <w:r>
        <w:rPr>
          <w:rStyle w:val="Refdenotaalpie"/>
        </w:rPr>
        <w:footnoteRef/>
      </w:r>
      <w:r>
        <w:t xml:space="preserve"> Válganos recordar en apoyo a esta teoría la definición en el Derecho Laboral del Principio de Primacía de la Realidad, que expresa precisamente que es la realidad laboral, los actos laborales, las funciones laborales desempeñados por una persona lo que constituye el derecho al trabajo. </w:t>
      </w:r>
    </w:p>
    <w:p w14:paraId="74ED7255" w14:textId="77777777" w:rsidR="00444BC9" w:rsidRDefault="00444BC9" w:rsidP="0082775B">
      <w:pPr>
        <w:pStyle w:val="Textonotapie"/>
      </w:pPr>
    </w:p>
  </w:footnote>
  <w:footnote w:id="823">
    <w:p w14:paraId="5448219C" w14:textId="77777777" w:rsidR="00444BC9" w:rsidRDefault="00444BC9" w:rsidP="0082775B">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Deleuze, Giles, </w:t>
      </w:r>
      <w:r>
        <w:rPr>
          <w:rFonts w:ascii="Arial Narrow" w:hAnsi="Arial Narrow"/>
          <w:i/>
          <w:sz w:val="16"/>
        </w:rPr>
        <w:t>Foucault,</w:t>
      </w:r>
      <w:r>
        <w:rPr>
          <w:rFonts w:ascii="Arial Narrow" w:hAnsi="Arial Narrow"/>
          <w:sz w:val="16"/>
        </w:rPr>
        <w:t xml:space="preserve"> Edicion Paidos, pp. 56.</w:t>
      </w:r>
    </w:p>
  </w:footnote>
  <w:footnote w:id="824">
    <w:p w14:paraId="6E3E4BE4" w14:textId="77777777" w:rsidR="00444BC9" w:rsidRPr="004A7EC6" w:rsidRDefault="00444BC9" w:rsidP="0082775B">
      <w:pPr>
        <w:pStyle w:val="Textonotapie"/>
        <w:jc w:val="both"/>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w:t>
      </w:r>
      <w:r w:rsidRPr="004A7EC6">
        <w:rPr>
          <w:rFonts w:ascii="Arial" w:hAnsi="Arial" w:cs="Arial"/>
          <w:sz w:val="16"/>
          <w:szCs w:val="16"/>
          <w:lang w:val="es-ES_tradnl"/>
        </w:rPr>
        <w:t xml:space="preserve">Juan Morales Godo, -quien hablando del derecho a la vida privada (que en el Perú es el Derecho a la intimidad)- escribe: “Este concepto es recogido por diversos fallos como </w:t>
      </w:r>
      <w:r w:rsidRPr="004A7EC6">
        <w:rPr>
          <w:rFonts w:ascii="Arial" w:hAnsi="Arial" w:cs="Arial"/>
          <w:i/>
          <w:sz w:val="16"/>
          <w:szCs w:val="16"/>
          <w:lang w:val="es-ES_tradnl"/>
        </w:rPr>
        <w:t xml:space="preserve">Brents vs. Morgan / </w:t>
      </w:r>
      <w:r w:rsidRPr="004A7EC6">
        <w:rPr>
          <w:rFonts w:ascii="Arial" w:hAnsi="Arial" w:cs="Arial"/>
          <w:smallCaps/>
          <w:sz w:val="16"/>
          <w:szCs w:val="16"/>
        </w:rPr>
        <w:t>Morales Rodo</w:t>
      </w:r>
      <w:r w:rsidRPr="004A7EC6">
        <w:rPr>
          <w:rFonts w:ascii="Arial" w:hAnsi="Arial" w:cs="Arial"/>
          <w:sz w:val="16"/>
          <w:szCs w:val="16"/>
        </w:rPr>
        <w:t xml:space="preserve">, Juan. </w:t>
      </w:r>
      <w:r w:rsidRPr="004A7EC6">
        <w:rPr>
          <w:rFonts w:ascii="Arial" w:hAnsi="Arial" w:cs="Arial"/>
          <w:i/>
          <w:sz w:val="16"/>
          <w:szCs w:val="16"/>
        </w:rPr>
        <w:t>El Derecho a la vida privada y el conflicto con la libertad de información</w:t>
      </w:r>
      <w:r w:rsidRPr="004A7EC6">
        <w:rPr>
          <w:rFonts w:ascii="Arial" w:hAnsi="Arial" w:cs="Arial"/>
          <w:sz w:val="16"/>
          <w:szCs w:val="16"/>
        </w:rPr>
        <w:t>. Editorial Grijley. Lima-Perú. Pp. 105.</w:t>
      </w:r>
    </w:p>
  </w:footnote>
  <w:footnote w:id="825">
    <w:p w14:paraId="66F24B15" w14:textId="77777777" w:rsidR="00444BC9" w:rsidRPr="004A7EC6" w:rsidRDefault="00444BC9" w:rsidP="0082775B">
      <w:pPr>
        <w:pStyle w:val="Textonotapie"/>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Concepto tomado de una compilación casera hecha por el Dr. Francisco Carruitero, de denominación Derechos Humanos; y que usamos sólo como referencia de estudio y análisis. </w:t>
      </w:r>
    </w:p>
  </w:footnote>
  <w:footnote w:id="826">
    <w:p w14:paraId="78375C23" w14:textId="77777777" w:rsidR="00444BC9" w:rsidRPr="004A7EC6" w:rsidRDefault="00444BC9" w:rsidP="0082775B">
      <w:pPr>
        <w:pStyle w:val="Textonotapie"/>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w:t>
      </w:r>
      <w:r w:rsidRPr="004A7EC6">
        <w:rPr>
          <w:rFonts w:ascii="Arial" w:hAnsi="Arial" w:cs="Arial"/>
          <w:smallCaps/>
          <w:sz w:val="16"/>
          <w:szCs w:val="16"/>
        </w:rPr>
        <w:t xml:space="preserve">rubio correa, </w:t>
      </w:r>
      <w:r w:rsidRPr="004A7EC6">
        <w:rPr>
          <w:rFonts w:ascii="Arial" w:hAnsi="Arial" w:cs="Arial"/>
          <w:sz w:val="16"/>
          <w:szCs w:val="16"/>
        </w:rPr>
        <w:t xml:space="preserve">Marcial. </w:t>
      </w:r>
      <w:r w:rsidRPr="004A7EC6">
        <w:rPr>
          <w:rFonts w:ascii="Arial" w:hAnsi="Arial" w:cs="Arial"/>
          <w:i/>
          <w:sz w:val="16"/>
          <w:szCs w:val="16"/>
        </w:rPr>
        <w:t xml:space="preserve">El Ser Humano como Persona Natural. </w:t>
      </w:r>
      <w:r w:rsidRPr="004A7EC6">
        <w:rPr>
          <w:rFonts w:ascii="Arial" w:hAnsi="Arial" w:cs="Arial"/>
          <w:sz w:val="16"/>
          <w:szCs w:val="16"/>
        </w:rPr>
        <w:t>Editorial de la Pontificia Universidad Católica del Perú. Para leer el Código Civil. Lima. pp. 22.</w:t>
      </w:r>
    </w:p>
  </w:footnote>
  <w:footnote w:id="827">
    <w:p w14:paraId="7ED6A00D" w14:textId="77777777" w:rsidR="00444BC9" w:rsidRPr="0065001E"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Rubio Correa, Marcial. </w:t>
      </w:r>
      <w:r>
        <w:rPr>
          <w:rFonts w:ascii="Arial Narrow" w:hAnsi="Arial Narrow"/>
          <w:i/>
          <w:sz w:val="16"/>
        </w:rPr>
        <w:t>El ser humano como persona natural</w:t>
      </w:r>
      <w:r>
        <w:rPr>
          <w:rFonts w:ascii="Arial Narrow" w:hAnsi="Arial Narrow"/>
          <w:sz w:val="16"/>
        </w:rPr>
        <w:t xml:space="preserve">. Fondo editorial de la Pontificia Universidad Católica del Perú. 1992. </w:t>
      </w:r>
      <w:r w:rsidRPr="0065001E">
        <w:rPr>
          <w:rFonts w:ascii="Arial Narrow" w:hAnsi="Arial Narrow"/>
          <w:sz w:val="16"/>
        </w:rPr>
        <w:t>Pp. 22.</w:t>
      </w:r>
    </w:p>
  </w:footnote>
  <w:footnote w:id="828">
    <w:p w14:paraId="0AC6FDF3"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z w:val="16"/>
          <w:szCs w:val="16"/>
          <w:lang w:val="es-ES_tradnl"/>
        </w:rPr>
        <w:t xml:space="preserve"> </w:t>
      </w:r>
      <w:r w:rsidRPr="004A7EC6">
        <w:rPr>
          <w:rFonts w:cs="Arial"/>
          <w:smallCaps/>
          <w:sz w:val="16"/>
          <w:szCs w:val="16"/>
          <w:lang w:val="es-ES_tradnl"/>
        </w:rPr>
        <w:t>rubio correa</w:t>
      </w:r>
      <w:r w:rsidRPr="004A7EC6">
        <w:rPr>
          <w:rFonts w:cs="Arial"/>
          <w:sz w:val="16"/>
          <w:szCs w:val="16"/>
          <w:lang w:val="es-ES_tradnl"/>
        </w:rPr>
        <w:t xml:space="preserve">, Marcial. </w:t>
      </w:r>
      <w:r w:rsidRPr="004A7EC6">
        <w:rPr>
          <w:rFonts w:cs="Arial"/>
          <w:i/>
          <w:sz w:val="16"/>
          <w:szCs w:val="16"/>
          <w:lang w:val="es-ES_tradnl"/>
        </w:rPr>
        <w:t xml:space="preserve">El Ser Humano como Persona Natural. </w:t>
      </w:r>
      <w:r w:rsidRPr="004A7EC6">
        <w:rPr>
          <w:rFonts w:cs="Arial"/>
          <w:sz w:val="16"/>
          <w:szCs w:val="16"/>
          <w:lang w:val="es-ES_tradnl"/>
        </w:rPr>
        <w:t>Editorial de la Pontificia Universidad Católica del Perú. Para leer el Código Civil. Lima. pp. 156.</w:t>
      </w:r>
    </w:p>
  </w:footnote>
  <w:footnote w:id="829">
    <w:p w14:paraId="0F09040F"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z w:val="16"/>
          <w:szCs w:val="16"/>
          <w:lang w:val="es-ES_tradnl"/>
        </w:rPr>
        <w:t xml:space="preserve"> </w:t>
      </w:r>
      <w:r w:rsidRPr="004A7EC6">
        <w:rPr>
          <w:rFonts w:cs="Arial"/>
          <w:smallCaps/>
          <w:sz w:val="16"/>
          <w:szCs w:val="16"/>
          <w:lang w:val="es-ES_tradnl"/>
        </w:rPr>
        <w:t>rubio correa</w:t>
      </w:r>
      <w:r w:rsidRPr="004A7EC6">
        <w:rPr>
          <w:rFonts w:cs="Arial"/>
          <w:sz w:val="16"/>
          <w:szCs w:val="16"/>
          <w:lang w:val="es-ES_tradnl"/>
        </w:rPr>
        <w:t xml:space="preserve">, Marcial. </w:t>
      </w:r>
      <w:r w:rsidRPr="004A7EC6">
        <w:rPr>
          <w:rFonts w:cs="Arial"/>
          <w:i/>
          <w:sz w:val="16"/>
          <w:szCs w:val="16"/>
          <w:lang w:val="es-ES_tradnl"/>
        </w:rPr>
        <w:t xml:space="preserve">El Ser Humano como Persona Natural. </w:t>
      </w:r>
      <w:r w:rsidRPr="004A7EC6">
        <w:rPr>
          <w:rFonts w:cs="Arial"/>
          <w:sz w:val="16"/>
          <w:szCs w:val="16"/>
          <w:lang w:val="es-ES_tradnl"/>
        </w:rPr>
        <w:t>Editorial de la Pontificia Universidad Católica del Perú. Para leer el Código Civil. Lima. pp. 159.</w:t>
      </w:r>
    </w:p>
  </w:footnote>
  <w:footnote w:id="830">
    <w:p w14:paraId="67ED7070"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z w:val="16"/>
          <w:szCs w:val="16"/>
          <w:lang w:val="es-ES_tradnl"/>
        </w:rPr>
        <w:t xml:space="preserve"> </w:t>
      </w:r>
      <w:r w:rsidRPr="004A7EC6">
        <w:rPr>
          <w:rFonts w:cs="Arial"/>
          <w:smallCaps/>
          <w:sz w:val="16"/>
          <w:szCs w:val="16"/>
          <w:lang w:val="es-ES_tradnl"/>
        </w:rPr>
        <w:t>rubio correa</w:t>
      </w:r>
      <w:r w:rsidRPr="004A7EC6">
        <w:rPr>
          <w:rFonts w:cs="Arial"/>
          <w:sz w:val="16"/>
          <w:szCs w:val="16"/>
          <w:lang w:val="es-ES_tradnl"/>
        </w:rPr>
        <w:t xml:space="preserve">, Marcial. </w:t>
      </w:r>
      <w:r w:rsidRPr="004A7EC6">
        <w:rPr>
          <w:rFonts w:cs="Arial"/>
          <w:i/>
          <w:sz w:val="16"/>
          <w:szCs w:val="16"/>
          <w:lang w:val="es-ES_tradnl"/>
        </w:rPr>
        <w:t xml:space="preserve">El Ser Humano como Persona Natural. </w:t>
      </w:r>
      <w:r w:rsidRPr="004A7EC6">
        <w:rPr>
          <w:rFonts w:cs="Arial"/>
          <w:sz w:val="16"/>
          <w:szCs w:val="16"/>
          <w:lang w:val="es-ES_tradnl"/>
        </w:rPr>
        <w:t>Editorial de la Pontificia Universidad Católica del Perú. Para leer el Código Civil. Lima. pp. 163.</w:t>
      </w:r>
    </w:p>
    <w:p w14:paraId="1AFF7359" w14:textId="77777777" w:rsidR="00444BC9" w:rsidRPr="004A7EC6" w:rsidRDefault="00444BC9" w:rsidP="0082775B">
      <w:pPr>
        <w:pStyle w:val="Textonotapie"/>
        <w:rPr>
          <w:rFonts w:ascii="Arial" w:hAnsi="Arial" w:cs="Arial"/>
          <w:sz w:val="16"/>
          <w:szCs w:val="16"/>
        </w:rPr>
      </w:pPr>
    </w:p>
  </w:footnote>
  <w:footnote w:id="831">
    <w:p w14:paraId="54F8DE12" w14:textId="77777777" w:rsidR="00444BC9" w:rsidRDefault="00444BC9" w:rsidP="0082775B">
      <w:pPr>
        <w:jc w:val="both"/>
        <w:rPr>
          <w:rFonts w:ascii="Arial Narrow" w:hAnsi="Arial Narrow"/>
          <w:sz w:val="16"/>
        </w:rPr>
      </w:pPr>
      <w:r>
        <w:rPr>
          <w:rFonts w:ascii="Arial Narrow" w:hAnsi="Arial Narrow"/>
          <w:sz w:val="16"/>
        </w:rPr>
        <w:t xml:space="preserve">     </w:t>
      </w:r>
      <w:r>
        <w:rPr>
          <w:rStyle w:val="Refdenotaalpie"/>
          <w:rFonts w:ascii="Arial Narrow" w:hAnsi="Arial Narrow"/>
          <w:sz w:val="16"/>
        </w:rPr>
        <w:footnoteRef/>
      </w:r>
      <w:r>
        <w:rPr>
          <w:rFonts w:ascii="Arial Narrow" w:hAnsi="Arial Narrow"/>
          <w:sz w:val="16"/>
        </w:rPr>
        <w:t xml:space="preserve"> Deleuze, Giles, </w:t>
      </w:r>
      <w:r>
        <w:rPr>
          <w:rFonts w:ascii="Arial Narrow" w:hAnsi="Arial Narrow"/>
          <w:i/>
          <w:sz w:val="16"/>
        </w:rPr>
        <w:t>Foucault,</w:t>
      </w:r>
      <w:r>
        <w:rPr>
          <w:rFonts w:ascii="Arial Narrow" w:hAnsi="Arial Narrow"/>
          <w:sz w:val="16"/>
        </w:rPr>
        <w:t xml:space="preserve"> Edicion Paidos, pp. 56.</w:t>
      </w:r>
    </w:p>
  </w:footnote>
  <w:footnote w:id="832">
    <w:p w14:paraId="6A6C2FFA" w14:textId="77777777" w:rsidR="00444BC9" w:rsidRDefault="00444BC9" w:rsidP="0082775B">
      <w:pPr>
        <w:spacing w:after="6"/>
        <w:ind w:left="284" w:hanging="284"/>
        <w:jc w:val="both"/>
        <w:rPr>
          <w:rFonts w:ascii="Arial Narrow" w:hAnsi="Arial Narrow"/>
          <w:sz w:val="18"/>
        </w:rPr>
      </w:pPr>
      <w:r>
        <w:rPr>
          <w:rFonts w:ascii="Arial Narrow" w:hAnsi="Arial Narrow"/>
          <w:sz w:val="18"/>
        </w:rPr>
        <w:t xml:space="preserve">     </w:t>
      </w:r>
      <w:r>
        <w:rPr>
          <w:rStyle w:val="Refdenotaalpie"/>
          <w:rFonts w:ascii="Arial Narrow" w:hAnsi="Arial Narrow"/>
          <w:sz w:val="18"/>
        </w:rPr>
        <w:footnoteRef/>
      </w:r>
      <w:r>
        <w:rPr>
          <w:rFonts w:ascii="Arial Narrow" w:hAnsi="Arial Narrow"/>
          <w:sz w:val="18"/>
        </w:rPr>
        <w:t xml:space="preserve"> </w:t>
      </w:r>
      <w:r>
        <w:rPr>
          <w:rFonts w:ascii="Arial Narrow" w:hAnsi="Arial Narrow"/>
          <w:smallCaps/>
          <w:sz w:val="18"/>
        </w:rPr>
        <w:t>Foucault</w:t>
      </w:r>
      <w:r>
        <w:rPr>
          <w:rFonts w:ascii="Arial Narrow" w:hAnsi="Arial Narrow"/>
          <w:sz w:val="18"/>
        </w:rPr>
        <w:t xml:space="preserve">, Michel. </w:t>
      </w:r>
      <w:r>
        <w:rPr>
          <w:rFonts w:ascii="Arial Narrow" w:hAnsi="Arial Narrow"/>
          <w:i/>
          <w:sz w:val="18"/>
        </w:rPr>
        <w:t>Microfísica del poder.</w:t>
      </w:r>
      <w:r>
        <w:rPr>
          <w:rFonts w:ascii="Arial Narrow" w:hAnsi="Arial Narrow"/>
          <w:sz w:val="18"/>
        </w:rPr>
        <w:t xml:space="preserve">  Editorial, p. 142. </w:t>
      </w:r>
    </w:p>
  </w:footnote>
  <w:footnote w:id="833">
    <w:p w14:paraId="5379890C" w14:textId="77777777" w:rsidR="00444BC9" w:rsidRDefault="00444BC9" w:rsidP="0082775B">
      <w:pPr>
        <w:pStyle w:val="Textonotapie"/>
        <w:rPr>
          <w:rFonts w:ascii="Arial Narrow" w:hAnsi="Arial Narrow"/>
          <w:sz w:val="16"/>
        </w:rPr>
      </w:pPr>
      <w:r>
        <w:rPr>
          <w:rStyle w:val="Refdenotaalpie"/>
          <w:rFonts w:ascii="Arial Narrow" w:hAnsi="Arial Narrow"/>
          <w:sz w:val="16"/>
        </w:rPr>
        <w:footnoteRef/>
      </w:r>
      <w:r>
        <w:rPr>
          <w:rFonts w:ascii="Arial Narrow" w:hAnsi="Arial Narrow"/>
          <w:sz w:val="16"/>
        </w:rPr>
        <w:t xml:space="preserve"> </w:t>
      </w:r>
      <w:r>
        <w:rPr>
          <w:rFonts w:ascii="Arial Narrow" w:hAnsi="Arial Narrow"/>
          <w:smallCaps/>
          <w:sz w:val="16"/>
        </w:rPr>
        <w:t>Bobbio</w:t>
      </w:r>
      <w:r>
        <w:rPr>
          <w:rFonts w:ascii="Arial Narrow" w:hAnsi="Arial Narrow"/>
          <w:sz w:val="16"/>
        </w:rPr>
        <w:t xml:space="preserve">, Nolberto. </w:t>
      </w:r>
      <w:r>
        <w:rPr>
          <w:rFonts w:ascii="Arial Narrow" w:hAnsi="Arial Narrow"/>
          <w:i/>
          <w:sz w:val="16"/>
        </w:rPr>
        <w:t xml:space="preserve">Estado, Gobierno y Sociedad. </w:t>
      </w:r>
      <w:r>
        <w:rPr>
          <w:rFonts w:ascii="Arial Narrow" w:hAnsi="Arial Narrow"/>
          <w:sz w:val="16"/>
        </w:rPr>
        <w:t>Editorial Fondo de Cultura Económica de México. pp. 125</w:t>
      </w:r>
    </w:p>
  </w:footnote>
  <w:footnote w:id="834">
    <w:p w14:paraId="788B7B88" w14:textId="77777777" w:rsidR="00444BC9" w:rsidRPr="004A7EC6" w:rsidRDefault="00444BC9" w:rsidP="0082775B">
      <w:pPr>
        <w:pStyle w:val="Textonotapie"/>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w:t>
      </w:r>
      <w:r w:rsidRPr="004A7EC6">
        <w:rPr>
          <w:rFonts w:ascii="Arial" w:hAnsi="Arial" w:cs="Arial"/>
          <w:smallCaps/>
          <w:sz w:val="16"/>
          <w:szCs w:val="16"/>
        </w:rPr>
        <w:t>Morales Godo</w:t>
      </w:r>
      <w:r w:rsidRPr="004A7EC6">
        <w:rPr>
          <w:rFonts w:ascii="Arial" w:hAnsi="Arial" w:cs="Arial"/>
          <w:sz w:val="16"/>
          <w:szCs w:val="16"/>
        </w:rPr>
        <w:t xml:space="preserve">, Juan. </w:t>
      </w:r>
      <w:r w:rsidRPr="004A7EC6">
        <w:rPr>
          <w:rFonts w:ascii="Arial" w:hAnsi="Arial" w:cs="Arial"/>
          <w:i/>
          <w:sz w:val="16"/>
          <w:szCs w:val="16"/>
        </w:rPr>
        <w:t>El Derecho a la vida privada y el conflicto con la libertad de información.</w:t>
      </w:r>
      <w:r w:rsidRPr="004A7EC6">
        <w:rPr>
          <w:rFonts w:ascii="Arial" w:hAnsi="Arial" w:cs="Arial"/>
          <w:sz w:val="16"/>
          <w:szCs w:val="16"/>
        </w:rPr>
        <w:t xml:space="preserve"> Editorial Grijley. Lima, Perú. 1995. Pp. 45.</w:t>
      </w:r>
    </w:p>
  </w:footnote>
  <w:footnote w:id="835">
    <w:p w14:paraId="1A0EF902" w14:textId="77777777" w:rsidR="00444BC9" w:rsidRPr="004A7EC6" w:rsidRDefault="00444BC9" w:rsidP="0082775B">
      <w:pPr>
        <w:pStyle w:val="Textonotapie"/>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w:t>
      </w:r>
      <w:r w:rsidRPr="004A7EC6">
        <w:rPr>
          <w:rFonts w:ascii="Arial" w:hAnsi="Arial" w:cs="Arial"/>
          <w:smallCaps/>
          <w:sz w:val="16"/>
          <w:szCs w:val="16"/>
        </w:rPr>
        <w:t>Morales Godo</w:t>
      </w:r>
      <w:r w:rsidRPr="004A7EC6">
        <w:rPr>
          <w:rFonts w:ascii="Arial" w:hAnsi="Arial" w:cs="Arial"/>
          <w:sz w:val="16"/>
          <w:szCs w:val="16"/>
        </w:rPr>
        <w:t xml:space="preserve">, Juan. </w:t>
      </w:r>
      <w:r w:rsidRPr="004A7EC6">
        <w:rPr>
          <w:rFonts w:ascii="Arial" w:hAnsi="Arial" w:cs="Arial"/>
          <w:i/>
          <w:sz w:val="16"/>
          <w:szCs w:val="16"/>
        </w:rPr>
        <w:t>El Derecho a la vida privada y el conflicto con la libertad de información.</w:t>
      </w:r>
      <w:r w:rsidRPr="004A7EC6">
        <w:rPr>
          <w:rFonts w:ascii="Arial" w:hAnsi="Arial" w:cs="Arial"/>
          <w:sz w:val="16"/>
          <w:szCs w:val="16"/>
        </w:rPr>
        <w:t xml:space="preserve"> Editorial Grijley. Lima, Perú. 1995. Pp. 48.</w:t>
      </w:r>
    </w:p>
  </w:footnote>
  <w:footnote w:id="836">
    <w:p w14:paraId="4B738B15"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mallCaps/>
          <w:sz w:val="16"/>
          <w:szCs w:val="16"/>
          <w:lang w:val="es-ES_tradnl"/>
        </w:rPr>
        <w:t xml:space="preserve"> de trazegnies granda,Fernando. </w:t>
      </w:r>
      <w:r w:rsidRPr="004A7EC6">
        <w:rPr>
          <w:rFonts w:cs="Arial"/>
          <w:sz w:val="16"/>
          <w:szCs w:val="16"/>
          <w:lang w:val="es-ES_tradnl"/>
        </w:rPr>
        <w:t xml:space="preserve">Reflexiones sobre la </w:t>
      </w:r>
      <w:r w:rsidRPr="004A7EC6">
        <w:rPr>
          <w:rFonts w:cs="Arial"/>
          <w:i/>
          <w:smallCaps/>
          <w:sz w:val="16"/>
          <w:szCs w:val="16"/>
          <w:lang w:val="es-ES_tradnl"/>
        </w:rPr>
        <w:t>S</w:t>
      </w:r>
      <w:r w:rsidRPr="004A7EC6">
        <w:rPr>
          <w:rFonts w:cs="Arial"/>
          <w:i/>
          <w:sz w:val="16"/>
          <w:szCs w:val="16"/>
          <w:lang w:val="es-ES_tradnl"/>
        </w:rPr>
        <w:t>ociedad Civil y el Poder Judicial</w:t>
      </w:r>
      <w:r w:rsidRPr="004A7EC6">
        <w:rPr>
          <w:rFonts w:cs="Arial"/>
          <w:sz w:val="16"/>
          <w:szCs w:val="16"/>
          <w:lang w:val="es-ES_tradnl"/>
        </w:rPr>
        <w:t>. Editorial Ara. pp. 53.</w:t>
      </w:r>
    </w:p>
  </w:footnote>
  <w:footnote w:id="837">
    <w:p w14:paraId="2AAB77CD"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z w:val="16"/>
          <w:szCs w:val="16"/>
          <w:lang w:val="es-ES_tradnl"/>
        </w:rPr>
        <w:t xml:space="preserve"> </w:t>
      </w:r>
      <w:r w:rsidRPr="004A7EC6">
        <w:rPr>
          <w:rFonts w:cs="Arial"/>
          <w:smallCaps/>
          <w:sz w:val="16"/>
          <w:szCs w:val="16"/>
          <w:lang w:val="es-ES_tradnl"/>
        </w:rPr>
        <w:t xml:space="preserve">de trazegnies granda,Fernando. </w:t>
      </w:r>
      <w:r w:rsidRPr="004A7EC6">
        <w:rPr>
          <w:rFonts w:cs="Arial"/>
          <w:sz w:val="16"/>
          <w:szCs w:val="16"/>
          <w:lang w:val="es-ES_tradnl"/>
        </w:rPr>
        <w:t xml:space="preserve">Reflexiones sobre la </w:t>
      </w:r>
      <w:r w:rsidRPr="004A7EC6">
        <w:rPr>
          <w:rFonts w:cs="Arial"/>
          <w:i/>
          <w:smallCaps/>
          <w:sz w:val="16"/>
          <w:szCs w:val="16"/>
          <w:lang w:val="es-ES_tradnl"/>
        </w:rPr>
        <w:t>S</w:t>
      </w:r>
      <w:r w:rsidRPr="004A7EC6">
        <w:rPr>
          <w:rFonts w:cs="Arial"/>
          <w:i/>
          <w:sz w:val="16"/>
          <w:szCs w:val="16"/>
          <w:lang w:val="es-ES_tradnl"/>
        </w:rPr>
        <w:t>ociedad Civil y el Poder Judicial</w:t>
      </w:r>
      <w:r w:rsidRPr="004A7EC6">
        <w:rPr>
          <w:rFonts w:cs="Arial"/>
          <w:sz w:val="16"/>
          <w:szCs w:val="16"/>
          <w:lang w:val="es-ES_tradnl"/>
        </w:rPr>
        <w:t>. Editorial Ara. pp. 53</w:t>
      </w:r>
    </w:p>
  </w:footnote>
  <w:footnote w:id="838">
    <w:p w14:paraId="0F1FBEC7"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z w:val="16"/>
          <w:szCs w:val="16"/>
          <w:lang w:val="es-ES_tradnl"/>
        </w:rPr>
        <w:t xml:space="preserve"> </w:t>
      </w:r>
      <w:r w:rsidRPr="004A7EC6">
        <w:rPr>
          <w:rFonts w:cs="Arial"/>
          <w:smallCaps/>
          <w:sz w:val="16"/>
          <w:szCs w:val="16"/>
          <w:lang w:val="es-ES_tradnl"/>
        </w:rPr>
        <w:t xml:space="preserve">rubio correa, </w:t>
      </w:r>
      <w:r w:rsidRPr="004A7EC6">
        <w:rPr>
          <w:rFonts w:cs="Arial"/>
          <w:sz w:val="16"/>
          <w:szCs w:val="16"/>
          <w:lang w:val="es-ES_tradnl"/>
        </w:rPr>
        <w:t xml:space="preserve">Marcial. </w:t>
      </w:r>
      <w:r w:rsidRPr="004A7EC6">
        <w:rPr>
          <w:rFonts w:cs="Arial"/>
          <w:i/>
          <w:sz w:val="16"/>
          <w:szCs w:val="16"/>
          <w:lang w:val="es-ES_tradnl"/>
        </w:rPr>
        <w:t xml:space="preserve">El Ser Humano como Persona Natural. </w:t>
      </w:r>
      <w:r w:rsidRPr="004A7EC6">
        <w:rPr>
          <w:rFonts w:cs="Arial"/>
          <w:sz w:val="16"/>
          <w:szCs w:val="16"/>
          <w:lang w:val="es-ES_tradnl"/>
        </w:rPr>
        <w:t>Editorial de la Pontificia Universidad Católica del Perú. Para leer el Código Civil. Lima. pp. 36.</w:t>
      </w:r>
    </w:p>
  </w:footnote>
  <w:footnote w:id="839">
    <w:p w14:paraId="4FE6A0D3"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mallCaps/>
          <w:sz w:val="16"/>
          <w:szCs w:val="16"/>
          <w:lang w:val="es-ES_tradnl"/>
        </w:rPr>
        <w:t xml:space="preserve">rubio correa, </w:t>
      </w:r>
      <w:r w:rsidRPr="004A7EC6">
        <w:rPr>
          <w:rFonts w:cs="Arial"/>
          <w:sz w:val="16"/>
          <w:szCs w:val="16"/>
          <w:lang w:val="es-ES_tradnl"/>
        </w:rPr>
        <w:t xml:space="preserve">Marcial. </w:t>
      </w:r>
      <w:r w:rsidRPr="004A7EC6">
        <w:rPr>
          <w:rFonts w:cs="Arial"/>
          <w:i/>
          <w:sz w:val="16"/>
          <w:szCs w:val="16"/>
          <w:lang w:val="es-ES_tradnl"/>
        </w:rPr>
        <w:t xml:space="preserve">El Ser Humano como Persona Natural. </w:t>
      </w:r>
      <w:r w:rsidRPr="004A7EC6">
        <w:rPr>
          <w:rFonts w:cs="Arial"/>
          <w:sz w:val="16"/>
          <w:szCs w:val="16"/>
          <w:lang w:val="es-ES_tradnl"/>
        </w:rPr>
        <w:t>Editorial de la Pontificia Universidad Católica del Perú. Para leer el Código Civil. Lima. pp. 40.</w:t>
      </w:r>
    </w:p>
  </w:footnote>
  <w:footnote w:id="840">
    <w:p w14:paraId="5DB491E5"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mallCaps/>
          <w:sz w:val="16"/>
          <w:szCs w:val="16"/>
          <w:lang w:val="es-ES_tradnl"/>
        </w:rPr>
        <w:t xml:space="preserve">rubio correa, </w:t>
      </w:r>
      <w:r w:rsidRPr="004A7EC6">
        <w:rPr>
          <w:rFonts w:cs="Arial"/>
          <w:sz w:val="16"/>
          <w:szCs w:val="16"/>
          <w:lang w:val="es-ES_tradnl"/>
        </w:rPr>
        <w:t xml:space="preserve">Marcial. </w:t>
      </w:r>
      <w:r w:rsidRPr="004A7EC6">
        <w:rPr>
          <w:rFonts w:cs="Arial"/>
          <w:i/>
          <w:sz w:val="16"/>
          <w:szCs w:val="16"/>
          <w:lang w:val="es-ES_tradnl"/>
        </w:rPr>
        <w:t xml:space="preserve">El Ser Humano como Persona Natural. </w:t>
      </w:r>
      <w:r w:rsidRPr="004A7EC6">
        <w:rPr>
          <w:rFonts w:cs="Arial"/>
          <w:sz w:val="16"/>
          <w:szCs w:val="16"/>
          <w:lang w:val="es-ES_tradnl"/>
        </w:rPr>
        <w:t xml:space="preserve">Editorial de la Pontificia Universidad Católica del Perú. Para leer el Código Civil. Lima. pp. 40. </w:t>
      </w:r>
    </w:p>
  </w:footnote>
  <w:footnote w:id="841">
    <w:p w14:paraId="734DF6D3"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mallCaps/>
          <w:sz w:val="16"/>
          <w:szCs w:val="16"/>
          <w:lang w:val="es-ES_tradnl"/>
        </w:rPr>
        <w:t xml:space="preserve">rubio correa, </w:t>
      </w:r>
      <w:r w:rsidRPr="004A7EC6">
        <w:rPr>
          <w:rFonts w:cs="Arial"/>
          <w:sz w:val="16"/>
          <w:szCs w:val="16"/>
          <w:lang w:val="es-ES_tradnl"/>
        </w:rPr>
        <w:t xml:space="preserve">Marcial. </w:t>
      </w:r>
      <w:r w:rsidRPr="004A7EC6">
        <w:rPr>
          <w:rFonts w:cs="Arial"/>
          <w:i/>
          <w:sz w:val="16"/>
          <w:szCs w:val="16"/>
          <w:lang w:val="es-ES_tradnl"/>
        </w:rPr>
        <w:t xml:space="preserve">El Ser Humano como Persona Natural. </w:t>
      </w:r>
      <w:r w:rsidRPr="004A7EC6">
        <w:rPr>
          <w:rFonts w:cs="Arial"/>
          <w:sz w:val="16"/>
          <w:szCs w:val="16"/>
          <w:lang w:val="es-ES_tradnl"/>
        </w:rPr>
        <w:t>Editorial de la Pontificia Universidad Católica del Perú. Para leer el Código Civil. Lima. pp. 40.</w:t>
      </w:r>
    </w:p>
  </w:footnote>
  <w:footnote w:id="842">
    <w:p w14:paraId="1102E76E" w14:textId="77777777" w:rsidR="00444BC9" w:rsidRPr="004A7EC6" w:rsidRDefault="00444BC9" w:rsidP="0082775B">
      <w:pPr>
        <w:pStyle w:val="Textodecuerpo"/>
        <w:rPr>
          <w:rFonts w:cs="Arial"/>
          <w:sz w:val="16"/>
          <w:szCs w:val="16"/>
          <w:lang w:val="es-ES_tradnl"/>
        </w:rPr>
      </w:pPr>
      <w:r w:rsidRPr="004A7EC6">
        <w:rPr>
          <w:rStyle w:val="Refdenotaalpie"/>
          <w:rFonts w:cs="Arial"/>
          <w:sz w:val="16"/>
          <w:szCs w:val="16"/>
        </w:rPr>
        <w:footnoteRef/>
      </w:r>
      <w:r w:rsidRPr="004A7EC6">
        <w:rPr>
          <w:rFonts w:cs="Arial"/>
          <w:smallCaps/>
          <w:sz w:val="16"/>
          <w:szCs w:val="16"/>
          <w:lang w:val="es-ES_tradnl"/>
        </w:rPr>
        <w:t>bullard,</w:t>
      </w:r>
      <w:r w:rsidRPr="004A7EC6">
        <w:rPr>
          <w:rFonts w:cs="Arial"/>
          <w:sz w:val="16"/>
          <w:szCs w:val="16"/>
          <w:lang w:val="es-ES_tradnl"/>
        </w:rPr>
        <w:t xml:space="preserve">Alfredo. </w:t>
      </w:r>
      <w:r w:rsidRPr="004A7EC6">
        <w:rPr>
          <w:rFonts w:cs="Arial"/>
          <w:i/>
          <w:sz w:val="16"/>
          <w:szCs w:val="16"/>
          <w:lang w:val="es-ES_tradnl"/>
        </w:rPr>
        <w:t xml:space="preserve">La Relación Jurídico Patrimonial. </w:t>
      </w:r>
      <w:r w:rsidRPr="004A7EC6">
        <w:rPr>
          <w:rFonts w:cs="Arial"/>
          <w:sz w:val="16"/>
          <w:szCs w:val="16"/>
          <w:lang w:val="es-ES_tradnl"/>
        </w:rPr>
        <w:t>Editorial Lluvia. Pp. 53</w:t>
      </w:r>
    </w:p>
  </w:footnote>
  <w:footnote w:id="843">
    <w:p w14:paraId="3775144B" w14:textId="77777777" w:rsidR="00444BC9" w:rsidRPr="004A7EC6" w:rsidRDefault="00444BC9" w:rsidP="0082775B">
      <w:pPr>
        <w:pStyle w:val="Textonotapie"/>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Balotario Desarrollado para aspirantes a Magistrados (Jueces y Fiscales). Tomo III. Editado por la Universidad Inca Garcilaso de la Vega. Facultad de Derecho y Ciencias Políticas, y el Ilustre Colegio de Abogados de lima. Dirección académica y de promoción cultural. Lima. Pp. 1918.</w:t>
      </w:r>
    </w:p>
  </w:footnote>
  <w:footnote w:id="844">
    <w:p w14:paraId="219856F7" w14:textId="77777777" w:rsidR="00444BC9" w:rsidRPr="004A7EC6" w:rsidRDefault="00444BC9" w:rsidP="0082775B">
      <w:pPr>
        <w:pStyle w:val="Textonotapie"/>
        <w:rPr>
          <w:rFonts w:ascii="Arial" w:hAnsi="Arial" w:cs="Arial"/>
          <w:sz w:val="16"/>
          <w:szCs w:val="16"/>
        </w:rPr>
      </w:pPr>
      <w:r w:rsidRPr="004A7EC6">
        <w:rPr>
          <w:rStyle w:val="Refdenotaalpie"/>
          <w:rFonts w:cs="Arial"/>
          <w:sz w:val="16"/>
          <w:szCs w:val="16"/>
        </w:rPr>
        <w:footnoteRef/>
      </w:r>
      <w:r w:rsidRPr="004A7EC6">
        <w:rPr>
          <w:rFonts w:ascii="Arial" w:hAnsi="Arial" w:cs="Arial"/>
          <w:sz w:val="16"/>
          <w:szCs w:val="16"/>
        </w:rPr>
        <w:t xml:space="preserve"> Balotario Desarrollado para aspirantes a Magistrados (Jueces y Fiscales). Tomo III. Editado por la Universidad Inca Garcilaso de la Vega. Facultad de Derecho y Ciencias Políticas, y el Ilustre Colegio de Abogados de lima. Dirección académica y de promoción cultural. Lima. Pp. 1923.</w:t>
      </w:r>
    </w:p>
  </w:footnote>
  <w:footnote w:id="845">
    <w:p w14:paraId="603BCD36" w14:textId="77777777" w:rsidR="00444BC9" w:rsidRPr="000D5820" w:rsidRDefault="00444BC9" w:rsidP="009E6E2E">
      <w:pPr>
        <w:pStyle w:val="Textonotapie"/>
      </w:pPr>
      <w:r>
        <w:rPr>
          <w:rStyle w:val="Refdenotaalpie"/>
          <w:sz w:val="16"/>
        </w:rPr>
        <w:footnoteRef/>
      </w:r>
      <w:r>
        <w:rPr>
          <w:sz w:val="16"/>
          <w:lang w:val="es-PE"/>
        </w:rPr>
        <w:t xml:space="preserve"> Bobbio, Norberto. Estado, gobierno y Sociedad. Fondo de Cultura Económica. pp. 97,98.</w:t>
      </w:r>
    </w:p>
  </w:footnote>
  <w:footnote w:id="846">
    <w:p w14:paraId="713C8B0C" w14:textId="77777777" w:rsidR="00444BC9" w:rsidRPr="000D5820" w:rsidRDefault="00444BC9" w:rsidP="009E6E2E">
      <w:pPr>
        <w:pStyle w:val="Textonotapie"/>
        <w:widowControl/>
      </w:pPr>
      <w:r>
        <w:rPr>
          <w:rStyle w:val="Refdenotaalpie"/>
        </w:rPr>
        <w:footnoteRef/>
      </w:r>
      <w:r>
        <w:rPr>
          <w:lang w:val="es-PE"/>
        </w:rPr>
        <w:t xml:space="preserve"> Jellinek, Georg.  Teoría General del Estado. Editorial Albatros. Pp. 170.</w:t>
      </w:r>
    </w:p>
  </w:footnote>
  <w:footnote w:id="847">
    <w:p w14:paraId="3AAF43EB" w14:textId="77777777" w:rsidR="00444BC9" w:rsidRPr="000D5820" w:rsidRDefault="00444BC9" w:rsidP="009E6E2E">
      <w:pPr>
        <w:pStyle w:val="Textonotapie"/>
        <w:widowControl/>
      </w:pPr>
      <w:r>
        <w:rPr>
          <w:rStyle w:val="Refdenotaalpie"/>
        </w:rPr>
        <w:footnoteRef/>
      </w:r>
      <w:r>
        <w:rPr>
          <w:lang w:val="es-PE"/>
        </w:rPr>
        <w:t xml:space="preserve"> Jellinek, Georg.  Teoría General del Estado. Editorial Albatros. Pp. 171.</w:t>
      </w:r>
    </w:p>
  </w:footnote>
  <w:footnote w:id="848">
    <w:p w14:paraId="70CD723F" w14:textId="77777777" w:rsidR="00444BC9" w:rsidRDefault="00444BC9" w:rsidP="009E6E2E">
      <w:pPr>
        <w:pStyle w:val="Textonotapie"/>
        <w:widowControl/>
      </w:pPr>
      <w:r>
        <w:rPr>
          <w:rStyle w:val="Refdenotaalpie"/>
        </w:rPr>
        <w:footnoteRef/>
      </w:r>
      <w:r>
        <w:rPr>
          <w:lang w:val="es-PE"/>
        </w:rPr>
        <w:t xml:space="preserve"> Jellinek, Georg.  Teoría General del Estado. Editorial Albatros. Pp. 172. </w:t>
      </w:r>
    </w:p>
  </w:footnote>
  <w:footnote w:id="849">
    <w:p w14:paraId="14A4DFF6" w14:textId="77777777" w:rsidR="00444BC9" w:rsidRDefault="00444BC9" w:rsidP="009E6E2E">
      <w:pPr>
        <w:ind w:left="708"/>
        <w:jc w:val="both"/>
      </w:pPr>
      <w:r>
        <w:rPr>
          <w:rStyle w:val="Refdenotaalpie"/>
          <w:sz w:val="16"/>
        </w:rPr>
        <w:footnoteRef/>
      </w:r>
      <w:r>
        <w:rPr>
          <w:sz w:val="16"/>
          <w:lang w:val="es-PE"/>
        </w:rPr>
        <w:t xml:space="preserve"> </w:t>
      </w:r>
      <w:r>
        <w:rPr>
          <w:rFonts w:ascii="Arial" w:hAnsi="Arial"/>
          <w:sz w:val="16"/>
          <w:lang w:val="es-PE"/>
        </w:rPr>
        <w:t>(Anteriormente, con la Constitución del 79 eran nueve miembros.) Los miembros eran elegidos por los Tres poderes: - Tres miembros designados por el Congreso, - Tres por el Poder Ejecutivo, - Tres por la Corte Suprema. Rubio. S.J. pp. 58.</w:t>
      </w:r>
    </w:p>
  </w:footnote>
  <w:footnote w:id="850">
    <w:p w14:paraId="1430AAA0" w14:textId="77777777" w:rsidR="00444BC9" w:rsidRPr="000D5820" w:rsidRDefault="00444BC9" w:rsidP="009E6E2E">
      <w:pPr>
        <w:pStyle w:val="Textonotapie"/>
      </w:pPr>
      <w:r>
        <w:rPr>
          <w:rStyle w:val="Refdenotaalpie"/>
          <w:sz w:val="16"/>
        </w:rPr>
        <w:footnoteRef/>
      </w:r>
      <w:r>
        <w:rPr>
          <w:sz w:val="16"/>
          <w:lang w:val="es-PE"/>
        </w:rPr>
        <w:t xml:space="preserve"> Rubio Correa. Marcial. Quítate la venda para mirarme mejor. Editorial Desco. Pp. 108.</w:t>
      </w:r>
    </w:p>
  </w:footnote>
  <w:footnote w:id="851">
    <w:p w14:paraId="2A0E6FD4" w14:textId="77777777" w:rsidR="00444BC9" w:rsidRPr="000D5820" w:rsidRDefault="00444BC9" w:rsidP="009E6E2E">
      <w:pPr>
        <w:pStyle w:val="Textonotapie"/>
      </w:pPr>
      <w:r>
        <w:rPr>
          <w:rStyle w:val="Refdenotaalpie"/>
          <w:sz w:val="16"/>
        </w:rPr>
        <w:footnoteRef/>
      </w:r>
      <w:r>
        <w:rPr>
          <w:sz w:val="16"/>
          <w:lang w:val="es-PE"/>
        </w:rPr>
        <w:t xml:space="preserve"> Rubio Correa. Marcial. Quítate la venda para mirarme mejor. Editorial Desco. Pp. 108.</w:t>
      </w:r>
    </w:p>
  </w:footnote>
  <w:footnote w:id="852">
    <w:p w14:paraId="06E4D83C" w14:textId="77777777" w:rsidR="00444BC9" w:rsidRPr="000D5820" w:rsidRDefault="00444BC9" w:rsidP="009E6E2E">
      <w:pPr>
        <w:pStyle w:val="Textonotapie"/>
      </w:pPr>
      <w:r>
        <w:rPr>
          <w:rStyle w:val="Refdenotaalpie"/>
          <w:sz w:val="16"/>
        </w:rPr>
        <w:footnoteRef/>
      </w:r>
      <w:r>
        <w:rPr>
          <w:sz w:val="16"/>
          <w:lang w:val="es-PE"/>
        </w:rPr>
        <w:t xml:space="preserve"> Rubio Correa. Marcial. Quítate la venda para mirarme mejor. Editorial Desco. Pp. 110.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E0A26" w14:textId="77777777" w:rsidR="00444BC9" w:rsidRDefault="00444BC9">
    <w:pPr>
      <w:pStyle w:val="Encabezado"/>
      <w:framePr w:wrap="auto"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484027" w14:textId="77777777" w:rsidR="00444BC9" w:rsidRDefault="00444BC9">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3B7AA" w14:textId="77777777" w:rsidR="00444BC9" w:rsidRDefault="00444BC9">
    <w:pPr>
      <w:ind w:left="-260" w:right="-260"/>
    </w:pPr>
  </w:p>
  <w:p w14:paraId="0899B01B" w14:textId="77777777" w:rsidR="00444BC9" w:rsidRDefault="00444BC9">
    <w:pPr>
      <w:spacing w:line="240" w:lineRule="exac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86843B4"/>
    <w:lvl w:ilvl="0">
      <w:numFmt w:val="decimal"/>
      <w:lvlText w:val="*"/>
      <w:lvlJc w:val="left"/>
    </w:lvl>
  </w:abstractNum>
  <w:abstractNum w:abstractNumId="1">
    <w:nsid w:val="00000001"/>
    <w:multiLevelType w:val="multilevel"/>
    <w:tmpl w:val="C34CE8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0000002"/>
    <w:multiLevelType w:val="singleLevel"/>
    <w:tmpl w:val="C4A44924"/>
    <w:lvl w:ilvl="0">
      <w:numFmt w:val="bullet"/>
      <w:lvlText w:val="*"/>
      <w:lvlJc w:val="left"/>
    </w:lvl>
  </w:abstractNum>
  <w:abstractNum w:abstractNumId="3">
    <w:nsid w:val="035C04E1"/>
    <w:multiLevelType w:val="hybridMultilevel"/>
    <w:tmpl w:val="3228842A"/>
    <w:lvl w:ilvl="0" w:tplc="0C0A0017">
      <w:start w:val="1"/>
      <w:numFmt w:val="lowerLetter"/>
      <w:lvlText w:val="%1)"/>
      <w:lvlJc w:val="left"/>
      <w:pPr>
        <w:tabs>
          <w:tab w:val="num" w:pos="720"/>
        </w:tabs>
        <w:ind w:left="720" w:hanging="360"/>
      </w:pPr>
      <w:rPr>
        <w:rFonts w:hint="default"/>
      </w:rPr>
    </w:lvl>
    <w:lvl w:ilvl="1" w:tplc="BFDAAE34">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3C78AE"/>
    <w:multiLevelType w:val="hybridMultilevel"/>
    <w:tmpl w:val="6ECE3526"/>
    <w:lvl w:ilvl="0" w:tplc="280A0001">
      <w:start w:val="1"/>
      <w:numFmt w:val="bullet"/>
      <w:lvlText w:val=""/>
      <w:lvlJc w:val="left"/>
      <w:pPr>
        <w:tabs>
          <w:tab w:val="num" w:pos="720"/>
        </w:tabs>
        <w:ind w:left="720" w:hanging="360"/>
      </w:pPr>
      <w:rPr>
        <w:rFonts w:ascii="Symbol" w:hAnsi="Symbol"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5">
    <w:nsid w:val="0999713D"/>
    <w:multiLevelType w:val="hybridMultilevel"/>
    <w:tmpl w:val="E584A670"/>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
    <w:nsid w:val="0D453C98"/>
    <w:multiLevelType w:val="singleLevel"/>
    <w:tmpl w:val="345ADB0A"/>
    <w:lvl w:ilvl="0">
      <w:start w:val="1"/>
      <w:numFmt w:val="decimal"/>
      <w:lvlText w:val="%1."/>
      <w:legacy w:legacy="1" w:legacySpace="120" w:legacyIndent="360"/>
      <w:lvlJc w:val="left"/>
      <w:pPr>
        <w:ind w:left="1800" w:hanging="360"/>
      </w:pPr>
    </w:lvl>
  </w:abstractNum>
  <w:abstractNum w:abstractNumId="7">
    <w:nsid w:val="0FFA2556"/>
    <w:multiLevelType w:val="singleLevel"/>
    <w:tmpl w:val="A71A317E"/>
    <w:lvl w:ilvl="0">
      <w:start w:val="1"/>
      <w:numFmt w:val="lowerLetter"/>
      <w:lvlText w:val="%1)"/>
      <w:legacy w:legacy="1" w:legacySpace="120" w:legacyIndent="360"/>
      <w:lvlJc w:val="left"/>
      <w:pPr>
        <w:ind w:left="720" w:hanging="360"/>
      </w:pPr>
    </w:lvl>
  </w:abstractNum>
  <w:abstractNum w:abstractNumId="8">
    <w:nsid w:val="13E154F5"/>
    <w:multiLevelType w:val="singleLevel"/>
    <w:tmpl w:val="A71A317E"/>
    <w:lvl w:ilvl="0">
      <w:start w:val="1"/>
      <w:numFmt w:val="lowerLetter"/>
      <w:lvlText w:val="%1)"/>
      <w:legacy w:legacy="1" w:legacySpace="120" w:legacyIndent="360"/>
      <w:lvlJc w:val="left"/>
      <w:pPr>
        <w:ind w:left="720" w:hanging="360"/>
      </w:pPr>
    </w:lvl>
  </w:abstractNum>
  <w:abstractNum w:abstractNumId="9">
    <w:nsid w:val="13F603D6"/>
    <w:multiLevelType w:val="singleLevel"/>
    <w:tmpl w:val="D2045B76"/>
    <w:lvl w:ilvl="0">
      <w:start w:val="1"/>
      <w:numFmt w:val="decimal"/>
      <w:lvlText w:val="%1)"/>
      <w:legacy w:legacy="1" w:legacySpace="0" w:legacyIndent="360"/>
      <w:lvlJc w:val="left"/>
      <w:pPr>
        <w:ind w:left="644" w:hanging="360"/>
      </w:pPr>
    </w:lvl>
  </w:abstractNum>
  <w:abstractNum w:abstractNumId="10">
    <w:nsid w:val="162B36B4"/>
    <w:multiLevelType w:val="singleLevel"/>
    <w:tmpl w:val="A71A317E"/>
    <w:lvl w:ilvl="0">
      <w:start w:val="1"/>
      <w:numFmt w:val="lowerLetter"/>
      <w:lvlText w:val="%1)"/>
      <w:legacy w:legacy="1" w:legacySpace="120" w:legacyIndent="360"/>
      <w:lvlJc w:val="left"/>
      <w:pPr>
        <w:ind w:left="720" w:hanging="360"/>
      </w:pPr>
    </w:lvl>
  </w:abstractNum>
  <w:abstractNum w:abstractNumId="11">
    <w:nsid w:val="18C20DA9"/>
    <w:multiLevelType w:val="hybridMultilevel"/>
    <w:tmpl w:val="5E14B338"/>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nsid w:val="19144AE4"/>
    <w:multiLevelType w:val="hybridMultilevel"/>
    <w:tmpl w:val="8D72BFCE"/>
    <w:lvl w:ilvl="0" w:tplc="280A0001">
      <w:start w:val="1"/>
      <w:numFmt w:val="bullet"/>
      <w:lvlText w:val=""/>
      <w:lvlJc w:val="left"/>
      <w:pPr>
        <w:tabs>
          <w:tab w:val="num" w:pos="1428"/>
        </w:tabs>
        <w:ind w:left="1428" w:hanging="360"/>
      </w:pPr>
      <w:rPr>
        <w:rFonts w:ascii="Symbol" w:hAnsi="Symbol" w:hint="default"/>
      </w:rPr>
    </w:lvl>
    <w:lvl w:ilvl="1" w:tplc="280A0003" w:tentative="1">
      <w:start w:val="1"/>
      <w:numFmt w:val="bullet"/>
      <w:lvlText w:val="o"/>
      <w:lvlJc w:val="left"/>
      <w:pPr>
        <w:tabs>
          <w:tab w:val="num" w:pos="2148"/>
        </w:tabs>
        <w:ind w:left="2148" w:hanging="360"/>
      </w:pPr>
      <w:rPr>
        <w:rFonts w:ascii="Courier New" w:hAnsi="Courier New" w:cs="Courier New" w:hint="default"/>
      </w:rPr>
    </w:lvl>
    <w:lvl w:ilvl="2" w:tplc="280A0005" w:tentative="1">
      <w:start w:val="1"/>
      <w:numFmt w:val="bullet"/>
      <w:lvlText w:val=""/>
      <w:lvlJc w:val="left"/>
      <w:pPr>
        <w:tabs>
          <w:tab w:val="num" w:pos="2868"/>
        </w:tabs>
        <w:ind w:left="2868" w:hanging="360"/>
      </w:pPr>
      <w:rPr>
        <w:rFonts w:ascii="Wingdings" w:hAnsi="Wingdings" w:hint="default"/>
      </w:rPr>
    </w:lvl>
    <w:lvl w:ilvl="3" w:tplc="280A0001" w:tentative="1">
      <w:start w:val="1"/>
      <w:numFmt w:val="bullet"/>
      <w:lvlText w:val=""/>
      <w:lvlJc w:val="left"/>
      <w:pPr>
        <w:tabs>
          <w:tab w:val="num" w:pos="3588"/>
        </w:tabs>
        <w:ind w:left="3588" w:hanging="360"/>
      </w:pPr>
      <w:rPr>
        <w:rFonts w:ascii="Symbol" w:hAnsi="Symbol" w:hint="default"/>
      </w:rPr>
    </w:lvl>
    <w:lvl w:ilvl="4" w:tplc="280A0003" w:tentative="1">
      <w:start w:val="1"/>
      <w:numFmt w:val="bullet"/>
      <w:lvlText w:val="o"/>
      <w:lvlJc w:val="left"/>
      <w:pPr>
        <w:tabs>
          <w:tab w:val="num" w:pos="4308"/>
        </w:tabs>
        <w:ind w:left="4308" w:hanging="360"/>
      </w:pPr>
      <w:rPr>
        <w:rFonts w:ascii="Courier New" w:hAnsi="Courier New" w:cs="Courier New" w:hint="default"/>
      </w:rPr>
    </w:lvl>
    <w:lvl w:ilvl="5" w:tplc="280A0005" w:tentative="1">
      <w:start w:val="1"/>
      <w:numFmt w:val="bullet"/>
      <w:lvlText w:val=""/>
      <w:lvlJc w:val="left"/>
      <w:pPr>
        <w:tabs>
          <w:tab w:val="num" w:pos="5028"/>
        </w:tabs>
        <w:ind w:left="5028" w:hanging="360"/>
      </w:pPr>
      <w:rPr>
        <w:rFonts w:ascii="Wingdings" w:hAnsi="Wingdings" w:hint="default"/>
      </w:rPr>
    </w:lvl>
    <w:lvl w:ilvl="6" w:tplc="280A0001" w:tentative="1">
      <w:start w:val="1"/>
      <w:numFmt w:val="bullet"/>
      <w:lvlText w:val=""/>
      <w:lvlJc w:val="left"/>
      <w:pPr>
        <w:tabs>
          <w:tab w:val="num" w:pos="5748"/>
        </w:tabs>
        <w:ind w:left="5748" w:hanging="360"/>
      </w:pPr>
      <w:rPr>
        <w:rFonts w:ascii="Symbol" w:hAnsi="Symbol" w:hint="default"/>
      </w:rPr>
    </w:lvl>
    <w:lvl w:ilvl="7" w:tplc="280A0003" w:tentative="1">
      <w:start w:val="1"/>
      <w:numFmt w:val="bullet"/>
      <w:lvlText w:val="o"/>
      <w:lvlJc w:val="left"/>
      <w:pPr>
        <w:tabs>
          <w:tab w:val="num" w:pos="6468"/>
        </w:tabs>
        <w:ind w:left="6468" w:hanging="360"/>
      </w:pPr>
      <w:rPr>
        <w:rFonts w:ascii="Courier New" w:hAnsi="Courier New" w:cs="Courier New" w:hint="default"/>
      </w:rPr>
    </w:lvl>
    <w:lvl w:ilvl="8" w:tplc="280A0005" w:tentative="1">
      <w:start w:val="1"/>
      <w:numFmt w:val="bullet"/>
      <w:lvlText w:val=""/>
      <w:lvlJc w:val="left"/>
      <w:pPr>
        <w:tabs>
          <w:tab w:val="num" w:pos="7188"/>
        </w:tabs>
        <w:ind w:left="7188" w:hanging="360"/>
      </w:pPr>
      <w:rPr>
        <w:rFonts w:ascii="Wingdings" w:hAnsi="Wingdings" w:hint="default"/>
      </w:rPr>
    </w:lvl>
  </w:abstractNum>
  <w:abstractNum w:abstractNumId="13">
    <w:nsid w:val="197F4BE8"/>
    <w:multiLevelType w:val="singleLevel"/>
    <w:tmpl w:val="A71A317E"/>
    <w:lvl w:ilvl="0">
      <w:start w:val="1"/>
      <w:numFmt w:val="lowerLetter"/>
      <w:lvlText w:val="%1)"/>
      <w:legacy w:legacy="1" w:legacySpace="120" w:legacyIndent="360"/>
      <w:lvlJc w:val="left"/>
      <w:pPr>
        <w:ind w:left="720" w:hanging="360"/>
      </w:pPr>
    </w:lvl>
  </w:abstractNum>
  <w:abstractNum w:abstractNumId="14">
    <w:nsid w:val="1A09701D"/>
    <w:multiLevelType w:val="hybridMultilevel"/>
    <w:tmpl w:val="7A5CAEA6"/>
    <w:lvl w:ilvl="0" w:tplc="9C8AC20A">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1A893354"/>
    <w:multiLevelType w:val="hybridMultilevel"/>
    <w:tmpl w:val="DA9C43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1236B3"/>
    <w:multiLevelType w:val="hybridMultilevel"/>
    <w:tmpl w:val="7E6A3F40"/>
    <w:lvl w:ilvl="0" w:tplc="FDEAA778">
      <w:start w:val="1"/>
      <w:numFmt w:val="bullet"/>
      <w:lvlText w:val=""/>
      <w:lvlJc w:val="left"/>
      <w:pPr>
        <w:tabs>
          <w:tab w:val="num" w:pos="720"/>
        </w:tabs>
        <w:ind w:left="720" w:hanging="360"/>
      </w:pPr>
      <w:rPr>
        <w:rFonts w:ascii="Symbol" w:hAnsi="Symbol" w:hint="default"/>
        <w:sz w:val="20"/>
      </w:rPr>
    </w:lvl>
    <w:lvl w:ilvl="1" w:tplc="32B6ECEC" w:tentative="1">
      <w:start w:val="1"/>
      <w:numFmt w:val="bullet"/>
      <w:lvlText w:val="o"/>
      <w:lvlJc w:val="left"/>
      <w:pPr>
        <w:tabs>
          <w:tab w:val="num" w:pos="1440"/>
        </w:tabs>
        <w:ind w:left="1440" w:hanging="360"/>
      </w:pPr>
      <w:rPr>
        <w:rFonts w:ascii="Courier New" w:hAnsi="Courier New" w:hint="default"/>
        <w:sz w:val="20"/>
      </w:rPr>
    </w:lvl>
    <w:lvl w:ilvl="2" w:tplc="B4A0F144" w:tentative="1">
      <w:start w:val="1"/>
      <w:numFmt w:val="bullet"/>
      <w:lvlText w:val=""/>
      <w:lvlJc w:val="left"/>
      <w:pPr>
        <w:tabs>
          <w:tab w:val="num" w:pos="2160"/>
        </w:tabs>
        <w:ind w:left="2160" w:hanging="360"/>
      </w:pPr>
      <w:rPr>
        <w:rFonts w:ascii="Wingdings" w:hAnsi="Wingdings" w:hint="default"/>
        <w:sz w:val="20"/>
      </w:rPr>
    </w:lvl>
    <w:lvl w:ilvl="3" w:tplc="76921ECC" w:tentative="1">
      <w:start w:val="1"/>
      <w:numFmt w:val="bullet"/>
      <w:lvlText w:val=""/>
      <w:lvlJc w:val="left"/>
      <w:pPr>
        <w:tabs>
          <w:tab w:val="num" w:pos="2880"/>
        </w:tabs>
        <w:ind w:left="2880" w:hanging="360"/>
      </w:pPr>
      <w:rPr>
        <w:rFonts w:ascii="Wingdings" w:hAnsi="Wingdings" w:hint="default"/>
        <w:sz w:val="20"/>
      </w:rPr>
    </w:lvl>
    <w:lvl w:ilvl="4" w:tplc="C860B55E" w:tentative="1">
      <w:start w:val="1"/>
      <w:numFmt w:val="bullet"/>
      <w:lvlText w:val=""/>
      <w:lvlJc w:val="left"/>
      <w:pPr>
        <w:tabs>
          <w:tab w:val="num" w:pos="3600"/>
        </w:tabs>
        <w:ind w:left="3600" w:hanging="360"/>
      </w:pPr>
      <w:rPr>
        <w:rFonts w:ascii="Wingdings" w:hAnsi="Wingdings" w:hint="default"/>
        <w:sz w:val="20"/>
      </w:rPr>
    </w:lvl>
    <w:lvl w:ilvl="5" w:tplc="47A614E0" w:tentative="1">
      <w:start w:val="1"/>
      <w:numFmt w:val="bullet"/>
      <w:lvlText w:val=""/>
      <w:lvlJc w:val="left"/>
      <w:pPr>
        <w:tabs>
          <w:tab w:val="num" w:pos="4320"/>
        </w:tabs>
        <w:ind w:left="4320" w:hanging="360"/>
      </w:pPr>
      <w:rPr>
        <w:rFonts w:ascii="Wingdings" w:hAnsi="Wingdings" w:hint="default"/>
        <w:sz w:val="20"/>
      </w:rPr>
    </w:lvl>
    <w:lvl w:ilvl="6" w:tplc="32FC6626" w:tentative="1">
      <w:start w:val="1"/>
      <w:numFmt w:val="bullet"/>
      <w:lvlText w:val=""/>
      <w:lvlJc w:val="left"/>
      <w:pPr>
        <w:tabs>
          <w:tab w:val="num" w:pos="5040"/>
        </w:tabs>
        <w:ind w:left="5040" w:hanging="360"/>
      </w:pPr>
      <w:rPr>
        <w:rFonts w:ascii="Wingdings" w:hAnsi="Wingdings" w:hint="default"/>
        <w:sz w:val="20"/>
      </w:rPr>
    </w:lvl>
    <w:lvl w:ilvl="7" w:tplc="600AF9B4" w:tentative="1">
      <w:start w:val="1"/>
      <w:numFmt w:val="bullet"/>
      <w:lvlText w:val=""/>
      <w:lvlJc w:val="left"/>
      <w:pPr>
        <w:tabs>
          <w:tab w:val="num" w:pos="5760"/>
        </w:tabs>
        <w:ind w:left="5760" w:hanging="360"/>
      </w:pPr>
      <w:rPr>
        <w:rFonts w:ascii="Wingdings" w:hAnsi="Wingdings" w:hint="default"/>
        <w:sz w:val="20"/>
      </w:rPr>
    </w:lvl>
    <w:lvl w:ilvl="8" w:tplc="F84E692C"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953933"/>
    <w:multiLevelType w:val="singleLevel"/>
    <w:tmpl w:val="345ADB0A"/>
    <w:lvl w:ilvl="0">
      <w:start w:val="1"/>
      <w:numFmt w:val="decimal"/>
      <w:lvlText w:val="%1."/>
      <w:legacy w:legacy="1" w:legacySpace="120" w:legacyIndent="360"/>
      <w:lvlJc w:val="left"/>
      <w:pPr>
        <w:ind w:left="720" w:hanging="360"/>
      </w:pPr>
    </w:lvl>
  </w:abstractNum>
  <w:abstractNum w:abstractNumId="18">
    <w:nsid w:val="267343CB"/>
    <w:multiLevelType w:val="hybridMultilevel"/>
    <w:tmpl w:val="247AD880"/>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9">
    <w:nsid w:val="286B48DC"/>
    <w:multiLevelType w:val="singleLevel"/>
    <w:tmpl w:val="CD2832A8"/>
    <w:lvl w:ilvl="0">
      <w:start w:val="1"/>
      <w:numFmt w:val="decimal"/>
      <w:lvlText w:val="%1."/>
      <w:legacy w:legacy="1" w:legacySpace="120" w:legacyIndent="360"/>
      <w:lvlJc w:val="left"/>
      <w:pPr>
        <w:ind w:left="0" w:hanging="360"/>
      </w:pPr>
    </w:lvl>
  </w:abstractNum>
  <w:abstractNum w:abstractNumId="20">
    <w:nsid w:val="2AE24CF3"/>
    <w:multiLevelType w:val="singleLevel"/>
    <w:tmpl w:val="A71A317E"/>
    <w:lvl w:ilvl="0">
      <w:start w:val="1"/>
      <w:numFmt w:val="lowerLetter"/>
      <w:lvlText w:val="%1)"/>
      <w:legacy w:legacy="1" w:legacySpace="120" w:legacyIndent="360"/>
      <w:lvlJc w:val="left"/>
      <w:pPr>
        <w:ind w:left="1440" w:hanging="360"/>
      </w:pPr>
    </w:lvl>
  </w:abstractNum>
  <w:abstractNum w:abstractNumId="21">
    <w:nsid w:val="31C749EB"/>
    <w:multiLevelType w:val="singleLevel"/>
    <w:tmpl w:val="1830420A"/>
    <w:lvl w:ilvl="0">
      <w:start w:val="2"/>
      <w:numFmt w:val="decimal"/>
      <w:lvlText w:val="%1."/>
      <w:legacy w:legacy="1" w:legacySpace="0" w:legacyIndent="360"/>
      <w:lvlJc w:val="left"/>
      <w:rPr>
        <w:rFonts w:ascii="Times New Roman" w:hAnsi="Times New Roman" w:cs="Times New Roman" w:hint="default"/>
      </w:rPr>
    </w:lvl>
  </w:abstractNum>
  <w:abstractNum w:abstractNumId="22">
    <w:nsid w:val="32A93908"/>
    <w:multiLevelType w:val="hybridMultilevel"/>
    <w:tmpl w:val="4F667B8E"/>
    <w:lvl w:ilvl="0" w:tplc="B4B415E6">
      <w:start w:val="1"/>
      <w:numFmt w:val="decimal"/>
      <w:lvlText w:val="%1)"/>
      <w:lvlJc w:val="left"/>
      <w:pPr>
        <w:ind w:left="1636"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3">
    <w:nsid w:val="32CA3F5C"/>
    <w:multiLevelType w:val="hybridMultilevel"/>
    <w:tmpl w:val="3EB88E48"/>
    <w:lvl w:ilvl="0" w:tplc="998AE64A">
      <w:start w:val="1"/>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33AA492C"/>
    <w:multiLevelType w:val="hybridMultilevel"/>
    <w:tmpl w:val="D98A0676"/>
    <w:lvl w:ilvl="0" w:tplc="0C0A0005">
      <w:start w:val="1"/>
      <w:numFmt w:val="bullet"/>
      <w:lvlText w:val=""/>
      <w:lvlJc w:val="left"/>
      <w:pPr>
        <w:ind w:left="1416" w:hanging="360"/>
      </w:pPr>
      <w:rPr>
        <w:rFonts w:ascii="Wingdings" w:hAnsi="Wingdings" w:hint="default"/>
      </w:rPr>
    </w:lvl>
    <w:lvl w:ilvl="1" w:tplc="0C0A0003" w:tentative="1">
      <w:start w:val="1"/>
      <w:numFmt w:val="bullet"/>
      <w:lvlText w:val="o"/>
      <w:lvlJc w:val="left"/>
      <w:pPr>
        <w:ind w:left="2136" w:hanging="360"/>
      </w:pPr>
      <w:rPr>
        <w:rFonts w:ascii="Courier New" w:hAnsi="Courier New" w:cs="Courier New" w:hint="default"/>
      </w:rPr>
    </w:lvl>
    <w:lvl w:ilvl="2" w:tplc="0C0A0005" w:tentative="1">
      <w:start w:val="1"/>
      <w:numFmt w:val="bullet"/>
      <w:lvlText w:val=""/>
      <w:lvlJc w:val="left"/>
      <w:pPr>
        <w:ind w:left="2856" w:hanging="360"/>
      </w:pPr>
      <w:rPr>
        <w:rFonts w:ascii="Wingdings" w:hAnsi="Wingdings" w:hint="default"/>
      </w:rPr>
    </w:lvl>
    <w:lvl w:ilvl="3" w:tplc="0C0A0001" w:tentative="1">
      <w:start w:val="1"/>
      <w:numFmt w:val="bullet"/>
      <w:lvlText w:val=""/>
      <w:lvlJc w:val="left"/>
      <w:pPr>
        <w:ind w:left="3576" w:hanging="360"/>
      </w:pPr>
      <w:rPr>
        <w:rFonts w:ascii="Symbol" w:hAnsi="Symbol" w:hint="default"/>
      </w:rPr>
    </w:lvl>
    <w:lvl w:ilvl="4" w:tplc="0C0A0003" w:tentative="1">
      <w:start w:val="1"/>
      <w:numFmt w:val="bullet"/>
      <w:lvlText w:val="o"/>
      <w:lvlJc w:val="left"/>
      <w:pPr>
        <w:ind w:left="4296" w:hanging="360"/>
      </w:pPr>
      <w:rPr>
        <w:rFonts w:ascii="Courier New" w:hAnsi="Courier New" w:cs="Courier New" w:hint="default"/>
      </w:rPr>
    </w:lvl>
    <w:lvl w:ilvl="5" w:tplc="0C0A0005" w:tentative="1">
      <w:start w:val="1"/>
      <w:numFmt w:val="bullet"/>
      <w:lvlText w:val=""/>
      <w:lvlJc w:val="left"/>
      <w:pPr>
        <w:ind w:left="5016" w:hanging="360"/>
      </w:pPr>
      <w:rPr>
        <w:rFonts w:ascii="Wingdings" w:hAnsi="Wingdings" w:hint="default"/>
      </w:rPr>
    </w:lvl>
    <w:lvl w:ilvl="6" w:tplc="0C0A0001" w:tentative="1">
      <w:start w:val="1"/>
      <w:numFmt w:val="bullet"/>
      <w:lvlText w:val=""/>
      <w:lvlJc w:val="left"/>
      <w:pPr>
        <w:ind w:left="5736" w:hanging="360"/>
      </w:pPr>
      <w:rPr>
        <w:rFonts w:ascii="Symbol" w:hAnsi="Symbol" w:hint="default"/>
      </w:rPr>
    </w:lvl>
    <w:lvl w:ilvl="7" w:tplc="0C0A0003" w:tentative="1">
      <w:start w:val="1"/>
      <w:numFmt w:val="bullet"/>
      <w:lvlText w:val="o"/>
      <w:lvlJc w:val="left"/>
      <w:pPr>
        <w:ind w:left="6456" w:hanging="360"/>
      </w:pPr>
      <w:rPr>
        <w:rFonts w:ascii="Courier New" w:hAnsi="Courier New" w:cs="Courier New" w:hint="default"/>
      </w:rPr>
    </w:lvl>
    <w:lvl w:ilvl="8" w:tplc="0C0A0005" w:tentative="1">
      <w:start w:val="1"/>
      <w:numFmt w:val="bullet"/>
      <w:lvlText w:val=""/>
      <w:lvlJc w:val="left"/>
      <w:pPr>
        <w:ind w:left="7176" w:hanging="360"/>
      </w:pPr>
      <w:rPr>
        <w:rFonts w:ascii="Wingdings" w:hAnsi="Wingdings" w:hint="default"/>
      </w:rPr>
    </w:lvl>
  </w:abstractNum>
  <w:abstractNum w:abstractNumId="25">
    <w:nsid w:val="33B853CE"/>
    <w:multiLevelType w:val="hybridMultilevel"/>
    <w:tmpl w:val="BCEC2FBE"/>
    <w:lvl w:ilvl="0" w:tplc="280A0001">
      <w:start w:val="1"/>
      <w:numFmt w:val="bullet"/>
      <w:lvlText w:val=""/>
      <w:lvlJc w:val="left"/>
      <w:pPr>
        <w:tabs>
          <w:tab w:val="num" w:pos="720"/>
        </w:tabs>
        <w:ind w:left="720" w:hanging="360"/>
      </w:pPr>
      <w:rPr>
        <w:rFonts w:ascii="Symbol" w:hAnsi="Symbol" w:hint="default"/>
      </w:rPr>
    </w:lvl>
    <w:lvl w:ilvl="1" w:tplc="280A0003" w:tentative="1">
      <w:start w:val="1"/>
      <w:numFmt w:val="bullet"/>
      <w:lvlText w:val="o"/>
      <w:lvlJc w:val="left"/>
      <w:pPr>
        <w:tabs>
          <w:tab w:val="num" w:pos="1440"/>
        </w:tabs>
        <w:ind w:left="1440" w:hanging="360"/>
      </w:pPr>
      <w:rPr>
        <w:rFonts w:ascii="Courier New" w:hAnsi="Courier New" w:cs="Courier New" w:hint="default"/>
      </w:rPr>
    </w:lvl>
    <w:lvl w:ilvl="2" w:tplc="280A0005" w:tentative="1">
      <w:start w:val="1"/>
      <w:numFmt w:val="bullet"/>
      <w:lvlText w:val=""/>
      <w:lvlJc w:val="left"/>
      <w:pPr>
        <w:tabs>
          <w:tab w:val="num" w:pos="2160"/>
        </w:tabs>
        <w:ind w:left="2160" w:hanging="360"/>
      </w:pPr>
      <w:rPr>
        <w:rFonts w:ascii="Wingdings" w:hAnsi="Wingdings" w:hint="default"/>
      </w:rPr>
    </w:lvl>
    <w:lvl w:ilvl="3" w:tplc="280A0001" w:tentative="1">
      <w:start w:val="1"/>
      <w:numFmt w:val="bullet"/>
      <w:lvlText w:val=""/>
      <w:lvlJc w:val="left"/>
      <w:pPr>
        <w:tabs>
          <w:tab w:val="num" w:pos="2880"/>
        </w:tabs>
        <w:ind w:left="2880" w:hanging="360"/>
      </w:pPr>
      <w:rPr>
        <w:rFonts w:ascii="Symbol" w:hAnsi="Symbol" w:hint="default"/>
      </w:rPr>
    </w:lvl>
    <w:lvl w:ilvl="4" w:tplc="280A0003" w:tentative="1">
      <w:start w:val="1"/>
      <w:numFmt w:val="bullet"/>
      <w:lvlText w:val="o"/>
      <w:lvlJc w:val="left"/>
      <w:pPr>
        <w:tabs>
          <w:tab w:val="num" w:pos="3600"/>
        </w:tabs>
        <w:ind w:left="3600" w:hanging="360"/>
      </w:pPr>
      <w:rPr>
        <w:rFonts w:ascii="Courier New" w:hAnsi="Courier New" w:cs="Courier New" w:hint="default"/>
      </w:rPr>
    </w:lvl>
    <w:lvl w:ilvl="5" w:tplc="280A0005" w:tentative="1">
      <w:start w:val="1"/>
      <w:numFmt w:val="bullet"/>
      <w:lvlText w:val=""/>
      <w:lvlJc w:val="left"/>
      <w:pPr>
        <w:tabs>
          <w:tab w:val="num" w:pos="4320"/>
        </w:tabs>
        <w:ind w:left="4320" w:hanging="360"/>
      </w:pPr>
      <w:rPr>
        <w:rFonts w:ascii="Wingdings" w:hAnsi="Wingdings" w:hint="default"/>
      </w:rPr>
    </w:lvl>
    <w:lvl w:ilvl="6" w:tplc="280A0001" w:tentative="1">
      <w:start w:val="1"/>
      <w:numFmt w:val="bullet"/>
      <w:lvlText w:val=""/>
      <w:lvlJc w:val="left"/>
      <w:pPr>
        <w:tabs>
          <w:tab w:val="num" w:pos="5040"/>
        </w:tabs>
        <w:ind w:left="5040" w:hanging="360"/>
      </w:pPr>
      <w:rPr>
        <w:rFonts w:ascii="Symbol" w:hAnsi="Symbol" w:hint="default"/>
      </w:rPr>
    </w:lvl>
    <w:lvl w:ilvl="7" w:tplc="280A0003" w:tentative="1">
      <w:start w:val="1"/>
      <w:numFmt w:val="bullet"/>
      <w:lvlText w:val="o"/>
      <w:lvlJc w:val="left"/>
      <w:pPr>
        <w:tabs>
          <w:tab w:val="num" w:pos="5760"/>
        </w:tabs>
        <w:ind w:left="5760" w:hanging="360"/>
      </w:pPr>
      <w:rPr>
        <w:rFonts w:ascii="Courier New" w:hAnsi="Courier New" w:cs="Courier New" w:hint="default"/>
      </w:rPr>
    </w:lvl>
    <w:lvl w:ilvl="8" w:tplc="280A0005" w:tentative="1">
      <w:start w:val="1"/>
      <w:numFmt w:val="bullet"/>
      <w:lvlText w:val=""/>
      <w:lvlJc w:val="left"/>
      <w:pPr>
        <w:tabs>
          <w:tab w:val="num" w:pos="6480"/>
        </w:tabs>
        <w:ind w:left="6480" w:hanging="360"/>
      </w:pPr>
      <w:rPr>
        <w:rFonts w:ascii="Wingdings" w:hAnsi="Wingdings" w:hint="default"/>
      </w:rPr>
    </w:lvl>
  </w:abstractNum>
  <w:abstractNum w:abstractNumId="26">
    <w:nsid w:val="34BC5124"/>
    <w:multiLevelType w:val="hybridMultilevel"/>
    <w:tmpl w:val="39C49D8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39400602"/>
    <w:multiLevelType w:val="hybridMultilevel"/>
    <w:tmpl w:val="22544322"/>
    <w:lvl w:ilvl="0" w:tplc="5DE0CFE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39B100E1"/>
    <w:multiLevelType w:val="singleLevel"/>
    <w:tmpl w:val="345ADB0A"/>
    <w:lvl w:ilvl="0">
      <w:start w:val="1"/>
      <w:numFmt w:val="decimal"/>
      <w:lvlText w:val="%1."/>
      <w:legacy w:legacy="1" w:legacySpace="120" w:legacyIndent="360"/>
      <w:lvlJc w:val="left"/>
      <w:pPr>
        <w:ind w:left="720" w:hanging="360"/>
      </w:pPr>
    </w:lvl>
  </w:abstractNum>
  <w:abstractNum w:abstractNumId="29">
    <w:nsid w:val="3F0C7783"/>
    <w:multiLevelType w:val="hybridMultilevel"/>
    <w:tmpl w:val="6464B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1935B16"/>
    <w:multiLevelType w:val="singleLevel"/>
    <w:tmpl w:val="429A854E"/>
    <w:lvl w:ilvl="0">
      <w:start w:val="1"/>
      <w:numFmt w:val="decimal"/>
      <w:lvlText w:val="%1. "/>
      <w:legacy w:legacy="1" w:legacySpace="0" w:legacyIndent="283"/>
      <w:lvlJc w:val="left"/>
      <w:pPr>
        <w:ind w:left="283" w:hanging="283"/>
      </w:pPr>
      <w:rPr>
        <w:rFonts w:ascii="Times New Roman" w:hAnsi="Times New Roman" w:hint="default"/>
        <w:b w:val="0"/>
        <w:i w:val="0"/>
        <w:sz w:val="20"/>
        <w:u w:val="none"/>
      </w:rPr>
    </w:lvl>
  </w:abstractNum>
  <w:abstractNum w:abstractNumId="31">
    <w:nsid w:val="438A3B34"/>
    <w:multiLevelType w:val="hybridMultilevel"/>
    <w:tmpl w:val="152804D2"/>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32">
    <w:nsid w:val="47AE2DB0"/>
    <w:multiLevelType w:val="hybridMultilevel"/>
    <w:tmpl w:val="D238374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1602510"/>
    <w:multiLevelType w:val="singleLevel"/>
    <w:tmpl w:val="A71A317E"/>
    <w:lvl w:ilvl="0">
      <w:start w:val="1"/>
      <w:numFmt w:val="lowerLetter"/>
      <w:lvlText w:val="%1)"/>
      <w:legacy w:legacy="1" w:legacySpace="120" w:legacyIndent="360"/>
      <w:lvlJc w:val="left"/>
      <w:pPr>
        <w:ind w:left="1080" w:hanging="360"/>
      </w:pPr>
    </w:lvl>
  </w:abstractNum>
  <w:abstractNum w:abstractNumId="34">
    <w:nsid w:val="593D422B"/>
    <w:multiLevelType w:val="singleLevel"/>
    <w:tmpl w:val="3866286E"/>
    <w:lvl w:ilvl="0">
      <w:start w:val="5"/>
      <w:numFmt w:val="lowerLetter"/>
      <w:lvlText w:val="%1) "/>
      <w:legacy w:legacy="1" w:legacySpace="0" w:legacyIndent="283"/>
      <w:lvlJc w:val="left"/>
      <w:pPr>
        <w:ind w:left="283" w:hanging="283"/>
      </w:pPr>
      <w:rPr>
        <w:rFonts w:ascii="Comic Sans MS" w:hAnsi="Comic Sans MS" w:hint="default"/>
        <w:b/>
        <w:i w:val="0"/>
        <w:sz w:val="22"/>
        <w:u w:val="none"/>
      </w:rPr>
    </w:lvl>
  </w:abstractNum>
  <w:abstractNum w:abstractNumId="35">
    <w:nsid w:val="5BD0172C"/>
    <w:multiLevelType w:val="singleLevel"/>
    <w:tmpl w:val="A71A317E"/>
    <w:lvl w:ilvl="0">
      <w:start w:val="1"/>
      <w:numFmt w:val="lowerLetter"/>
      <w:lvlText w:val="%1)"/>
      <w:legacy w:legacy="1" w:legacySpace="120" w:legacyIndent="360"/>
      <w:lvlJc w:val="left"/>
      <w:pPr>
        <w:ind w:left="1440" w:hanging="360"/>
      </w:pPr>
    </w:lvl>
  </w:abstractNum>
  <w:abstractNum w:abstractNumId="36">
    <w:nsid w:val="5CD76E43"/>
    <w:multiLevelType w:val="hybridMultilevel"/>
    <w:tmpl w:val="959C13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5FE35EFA"/>
    <w:multiLevelType w:val="singleLevel"/>
    <w:tmpl w:val="F54CE990"/>
    <w:lvl w:ilvl="0">
      <w:start w:val="1"/>
      <w:numFmt w:val="lowerLetter"/>
      <w:lvlText w:val="%1)"/>
      <w:legacy w:legacy="1" w:legacySpace="120" w:legacyIndent="360"/>
      <w:lvlJc w:val="left"/>
      <w:pPr>
        <w:ind w:left="0" w:hanging="360"/>
      </w:pPr>
    </w:lvl>
  </w:abstractNum>
  <w:abstractNum w:abstractNumId="38">
    <w:nsid w:val="62494E22"/>
    <w:multiLevelType w:val="singleLevel"/>
    <w:tmpl w:val="71485F22"/>
    <w:lvl w:ilvl="0">
      <w:start w:val="1"/>
      <w:numFmt w:val="decimal"/>
      <w:lvlText w:val=".%1."/>
      <w:legacy w:legacy="1" w:legacySpace="120" w:legacyIndent="390"/>
      <w:lvlJc w:val="left"/>
      <w:pPr>
        <w:ind w:left="1110" w:hanging="390"/>
      </w:pPr>
    </w:lvl>
  </w:abstractNum>
  <w:abstractNum w:abstractNumId="39">
    <w:nsid w:val="695D5982"/>
    <w:multiLevelType w:val="hybridMultilevel"/>
    <w:tmpl w:val="18B89B96"/>
    <w:lvl w:ilvl="0" w:tplc="9FECD26C">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6B1E3782"/>
    <w:multiLevelType w:val="hybridMultilevel"/>
    <w:tmpl w:val="69B23D4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F1F4F1D"/>
    <w:multiLevelType w:val="hybridMultilevel"/>
    <w:tmpl w:val="F6BE8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88773E"/>
    <w:multiLevelType w:val="singleLevel"/>
    <w:tmpl w:val="9DD6C48A"/>
    <w:lvl w:ilvl="0">
      <w:start w:val="1"/>
      <w:numFmt w:val="lowerRoman"/>
      <w:lvlText w:val="%1."/>
      <w:legacy w:legacy="1" w:legacySpace="120" w:legacyIndent="720"/>
      <w:lvlJc w:val="left"/>
      <w:pPr>
        <w:ind w:left="3240" w:hanging="720"/>
      </w:pPr>
    </w:lvl>
  </w:abstractNum>
  <w:abstractNum w:abstractNumId="43">
    <w:nsid w:val="74983893"/>
    <w:multiLevelType w:val="singleLevel"/>
    <w:tmpl w:val="F74CC342"/>
    <w:lvl w:ilvl="0">
      <w:start w:val="1"/>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44">
    <w:nsid w:val="761972DE"/>
    <w:multiLevelType w:val="hybridMultilevel"/>
    <w:tmpl w:val="028295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6FE4465"/>
    <w:multiLevelType w:val="singleLevel"/>
    <w:tmpl w:val="A71A317E"/>
    <w:lvl w:ilvl="0">
      <w:start w:val="1"/>
      <w:numFmt w:val="lowerLetter"/>
      <w:lvlText w:val="%1)"/>
      <w:legacy w:legacy="1" w:legacySpace="120" w:legacyIndent="360"/>
      <w:lvlJc w:val="left"/>
      <w:pPr>
        <w:ind w:left="1080" w:hanging="360"/>
      </w:pPr>
    </w:lvl>
  </w:abstractNum>
  <w:abstractNum w:abstractNumId="46">
    <w:nsid w:val="78104F86"/>
    <w:multiLevelType w:val="hybridMultilevel"/>
    <w:tmpl w:val="F868314E"/>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7DE804C8"/>
    <w:multiLevelType w:val="hybridMultilevel"/>
    <w:tmpl w:val="3148F944"/>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8">
    <w:nsid w:val="7E6D7D8F"/>
    <w:multiLevelType w:val="singleLevel"/>
    <w:tmpl w:val="71485F22"/>
    <w:lvl w:ilvl="0">
      <w:start w:val="1"/>
      <w:numFmt w:val="decimal"/>
      <w:lvlText w:val=".%1."/>
      <w:legacy w:legacy="1" w:legacySpace="120" w:legacyIndent="390"/>
      <w:lvlJc w:val="left"/>
      <w:pPr>
        <w:ind w:left="1110" w:hanging="390"/>
      </w:pPr>
    </w:lvl>
  </w:abstractNum>
  <w:abstractNum w:abstractNumId="49">
    <w:nsid w:val="7F5E02AF"/>
    <w:multiLevelType w:val="singleLevel"/>
    <w:tmpl w:val="F74CC342"/>
    <w:lvl w:ilvl="0">
      <w:start w:val="2"/>
      <w:numFmt w:val="lowerLetter"/>
      <w:lvlText w:val="%1) "/>
      <w:legacy w:legacy="1" w:legacySpace="0" w:legacyIndent="283"/>
      <w:lvlJc w:val="left"/>
      <w:pPr>
        <w:ind w:left="283" w:hanging="283"/>
      </w:pPr>
      <w:rPr>
        <w:rFonts w:ascii="Arial" w:hAnsi="Arial" w:cs="Arial" w:hint="default"/>
        <w:b w:val="0"/>
        <w:i w:val="0"/>
        <w:sz w:val="22"/>
        <w:u w:val="none"/>
      </w:rPr>
    </w:lvl>
  </w:abstractNum>
  <w:abstractNum w:abstractNumId="50">
    <w:nsid w:val="7F8977CD"/>
    <w:multiLevelType w:val="hybridMultilevel"/>
    <w:tmpl w:val="1AC09D58"/>
    <w:lvl w:ilvl="0" w:tplc="F8DC9C6A">
      <w:start w:val="1"/>
      <w:numFmt w:val="decimal"/>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1"/>
  </w:num>
  <w:num w:numId="2">
    <w:abstractNumId w:val="21"/>
    <w:lvlOverride w:ilvl="0">
      <w:lvl w:ilvl="0">
        <w:start w:val="3"/>
        <w:numFmt w:val="decimal"/>
        <w:lvlText w:val="%1."/>
        <w:legacy w:legacy="1" w:legacySpace="0" w:legacyIndent="360"/>
        <w:lvlJc w:val="left"/>
        <w:rPr>
          <w:rFonts w:ascii="Times New Roman" w:hAnsi="Times New Roman" w:cs="Times New Roman" w:hint="default"/>
        </w:rPr>
      </w:lvl>
    </w:lvlOverride>
  </w:num>
  <w:num w:numId="3">
    <w:abstractNumId w:val="30"/>
  </w:num>
  <w:num w:numId="4">
    <w:abstractNumId w:val="29"/>
  </w:num>
  <w:num w:numId="5">
    <w:abstractNumId w:val="41"/>
  </w:num>
  <w:num w:numId="6">
    <w:abstractNumId w:val="23"/>
  </w:num>
  <w:num w:numId="7">
    <w:abstractNumId w:val="44"/>
  </w:num>
  <w:num w:numId="8">
    <w:abstractNumId w:val="36"/>
  </w:num>
  <w:num w:numId="9">
    <w:abstractNumId w:val="15"/>
  </w:num>
  <w:num w:numId="10">
    <w:abstractNumId w:val="14"/>
  </w:num>
  <w:num w:numId="11">
    <w:abstractNumId w:val="50"/>
  </w:num>
  <w:num w:numId="12">
    <w:abstractNumId w:val="46"/>
  </w:num>
  <w:num w:numId="13">
    <w:abstractNumId w:val="16"/>
  </w:num>
  <w:num w:numId="14">
    <w:abstractNumId w:val="13"/>
  </w:num>
  <w:num w:numId="15">
    <w:abstractNumId w:val="8"/>
  </w:num>
  <w:num w:numId="16">
    <w:abstractNumId w:val="0"/>
    <w:lvlOverride w:ilvl="0">
      <w:lvl w:ilvl="0">
        <w:start w:val="1"/>
        <w:numFmt w:val="bullet"/>
        <w:lvlText w:val="-"/>
        <w:legacy w:legacy="1" w:legacySpace="120" w:legacyIndent="360"/>
        <w:lvlJc w:val="left"/>
        <w:pPr>
          <w:ind w:left="1440" w:hanging="360"/>
        </w:pPr>
      </w:lvl>
    </w:lvlOverride>
  </w:num>
  <w:num w:numId="17">
    <w:abstractNumId w:val="10"/>
  </w:num>
  <w:num w:numId="18">
    <w:abstractNumId w:val="7"/>
  </w:num>
  <w:num w:numId="19">
    <w:abstractNumId w:val="17"/>
  </w:num>
  <w:num w:numId="20">
    <w:abstractNumId w:val="35"/>
  </w:num>
  <w:num w:numId="21">
    <w:abstractNumId w:val="42"/>
  </w:num>
  <w:num w:numId="22">
    <w:abstractNumId w:val="20"/>
  </w:num>
  <w:num w:numId="23">
    <w:abstractNumId w:val="20"/>
    <w:lvlOverride w:ilvl="0">
      <w:lvl w:ilvl="0">
        <w:start w:val="1"/>
        <w:numFmt w:val="lowerLetter"/>
        <w:lvlText w:val="%1)"/>
        <w:legacy w:legacy="1" w:legacySpace="120" w:legacyIndent="375"/>
        <w:lvlJc w:val="left"/>
        <w:pPr>
          <w:ind w:left="735" w:hanging="375"/>
        </w:pPr>
      </w:lvl>
    </w:lvlOverride>
  </w:num>
  <w:num w:numId="24">
    <w:abstractNumId w:val="28"/>
  </w:num>
  <w:num w:numId="25">
    <w:abstractNumId w:val="48"/>
  </w:num>
  <w:num w:numId="26">
    <w:abstractNumId w:val="45"/>
  </w:num>
  <w:num w:numId="27">
    <w:abstractNumId w:val="33"/>
  </w:num>
  <w:num w:numId="28">
    <w:abstractNumId w:val="38"/>
  </w:num>
  <w:num w:numId="29">
    <w:abstractNumId w:val="6"/>
  </w:num>
  <w:num w:numId="30">
    <w:abstractNumId w:val="4"/>
  </w:num>
  <w:num w:numId="31">
    <w:abstractNumId w:val="12"/>
  </w:num>
  <w:num w:numId="32">
    <w:abstractNumId w:val="25"/>
  </w:num>
  <w:num w:numId="33">
    <w:abstractNumId w:val="27"/>
  </w:num>
  <w:num w:numId="34">
    <w:abstractNumId w:val="39"/>
  </w:num>
  <w:num w:numId="35">
    <w:abstractNumId w:val="34"/>
  </w:num>
  <w:num w:numId="36">
    <w:abstractNumId w:val="43"/>
  </w:num>
  <w:num w:numId="37">
    <w:abstractNumId w:val="49"/>
  </w:num>
  <w:num w:numId="38">
    <w:abstractNumId w:val="49"/>
    <w:lvlOverride w:ilvl="0">
      <w:lvl w:ilvl="0">
        <w:start w:val="1"/>
        <w:numFmt w:val="lowerLetter"/>
        <w:lvlText w:val="%1) "/>
        <w:legacy w:legacy="1" w:legacySpace="0" w:legacyIndent="283"/>
        <w:lvlJc w:val="left"/>
        <w:pPr>
          <w:ind w:left="283" w:hanging="283"/>
        </w:pPr>
        <w:rPr>
          <w:rFonts w:ascii="Arial" w:hAnsi="Arial" w:cs="Arial" w:hint="default"/>
          <w:b w:val="0"/>
          <w:i w:val="0"/>
          <w:sz w:val="22"/>
          <w:u w:val="none"/>
        </w:rPr>
      </w:lvl>
    </w:lvlOverride>
  </w:num>
  <w:num w:numId="39">
    <w:abstractNumId w:val="24"/>
  </w:num>
  <w:num w:numId="40">
    <w:abstractNumId w:val="9"/>
  </w:num>
  <w:num w:numId="41">
    <w:abstractNumId w:val="9"/>
    <w:lvlOverride w:ilvl="0">
      <w:lvl w:ilvl="0">
        <w:start w:val="2"/>
        <w:numFmt w:val="decimal"/>
        <w:lvlText w:val="%1)"/>
        <w:legacy w:legacy="1" w:legacySpace="0" w:legacyIndent="360"/>
        <w:lvlJc w:val="left"/>
        <w:pPr>
          <w:ind w:left="644" w:hanging="360"/>
        </w:pPr>
      </w:lvl>
    </w:lvlOverride>
  </w:num>
  <w:num w:numId="42">
    <w:abstractNumId w:val="9"/>
    <w:lvlOverride w:ilvl="0">
      <w:lvl w:ilvl="0">
        <w:start w:val="3"/>
        <w:numFmt w:val="decimal"/>
        <w:lvlText w:val="%1)"/>
        <w:legacy w:legacy="1" w:legacySpace="0" w:legacyIndent="360"/>
        <w:lvlJc w:val="left"/>
        <w:pPr>
          <w:ind w:left="644" w:hanging="360"/>
        </w:pPr>
      </w:lvl>
    </w:lvlOverride>
  </w:num>
  <w:num w:numId="43">
    <w:abstractNumId w:val="3"/>
  </w:num>
  <w:num w:numId="44">
    <w:abstractNumId w:val="31"/>
  </w:num>
  <w:num w:numId="45">
    <w:abstractNumId w:val="22"/>
  </w:num>
  <w:num w:numId="46">
    <w:abstractNumId w:val="26"/>
  </w:num>
  <w:num w:numId="47">
    <w:abstractNumId w:val="11"/>
  </w:num>
  <w:num w:numId="48">
    <w:abstractNumId w:val="32"/>
  </w:num>
  <w:num w:numId="49">
    <w:abstractNumId w:val="47"/>
  </w:num>
  <w:num w:numId="50">
    <w:abstractNumId w:val="5"/>
  </w:num>
  <w:num w:numId="51">
    <w:abstractNumId w:val="18"/>
  </w:num>
  <w:num w:numId="52">
    <w:abstractNumId w:val="0"/>
    <w:lvlOverride w:ilvl="0">
      <w:lvl w:ilvl="0">
        <w:numFmt w:val="bullet"/>
        <w:lvlText w:val="-"/>
        <w:legacy w:legacy="1" w:legacySpace="0" w:legacyIndent="360"/>
        <w:lvlJc w:val="left"/>
        <w:pPr>
          <w:ind w:left="-65" w:hanging="360"/>
        </w:pPr>
      </w:lvl>
    </w:lvlOverride>
  </w:num>
  <w:num w:numId="53">
    <w:abstractNumId w:val="19"/>
  </w:num>
  <w:num w:numId="54">
    <w:abstractNumId w:val="37"/>
  </w:num>
  <w:num w:numId="55">
    <w:abstractNumId w:val="1"/>
  </w:num>
  <w:num w:numId="56">
    <w:abstractNumId w:val="40"/>
  </w:num>
  <w:num w:numId="57">
    <w:abstractNumId w:val="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08"/>
  <w:hyphenationZone w:val="425"/>
  <w:characterSpacingControl w:val="doNotCompress"/>
  <w:savePreviewPicture/>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5CE"/>
    <w:rsid w:val="000D3432"/>
    <w:rsid w:val="000E07E2"/>
    <w:rsid w:val="0010782F"/>
    <w:rsid w:val="00144107"/>
    <w:rsid w:val="0015167B"/>
    <w:rsid w:val="0015531D"/>
    <w:rsid w:val="00166143"/>
    <w:rsid w:val="001925CE"/>
    <w:rsid w:val="0019336A"/>
    <w:rsid w:val="001B03E0"/>
    <w:rsid w:val="001B2AF0"/>
    <w:rsid w:val="001C71FE"/>
    <w:rsid w:val="002105F7"/>
    <w:rsid w:val="00213A2B"/>
    <w:rsid w:val="002313AD"/>
    <w:rsid w:val="00280A18"/>
    <w:rsid w:val="00282419"/>
    <w:rsid w:val="003279D3"/>
    <w:rsid w:val="00334674"/>
    <w:rsid w:val="003522C5"/>
    <w:rsid w:val="003A15D9"/>
    <w:rsid w:val="003E27F4"/>
    <w:rsid w:val="003F5494"/>
    <w:rsid w:val="00444BC9"/>
    <w:rsid w:val="00445850"/>
    <w:rsid w:val="00475E09"/>
    <w:rsid w:val="004A636D"/>
    <w:rsid w:val="004F0BC6"/>
    <w:rsid w:val="0050116F"/>
    <w:rsid w:val="005D54AE"/>
    <w:rsid w:val="005F7CFC"/>
    <w:rsid w:val="00601CEE"/>
    <w:rsid w:val="00616998"/>
    <w:rsid w:val="00677266"/>
    <w:rsid w:val="006C3678"/>
    <w:rsid w:val="00711AED"/>
    <w:rsid w:val="00727CE6"/>
    <w:rsid w:val="007D3FFB"/>
    <w:rsid w:val="007D6ABF"/>
    <w:rsid w:val="008015D9"/>
    <w:rsid w:val="0082775B"/>
    <w:rsid w:val="008356A1"/>
    <w:rsid w:val="00845DA7"/>
    <w:rsid w:val="00890DE1"/>
    <w:rsid w:val="008A3333"/>
    <w:rsid w:val="008B62EC"/>
    <w:rsid w:val="009619B8"/>
    <w:rsid w:val="00963DC1"/>
    <w:rsid w:val="009B129D"/>
    <w:rsid w:val="009E6E2E"/>
    <w:rsid w:val="00A017DA"/>
    <w:rsid w:val="00A30D61"/>
    <w:rsid w:val="00A546D0"/>
    <w:rsid w:val="00A95498"/>
    <w:rsid w:val="00B30904"/>
    <w:rsid w:val="00BA174F"/>
    <w:rsid w:val="00BA4634"/>
    <w:rsid w:val="00C1101F"/>
    <w:rsid w:val="00C41014"/>
    <w:rsid w:val="00C50326"/>
    <w:rsid w:val="00C7081F"/>
    <w:rsid w:val="00D06C42"/>
    <w:rsid w:val="00D4423A"/>
    <w:rsid w:val="00D6617F"/>
    <w:rsid w:val="00EB1216"/>
    <w:rsid w:val="00F04845"/>
    <w:rsid w:val="00F049E8"/>
    <w:rsid w:val="00F23615"/>
    <w:rsid w:val="00F3090F"/>
    <w:rsid w:val="00F95A20"/>
    <w:rsid w:val="00FA0266"/>
    <w:rsid w:val="00FA79B0"/>
    <w:rsid w:val="00FD5063"/>
    <w:rsid w:val="00FD54CD"/>
    <w:rsid w:val="00FE6D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4"/>
    <o:shapelayout v:ext="edit">
      <o:idmap v:ext="edit" data="1"/>
    </o:shapelayout>
  </w:shapeDefaults>
  <w:decimalSymbol w:val="."/>
  <w:listSeparator w:val=","/>
  <w14:docId w14:val="61FAC6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5CE"/>
    <w:pPr>
      <w:widowControl w:val="0"/>
      <w:overflowPunct w:val="0"/>
      <w:autoSpaceDE w:val="0"/>
      <w:autoSpaceDN w:val="0"/>
      <w:adjustRightInd w:val="0"/>
      <w:textAlignment w:val="baseline"/>
    </w:pPr>
    <w:rPr>
      <w:rFonts w:ascii="Times New Roman" w:eastAsia="Times New Roman" w:hAnsi="Times New Roman" w:cs="Times New Roman"/>
      <w:szCs w:val="20"/>
      <w:lang w:val="es-ES"/>
    </w:rPr>
  </w:style>
  <w:style w:type="paragraph" w:styleId="Ttulo1">
    <w:name w:val="heading 1"/>
    <w:basedOn w:val="Normal"/>
    <w:next w:val="Normal"/>
    <w:link w:val="Ttulo1Car"/>
    <w:qFormat/>
    <w:rsid w:val="001925CE"/>
    <w:pPr>
      <w:keepNext/>
      <w:spacing w:line="360" w:lineRule="auto"/>
      <w:jc w:val="both"/>
      <w:outlineLvl w:val="0"/>
    </w:pPr>
    <w:rPr>
      <w:rFonts w:ascii="Arial" w:hAnsi="Arial"/>
      <w:b/>
      <w:i/>
      <w:sz w:val="22"/>
    </w:rPr>
  </w:style>
  <w:style w:type="paragraph" w:styleId="Ttulo2">
    <w:name w:val="heading 2"/>
    <w:basedOn w:val="Normal"/>
    <w:next w:val="Normal"/>
    <w:link w:val="Ttulo2Car"/>
    <w:qFormat/>
    <w:rsid w:val="001925CE"/>
    <w:pPr>
      <w:keepNext/>
      <w:spacing w:line="360" w:lineRule="auto"/>
      <w:jc w:val="both"/>
      <w:outlineLvl w:val="1"/>
    </w:pPr>
    <w:rPr>
      <w:rFonts w:ascii="Arial" w:hAnsi="Arial"/>
      <w:b/>
      <w:sz w:val="22"/>
    </w:rPr>
  </w:style>
  <w:style w:type="paragraph" w:styleId="Ttulo3">
    <w:name w:val="heading 3"/>
    <w:basedOn w:val="Normal"/>
    <w:next w:val="Normal"/>
    <w:link w:val="Ttulo3Car"/>
    <w:qFormat/>
    <w:rsid w:val="001925CE"/>
    <w:pPr>
      <w:keepNext/>
      <w:widowControl/>
      <w:jc w:val="both"/>
      <w:outlineLvl w:val="2"/>
    </w:pPr>
    <w:rPr>
      <w:rFonts w:ascii="Arial" w:hAnsi="Arial"/>
      <w:color w:val="666666"/>
      <w:sz w:val="28"/>
      <w:szCs w:val="28"/>
      <w:lang w:val="es-ES_tradnl"/>
    </w:rPr>
  </w:style>
  <w:style w:type="paragraph" w:styleId="Ttulo4">
    <w:name w:val="heading 4"/>
    <w:basedOn w:val="Normal"/>
    <w:next w:val="Normal"/>
    <w:link w:val="Ttulo4Car"/>
    <w:qFormat/>
    <w:rsid w:val="001925CE"/>
    <w:pPr>
      <w:keepNext/>
      <w:jc w:val="both"/>
      <w:outlineLvl w:val="3"/>
    </w:pPr>
    <w:rPr>
      <w:rFonts w:ascii="Arial" w:hAnsi="Arial"/>
      <w:color w:val="666666"/>
      <w:szCs w:val="24"/>
    </w:rPr>
  </w:style>
  <w:style w:type="paragraph" w:styleId="Ttulo5">
    <w:name w:val="heading 5"/>
    <w:basedOn w:val="Normal"/>
    <w:next w:val="Normal"/>
    <w:link w:val="Ttulo5Car"/>
    <w:qFormat/>
    <w:rsid w:val="001925CE"/>
    <w:pPr>
      <w:keepNext/>
      <w:widowControl/>
      <w:tabs>
        <w:tab w:val="left" w:pos="-1440"/>
      </w:tabs>
      <w:ind w:left="1440" w:hanging="720"/>
      <w:jc w:val="center"/>
      <w:outlineLvl w:val="4"/>
    </w:pPr>
    <w:rPr>
      <w:rFonts w:ascii="Arial" w:hAnsi="Arial"/>
      <w:color w:val="666666"/>
      <w:sz w:val="20"/>
      <w:lang w:val="es-ES_tradnl"/>
    </w:rPr>
  </w:style>
  <w:style w:type="paragraph" w:styleId="Ttulo6">
    <w:name w:val="heading 6"/>
    <w:basedOn w:val="Normal"/>
    <w:next w:val="Normal"/>
    <w:link w:val="Ttulo6Car"/>
    <w:qFormat/>
    <w:rsid w:val="001925CE"/>
    <w:pPr>
      <w:keepNext/>
      <w:widowControl/>
      <w:jc w:val="center"/>
      <w:outlineLvl w:val="5"/>
    </w:pPr>
    <w:rPr>
      <w:rFonts w:ascii="Arial" w:hAnsi="Arial"/>
      <w:bCs/>
      <w:color w:val="666666"/>
      <w:sz w:val="16"/>
      <w:szCs w:val="16"/>
      <w:lang w:val="es-ES_tradnl"/>
    </w:rPr>
  </w:style>
  <w:style w:type="paragraph" w:styleId="Ttulo7">
    <w:name w:val="heading 7"/>
    <w:basedOn w:val="Normal"/>
    <w:next w:val="Normal"/>
    <w:link w:val="Ttulo7Car"/>
    <w:qFormat/>
    <w:rsid w:val="001925CE"/>
    <w:pPr>
      <w:keepNext/>
      <w:widowControl/>
      <w:jc w:val="center"/>
      <w:outlineLvl w:val="6"/>
    </w:pPr>
    <w:rPr>
      <w:rFonts w:ascii="Garamond" w:hAnsi="Garamond"/>
      <w:b/>
      <w:bCs/>
      <w:color w:val="000000"/>
      <w:sz w:val="22"/>
      <w:szCs w:val="24"/>
      <w:u w:val="single"/>
      <w:lang w:val="es-ES_tradnl"/>
    </w:rPr>
  </w:style>
  <w:style w:type="paragraph" w:styleId="Ttulo8">
    <w:name w:val="heading 8"/>
    <w:basedOn w:val="Normal"/>
    <w:next w:val="Normal"/>
    <w:link w:val="Ttulo8Car"/>
    <w:qFormat/>
    <w:rsid w:val="001925CE"/>
    <w:pPr>
      <w:spacing w:before="240" w:after="60"/>
      <w:outlineLvl w:val="7"/>
    </w:pPr>
    <w:rPr>
      <w:i/>
      <w:iCs/>
      <w:szCs w:val="24"/>
    </w:rPr>
  </w:style>
  <w:style w:type="paragraph" w:styleId="Ttulo9">
    <w:name w:val="heading 9"/>
    <w:basedOn w:val="Normal"/>
    <w:next w:val="Normal"/>
    <w:link w:val="Ttulo9Car"/>
    <w:qFormat/>
    <w:rsid w:val="001925CE"/>
    <w:pPr>
      <w:keepNext/>
      <w:jc w:val="both"/>
      <w:outlineLvl w:val="8"/>
    </w:pPr>
    <w:rPr>
      <w:rFonts w:ascii="Courier New" w:hAnsi="Courier New"/>
      <w:b/>
      <w:color w:val="FF00F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nhideWhenUsed/>
  </w:style>
  <w:style w:type="character" w:customStyle="1" w:styleId="Ttulo1Car">
    <w:name w:val="Título 1 Car"/>
    <w:basedOn w:val="Fuentedeprrafopredeter"/>
    <w:link w:val="Ttulo1"/>
    <w:rsid w:val="001925CE"/>
    <w:rPr>
      <w:rFonts w:ascii="Arial" w:eastAsia="Times New Roman" w:hAnsi="Arial" w:cs="Times New Roman"/>
      <w:b/>
      <w:i/>
      <w:sz w:val="22"/>
      <w:szCs w:val="20"/>
      <w:lang w:val="es-ES"/>
    </w:rPr>
  </w:style>
  <w:style w:type="character" w:customStyle="1" w:styleId="Ttulo2Car">
    <w:name w:val="Título 2 Car"/>
    <w:basedOn w:val="Fuentedeprrafopredeter"/>
    <w:link w:val="Ttulo2"/>
    <w:rsid w:val="001925CE"/>
    <w:rPr>
      <w:rFonts w:ascii="Arial" w:eastAsia="Times New Roman" w:hAnsi="Arial" w:cs="Times New Roman"/>
      <w:b/>
      <w:sz w:val="22"/>
      <w:szCs w:val="20"/>
      <w:lang w:val="es-ES"/>
    </w:rPr>
  </w:style>
  <w:style w:type="character" w:customStyle="1" w:styleId="Ttulo3Car">
    <w:name w:val="Título 3 Car"/>
    <w:basedOn w:val="Fuentedeprrafopredeter"/>
    <w:link w:val="Ttulo3"/>
    <w:rsid w:val="001925CE"/>
    <w:rPr>
      <w:rFonts w:ascii="Arial" w:eastAsia="Times New Roman" w:hAnsi="Arial" w:cs="Times New Roman"/>
      <w:color w:val="666666"/>
      <w:sz w:val="28"/>
      <w:szCs w:val="28"/>
    </w:rPr>
  </w:style>
  <w:style w:type="character" w:customStyle="1" w:styleId="Ttulo4Car">
    <w:name w:val="Título 4 Car"/>
    <w:basedOn w:val="Fuentedeprrafopredeter"/>
    <w:link w:val="Ttulo4"/>
    <w:rsid w:val="001925CE"/>
    <w:rPr>
      <w:rFonts w:ascii="Arial" w:eastAsia="Times New Roman" w:hAnsi="Arial" w:cs="Times New Roman"/>
      <w:color w:val="666666"/>
      <w:lang w:val="es-ES"/>
    </w:rPr>
  </w:style>
  <w:style w:type="character" w:customStyle="1" w:styleId="Ttulo5Car">
    <w:name w:val="Título 5 Car"/>
    <w:basedOn w:val="Fuentedeprrafopredeter"/>
    <w:link w:val="Ttulo5"/>
    <w:uiPriority w:val="9"/>
    <w:rsid w:val="001925CE"/>
    <w:rPr>
      <w:rFonts w:ascii="Arial" w:eastAsia="Times New Roman" w:hAnsi="Arial" w:cs="Times New Roman"/>
      <w:color w:val="666666"/>
      <w:sz w:val="20"/>
      <w:szCs w:val="20"/>
    </w:rPr>
  </w:style>
  <w:style w:type="character" w:customStyle="1" w:styleId="Ttulo6Car">
    <w:name w:val="Título 6 Car"/>
    <w:basedOn w:val="Fuentedeprrafopredeter"/>
    <w:link w:val="Ttulo6"/>
    <w:rsid w:val="001925CE"/>
    <w:rPr>
      <w:rFonts w:ascii="Arial" w:eastAsia="Times New Roman" w:hAnsi="Arial" w:cs="Times New Roman"/>
      <w:bCs/>
      <w:color w:val="666666"/>
      <w:sz w:val="16"/>
      <w:szCs w:val="16"/>
    </w:rPr>
  </w:style>
  <w:style w:type="character" w:customStyle="1" w:styleId="Ttulo7Car">
    <w:name w:val="Título 7 Car"/>
    <w:basedOn w:val="Fuentedeprrafopredeter"/>
    <w:link w:val="Ttulo7"/>
    <w:uiPriority w:val="9"/>
    <w:rsid w:val="001925CE"/>
    <w:rPr>
      <w:rFonts w:ascii="Garamond" w:eastAsia="Times New Roman" w:hAnsi="Garamond" w:cs="Times New Roman"/>
      <w:b/>
      <w:bCs/>
      <w:color w:val="000000"/>
      <w:sz w:val="22"/>
      <w:u w:val="single"/>
    </w:rPr>
  </w:style>
  <w:style w:type="character" w:customStyle="1" w:styleId="Ttulo8Car">
    <w:name w:val="Título 8 Car"/>
    <w:basedOn w:val="Fuentedeprrafopredeter"/>
    <w:link w:val="Ttulo8"/>
    <w:uiPriority w:val="9"/>
    <w:rsid w:val="001925CE"/>
    <w:rPr>
      <w:rFonts w:ascii="Times New Roman" w:eastAsia="Times New Roman" w:hAnsi="Times New Roman" w:cs="Times New Roman"/>
      <w:i/>
      <w:iCs/>
      <w:lang w:val="es-ES"/>
    </w:rPr>
  </w:style>
  <w:style w:type="character" w:customStyle="1" w:styleId="Ttulo9Car">
    <w:name w:val="Título 9 Car"/>
    <w:basedOn w:val="Fuentedeprrafopredeter"/>
    <w:link w:val="Ttulo9"/>
    <w:rsid w:val="001925CE"/>
    <w:rPr>
      <w:rFonts w:ascii="Courier New" w:eastAsia="Times New Roman" w:hAnsi="Courier New" w:cs="Times New Roman"/>
      <w:b/>
      <w:color w:val="FF00FF"/>
      <w:lang w:val="es-ES"/>
    </w:rPr>
  </w:style>
  <w:style w:type="character" w:styleId="Refdenotaalpie">
    <w:name w:val="footnote reference"/>
    <w:rsid w:val="001925CE"/>
    <w:rPr>
      <w:sz w:val="20"/>
    </w:rPr>
  </w:style>
  <w:style w:type="paragraph" w:customStyle="1" w:styleId="Rpido1">
    <w:name w:val="Rápido 1."/>
    <w:basedOn w:val="Normal"/>
    <w:rsid w:val="001925CE"/>
    <w:pPr>
      <w:ind w:left="1440" w:hanging="720"/>
    </w:pPr>
  </w:style>
  <w:style w:type="paragraph" w:styleId="Sangradetdecuerpo">
    <w:name w:val="Body Text Indent"/>
    <w:basedOn w:val="Normal"/>
    <w:link w:val="SangradetdecuerpoCar"/>
    <w:rsid w:val="001925CE"/>
    <w:pPr>
      <w:ind w:left="2880"/>
      <w:jc w:val="both"/>
    </w:pPr>
    <w:rPr>
      <w:rFonts w:ascii="Courier New" w:hAnsi="Courier New"/>
      <w:b/>
      <w:sz w:val="20"/>
    </w:rPr>
  </w:style>
  <w:style w:type="character" w:customStyle="1" w:styleId="SangradetdecuerpoCar">
    <w:name w:val="Sangría de t. de cuerpo Car"/>
    <w:basedOn w:val="Fuentedeprrafopredeter"/>
    <w:link w:val="Sangradetdecuerpo"/>
    <w:uiPriority w:val="99"/>
    <w:rsid w:val="001925CE"/>
    <w:rPr>
      <w:rFonts w:ascii="Courier New" w:eastAsia="Times New Roman" w:hAnsi="Courier New" w:cs="Times New Roman"/>
      <w:b/>
      <w:sz w:val="20"/>
      <w:szCs w:val="20"/>
      <w:lang w:val="es-ES"/>
    </w:rPr>
  </w:style>
  <w:style w:type="paragraph" w:customStyle="1" w:styleId="Sangra2detindependiente1">
    <w:name w:val="Sangría 2 de t. independiente1"/>
    <w:basedOn w:val="Normal"/>
    <w:rsid w:val="001925CE"/>
    <w:pPr>
      <w:tabs>
        <w:tab w:val="left" w:pos="-1440"/>
      </w:tabs>
      <w:ind w:firstLine="720"/>
      <w:jc w:val="both"/>
    </w:pPr>
  </w:style>
  <w:style w:type="paragraph" w:styleId="Encabezado">
    <w:name w:val="header"/>
    <w:basedOn w:val="Normal"/>
    <w:link w:val="EncabezadoCar"/>
    <w:rsid w:val="001925CE"/>
    <w:pPr>
      <w:tabs>
        <w:tab w:val="center" w:pos="4419"/>
        <w:tab w:val="right" w:pos="8838"/>
      </w:tabs>
    </w:pPr>
  </w:style>
  <w:style w:type="character" w:customStyle="1" w:styleId="EncabezadoCar">
    <w:name w:val="Encabezado Car"/>
    <w:basedOn w:val="Fuentedeprrafopredeter"/>
    <w:link w:val="Encabezado"/>
    <w:uiPriority w:val="99"/>
    <w:rsid w:val="001925CE"/>
    <w:rPr>
      <w:rFonts w:ascii="Times New Roman" w:eastAsia="Times New Roman" w:hAnsi="Times New Roman" w:cs="Times New Roman"/>
      <w:szCs w:val="20"/>
      <w:lang w:val="es-ES"/>
    </w:rPr>
  </w:style>
  <w:style w:type="paragraph" w:styleId="Textonotapie">
    <w:name w:val="footnote text"/>
    <w:aliases w:val="Texto nota pie Car Car Car,Texto nota pie Car Car"/>
    <w:basedOn w:val="Normal"/>
    <w:link w:val="TextonotapieCar"/>
    <w:rsid w:val="001925CE"/>
    <w:rPr>
      <w:sz w:val="20"/>
    </w:rPr>
  </w:style>
  <w:style w:type="character" w:customStyle="1" w:styleId="TextonotapieCar">
    <w:name w:val="Texto nota pie Car"/>
    <w:aliases w:val="Texto nota pie Car Car Car Car,Texto nota pie Car Car Car1"/>
    <w:basedOn w:val="Fuentedeprrafopredeter"/>
    <w:link w:val="Textonotapie"/>
    <w:rsid w:val="001925CE"/>
    <w:rPr>
      <w:rFonts w:ascii="Times New Roman" w:eastAsia="Times New Roman" w:hAnsi="Times New Roman" w:cs="Times New Roman"/>
      <w:sz w:val="20"/>
      <w:szCs w:val="20"/>
      <w:lang w:val="es-ES"/>
    </w:rPr>
  </w:style>
  <w:style w:type="character" w:styleId="Nmerodepgina">
    <w:name w:val="page number"/>
    <w:rsid w:val="001925CE"/>
    <w:rPr>
      <w:sz w:val="20"/>
    </w:rPr>
  </w:style>
  <w:style w:type="paragraph" w:styleId="Textodecuerpo">
    <w:name w:val="Body Text"/>
    <w:basedOn w:val="Normal"/>
    <w:link w:val="TextodecuerpoCar"/>
    <w:rsid w:val="001925CE"/>
    <w:pPr>
      <w:spacing w:line="360" w:lineRule="auto"/>
      <w:jc w:val="both"/>
    </w:pPr>
    <w:rPr>
      <w:rFonts w:ascii="Arial" w:hAnsi="Arial"/>
      <w:sz w:val="22"/>
    </w:rPr>
  </w:style>
  <w:style w:type="character" w:customStyle="1" w:styleId="TextodecuerpoCar">
    <w:name w:val="Texto de cuerpo Car"/>
    <w:basedOn w:val="Fuentedeprrafopredeter"/>
    <w:link w:val="Textodecuerpo"/>
    <w:rsid w:val="001925CE"/>
    <w:rPr>
      <w:rFonts w:ascii="Arial" w:eastAsia="Times New Roman" w:hAnsi="Arial" w:cs="Times New Roman"/>
      <w:sz w:val="22"/>
      <w:szCs w:val="20"/>
      <w:lang w:val="es-ES"/>
    </w:rPr>
  </w:style>
  <w:style w:type="paragraph" w:customStyle="1" w:styleId="Prraffo">
    <w:name w:val="Párraffo"/>
    <w:basedOn w:val="Normal"/>
    <w:rsid w:val="001925CE"/>
    <w:pPr>
      <w:spacing w:line="360" w:lineRule="auto"/>
      <w:ind w:left="851"/>
      <w:jc w:val="both"/>
    </w:pPr>
    <w:rPr>
      <w:rFonts w:ascii="Arial" w:hAnsi="Arial"/>
      <w:sz w:val="20"/>
    </w:rPr>
  </w:style>
  <w:style w:type="paragraph" w:styleId="Piedepgina">
    <w:name w:val="footer"/>
    <w:basedOn w:val="Normal"/>
    <w:link w:val="PiedepginaCar"/>
    <w:rsid w:val="001925CE"/>
    <w:pPr>
      <w:tabs>
        <w:tab w:val="center" w:pos="4419"/>
        <w:tab w:val="right" w:pos="8838"/>
      </w:tabs>
    </w:pPr>
  </w:style>
  <w:style w:type="character" w:customStyle="1" w:styleId="PiedepginaCar">
    <w:name w:val="Pie de página Car"/>
    <w:basedOn w:val="Fuentedeprrafopredeter"/>
    <w:link w:val="Piedepgina"/>
    <w:uiPriority w:val="99"/>
    <w:rsid w:val="001925CE"/>
    <w:rPr>
      <w:rFonts w:ascii="Times New Roman" w:eastAsia="Times New Roman" w:hAnsi="Times New Roman" w:cs="Times New Roman"/>
      <w:szCs w:val="20"/>
      <w:lang w:val="es-ES"/>
    </w:rPr>
  </w:style>
  <w:style w:type="paragraph" w:customStyle="1" w:styleId="Level1">
    <w:name w:val="Level 1"/>
    <w:basedOn w:val="Normal"/>
    <w:rsid w:val="001925CE"/>
    <w:pPr>
      <w:ind w:left="720" w:hanging="720"/>
    </w:pPr>
    <w:rPr>
      <w:rFonts w:ascii="Courier New" w:hAnsi="Courier New"/>
    </w:rPr>
  </w:style>
  <w:style w:type="paragraph" w:customStyle="1" w:styleId="Textoindependiente21">
    <w:name w:val="Texto independiente 21"/>
    <w:basedOn w:val="Normal"/>
    <w:rsid w:val="001925CE"/>
    <w:pPr>
      <w:ind w:left="993" w:hanging="993"/>
      <w:jc w:val="both"/>
    </w:pPr>
    <w:rPr>
      <w:rFonts w:ascii="Courier New" w:hAnsi="Courier New"/>
      <w:b/>
    </w:rPr>
  </w:style>
  <w:style w:type="paragraph" w:customStyle="1" w:styleId="Parafffo">
    <w:name w:val="Parafffo"/>
    <w:basedOn w:val="Pie"/>
    <w:rsid w:val="001925CE"/>
    <w:pPr>
      <w:spacing w:line="360" w:lineRule="auto"/>
      <w:ind w:left="851" w:firstLine="0"/>
    </w:pPr>
    <w:rPr>
      <w:rFonts w:ascii="Arial" w:hAnsi="Arial"/>
      <w:sz w:val="20"/>
    </w:rPr>
  </w:style>
  <w:style w:type="paragraph" w:customStyle="1" w:styleId="Pie">
    <w:name w:val="Pie"/>
    <w:basedOn w:val="Normal"/>
    <w:rsid w:val="001925CE"/>
    <w:pPr>
      <w:ind w:firstLine="425"/>
      <w:jc w:val="both"/>
    </w:pPr>
    <w:rPr>
      <w:rFonts w:ascii="Arial Narrow" w:hAnsi="Arial Narrow"/>
      <w:sz w:val="18"/>
    </w:rPr>
  </w:style>
  <w:style w:type="paragraph" w:customStyle="1" w:styleId="Level2">
    <w:name w:val="Level 2"/>
    <w:basedOn w:val="Normal"/>
    <w:rsid w:val="001925CE"/>
    <w:pPr>
      <w:ind w:left="1440" w:hanging="720"/>
    </w:pPr>
    <w:rPr>
      <w:rFonts w:ascii="Courier New" w:hAnsi="Courier New"/>
    </w:rPr>
  </w:style>
  <w:style w:type="paragraph" w:customStyle="1" w:styleId="Rpido10">
    <w:name w:val="Rápido 1)"/>
    <w:basedOn w:val="Normal"/>
    <w:rsid w:val="001925CE"/>
    <w:pPr>
      <w:ind w:left="720" w:hanging="720"/>
    </w:pPr>
  </w:style>
  <w:style w:type="paragraph" w:customStyle="1" w:styleId="Parraffffo">
    <w:name w:val="Parraffffo"/>
    <w:basedOn w:val="Normal"/>
    <w:rsid w:val="001925CE"/>
    <w:pPr>
      <w:spacing w:line="360" w:lineRule="auto"/>
      <w:ind w:left="851"/>
      <w:jc w:val="both"/>
    </w:pPr>
    <w:rPr>
      <w:rFonts w:ascii="Arial" w:hAnsi="Arial"/>
      <w:color w:val="000000"/>
      <w:sz w:val="20"/>
    </w:rPr>
  </w:style>
  <w:style w:type="character" w:customStyle="1" w:styleId="Hipervnculo1">
    <w:name w:val="Hipervínculo1"/>
    <w:rsid w:val="001925CE"/>
    <w:rPr>
      <w:color w:val="0000FF"/>
      <w:u w:val="none"/>
    </w:rPr>
  </w:style>
  <w:style w:type="paragraph" w:styleId="Sangra2detdecuerpo">
    <w:name w:val="Body Text Indent 2"/>
    <w:basedOn w:val="Normal"/>
    <w:link w:val="Sangra2detdecuerpoCar"/>
    <w:rsid w:val="001925CE"/>
    <w:pPr>
      <w:spacing w:after="120" w:line="480" w:lineRule="auto"/>
      <w:ind w:left="283"/>
    </w:pPr>
  </w:style>
  <w:style w:type="character" w:customStyle="1" w:styleId="Sangra2detdecuerpoCar">
    <w:name w:val="Sangría 2 de t. de cuerpo Car"/>
    <w:basedOn w:val="Fuentedeprrafopredeter"/>
    <w:link w:val="Sangra2detdecuerpo"/>
    <w:uiPriority w:val="99"/>
    <w:rsid w:val="001925CE"/>
    <w:rPr>
      <w:rFonts w:ascii="Times New Roman" w:eastAsia="Times New Roman" w:hAnsi="Times New Roman" w:cs="Times New Roman"/>
      <w:szCs w:val="20"/>
      <w:lang w:val="es-ES"/>
    </w:rPr>
  </w:style>
  <w:style w:type="paragraph" w:styleId="Textodecuerpo2">
    <w:name w:val="Body Text 2"/>
    <w:basedOn w:val="Normal"/>
    <w:link w:val="Textodecuerpo2Car"/>
    <w:rsid w:val="001925CE"/>
    <w:pPr>
      <w:spacing w:after="120" w:line="480" w:lineRule="auto"/>
    </w:pPr>
  </w:style>
  <w:style w:type="character" w:customStyle="1" w:styleId="Textodecuerpo2Car">
    <w:name w:val="Texto de cuerpo 2 Car"/>
    <w:basedOn w:val="Fuentedeprrafopredeter"/>
    <w:link w:val="Textodecuerpo2"/>
    <w:rsid w:val="001925CE"/>
    <w:rPr>
      <w:rFonts w:ascii="Times New Roman" w:eastAsia="Times New Roman" w:hAnsi="Times New Roman" w:cs="Times New Roman"/>
      <w:szCs w:val="20"/>
      <w:lang w:val="es-ES"/>
    </w:rPr>
  </w:style>
  <w:style w:type="paragraph" w:styleId="Sangra3detdecuerpo">
    <w:name w:val="Body Text Indent 3"/>
    <w:basedOn w:val="Normal"/>
    <w:link w:val="Sangra3detdecuerpoCar"/>
    <w:rsid w:val="001925CE"/>
    <w:pPr>
      <w:spacing w:after="120"/>
      <w:ind w:left="283"/>
    </w:pPr>
    <w:rPr>
      <w:sz w:val="16"/>
      <w:szCs w:val="16"/>
    </w:rPr>
  </w:style>
  <w:style w:type="character" w:customStyle="1" w:styleId="Sangra3detdecuerpoCar">
    <w:name w:val="Sangría 3 de t. de cuerpo Car"/>
    <w:basedOn w:val="Fuentedeprrafopredeter"/>
    <w:link w:val="Sangra3detdecuerpo"/>
    <w:uiPriority w:val="99"/>
    <w:rsid w:val="001925CE"/>
    <w:rPr>
      <w:rFonts w:ascii="Times New Roman" w:eastAsia="Times New Roman" w:hAnsi="Times New Roman" w:cs="Times New Roman"/>
      <w:sz w:val="16"/>
      <w:szCs w:val="16"/>
      <w:lang w:val="es-ES"/>
    </w:rPr>
  </w:style>
  <w:style w:type="paragraph" w:styleId="Textodecuerpo3">
    <w:name w:val="Body Text 3"/>
    <w:basedOn w:val="Normal"/>
    <w:link w:val="Textodecuerpo3Car"/>
    <w:rsid w:val="001925CE"/>
    <w:pPr>
      <w:spacing w:after="120"/>
    </w:pPr>
    <w:rPr>
      <w:sz w:val="16"/>
      <w:szCs w:val="16"/>
    </w:rPr>
  </w:style>
  <w:style w:type="character" w:customStyle="1" w:styleId="Textodecuerpo3Car">
    <w:name w:val="Texto de cuerpo 3 Car"/>
    <w:basedOn w:val="Fuentedeprrafopredeter"/>
    <w:link w:val="Textodecuerpo3"/>
    <w:rsid w:val="001925CE"/>
    <w:rPr>
      <w:rFonts w:ascii="Times New Roman" w:eastAsia="Times New Roman" w:hAnsi="Times New Roman" w:cs="Times New Roman"/>
      <w:sz w:val="16"/>
      <w:szCs w:val="16"/>
      <w:lang w:val="es-ES"/>
    </w:rPr>
  </w:style>
  <w:style w:type="paragraph" w:customStyle="1" w:styleId="Parrafffo">
    <w:name w:val="Parrafffo"/>
    <w:basedOn w:val="Ttulo1"/>
    <w:rsid w:val="001925CE"/>
    <w:pPr>
      <w:widowControl/>
      <w:ind w:left="851"/>
      <w:outlineLvl w:val="9"/>
    </w:pPr>
    <w:rPr>
      <w:rFonts w:cs="Arial"/>
      <w:i w:val="0"/>
      <w:color w:val="666666"/>
      <w:sz w:val="20"/>
      <w:szCs w:val="48"/>
    </w:rPr>
  </w:style>
  <w:style w:type="paragraph" w:customStyle="1" w:styleId="H1">
    <w:name w:val="H1"/>
    <w:basedOn w:val="Normal"/>
    <w:next w:val="Normal"/>
    <w:rsid w:val="001925CE"/>
    <w:pPr>
      <w:keepNext/>
      <w:widowControl/>
      <w:spacing w:before="100" w:after="100"/>
    </w:pPr>
    <w:rPr>
      <w:rFonts w:ascii="Arial" w:hAnsi="Arial" w:cs="Arial"/>
      <w:b/>
      <w:color w:val="000000"/>
      <w:kern w:val="36"/>
      <w:sz w:val="48"/>
      <w:szCs w:val="24"/>
      <w:lang w:val="es-MX"/>
    </w:rPr>
  </w:style>
  <w:style w:type="paragraph" w:customStyle="1" w:styleId="H3">
    <w:name w:val="H3"/>
    <w:basedOn w:val="Normal"/>
    <w:next w:val="Normal"/>
    <w:rsid w:val="001925CE"/>
    <w:pPr>
      <w:keepNext/>
      <w:widowControl/>
      <w:spacing w:before="100" w:after="100"/>
    </w:pPr>
    <w:rPr>
      <w:rFonts w:ascii="Arial" w:hAnsi="Arial" w:cs="Arial"/>
      <w:b/>
      <w:color w:val="000000"/>
      <w:sz w:val="28"/>
      <w:szCs w:val="24"/>
      <w:lang w:val="es-MX"/>
    </w:rPr>
  </w:style>
  <w:style w:type="paragraph" w:styleId="Ttulo">
    <w:name w:val="Title"/>
    <w:aliases w:val=" Car"/>
    <w:basedOn w:val="Normal"/>
    <w:link w:val="TtuloCar"/>
    <w:qFormat/>
    <w:rsid w:val="001925CE"/>
    <w:pPr>
      <w:widowControl/>
      <w:jc w:val="center"/>
    </w:pPr>
    <w:rPr>
      <w:rFonts w:ascii="Arial" w:hAnsi="Arial"/>
      <w:b/>
      <w:color w:val="000000"/>
      <w:szCs w:val="24"/>
    </w:rPr>
  </w:style>
  <w:style w:type="character" w:customStyle="1" w:styleId="TtuloCar">
    <w:name w:val="Título Car"/>
    <w:aliases w:val=" Car Car"/>
    <w:basedOn w:val="Fuentedeprrafopredeter"/>
    <w:link w:val="Ttulo"/>
    <w:rsid w:val="001925CE"/>
    <w:rPr>
      <w:rFonts w:ascii="Arial" w:eastAsia="Times New Roman" w:hAnsi="Arial" w:cs="Times New Roman"/>
      <w:b/>
      <w:color w:val="000000"/>
      <w:lang w:val="es-ES"/>
    </w:rPr>
  </w:style>
  <w:style w:type="paragraph" w:customStyle="1" w:styleId="Textoindependiente31">
    <w:name w:val="Texto independiente 31"/>
    <w:basedOn w:val="Normal"/>
    <w:rsid w:val="001925CE"/>
    <w:pPr>
      <w:jc w:val="both"/>
    </w:pPr>
    <w:rPr>
      <w:rFonts w:ascii="Courier New" w:hAnsi="Courier New" w:cs="Arial"/>
      <w:b/>
      <w:color w:val="FF00FF"/>
      <w:szCs w:val="24"/>
    </w:rPr>
  </w:style>
  <w:style w:type="character" w:styleId="Hipervnculo">
    <w:name w:val="Hyperlink"/>
    <w:rsid w:val="001925CE"/>
    <w:rPr>
      <w:color w:val="CC0000"/>
      <w:u w:val="single"/>
    </w:rPr>
  </w:style>
  <w:style w:type="character" w:styleId="Hipervnculovisitado">
    <w:name w:val="FollowedHyperlink"/>
    <w:uiPriority w:val="99"/>
    <w:rsid w:val="001925CE"/>
    <w:rPr>
      <w:color w:val="999999"/>
      <w:u w:val="single"/>
    </w:rPr>
  </w:style>
  <w:style w:type="paragraph" w:customStyle="1" w:styleId="PIEDEPAGINA">
    <w:name w:val="PIE DE PAGINA"/>
    <w:basedOn w:val="Normal"/>
    <w:link w:val="PIEDEPAGINACar"/>
    <w:rsid w:val="001925CE"/>
    <w:pPr>
      <w:widowControl/>
      <w:overflowPunct/>
      <w:autoSpaceDE/>
      <w:autoSpaceDN/>
      <w:adjustRightInd/>
      <w:spacing w:after="120" w:line="180" w:lineRule="atLeast"/>
      <w:jc w:val="both"/>
      <w:textAlignment w:val="auto"/>
    </w:pPr>
    <w:rPr>
      <w:rFonts w:ascii="Arial" w:hAnsi="Arial"/>
      <w:sz w:val="16"/>
      <w:szCs w:val="24"/>
    </w:rPr>
  </w:style>
  <w:style w:type="character" w:customStyle="1" w:styleId="PIEDEPAGINACar">
    <w:name w:val="PIE DE PAGINA Car"/>
    <w:link w:val="PIEDEPAGINA"/>
    <w:rsid w:val="001925CE"/>
    <w:rPr>
      <w:rFonts w:ascii="Arial" w:eastAsia="Times New Roman" w:hAnsi="Arial" w:cs="Times New Roman"/>
      <w:sz w:val="16"/>
      <w:lang w:val="es-ES"/>
    </w:rPr>
  </w:style>
  <w:style w:type="character" w:styleId="Textoennegrita">
    <w:name w:val="Strong"/>
    <w:basedOn w:val="Fuentedeprrafopredeter"/>
    <w:qFormat/>
    <w:rsid w:val="00FA0266"/>
    <w:rPr>
      <w:b/>
      <w:bCs/>
    </w:rPr>
  </w:style>
  <w:style w:type="character" w:customStyle="1" w:styleId="apple-converted-space">
    <w:name w:val="apple-converted-space"/>
    <w:basedOn w:val="Fuentedeprrafopredeter"/>
    <w:rsid w:val="00FA0266"/>
  </w:style>
  <w:style w:type="paragraph" w:styleId="Textodeglobo">
    <w:name w:val="Balloon Text"/>
    <w:basedOn w:val="Normal"/>
    <w:link w:val="TextodegloboCar"/>
    <w:uiPriority w:val="99"/>
    <w:semiHidden/>
    <w:unhideWhenUsed/>
    <w:rsid w:val="00FA0266"/>
    <w:pPr>
      <w:widowControl/>
      <w:overflowPunct/>
      <w:autoSpaceDE/>
      <w:autoSpaceDN/>
      <w:adjustRightInd/>
      <w:textAlignment w:val="auto"/>
    </w:pPr>
    <w:rPr>
      <w:rFonts w:ascii="Tahoma" w:eastAsiaTheme="minorHAnsi" w:hAnsi="Tahoma" w:cs="Tahoma"/>
      <w:sz w:val="16"/>
      <w:szCs w:val="16"/>
      <w:lang w:val="es-PE" w:eastAsia="en-US"/>
    </w:rPr>
  </w:style>
  <w:style w:type="character" w:customStyle="1" w:styleId="TextodegloboCar">
    <w:name w:val="Texto de globo Car"/>
    <w:basedOn w:val="Fuentedeprrafopredeter"/>
    <w:link w:val="Textodeglobo"/>
    <w:uiPriority w:val="99"/>
    <w:semiHidden/>
    <w:rsid w:val="00FA0266"/>
    <w:rPr>
      <w:rFonts w:ascii="Tahoma" w:eastAsiaTheme="minorHAnsi" w:hAnsi="Tahoma" w:cs="Tahoma"/>
      <w:sz w:val="16"/>
      <w:szCs w:val="16"/>
      <w:lang w:val="es-PE" w:eastAsia="en-US"/>
    </w:rPr>
  </w:style>
  <w:style w:type="paragraph" w:styleId="NormalWeb">
    <w:name w:val="Normal (Web)"/>
    <w:basedOn w:val="Normal"/>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counter">
    <w:name w:val="addthis_counter"/>
    <w:basedOn w:val="Normal"/>
    <w:rsid w:val="00FA0266"/>
    <w:pPr>
      <w:widowControl/>
      <w:overflowPunct/>
      <w:autoSpaceDE/>
      <w:autoSpaceDN/>
      <w:adjustRightInd/>
      <w:spacing w:before="100" w:beforeAutospacing="1" w:after="100" w:afterAutospacing="1"/>
      <w:textAlignment w:val="auto"/>
    </w:pPr>
    <w:rPr>
      <w:b/>
      <w:bCs/>
      <w:color w:val="FFFFFF"/>
      <w:szCs w:val="24"/>
      <w:lang w:val="es-PE" w:eastAsia="es-PE"/>
    </w:rPr>
  </w:style>
  <w:style w:type="paragraph" w:customStyle="1" w:styleId="at15dn">
    <w:name w:val="at15dn"/>
    <w:basedOn w:val="Normal"/>
    <w:rsid w:val="00FA0266"/>
    <w:pPr>
      <w:widowControl/>
      <w:overflowPunct/>
      <w:autoSpaceDE/>
      <w:autoSpaceDN/>
      <w:adjustRightInd/>
      <w:spacing w:before="100" w:beforeAutospacing="1" w:after="100" w:afterAutospacing="1"/>
      <w:textAlignment w:val="auto"/>
    </w:pPr>
    <w:rPr>
      <w:vanish/>
      <w:szCs w:val="24"/>
      <w:lang w:val="es-PE" w:eastAsia="es-PE"/>
    </w:rPr>
  </w:style>
  <w:style w:type="paragraph" w:customStyle="1" w:styleId="at15a">
    <w:name w:val="at15a"/>
    <w:basedOn w:val="Normal"/>
    <w:rsid w:val="00FA0266"/>
    <w:pPr>
      <w:widowControl/>
      <w:overflowPunct/>
      <w:autoSpaceDE/>
      <w:autoSpaceDN/>
      <w:adjustRightInd/>
      <w:textAlignment w:val="auto"/>
    </w:pPr>
    <w:rPr>
      <w:szCs w:val="24"/>
      <w:lang w:val="es-PE" w:eastAsia="es-PE"/>
    </w:rPr>
  </w:style>
  <w:style w:type="paragraph" w:customStyle="1" w:styleId="at15erow">
    <w:name w:val="at15e_row"/>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
    <w:name w:val="at15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
    <w:name w:val="at300bs"/>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nc">
    <w:name w:val="at16nc"/>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t">
    <w:name w:val="at16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aa">
    <w:name w:val="at_baa"/>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
    <w:name w:val="at-promo-single"/>
    <w:basedOn w:val="Normal"/>
    <w:rsid w:val="00FA0266"/>
    <w:pPr>
      <w:widowControl/>
      <w:overflowPunct/>
      <w:autoSpaceDE/>
      <w:autoSpaceDN/>
      <w:adjustRightInd/>
      <w:spacing w:before="100" w:beforeAutospacing="1" w:after="100" w:afterAutospacing="1" w:line="360" w:lineRule="atLeast"/>
      <w:textAlignment w:val="auto"/>
    </w:pPr>
    <w:rPr>
      <w:szCs w:val="24"/>
      <w:lang w:val="es-PE" w:eastAsia="es-PE"/>
    </w:rPr>
  </w:style>
  <w:style w:type="paragraph" w:customStyle="1" w:styleId="addthistextshare">
    <w:name w:val="addthis_textshare"/>
    <w:basedOn w:val="Normal"/>
    <w:rsid w:val="00FA0266"/>
    <w:pPr>
      <w:widowControl/>
      <w:overflowPunct/>
      <w:autoSpaceDE/>
      <w:autoSpaceDN/>
      <w:adjustRightInd/>
      <w:spacing w:line="420" w:lineRule="atLeast"/>
      <w:textAlignment w:val="auto"/>
    </w:pPr>
    <w:rPr>
      <w:rFonts w:ascii="Helvetica" w:hAnsi="Helvetica"/>
      <w:color w:val="FFFFFF"/>
      <w:sz w:val="18"/>
      <w:szCs w:val="18"/>
      <w:lang w:val="es-PE" w:eastAsia="es-PE"/>
    </w:rPr>
  </w:style>
  <w:style w:type="paragraph" w:customStyle="1" w:styleId="atimgshare">
    <w:name w:val="at_img_share"/>
    <w:basedOn w:val="Normal"/>
    <w:rsid w:val="00FA0266"/>
    <w:pPr>
      <w:widowControl/>
      <w:pBdr>
        <w:top w:val="single" w:sz="6" w:space="0" w:color="CCCCCC"/>
        <w:left w:val="single" w:sz="6" w:space="0" w:color="CCCCCC"/>
        <w:bottom w:val="single" w:sz="6" w:space="0" w:color="CCCCCC"/>
        <w:right w:val="single" w:sz="6" w:space="0" w:color="CCCCCC"/>
      </w:pBdr>
      <w:overflowPunct/>
      <w:autoSpaceDE/>
      <w:autoSpaceDN/>
      <w:adjustRightInd/>
      <w:spacing w:line="315" w:lineRule="atLeast"/>
      <w:ind w:hanging="18913"/>
      <w:textAlignment w:val="auto"/>
    </w:pPr>
    <w:rPr>
      <w:szCs w:val="24"/>
      <w:lang w:val="es-PE" w:eastAsia="es-PE"/>
    </w:rPr>
  </w:style>
  <w:style w:type="paragraph" w:customStyle="1" w:styleId="atm">
    <w:name w:val="atm"/>
    <w:basedOn w:val="Normal"/>
    <w:rsid w:val="00FA0266"/>
    <w:pPr>
      <w:widowControl/>
      <w:overflowPunct/>
      <w:autoSpaceDE/>
      <w:autoSpaceDN/>
      <w:adjustRightInd/>
      <w:spacing w:line="180" w:lineRule="atLeast"/>
      <w:textAlignment w:val="auto"/>
    </w:pPr>
    <w:rPr>
      <w:rFonts w:ascii="Arial" w:hAnsi="Arial" w:cs="Arial"/>
      <w:color w:val="444444"/>
      <w:sz w:val="18"/>
      <w:szCs w:val="18"/>
      <w:lang w:val="es-PE" w:eastAsia="es-PE"/>
    </w:rPr>
  </w:style>
  <w:style w:type="paragraph" w:customStyle="1" w:styleId="atm-i">
    <w:name w:val="atm-i"/>
    <w:basedOn w:val="Normal"/>
    <w:rsid w:val="00FA0266"/>
    <w:pPr>
      <w:widowControl/>
      <w:pBdr>
        <w:top w:val="single" w:sz="6" w:space="3" w:color="D5D6D6"/>
        <w:left w:val="single" w:sz="6" w:space="0" w:color="D5D6D6"/>
        <w:bottom w:val="single" w:sz="6" w:space="0" w:color="D5D6D6"/>
        <w:right w:val="single" w:sz="6" w:space="0" w:color="D5D6D6"/>
      </w:pBdr>
      <w:shd w:val="clear" w:color="auto" w:fill="FFFFFF"/>
      <w:overflowPunct/>
      <w:autoSpaceDE/>
      <w:autoSpaceDN/>
      <w:adjustRightInd/>
      <w:textAlignment w:val="auto"/>
    </w:pPr>
    <w:rPr>
      <w:szCs w:val="24"/>
      <w:lang w:val="es-PE" w:eastAsia="es-PE"/>
    </w:rPr>
  </w:style>
  <w:style w:type="paragraph" w:customStyle="1" w:styleId="atm-f">
    <w:name w:val="atm-f"/>
    <w:basedOn w:val="Normal"/>
    <w:rsid w:val="00FA0266"/>
    <w:pPr>
      <w:widowControl/>
      <w:overflowPunct/>
      <w:autoSpaceDE/>
      <w:autoSpaceDN/>
      <w:adjustRightInd/>
      <w:spacing w:before="100" w:beforeAutospacing="1" w:after="100" w:afterAutospacing="1"/>
      <w:textAlignment w:val="auto"/>
    </w:pPr>
    <w:rPr>
      <w:sz w:val="14"/>
      <w:szCs w:val="14"/>
      <w:lang w:val="es-PE" w:eastAsia="es-PE"/>
    </w:rPr>
  </w:style>
  <w:style w:type="paragraph" w:customStyle="1" w:styleId="ata11ycontainer">
    <w:name w:val="at_a11y_container"/>
    <w:basedOn w:val="Normal"/>
    <w:rsid w:val="00FA0266"/>
    <w:pPr>
      <w:widowControl/>
      <w:overflowPunct/>
      <w:autoSpaceDE/>
      <w:autoSpaceDN/>
      <w:adjustRightInd/>
      <w:textAlignment w:val="auto"/>
    </w:pPr>
    <w:rPr>
      <w:szCs w:val="24"/>
      <w:lang w:val="es-PE" w:eastAsia="es-PE"/>
    </w:rPr>
  </w:style>
  <w:style w:type="paragraph" w:customStyle="1" w:styleId="addthisoverlaytoolbox">
    <w:name w:val="addthis_overlay_toolbox"/>
    <w:basedOn w:val="Normal"/>
    <w:rsid w:val="00FA0266"/>
    <w:pPr>
      <w:widowControl/>
      <w:shd w:val="clear" w:color="auto" w:fill="000000"/>
      <w:overflowPunct/>
      <w:autoSpaceDE/>
      <w:autoSpaceDN/>
      <w:adjustRightInd/>
      <w:spacing w:before="100" w:beforeAutospacing="1" w:after="100" w:afterAutospacing="1"/>
      <w:textAlignment w:val="auto"/>
    </w:pPr>
    <w:rPr>
      <w:szCs w:val="24"/>
      <w:lang w:val="es-PE" w:eastAsia="es-PE"/>
    </w:rPr>
  </w:style>
  <w:style w:type="paragraph" w:customStyle="1" w:styleId="linkservicediv">
    <w:name w:val="linkservicediv"/>
    <w:basedOn w:val="Normal"/>
    <w:rsid w:val="00FA0266"/>
    <w:pPr>
      <w:widowControl/>
      <w:pBdr>
        <w:top w:val="single" w:sz="6" w:space="0" w:color="000000"/>
        <w:left w:val="single" w:sz="6" w:space="0" w:color="000000"/>
        <w:bottom w:val="single" w:sz="6" w:space="0" w:color="000000"/>
        <w:right w:val="single" w:sz="6" w:space="0" w:color="000000"/>
      </w:pBdr>
      <w:shd w:val="clear" w:color="auto" w:fill="AAAAAA"/>
      <w:overflowPunct/>
      <w:autoSpaceDE/>
      <w:autoSpaceDN/>
      <w:adjustRightInd/>
      <w:spacing w:before="100" w:beforeAutospacing="1" w:after="100" w:afterAutospacing="1"/>
      <w:textAlignment w:val="auto"/>
    </w:pPr>
    <w:rPr>
      <w:szCs w:val="24"/>
      <w:lang w:val="es-PE" w:eastAsia="es-PE"/>
    </w:rPr>
  </w:style>
  <w:style w:type="paragraph" w:customStyle="1" w:styleId="atredloading">
    <w:name w:val="at_redloading"/>
    <w:basedOn w:val="Normal"/>
    <w:rsid w:val="00FA0266"/>
    <w:pPr>
      <w:widowControl/>
      <w:overflowPunct/>
      <w:autoSpaceDE/>
      <w:autoSpaceDN/>
      <w:adjustRightInd/>
      <w:textAlignment w:val="auto"/>
    </w:pPr>
    <w:rPr>
      <w:szCs w:val="24"/>
      <w:lang w:val="es-PE" w:eastAsia="es-PE"/>
    </w:rPr>
  </w:style>
  <w:style w:type="paragraph" w:customStyle="1" w:styleId="at-promo-single-dl-ch">
    <w:name w:val="at-promo-single-dl-ch"/>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dl-ff">
    <w:name w:val="at-promo-single-dl-ff"/>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dl-saf">
    <w:name w:val="at-promo-single-dl-saf"/>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dl-ie">
    <w:name w:val="at-promo-single-dl-ie"/>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inbox">
    <w:name w:val="atpinbox"/>
    <w:basedOn w:val="Normal"/>
    <w:rsid w:val="00FA0266"/>
    <w:pPr>
      <w:widowControl/>
      <w:shd w:val="clear" w:color="auto" w:fill="FFFFFF"/>
      <w:overflowPunct/>
      <w:autoSpaceDE/>
      <w:autoSpaceDN/>
      <w:adjustRightInd/>
      <w:textAlignment w:val="auto"/>
    </w:pPr>
    <w:rPr>
      <w:rFonts w:ascii="Arial" w:hAnsi="Arial" w:cs="Arial"/>
      <w:color w:val="CFCACA"/>
      <w:sz w:val="18"/>
      <w:szCs w:val="18"/>
      <w:lang w:val="es-PE" w:eastAsia="es-PE"/>
    </w:rPr>
  </w:style>
  <w:style w:type="paragraph" w:customStyle="1" w:styleId="atpinhdr">
    <w:name w:val="atpinhdr"/>
    <w:basedOn w:val="Normal"/>
    <w:rsid w:val="00FA0266"/>
    <w:pPr>
      <w:widowControl/>
      <w:pBdr>
        <w:bottom w:val="single" w:sz="6" w:space="6" w:color="CCCCCC"/>
      </w:pBdr>
      <w:shd w:val="clear" w:color="auto" w:fill="F1F1F1"/>
      <w:overflowPunct/>
      <w:autoSpaceDE/>
      <w:autoSpaceDN/>
      <w:adjustRightInd/>
      <w:spacing w:before="100" w:beforeAutospacing="1" w:after="100" w:afterAutospacing="1" w:line="240" w:lineRule="atLeast"/>
      <w:textAlignment w:val="auto"/>
    </w:pPr>
    <w:rPr>
      <w:color w:val="8C7E7E"/>
      <w:szCs w:val="24"/>
      <w:lang w:val="es-PE" w:eastAsia="es-PE"/>
    </w:rPr>
  </w:style>
  <w:style w:type="paragraph" w:customStyle="1" w:styleId="atpinwinhdr">
    <w:name w:val="atpinwinhdr"/>
    <w:basedOn w:val="Normal"/>
    <w:rsid w:val="00FA0266"/>
    <w:pPr>
      <w:widowControl/>
      <w:pBdr>
        <w:bottom w:val="single" w:sz="6" w:space="6" w:color="CCCCCC"/>
      </w:pBdr>
      <w:shd w:val="clear" w:color="auto" w:fill="F1F1F1"/>
      <w:overflowPunct/>
      <w:autoSpaceDE/>
      <w:autoSpaceDN/>
      <w:adjustRightInd/>
      <w:spacing w:before="100" w:beforeAutospacing="1" w:after="100" w:afterAutospacing="1" w:line="240" w:lineRule="atLeast"/>
      <w:textAlignment w:val="auto"/>
    </w:pPr>
    <w:rPr>
      <w:color w:val="8C7E7E"/>
      <w:sz w:val="30"/>
      <w:szCs w:val="30"/>
      <w:lang w:val="es-PE" w:eastAsia="es-PE"/>
    </w:rPr>
  </w:style>
  <w:style w:type="paragraph" w:customStyle="1" w:styleId="atpinmn">
    <w:name w:val="atpinmn"/>
    <w:basedOn w:val="Normal"/>
    <w:rsid w:val="00FA0266"/>
    <w:pPr>
      <w:widowControl/>
      <w:shd w:val="clear" w:color="auto" w:fill="FFFFFF"/>
      <w:overflowPunct/>
      <w:autoSpaceDE/>
      <w:autoSpaceDN/>
      <w:adjustRightInd/>
      <w:spacing w:before="100" w:beforeAutospacing="1" w:after="100" w:afterAutospacing="1"/>
      <w:jc w:val="center"/>
      <w:textAlignment w:val="auto"/>
    </w:pPr>
    <w:rPr>
      <w:szCs w:val="24"/>
      <w:lang w:val="es-PE" w:eastAsia="es-PE"/>
    </w:rPr>
  </w:style>
  <w:style w:type="paragraph" w:customStyle="1" w:styleId="atpinclose">
    <w:name w:val="atpinclose"/>
    <w:basedOn w:val="Normal"/>
    <w:rsid w:val="00FA0266"/>
    <w:pPr>
      <w:widowControl/>
      <w:overflowPunct/>
      <w:autoSpaceDE/>
      <w:autoSpaceDN/>
      <w:adjustRightInd/>
      <w:spacing w:before="100" w:beforeAutospacing="1" w:after="100" w:afterAutospacing="1"/>
      <w:jc w:val="right"/>
      <w:textAlignment w:val="auto"/>
    </w:pPr>
    <w:rPr>
      <w:b/>
      <w:bCs/>
      <w:szCs w:val="24"/>
      <w:lang w:val="es-PE" w:eastAsia="es-PE"/>
    </w:rPr>
  </w:style>
  <w:style w:type="paragraph" w:customStyle="1" w:styleId="atimgspanouter">
    <w:name w:val="atimgspanouter"/>
    <w:basedOn w:val="Normal"/>
    <w:rsid w:val="00FA0266"/>
    <w:pPr>
      <w:widowControl/>
      <w:pBdr>
        <w:top w:val="single" w:sz="6" w:space="0" w:color="A0A0A0"/>
        <w:left w:val="single" w:sz="6" w:space="0" w:color="A0A0A0"/>
        <w:bottom w:val="single" w:sz="6" w:space="0" w:color="A0A0A0"/>
        <w:right w:val="single" w:sz="6" w:space="0" w:color="A0A0A0"/>
      </w:pBdr>
      <w:shd w:val="clear" w:color="auto" w:fill="FFFFFF"/>
      <w:overflowPunct/>
      <w:autoSpaceDE/>
      <w:autoSpaceDN/>
      <w:adjustRightInd/>
      <w:spacing w:before="150" w:after="150"/>
      <w:ind w:left="150" w:right="150"/>
      <w:textAlignment w:val="auto"/>
    </w:pPr>
    <w:rPr>
      <w:szCs w:val="24"/>
      <w:lang w:val="es-PE" w:eastAsia="es-PE"/>
    </w:rPr>
  </w:style>
  <w:style w:type="paragraph" w:customStyle="1" w:styleId="atimgspansize">
    <w:name w:val="atimgspansize"/>
    <w:basedOn w:val="Normal"/>
    <w:rsid w:val="00FA0266"/>
    <w:pPr>
      <w:widowControl/>
      <w:shd w:val="clear" w:color="auto" w:fill="FFFFFF"/>
      <w:overflowPunct/>
      <w:autoSpaceDE/>
      <w:autoSpaceDN/>
      <w:adjustRightInd/>
      <w:spacing w:before="100" w:beforeAutospacing="1" w:after="100" w:afterAutospacing="1" w:line="360" w:lineRule="atLeast"/>
      <w:textAlignment w:val="auto"/>
    </w:pPr>
    <w:rPr>
      <w:color w:val="000000"/>
      <w:sz w:val="15"/>
      <w:szCs w:val="15"/>
      <w:lang w:val="es-PE" w:eastAsia="es-PE"/>
    </w:rPr>
  </w:style>
  <w:style w:type="paragraph" w:customStyle="1" w:styleId="atimgactbtn">
    <w:name w:val="atimgactbtn"/>
    <w:basedOn w:val="Normal"/>
    <w:rsid w:val="00FA0266"/>
    <w:pPr>
      <w:widowControl/>
      <w:shd w:val="clear" w:color="auto" w:fill="FFFFFF"/>
      <w:overflowPunct/>
      <w:autoSpaceDE/>
      <w:autoSpaceDN/>
      <w:adjustRightInd/>
      <w:spacing w:before="100" w:beforeAutospacing="1" w:after="100" w:afterAutospacing="1"/>
      <w:textAlignment w:val="auto"/>
    </w:pPr>
    <w:rPr>
      <w:vanish/>
      <w:szCs w:val="24"/>
      <w:lang w:val="es-PE" w:eastAsia="es-PE"/>
    </w:rPr>
  </w:style>
  <w:style w:type="paragraph" w:customStyle="1" w:styleId="atpinwin">
    <w:name w:val="atpinwin"/>
    <w:basedOn w:val="Normal"/>
    <w:rsid w:val="00FA0266"/>
    <w:pPr>
      <w:widowControl/>
      <w:overflowPunct/>
      <w:autoSpaceDE/>
      <w:autoSpaceDN/>
      <w:adjustRightInd/>
      <w:spacing w:before="100" w:beforeAutospacing="1" w:after="100" w:afterAutospacing="1"/>
      <w:jc w:val="center"/>
      <w:textAlignment w:val="auto"/>
    </w:pPr>
    <w:rPr>
      <w:rFonts w:ascii="Arial" w:hAnsi="Arial" w:cs="Arial"/>
      <w:szCs w:val="24"/>
      <w:lang w:val="es-PE" w:eastAsia="es-PE"/>
    </w:rPr>
  </w:style>
  <w:style w:type="paragraph" w:customStyle="1" w:styleId="atpinwinmn">
    <w:name w:val="atpinwinmn"/>
    <w:basedOn w:val="Normal"/>
    <w:rsid w:val="00FA0266"/>
    <w:pPr>
      <w:widowControl/>
      <w:overflowPunct/>
      <w:autoSpaceDE/>
      <w:autoSpaceDN/>
      <w:adjustRightInd/>
      <w:spacing w:before="100" w:beforeAutospacing="1" w:after="100" w:afterAutospacing="1"/>
      <w:jc w:val="center"/>
      <w:textAlignment w:val="auto"/>
    </w:pPr>
    <w:rPr>
      <w:szCs w:val="24"/>
      <w:lang w:val="es-PE" w:eastAsia="es-PE"/>
    </w:rPr>
  </w:style>
  <w:style w:type="paragraph" w:customStyle="1" w:styleId="atimgico">
    <w:name w:val="atimgico"/>
    <w:basedOn w:val="Normal"/>
    <w:rsid w:val="00FA0266"/>
    <w:pPr>
      <w:widowControl/>
      <w:overflowPunct/>
      <w:autoSpaceDE/>
      <w:autoSpaceDN/>
      <w:adjustRightInd/>
      <w:spacing w:before="100" w:beforeAutospacing="1" w:after="100" w:afterAutospacing="1"/>
      <w:ind w:right="75"/>
      <w:textAlignment w:val="auto"/>
    </w:pPr>
    <w:rPr>
      <w:szCs w:val="24"/>
      <w:lang w:val="es-PE" w:eastAsia="es-PE"/>
    </w:rPr>
  </w:style>
  <w:style w:type="paragraph" w:customStyle="1" w:styleId="atnoimg">
    <w:name w:val="atnoimg"/>
    <w:basedOn w:val="Normal"/>
    <w:rsid w:val="00FA0266"/>
    <w:pPr>
      <w:widowControl/>
      <w:overflowPunct/>
      <w:autoSpaceDE/>
      <w:autoSpaceDN/>
      <w:adjustRightInd/>
      <w:spacing w:before="600" w:after="100" w:afterAutospacing="1" w:line="240" w:lineRule="atLeast"/>
      <w:textAlignment w:val="auto"/>
    </w:pPr>
    <w:rPr>
      <w:color w:val="8C7E7E"/>
      <w:szCs w:val="24"/>
      <w:lang w:val="es-PE" w:eastAsia="es-PE"/>
    </w:rPr>
  </w:style>
  <w:style w:type="paragraph" w:customStyle="1" w:styleId="atpinitbutton">
    <w:name w:val="at_pinitbutton"/>
    <w:basedOn w:val="Normal"/>
    <w:rsid w:val="00FA0266"/>
    <w:pPr>
      <w:widowControl/>
      <w:pBdr>
        <w:top w:val="single" w:sz="6" w:space="0" w:color="E8E4E4"/>
        <w:left w:val="single" w:sz="6" w:space="0" w:color="C9C5C5"/>
        <w:bottom w:val="single" w:sz="6" w:space="0" w:color="C9C5C5"/>
        <w:right w:val="single" w:sz="6" w:space="0" w:color="C9C5C5"/>
      </w:pBdr>
      <w:overflowPunct/>
      <w:autoSpaceDE/>
      <w:autoSpaceDN/>
      <w:adjustRightInd/>
      <w:spacing w:line="330" w:lineRule="atLeast"/>
      <w:ind w:firstLine="25072"/>
      <w:textAlignment w:val="auto"/>
    </w:pPr>
    <w:rPr>
      <w:rFonts w:ascii="Arial" w:hAnsi="Arial" w:cs="Arial"/>
      <w:color w:val="CD1F1F"/>
      <w:sz w:val="2"/>
      <w:szCs w:val="2"/>
      <w:lang w:val="es-PE" w:eastAsia="es-PE"/>
    </w:rPr>
  </w:style>
  <w:style w:type="paragraph" w:customStyle="1" w:styleId="at3pinwinmn">
    <w:name w:val="at3pinwinmn"/>
    <w:basedOn w:val="Normal"/>
    <w:rsid w:val="00FA0266"/>
    <w:pPr>
      <w:widowControl/>
      <w:overflowPunct/>
      <w:autoSpaceDE/>
      <w:autoSpaceDN/>
      <w:adjustRightInd/>
      <w:spacing w:before="100" w:beforeAutospacing="1" w:after="100" w:afterAutospacing="1"/>
      <w:jc w:val="center"/>
      <w:textAlignment w:val="auto"/>
    </w:pPr>
    <w:rPr>
      <w:szCs w:val="24"/>
      <w:lang w:val="es-PE" w:eastAsia="es-PE"/>
    </w:rPr>
  </w:style>
  <w:style w:type="paragraph" w:customStyle="1" w:styleId="at3imgspanouter">
    <w:name w:val="at3imgspanouter"/>
    <w:basedOn w:val="Normal"/>
    <w:rsid w:val="00FA0266"/>
    <w:pPr>
      <w:widowControl/>
      <w:pBdr>
        <w:top w:val="single" w:sz="6" w:space="0" w:color="DEDEDE"/>
        <w:left w:val="single" w:sz="6" w:space="0" w:color="DEDEDE"/>
        <w:bottom w:val="single" w:sz="6" w:space="0" w:color="DEDEDE"/>
        <w:right w:val="single" w:sz="6" w:space="0" w:color="DEDEDE"/>
      </w:pBdr>
      <w:overflowPunct/>
      <w:autoSpaceDE/>
      <w:autoSpaceDN/>
      <w:adjustRightInd/>
      <w:spacing w:after="150"/>
      <w:ind w:right="150"/>
      <w:textAlignment w:val="auto"/>
    </w:pPr>
    <w:rPr>
      <w:szCs w:val="24"/>
      <w:lang w:val="es-PE" w:eastAsia="es-PE"/>
    </w:rPr>
  </w:style>
  <w:style w:type="paragraph" w:customStyle="1" w:styleId="at3lblight">
    <w:name w:val="at3lbligh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lbdark">
    <w:name w:val="at3lbdark"/>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service-icon">
    <w:name w:val="service-ico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
    <w:name w:val="at-quickshare"/>
    <w:basedOn w:val="Normal"/>
    <w:rsid w:val="00FA0266"/>
    <w:pPr>
      <w:widowControl/>
      <w:pBdr>
        <w:top w:val="single" w:sz="6" w:space="0" w:color="BBBBBB"/>
        <w:left w:val="single" w:sz="6" w:space="0" w:color="BBBBBB"/>
        <w:bottom w:val="single" w:sz="6" w:space="0" w:color="BBBBBB"/>
        <w:right w:val="single" w:sz="6" w:space="0" w:color="BBBBBB"/>
      </w:pBdr>
      <w:shd w:val="clear" w:color="auto" w:fill="FFFFFF"/>
      <w:overflowPunct/>
      <w:autoSpaceDE/>
      <w:autoSpaceDN/>
      <w:adjustRightInd/>
      <w:textAlignment w:val="auto"/>
    </w:pPr>
    <w:rPr>
      <w:rFonts w:ascii="Helvetica" w:hAnsi="Helvetica"/>
      <w:color w:val="666666"/>
      <w:sz w:val="21"/>
      <w:szCs w:val="21"/>
      <w:lang w:val="es-PE" w:eastAsia="es-PE"/>
    </w:rPr>
  </w:style>
  <w:style w:type="paragraph" w:customStyle="1" w:styleId="at-quickshare-header">
    <w:name w:val="at-quickshare-header"/>
    <w:basedOn w:val="Normal"/>
    <w:rsid w:val="00FA0266"/>
    <w:pPr>
      <w:widowControl/>
      <w:pBdr>
        <w:bottom w:val="single" w:sz="6" w:space="5" w:color="DEDEDE"/>
      </w:pBdr>
      <w:shd w:val="clear" w:color="auto" w:fill="F2F2F2"/>
      <w:overflowPunct/>
      <w:autoSpaceDE/>
      <w:autoSpaceDN/>
      <w:adjustRightInd/>
      <w:spacing w:before="100" w:beforeAutospacing="1" w:after="100" w:afterAutospacing="1" w:line="240" w:lineRule="atLeast"/>
      <w:textAlignment w:val="auto"/>
    </w:pPr>
    <w:rPr>
      <w:b/>
      <w:bCs/>
      <w:color w:val="666666"/>
      <w:sz w:val="18"/>
      <w:szCs w:val="18"/>
      <w:lang w:val="es-PE" w:eastAsia="es-PE"/>
    </w:rPr>
  </w:style>
  <w:style w:type="paragraph" w:customStyle="1" w:styleId="at-quickshare-header-peep">
    <w:name w:val="at-quickshare-header-peep"/>
    <w:basedOn w:val="Normal"/>
    <w:rsid w:val="00FA0266"/>
    <w:pPr>
      <w:widowControl/>
      <w:pBdr>
        <w:left w:val="single" w:sz="6" w:space="5" w:color="DEDEDE"/>
      </w:pBdr>
      <w:overflowPunct/>
      <w:autoSpaceDE/>
      <w:autoSpaceDN/>
      <w:adjustRightInd/>
      <w:spacing w:before="100" w:beforeAutospacing="1" w:after="100" w:afterAutospacing="1"/>
      <w:textAlignment w:val="auto"/>
    </w:pPr>
    <w:rPr>
      <w:szCs w:val="24"/>
      <w:lang w:val="es-PE" w:eastAsia="es-PE"/>
    </w:rPr>
  </w:style>
  <w:style w:type="paragraph" w:customStyle="1" w:styleId="at-quickshare-content">
    <w:name w:val="at-quickshare-content"/>
    <w:basedOn w:val="Normal"/>
    <w:rsid w:val="00FA0266"/>
    <w:pPr>
      <w:widowControl/>
      <w:shd w:val="clear" w:color="auto" w:fill="FFFFFF"/>
      <w:overflowPunct/>
      <w:autoSpaceDE/>
      <w:autoSpaceDN/>
      <w:adjustRightInd/>
      <w:spacing w:before="100" w:beforeAutospacing="1" w:after="100" w:afterAutospacing="1"/>
      <w:textAlignment w:val="auto"/>
    </w:pPr>
    <w:rPr>
      <w:szCs w:val="24"/>
      <w:lang w:val="es-PE" w:eastAsia="es-PE"/>
    </w:rPr>
  </w:style>
  <w:style w:type="paragraph" w:customStyle="1" w:styleId="at-quickshare-footer">
    <w:name w:val="at-quickshare-footer"/>
    <w:basedOn w:val="Normal"/>
    <w:rsid w:val="00FA0266"/>
    <w:pPr>
      <w:widowControl/>
      <w:pBdr>
        <w:top w:val="single" w:sz="6" w:space="0" w:color="DEDEDE"/>
      </w:pBdr>
      <w:overflowPunct/>
      <w:autoSpaceDE/>
      <w:autoSpaceDN/>
      <w:adjustRightInd/>
      <w:spacing w:before="100" w:beforeAutospacing="1" w:after="100" w:afterAutospacing="1" w:line="315" w:lineRule="atLeast"/>
      <w:textAlignment w:val="auto"/>
    </w:pPr>
    <w:rPr>
      <w:sz w:val="17"/>
      <w:szCs w:val="17"/>
      <w:lang w:val="es-PE" w:eastAsia="es-PE"/>
    </w:rPr>
  </w:style>
  <w:style w:type="paragraph" w:customStyle="1" w:styleId="ishareactive">
    <w:name w:val="ishareactive"/>
    <w:basedOn w:val="Normal"/>
    <w:rsid w:val="00FA0266"/>
    <w:pPr>
      <w:widowControl/>
      <w:overflowPunct/>
      <w:autoSpaceDE/>
      <w:autoSpaceDN/>
      <w:adjustRightInd/>
      <w:textAlignment w:val="auto"/>
    </w:pPr>
    <w:rPr>
      <w:szCs w:val="24"/>
      <w:lang w:val="es-PE" w:eastAsia="es-PE"/>
    </w:rPr>
  </w:style>
  <w:style w:type="paragraph" w:customStyle="1" w:styleId="ishareactive-sm">
    <w:name w:val="ishareactive-sm"/>
    <w:basedOn w:val="Normal"/>
    <w:rsid w:val="00FA0266"/>
    <w:pPr>
      <w:widowControl/>
      <w:overflowPunct/>
      <w:autoSpaceDE/>
      <w:autoSpaceDN/>
      <w:adjustRightInd/>
      <w:textAlignment w:val="auto"/>
    </w:pPr>
    <w:rPr>
      <w:szCs w:val="24"/>
      <w:lang w:val="es-PE" w:eastAsia="es-PE"/>
    </w:rPr>
  </w:style>
  <w:style w:type="paragraph" w:customStyle="1" w:styleId="atcs">
    <w:name w:val="atc_s"/>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
    <w:name w:val="addthis_button_expande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cs-span">
    <w:name w:val="atc_s-spa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separator">
    <w:name w:val="addthis_separator"/>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
    <w:name w:val="at300b"/>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o">
    <w:name w:val="at300bo"/>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m">
    <w:name w:val="at300m"/>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expanded">
    <w:name w:val="at15t_expande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compact">
    <w:name w:val="at15t_compac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toolbox">
    <w:name w:val="addthis_toolbox"/>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m-f-logo">
    <w:name w:val="atm-f-logo"/>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pinterestpinit">
    <w:name w:val="addthis_button_pinterest_pini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mglb">
    <w:name w:val="atimglb"/>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header-x">
    <w:name w:val="at-quickshare-header-x"/>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success">
    <w:name w:val="at-quickshare-success"/>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utton-blue">
    <w:name w:val="at-button-blue"/>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content-lb">
    <w:name w:val="at-quickshare-content-lb"/>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tem">
    <w:name w:val="at_item"/>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old">
    <w:name w:val="at_bol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tn">
    <w:name w:val="atbt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rse">
    <w:name w:val="atrse"/>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tmsg">
    <w:name w:val="tmsg"/>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error">
    <w:name w:val="at_error"/>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c-logo">
    <w:name w:val="ac-logo"/>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np">
    <w:name w:val="atinp"/>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content">
    <w:name w:val="at-promo-conten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btn">
    <w:name w:val="at-promo-bt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addthisfollowlabel">
    <w:name w:val="addthis_follow_label"/>
    <w:basedOn w:val="Fuentedeprrafopredeter"/>
    <w:rsid w:val="00FA0266"/>
  </w:style>
  <w:style w:type="paragraph" w:customStyle="1" w:styleId="atcs1">
    <w:name w:val="atc_s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1">
    <w:name w:val="addthis_button_expanded1"/>
    <w:basedOn w:val="Normal"/>
    <w:rsid w:val="00FA0266"/>
    <w:pPr>
      <w:widowControl/>
      <w:overflowPunct/>
      <w:autoSpaceDE/>
      <w:autoSpaceDN/>
      <w:adjustRightInd/>
      <w:spacing w:before="100" w:beforeAutospacing="1" w:after="45" w:line="495" w:lineRule="atLeast"/>
      <w:jc w:val="center"/>
      <w:textAlignment w:val="auto"/>
    </w:pPr>
    <w:rPr>
      <w:b/>
      <w:bCs/>
      <w:color w:val="333333"/>
      <w:szCs w:val="24"/>
      <w:lang w:val="es-PE" w:eastAsia="es-PE"/>
    </w:rPr>
  </w:style>
  <w:style w:type="paragraph" w:customStyle="1" w:styleId="atcs-span1">
    <w:name w:val="atc_s-span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2">
    <w:name w:val="addthis_button_expanded2"/>
    <w:basedOn w:val="Normal"/>
    <w:rsid w:val="00FA0266"/>
    <w:pPr>
      <w:widowControl/>
      <w:overflowPunct/>
      <w:autoSpaceDE/>
      <w:autoSpaceDN/>
      <w:adjustRightInd/>
      <w:spacing w:before="100" w:beforeAutospacing="1" w:after="45" w:line="495" w:lineRule="atLeast"/>
      <w:jc w:val="center"/>
      <w:textAlignment w:val="auto"/>
    </w:pPr>
    <w:rPr>
      <w:b/>
      <w:bCs/>
      <w:color w:val="000000"/>
      <w:szCs w:val="24"/>
      <w:lang w:val="es-PE" w:eastAsia="es-PE"/>
    </w:rPr>
  </w:style>
  <w:style w:type="paragraph" w:customStyle="1" w:styleId="addthiscounter1">
    <w:name w:val="addthis_counter1"/>
    <w:basedOn w:val="Normal"/>
    <w:rsid w:val="00FA0266"/>
    <w:pPr>
      <w:widowControl/>
      <w:overflowPunct/>
      <w:autoSpaceDE/>
      <w:autoSpaceDN/>
      <w:adjustRightInd/>
      <w:spacing w:before="100" w:beforeAutospacing="1" w:after="100" w:afterAutospacing="1"/>
      <w:textAlignment w:val="auto"/>
    </w:pPr>
    <w:rPr>
      <w:b/>
      <w:bCs/>
      <w:color w:val="FFFFFF"/>
      <w:szCs w:val="24"/>
      <w:lang w:val="es-PE" w:eastAsia="es-PE"/>
    </w:rPr>
  </w:style>
  <w:style w:type="paragraph" w:customStyle="1" w:styleId="atitem1">
    <w:name w:val="at_item1"/>
    <w:basedOn w:val="Normal"/>
    <w:rsid w:val="00FA0266"/>
    <w:pPr>
      <w:widowControl/>
      <w:pBdr>
        <w:top w:val="single" w:sz="6" w:space="3" w:color="FFFFFF"/>
        <w:left w:val="single" w:sz="6" w:space="3" w:color="FFFFFF"/>
        <w:bottom w:val="single" w:sz="6" w:space="3" w:color="FFFFFF"/>
        <w:right w:val="single" w:sz="6" w:space="3" w:color="FFFFFF"/>
      </w:pBdr>
      <w:overflowPunct/>
      <w:autoSpaceDE/>
      <w:autoSpaceDN/>
      <w:adjustRightInd/>
      <w:spacing w:before="100" w:beforeAutospacing="1" w:after="100" w:afterAutospacing="1" w:line="240" w:lineRule="atLeast"/>
      <w:ind w:right="30"/>
      <w:textAlignment w:val="auto"/>
    </w:pPr>
    <w:rPr>
      <w:rFonts w:ascii="Arial" w:hAnsi="Arial" w:cs="Arial"/>
      <w:szCs w:val="24"/>
      <w:lang w:val="es-PE" w:eastAsia="es-PE"/>
    </w:rPr>
  </w:style>
  <w:style w:type="paragraph" w:customStyle="1" w:styleId="atbold1">
    <w:name w:val="at_bold1"/>
    <w:basedOn w:val="Normal"/>
    <w:rsid w:val="00FA0266"/>
    <w:pPr>
      <w:widowControl/>
      <w:overflowPunct/>
      <w:autoSpaceDE/>
      <w:autoSpaceDN/>
      <w:adjustRightInd/>
      <w:spacing w:before="100" w:beforeAutospacing="1" w:after="100" w:afterAutospacing="1"/>
      <w:textAlignment w:val="auto"/>
    </w:pPr>
    <w:rPr>
      <w:b/>
      <w:bCs/>
      <w:szCs w:val="24"/>
      <w:lang w:val="es-PE" w:eastAsia="es-PE"/>
    </w:rPr>
  </w:style>
  <w:style w:type="paragraph" w:customStyle="1" w:styleId="atitem2">
    <w:name w:val="at_item2"/>
    <w:basedOn w:val="Normal"/>
    <w:rsid w:val="00FA0266"/>
    <w:pPr>
      <w:widowControl/>
      <w:overflowPunct/>
      <w:autoSpaceDE/>
      <w:autoSpaceDN/>
      <w:adjustRightInd/>
      <w:spacing w:before="15" w:after="15"/>
      <w:ind w:left="15" w:right="15"/>
      <w:textAlignment w:val="auto"/>
    </w:pPr>
    <w:rPr>
      <w:szCs w:val="24"/>
      <w:lang w:val="es-PE" w:eastAsia="es-PE"/>
    </w:rPr>
  </w:style>
  <w:style w:type="paragraph" w:customStyle="1" w:styleId="at15t1">
    <w:name w:val="at15t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addthisfollowlabel1">
    <w:name w:val="addthis_follow_label1"/>
    <w:basedOn w:val="Fuentedeprrafopredeter"/>
    <w:rsid w:val="00FA0266"/>
    <w:rPr>
      <w:vanish/>
      <w:webHidden w:val="0"/>
      <w:specVanish w:val="0"/>
    </w:rPr>
  </w:style>
  <w:style w:type="paragraph" w:customStyle="1" w:styleId="addthisseparator1">
    <w:name w:val="addthis_separator1"/>
    <w:basedOn w:val="Normal"/>
    <w:rsid w:val="00FA0266"/>
    <w:pPr>
      <w:widowControl/>
      <w:overflowPunct/>
      <w:autoSpaceDE/>
      <w:autoSpaceDN/>
      <w:adjustRightInd/>
      <w:ind w:left="75" w:right="75"/>
      <w:textAlignment w:val="auto"/>
    </w:pPr>
    <w:rPr>
      <w:szCs w:val="24"/>
      <w:lang w:val="es-PE" w:eastAsia="es-PE"/>
    </w:rPr>
  </w:style>
  <w:style w:type="paragraph" w:customStyle="1" w:styleId="at300b1">
    <w:name w:val="at300b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o1">
    <w:name w:val="at300bo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m1">
    <w:name w:val="at300m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1">
    <w:name w:val="at300bs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2">
    <w:name w:val="at300bs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2">
    <w:name w:val="at15t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3">
    <w:name w:val="at300bs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4">
    <w:name w:val="at300bs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3">
    <w:name w:val="at15t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5">
    <w:name w:val="at300bs5"/>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nc1">
    <w:name w:val="at16nc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expanded1">
    <w:name w:val="at15t_expanded1"/>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15tcompact1">
    <w:name w:val="at15t_compact1"/>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btn1">
    <w:name w:val="atbtn1"/>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btn2">
    <w:name w:val="atbtn2"/>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rse1">
    <w:name w:val="atrse1"/>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atrse2">
    <w:name w:val="atrse2"/>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tmsg1">
    <w:name w:val="tmsg1"/>
    <w:basedOn w:val="Normal"/>
    <w:rsid w:val="00FA0266"/>
    <w:pPr>
      <w:widowControl/>
      <w:overflowPunct/>
      <w:autoSpaceDE/>
      <w:autoSpaceDN/>
      <w:adjustRightInd/>
      <w:spacing w:before="100" w:beforeAutospacing="1" w:after="100" w:afterAutospacing="1"/>
      <w:jc w:val="right"/>
      <w:textAlignment w:val="auto"/>
    </w:pPr>
    <w:rPr>
      <w:szCs w:val="24"/>
      <w:lang w:val="es-PE" w:eastAsia="es-PE"/>
    </w:rPr>
  </w:style>
  <w:style w:type="paragraph" w:customStyle="1" w:styleId="aterror1">
    <w:name w:val="at_error1"/>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terror2">
    <w:name w:val="at_error2"/>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c-logo1">
    <w:name w:val="ac-logo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c-logo2">
    <w:name w:val="ac-logo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np1">
    <w:name w:val="atinp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content1">
    <w:name w:val="at-promo-content1"/>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content2">
    <w:name w:val="at-promo-content2"/>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btn1">
    <w:name w:val="at-promo-btn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btn2">
    <w:name w:val="at-promo-btn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toolbox1">
    <w:name w:val="addthis_toolbox1"/>
    <w:basedOn w:val="Normal"/>
    <w:rsid w:val="00FA0266"/>
    <w:pPr>
      <w:widowControl/>
      <w:overflowPunct/>
      <w:autoSpaceDE/>
      <w:autoSpaceDN/>
      <w:adjustRightInd/>
      <w:textAlignment w:val="auto"/>
    </w:pPr>
    <w:rPr>
      <w:szCs w:val="24"/>
      <w:lang w:val="es-PE" w:eastAsia="es-PE"/>
    </w:rPr>
  </w:style>
  <w:style w:type="paragraph" w:customStyle="1" w:styleId="atm-f1">
    <w:name w:val="atm-f1"/>
    <w:basedOn w:val="Normal"/>
    <w:rsid w:val="00FA0266"/>
    <w:pPr>
      <w:widowControl/>
      <w:overflowPunct/>
      <w:autoSpaceDE/>
      <w:autoSpaceDN/>
      <w:adjustRightInd/>
      <w:spacing w:before="100" w:beforeAutospacing="1" w:after="100" w:afterAutospacing="1"/>
      <w:textAlignment w:val="auto"/>
    </w:pPr>
    <w:rPr>
      <w:sz w:val="14"/>
      <w:szCs w:val="14"/>
      <w:lang w:val="es-PE" w:eastAsia="es-PE"/>
    </w:rPr>
  </w:style>
  <w:style w:type="paragraph" w:customStyle="1" w:styleId="atm-f-logo1">
    <w:name w:val="atm-f-logo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pinterestpinit1">
    <w:name w:val="addthis_button_pinterest_pinit1"/>
    <w:basedOn w:val="Normal"/>
    <w:rsid w:val="00FA0266"/>
    <w:pPr>
      <w:widowControl/>
      <w:overflowPunct/>
      <w:autoSpaceDE/>
      <w:autoSpaceDN/>
      <w:adjustRightInd/>
      <w:spacing w:before="100" w:beforeAutospacing="1" w:after="100" w:afterAutospacing="1"/>
      <w:ind w:right="150"/>
      <w:textAlignment w:val="auto"/>
    </w:pPr>
    <w:rPr>
      <w:szCs w:val="24"/>
      <w:lang w:val="es-PE" w:eastAsia="es-PE"/>
    </w:rPr>
  </w:style>
  <w:style w:type="paragraph" w:customStyle="1" w:styleId="atimglb1">
    <w:name w:val="atimglb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header-x1">
    <w:name w:val="at-quickshare-header-x1"/>
    <w:basedOn w:val="Normal"/>
    <w:rsid w:val="00FA0266"/>
    <w:pPr>
      <w:widowControl/>
      <w:pBdr>
        <w:left w:val="single" w:sz="6" w:space="9" w:color="DEDEDE"/>
      </w:pBdr>
      <w:overflowPunct/>
      <w:autoSpaceDE/>
      <w:autoSpaceDN/>
      <w:adjustRightInd/>
      <w:spacing w:before="100" w:beforeAutospacing="1" w:after="100" w:afterAutospacing="1"/>
      <w:textAlignment w:val="auto"/>
    </w:pPr>
    <w:rPr>
      <w:szCs w:val="24"/>
      <w:lang w:val="es-PE" w:eastAsia="es-PE"/>
    </w:rPr>
  </w:style>
  <w:style w:type="paragraph" w:customStyle="1" w:styleId="at-quickshare-header-x2">
    <w:name w:val="at-quickshare-header-x2"/>
    <w:basedOn w:val="Normal"/>
    <w:rsid w:val="00FA0266"/>
    <w:pPr>
      <w:widowControl/>
      <w:pBdr>
        <w:left w:val="single" w:sz="6" w:space="9" w:color="DEDEDE"/>
      </w:pBdr>
      <w:shd w:val="clear" w:color="auto" w:fill="DEDEDE"/>
      <w:overflowPunct/>
      <w:autoSpaceDE/>
      <w:autoSpaceDN/>
      <w:adjustRightInd/>
      <w:spacing w:before="100" w:beforeAutospacing="1" w:after="100" w:afterAutospacing="1"/>
      <w:textAlignment w:val="auto"/>
    </w:pPr>
    <w:rPr>
      <w:szCs w:val="24"/>
      <w:lang w:val="es-PE" w:eastAsia="es-PE"/>
    </w:rPr>
  </w:style>
  <w:style w:type="paragraph" w:customStyle="1" w:styleId="at-quickshare-success1">
    <w:name w:val="at-quickshare-success1"/>
    <w:basedOn w:val="Normal"/>
    <w:rsid w:val="00FA0266"/>
    <w:pPr>
      <w:widowControl/>
      <w:overflowPunct/>
      <w:autoSpaceDE/>
      <w:autoSpaceDN/>
      <w:adjustRightInd/>
      <w:spacing w:before="100" w:beforeAutospacing="1" w:after="100" w:afterAutospacing="1"/>
      <w:textAlignment w:val="auto"/>
    </w:pPr>
    <w:rPr>
      <w:color w:val="2AAC36"/>
      <w:szCs w:val="24"/>
      <w:lang w:val="es-PE" w:eastAsia="es-PE"/>
    </w:rPr>
  </w:style>
  <w:style w:type="paragraph" w:customStyle="1" w:styleId="at-button-blue1">
    <w:name w:val="at-button-blue1"/>
    <w:basedOn w:val="Normal"/>
    <w:rsid w:val="00FA0266"/>
    <w:pPr>
      <w:widowControl/>
      <w:pBdr>
        <w:top w:val="single" w:sz="6" w:space="5" w:color="125CB5"/>
        <w:left w:val="single" w:sz="6" w:space="12" w:color="125CB5"/>
        <w:bottom w:val="single" w:sz="6" w:space="5" w:color="125CB5"/>
        <w:right w:val="single" w:sz="6" w:space="12" w:color="125CB5"/>
      </w:pBdr>
      <w:shd w:val="clear" w:color="auto" w:fill="0D98FB"/>
      <w:overflowPunct/>
      <w:autoSpaceDE/>
      <w:autoSpaceDN/>
      <w:adjustRightInd/>
      <w:spacing w:before="180"/>
      <w:textAlignment w:val="auto"/>
    </w:pPr>
    <w:rPr>
      <w:b/>
      <w:bCs/>
      <w:color w:val="FFFFFF"/>
      <w:sz w:val="18"/>
      <w:szCs w:val="18"/>
      <w:lang w:val="es-PE" w:eastAsia="es-PE"/>
    </w:rPr>
  </w:style>
  <w:style w:type="paragraph" w:customStyle="1" w:styleId="at-button-blue2">
    <w:name w:val="at-button-blue2"/>
    <w:basedOn w:val="Normal"/>
    <w:rsid w:val="00FA0266"/>
    <w:pPr>
      <w:widowControl/>
      <w:pBdr>
        <w:top w:val="single" w:sz="6" w:space="5" w:color="125CB5"/>
        <w:left w:val="single" w:sz="6" w:space="12" w:color="125CB5"/>
        <w:bottom w:val="single" w:sz="6" w:space="5" w:color="125CB5"/>
        <w:right w:val="single" w:sz="6" w:space="12" w:color="125CB5"/>
      </w:pBdr>
      <w:shd w:val="clear" w:color="auto" w:fill="098DF4"/>
      <w:overflowPunct/>
      <w:autoSpaceDE/>
      <w:autoSpaceDN/>
      <w:adjustRightInd/>
      <w:spacing w:before="180"/>
      <w:textAlignment w:val="auto"/>
    </w:pPr>
    <w:rPr>
      <w:b/>
      <w:bCs/>
      <w:color w:val="FFFFFF"/>
      <w:sz w:val="18"/>
      <w:szCs w:val="18"/>
      <w:lang w:val="es-PE" w:eastAsia="es-PE"/>
    </w:rPr>
  </w:style>
  <w:style w:type="paragraph" w:customStyle="1" w:styleId="at-quickshare-content-lb1">
    <w:name w:val="at-quickshare-content-lb1"/>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at-quickshare-success2">
    <w:name w:val="at-quickshare-success2"/>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atcs2">
    <w:name w:val="atc_s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3">
    <w:name w:val="addthis_button_expanded3"/>
    <w:basedOn w:val="Normal"/>
    <w:rsid w:val="00FA0266"/>
    <w:pPr>
      <w:widowControl/>
      <w:overflowPunct/>
      <w:autoSpaceDE/>
      <w:autoSpaceDN/>
      <w:adjustRightInd/>
      <w:spacing w:before="100" w:beforeAutospacing="1" w:after="45" w:line="495" w:lineRule="atLeast"/>
      <w:jc w:val="center"/>
      <w:textAlignment w:val="auto"/>
    </w:pPr>
    <w:rPr>
      <w:b/>
      <w:bCs/>
      <w:color w:val="333333"/>
      <w:szCs w:val="24"/>
      <w:lang w:val="es-PE" w:eastAsia="es-PE"/>
    </w:rPr>
  </w:style>
  <w:style w:type="paragraph" w:customStyle="1" w:styleId="atcs-span2">
    <w:name w:val="atc_s-span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4">
    <w:name w:val="addthis_button_expanded4"/>
    <w:basedOn w:val="Normal"/>
    <w:rsid w:val="00FA0266"/>
    <w:pPr>
      <w:widowControl/>
      <w:overflowPunct/>
      <w:autoSpaceDE/>
      <w:autoSpaceDN/>
      <w:adjustRightInd/>
      <w:spacing w:before="100" w:beforeAutospacing="1" w:after="45" w:line="495" w:lineRule="atLeast"/>
      <w:jc w:val="center"/>
      <w:textAlignment w:val="auto"/>
    </w:pPr>
    <w:rPr>
      <w:b/>
      <w:bCs/>
      <w:color w:val="000000"/>
      <w:szCs w:val="24"/>
      <w:lang w:val="es-PE" w:eastAsia="es-PE"/>
    </w:rPr>
  </w:style>
  <w:style w:type="paragraph" w:customStyle="1" w:styleId="addthiscounter2">
    <w:name w:val="addthis_counter2"/>
    <w:basedOn w:val="Normal"/>
    <w:rsid w:val="00FA0266"/>
    <w:pPr>
      <w:widowControl/>
      <w:overflowPunct/>
      <w:autoSpaceDE/>
      <w:autoSpaceDN/>
      <w:adjustRightInd/>
      <w:spacing w:before="100" w:beforeAutospacing="1" w:after="100" w:afterAutospacing="1"/>
      <w:textAlignment w:val="auto"/>
    </w:pPr>
    <w:rPr>
      <w:b/>
      <w:bCs/>
      <w:color w:val="FFFFFF"/>
      <w:szCs w:val="24"/>
      <w:lang w:val="es-PE" w:eastAsia="es-PE"/>
    </w:rPr>
  </w:style>
  <w:style w:type="paragraph" w:customStyle="1" w:styleId="atitem3">
    <w:name w:val="at_item3"/>
    <w:basedOn w:val="Normal"/>
    <w:rsid w:val="00FA0266"/>
    <w:pPr>
      <w:widowControl/>
      <w:pBdr>
        <w:top w:val="single" w:sz="6" w:space="3" w:color="FFFFFF"/>
        <w:left w:val="single" w:sz="6" w:space="3" w:color="FFFFFF"/>
        <w:bottom w:val="single" w:sz="6" w:space="3" w:color="FFFFFF"/>
        <w:right w:val="single" w:sz="6" w:space="3" w:color="FFFFFF"/>
      </w:pBdr>
      <w:overflowPunct/>
      <w:autoSpaceDE/>
      <w:autoSpaceDN/>
      <w:adjustRightInd/>
      <w:spacing w:before="100" w:beforeAutospacing="1" w:after="100" w:afterAutospacing="1" w:line="240" w:lineRule="atLeast"/>
      <w:ind w:right="30"/>
      <w:textAlignment w:val="auto"/>
    </w:pPr>
    <w:rPr>
      <w:rFonts w:ascii="Arial" w:hAnsi="Arial" w:cs="Arial"/>
      <w:szCs w:val="24"/>
      <w:lang w:val="es-PE" w:eastAsia="es-PE"/>
    </w:rPr>
  </w:style>
  <w:style w:type="paragraph" w:customStyle="1" w:styleId="atbold2">
    <w:name w:val="at_bold2"/>
    <w:basedOn w:val="Normal"/>
    <w:rsid w:val="00FA0266"/>
    <w:pPr>
      <w:widowControl/>
      <w:overflowPunct/>
      <w:autoSpaceDE/>
      <w:autoSpaceDN/>
      <w:adjustRightInd/>
      <w:spacing w:before="100" w:beforeAutospacing="1" w:after="100" w:afterAutospacing="1"/>
      <w:textAlignment w:val="auto"/>
    </w:pPr>
    <w:rPr>
      <w:b/>
      <w:bCs/>
      <w:szCs w:val="24"/>
      <w:lang w:val="es-PE" w:eastAsia="es-PE"/>
    </w:rPr>
  </w:style>
  <w:style w:type="paragraph" w:customStyle="1" w:styleId="atitem4">
    <w:name w:val="at_item4"/>
    <w:basedOn w:val="Normal"/>
    <w:rsid w:val="00FA0266"/>
    <w:pPr>
      <w:widowControl/>
      <w:overflowPunct/>
      <w:autoSpaceDE/>
      <w:autoSpaceDN/>
      <w:adjustRightInd/>
      <w:spacing w:before="15" w:after="15"/>
      <w:ind w:left="15" w:right="15"/>
      <w:textAlignment w:val="auto"/>
    </w:pPr>
    <w:rPr>
      <w:szCs w:val="24"/>
      <w:lang w:val="es-PE" w:eastAsia="es-PE"/>
    </w:rPr>
  </w:style>
  <w:style w:type="paragraph" w:customStyle="1" w:styleId="at15t4">
    <w:name w:val="at15t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addthisfollowlabel2">
    <w:name w:val="addthis_follow_label2"/>
    <w:basedOn w:val="Fuentedeprrafopredeter"/>
    <w:rsid w:val="00FA0266"/>
    <w:rPr>
      <w:vanish/>
      <w:webHidden w:val="0"/>
      <w:specVanish w:val="0"/>
    </w:rPr>
  </w:style>
  <w:style w:type="paragraph" w:customStyle="1" w:styleId="addthisseparator2">
    <w:name w:val="addthis_separator2"/>
    <w:basedOn w:val="Normal"/>
    <w:rsid w:val="00FA0266"/>
    <w:pPr>
      <w:widowControl/>
      <w:overflowPunct/>
      <w:autoSpaceDE/>
      <w:autoSpaceDN/>
      <w:adjustRightInd/>
      <w:ind w:left="75" w:right="75"/>
      <w:textAlignment w:val="auto"/>
    </w:pPr>
    <w:rPr>
      <w:szCs w:val="24"/>
      <w:lang w:val="es-PE" w:eastAsia="es-PE"/>
    </w:rPr>
  </w:style>
  <w:style w:type="paragraph" w:customStyle="1" w:styleId="at300b2">
    <w:name w:val="at300b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o2">
    <w:name w:val="at300bo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m2">
    <w:name w:val="at300m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6">
    <w:name w:val="at300bs6"/>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7">
    <w:name w:val="at300bs7"/>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5">
    <w:name w:val="at15t5"/>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8">
    <w:name w:val="at300bs8"/>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9">
    <w:name w:val="at300bs9"/>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6">
    <w:name w:val="at15t6"/>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10">
    <w:name w:val="at300bs10"/>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nc2">
    <w:name w:val="at16nc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expanded2">
    <w:name w:val="at15t_expanded2"/>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15tcompact2">
    <w:name w:val="at15t_compact2"/>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btn3">
    <w:name w:val="atbtn3"/>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btn4">
    <w:name w:val="atbtn4"/>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rse3">
    <w:name w:val="atrse3"/>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atrse4">
    <w:name w:val="atrse4"/>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tmsg2">
    <w:name w:val="tmsg2"/>
    <w:basedOn w:val="Normal"/>
    <w:rsid w:val="00FA0266"/>
    <w:pPr>
      <w:widowControl/>
      <w:overflowPunct/>
      <w:autoSpaceDE/>
      <w:autoSpaceDN/>
      <w:adjustRightInd/>
      <w:spacing w:before="100" w:beforeAutospacing="1" w:after="100" w:afterAutospacing="1"/>
      <w:jc w:val="right"/>
      <w:textAlignment w:val="auto"/>
    </w:pPr>
    <w:rPr>
      <w:szCs w:val="24"/>
      <w:lang w:val="es-PE" w:eastAsia="es-PE"/>
    </w:rPr>
  </w:style>
  <w:style w:type="paragraph" w:customStyle="1" w:styleId="aterror3">
    <w:name w:val="at_error3"/>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terror4">
    <w:name w:val="at_error4"/>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c-logo3">
    <w:name w:val="ac-logo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c-logo4">
    <w:name w:val="ac-logo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np2">
    <w:name w:val="atinp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content3">
    <w:name w:val="at-promo-content3"/>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content4">
    <w:name w:val="at-promo-content4"/>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btn3">
    <w:name w:val="at-promo-btn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btn4">
    <w:name w:val="at-promo-btn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toolbox2">
    <w:name w:val="addthis_toolbox2"/>
    <w:basedOn w:val="Normal"/>
    <w:rsid w:val="00FA0266"/>
    <w:pPr>
      <w:widowControl/>
      <w:overflowPunct/>
      <w:autoSpaceDE/>
      <w:autoSpaceDN/>
      <w:adjustRightInd/>
      <w:textAlignment w:val="auto"/>
    </w:pPr>
    <w:rPr>
      <w:szCs w:val="24"/>
      <w:lang w:val="es-PE" w:eastAsia="es-PE"/>
    </w:rPr>
  </w:style>
  <w:style w:type="paragraph" w:customStyle="1" w:styleId="atm-f2">
    <w:name w:val="atm-f2"/>
    <w:basedOn w:val="Normal"/>
    <w:rsid w:val="00FA0266"/>
    <w:pPr>
      <w:widowControl/>
      <w:overflowPunct/>
      <w:autoSpaceDE/>
      <w:autoSpaceDN/>
      <w:adjustRightInd/>
      <w:spacing w:before="100" w:beforeAutospacing="1" w:after="100" w:afterAutospacing="1"/>
      <w:textAlignment w:val="auto"/>
    </w:pPr>
    <w:rPr>
      <w:sz w:val="14"/>
      <w:szCs w:val="14"/>
      <w:lang w:val="es-PE" w:eastAsia="es-PE"/>
    </w:rPr>
  </w:style>
  <w:style w:type="paragraph" w:customStyle="1" w:styleId="atm-f-logo2">
    <w:name w:val="atm-f-logo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pinterestpinit2">
    <w:name w:val="addthis_button_pinterest_pinit2"/>
    <w:basedOn w:val="Normal"/>
    <w:rsid w:val="00FA0266"/>
    <w:pPr>
      <w:widowControl/>
      <w:overflowPunct/>
      <w:autoSpaceDE/>
      <w:autoSpaceDN/>
      <w:adjustRightInd/>
      <w:spacing w:before="100" w:beforeAutospacing="1" w:after="100" w:afterAutospacing="1"/>
      <w:ind w:right="150"/>
      <w:textAlignment w:val="auto"/>
    </w:pPr>
    <w:rPr>
      <w:szCs w:val="24"/>
      <w:lang w:val="es-PE" w:eastAsia="es-PE"/>
    </w:rPr>
  </w:style>
  <w:style w:type="paragraph" w:customStyle="1" w:styleId="atimglb2">
    <w:name w:val="atimglb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header-x3">
    <w:name w:val="at-quickshare-header-x3"/>
    <w:basedOn w:val="Normal"/>
    <w:rsid w:val="00FA0266"/>
    <w:pPr>
      <w:widowControl/>
      <w:pBdr>
        <w:left w:val="single" w:sz="6" w:space="9" w:color="DEDEDE"/>
      </w:pBdr>
      <w:overflowPunct/>
      <w:autoSpaceDE/>
      <w:autoSpaceDN/>
      <w:adjustRightInd/>
      <w:spacing w:before="100" w:beforeAutospacing="1" w:after="100" w:afterAutospacing="1"/>
      <w:textAlignment w:val="auto"/>
    </w:pPr>
    <w:rPr>
      <w:szCs w:val="24"/>
      <w:lang w:val="es-PE" w:eastAsia="es-PE"/>
    </w:rPr>
  </w:style>
  <w:style w:type="paragraph" w:customStyle="1" w:styleId="at-quickshare-header-x4">
    <w:name w:val="at-quickshare-header-x4"/>
    <w:basedOn w:val="Normal"/>
    <w:rsid w:val="00FA0266"/>
    <w:pPr>
      <w:widowControl/>
      <w:pBdr>
        <w:left w:val="single" w:sz="6" w:space="9" w:color="DEDEDE"/>
      </w:pBdr>
      <w:shd w:val="clear" w:color="auto" w:fill="DEDEDE"/>
      <w:overflowPunct/>
      <w:autoSpaceDE/>
      <w:autoSpaceDN/>
      <w:adjustRightInd/>
      <w:spacing w:before="100" w:beforeAutospacing="1" w:after="100" w:afterAutospacing="1"/>
      <w:textAlignment w:val="auto"/>
    </w:pPr>
    <w:rPr>
      <w:szCs w:val="24"/>
      <w:lang w:val="es-PE" w:eastAsia="es-PE"/>
    </w:rPr>
  </w:style>
  <w:style w:type="paragraph" w:customStyle="1" w:styleId="at-quickshare-success3">
    <w:name w:val="at-quickshare-success3"/>
    <w:basedOn w:val="Normal"/>
    <w:rsid w:val="00FA0266"/>
    <w:pPr>
      <w:widowControl/>
      <w:overflowPunct/>
      <w:autoSpaceDE/>
      <w:autoSpaceDN/>
      <w:adjustRightInd/>
      <w:spacing w:before="100" w:beforeAutospacing="1" w:after="100" w:afterAutospacing="1"/>
      <w:textAlignment w:val="auto"/>
    </w:pPr>
    <w:rPr>
      <w:color w:val="2AAC36"/>
      <w:szCs w:val="24"/>
      <w:lang w:val="es-PE" w:eastAsia="es-PE"/>
    </w:rPr>
  </w:style>
  <w:style w:type="paragraph" w:customStyle="1" w:styleId="at-button-blue3">
    <w:name w:val="at-button-blue3"/>
    <w:basedOn w:val="Normal"/>
    <w:rsid w:val="00FA0266"/>
    <w:pPr>
      <w:widowControl/>
      <w:pBdr>
        <w:top w:val="single" w:sz="6" w:space="5" w:color="125CB5"/>
        <w:left w:val="single" w:sz="6" w:space="12" w:color="125CB5"/>
        <w:bottom w:val="single" w:sz="6" w:space="5" w:color="125CB5"/>
        <w:right w:val="single" w:sz="6" w:space="12" w:color="125CB5"/>
      </w:pBdr>
      <w:shd w:val="clear" w:color="auto" w:fill="0D98FB"/>
      <w:overflowPunct/>
      <w:autoSpaceDE/>
      <w:autoSpaceDN/>
      <w:adjustRightInd/>
      <w:spacing w:before="180"/>
      <w:textAlignment w:val="auto"/>
    </w:pPr>
    <w:rPr>
      <w:b/>
      <w:bCs/>
      <w:color w:val="FFFFFF"/>
      <w:sz w:val="18"/>
      <w:szCs w:val="18"/>
      <w:lang w:val="es-PE" w:eastAsia="es-PE"/>
    </w:rPr>
  </w:style>
  <w:style w:type="paragraph" w:customStyle="1" w:styleId="at-button-blue4">
    <w:name w:val="at-button-blue4"/>
    <w:basedOn w:val="Normal"/>
    <w:rsid w:val="00FA0266"/>
    <w:pPr>
      <w:widowControl/>
      <w:pBdr>
        <w:top w:val="single" w:sz="6" w:space="5" w:color="125CB5"/>
        <w:left w:val="single" w:sz="6" w:space="12" w:color="125CB5"/>
        <w:bottom w:val="single" w:sz="6" w:space="5" w:color="125CB5"/>
        <w:right w:val="single" w:sz="6" w:space="12" w:color="125CB5"/>
      </w:pBdr>
      <w:shd w:val="clear" w:color="auto" w:fill="098DF4"/>
      <w:overflowPunct/>
      <w:autoSpaceDE/>
      <w:autoSpaceDN/>
      <w:adjustRightInd/>
      <w:spacing w:before="180"/>
      <w:textAlignment w:val="auto"/>
    </w:pPr>
    <w:rPr>
      <w:b/>
      <w:bCs/>
      <w:color w:val="FFFFFF"/>
      <w:sz w:val="18"/>
      <w:szCs w:val="18"/>
      <w:lang w:val="es-PE" w:eastAsia="es-PE"/>
    </w:rPr>
  </w:style>
  <w:style w:type="paragraph" w:customStyle="1" w:styleId="at-quickshare-content-lb2">
    <w:name w:val="at-quickshare-content-lb2"/>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at-quickshare-success4">
    <w:name w:val="at-quickshare-success4"/>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notfound">
    <w:name w:val="notfoun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homepage">
    <w:name w:val="homepage"/>
    <w:basedOn w:val="Fuentedeprrafopredeter"/>
    <w:rsid w:val="00FA0266"/>
  </w:style>
  <w:style w:type="character" w:customStyle="1" w:styleId="sitemap">
    <w:name w:val="sitemap"/>
    <w:basedOn w:val="Fuentedeprrafopredeter"/>
    <w:rsid w:val="00FA0266"/>
  </w:style>
  <w:style w:type="character" w:customStyle="1" w:styleId="rss">
    <w:name w:val="rss"/>
    <w:basedOn w:val="Fuentedeprrafopredeter"/>
    <w:rsid w:val="00FA0266"/>
  </w:style>
  <w:style w:type="character" w:customStyle="1" w:styleId="print">
    <w:name w:val="print"/>
    <w:basedOn w:val="Fuentedeprrafopredeter"/>
    <w:rsid w:val="00FA0266"/>
  </w:style>
  <w:style w:type="paragraph" w:styleId="z-Principiodelformulario">
    <w:name w:val="HTML Top of Form"/>
    <w:basedOn w:val="Normal"/>
    <w:next w:val="Normal"/>
    <w:link w:val="z-PrincipiodelformularioCar"/>
    <w:hidden/>
    <w:uiPriority w:val="99"/>
    <w:semiHidden/>
    <w:unhideWhenUsed/>
    <w:rsid w:val="00FA0266"/>
    <w:pPr>
      <w:widowControl/>
      <w:pBdr>
        <w:bottom w:val="single" w:sz="6" w:space="1" w:color="auto"/>
      </w:pBdr>
      <w:overflowPunct/>
      <w:autoSpaceDE/>
      <w:autoSpaceDN/>
      <w:adjustRightInd/>
      <w:jc w:val="center"/>
      <w:textAlignment w:val="auto"/>
    </w:pPr>
    <w:rPr>
      <w:rFonts w:ascii="Arial" w:hAnsi="Arial" w:cs="Arial"/>
      <w:vanish/>
      <w:sz w:val="16"/>
      <w:szCs w:val="16"/>
      <w:lang w:val="es-PE" w:eastAsia="es-PE"/>
    </w:rPr>
  </w:style>
  <w:style w:type="character" w:customStyle="1" w:styleId="z-PrincipiodelformularioCar">
    <w:name w:val="z-Principio del formulario Car"/>
    <w:basedOn w:val="Fuentedeprrafopredeter"/>
    <w:link w:val="z-Principiodelformulario"/>
    <w:uiPriority w:val="99"/>
    <w:semiHidden/>
    <w:rsid w:val="00FA0266"/>
    <w:rPr>
      <w:rFonts w:ascii="Arial" w:eastAsia="Times New Roman" w:hAnsi="Arial" w:cs="Arial"/>
      <w:vanish/>
      <w:sz w:val="16"/>
      <w:szCs w:val="16"/>
      <w:lang w:val="es-PE" w:eastAsia="es-PE"/>
    </w:rPr>
  </w:style>
  <w:style w:type="character" w:customStyle="1" w:styleId="btn">
    <w:name w:val="btn"/>
    <w:basedOn w:val="Fuentedeprrafopredeter"/>
    <w:rsid w:val="00FA0266"/>
  </w:style>
  <w:style w:type="paragraph" w:styleId="z-Finaldelformulario">
    <w:name w:val="HTML Bottom of Form"/>
    <w:basedOn w:val="Normal"/>
    <w:next w:val="Normal"/>
    <w:link w:val="z-FinaldelformularioCar"/>
    <w:hidden/>
    <w:uiPriority w:val="99"/>
    <w:unhideWhenUsed/>
    <w:rsid w:val="00FA0266"/>
    <w:pPr>
      <w:widowControl/>
      <w:pBdr>
        <w:top w:val="single" w:sz="6" w:space="1" w:color="auto"/>
      </w:pBdr>
      <w:overflowPunct/>
      <w:autoSpaceDE/>
      <w:autoSpaceDN/>
      <w:adjustRightInd/>
      <w:jc w:val="center"/>
      <w:textAlignment w:val="auto"/>
    </w:pPr>
    <w:rPr>
      <w:rFonts w:ascii="Arial" w:hAnsi="Arial" w:cs="Arial"/>
      <w:vanish/>
      <w:sz w:val="16"/>
      <w:szCs w:val="16"/>
      <w:lang w:val="es-PE" w:eastAsia="es-PE"/>
    </w:rPr>
  </w:style>
  <w:style w:type="character" w:customStyle="1" w:styleId="z-FinaldelformularioCar">
    <w:name w:val="z-Final del formulario Car"/>
    <w:basedOn w:val="Fuentedeprrafopredeter"/>
    <w:link w:val="z-Finaldelformulario"/>
    <w:uiPriority w:val="99"/>
    <w:rsid w:val="00FA0266"/>
    <w:rPr>
      <w:rFonts w:ascii="Arial" w:eastAsia="Times New Roman" w:hAnsi="Arial" w:cs="Arial"/>
      <w:vanish/>
      <w:sz w:val="16"/>
      <w:szCs w:val="16"/>
      <w:lang w:val="es-PE" w:eastAsia="es-PE"/>
    </w:rPr>
  </w:style>
  <w:style w:type="character" w:customStyle="1" w:styleId="rbcnostylespan">
    <w:name w:val="rbcnostylespan"/>
    <w:basedOn w:val="Fuentedeprrafopredeter"/>
    <w:rsid w:val="00FA0266"/>
  </w:style>
  <w:style w:type="character" w:customStyle="1" w:styleId="rbcsignaturetext">
    <w:name w:val="rbcsignaturetext"/>
    <w:basedOn w:val="Fuentedeprrafopredeter"/>
    <w:rsid w:val="00FA0266"/>
  </w:style>
  <w:style w:type="character" w:customStyle="1" w:styleId="ata11y">
    <w:name w:val="at_a11y"/>
    <w:basedOn w:val="Fuentedeprrafopredeter"/>
    <w:rsid w:val="00FA0266"/>
  </w:style>
  <w:style w:type="character" w:customStyle="1" w:styleId="at15t7">
    <w:name w:val="at15t7"/>
    <w:basedOn w:val="Fuentedeprrafopredeter"/>
    <w:rsid w:val="00FA0266"/>
  </w:style>
  <w:style w:type="character" w:customStyle="1" w:styleId="at16nc3">
    <w:name w:val="at16nc3"/>
    <w:basedOn w:val="Fuentedeprrafopredeter"/>
    <w:rsid w:val="00FA0266"/>
    <w:rPr>
      <w:vanish w:val="0"/>
      <w:webHidden w:val="0"/>
      <w:specVanish w:val="0"/>
    </w:rPr>
  </w:style>
  <w:style w:type="character" w:customStyle="1" w:styleId="at16nc4">
    <w:name w:val="at16nc4"/>
    <w:basedOn w:val="Fuentedeprrafopredeter"/>
    <w:rsid w:val="00FA0266"/>
    <w:rPr>
      <w:vanish w:val="0"/>
      <w:webHidden w:val="0"/>
      <w:rtl w:val="0"/>
      <w:specVanish w:val="0"/>
    </w:rPr>
  </w:style>
  <w:style w:type="paragraph" w:styleId="Prrafodelista">
    <w:name w:val="List Paragraph"/>
    <w:basedOn w:val="Normal"/>
    <w:qFormat/>
    <w:rsid w:val="00FA0266"/>
    <w:pPr>
      <w:widowControl/>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es-PE" w:eastAsia="en-US"/>
    </w:rPr>
  </w:style>
  <w:style w:type="character" w:customStyle="1" w:styleId="image">
    <w:name w:val="image"/>
    <w:basedOn w:val="Fuentedeprrafopredeter"/>
    <w:rsid w:val="00FA0266"/>
  </w:style>
  <w:style w:type="paragraph" w:styleId="Sinespaciado">
    <w:name w:val="No Spacing"/>
    <w:link w:val="SinespaciadoCar"/>
    <w:uiPriority w:val="1"/>
    <w:qFormat/>
    <w:rsid w:val="00FA0266"/>
    <w:rPr>
      <w:sz w:val="22"/>
      <w:szCs w:val="22"/>
      <w:lang w:val="es-PE" w:eastAsia="es-PE"/>
    </w:rPr>
  </w:style>
  <w:style w:type="character" w:customStyle="1" w:styleId="SinespaciadoCar">
    <w:name w:val="Sin espaciado Car"/>
    <w:basedOn w:val="Fuentedeprrafopredeter"/>
    <w:link w:val="Sinespaciado"/>
    <w:uiPriority w:val="1"/>
    <w:rsid w:val="00FA0266"/>
    <w:rPr>
      <w:sz w:val="22"/>
      <w:szCs w:val="22"/>
      <w:lang w:val="es-PE" w:eastAsia="es-PE"/>
    </w:rPr>
  </w:style>
  <w:style w:type="table" w:styleId="Tablaconcuadrcula">
    <w:name w:val="Table Grid"/>
    <w:basedOn w:val="Tablanormal"/>
    <w:rsid w:val="00FA0266"/>
    <w:rPr>
      <w:rFonts w:eastAsiaTheme="minorHAns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rovider">
    <w:name w:val="ca_provider"/>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caad">
    <w:name w:val="ca_a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cadesc">
    <w:name w:val="ca_desc"/>
    <w:basedOn w:val="Fuentedeprrafopredeter"/>
    <w:rsid w:val="00FA0266"/>
  </w:style>
  <w:style w:type="character" w:customStyle="1" w:styleId="caurl">
    <w:name w:val="ca_url"/>
    <w:basedOn w:val="Fuentedeprrafopredeter"/>
    <w:rsid w:val="00FA0266"/>
  </w:style>
  <w:style w:type="character" w:styleId="Enfasis">
    <w:name w:val="Emphasis"/>
    <w:basedOn w:val="Fuentedeprrafopredeter"/>
    <w:uiPriority w:val="20"/>
    <w:qFormat/>
    <w:rsid w:val="00FA0266"/>
    <w:rPr>
      <w:i/>
      <w:iCs/>
    </w:rPr>
  </w:style>
  <w:style w:type="paragraph" w:customStyle="1" w:styleId="Default">
    <w:name w:val="Default"/>
    <w:rsid w:val="00FA0266"/>
    <w:pPr>
      <w:autoSpaceDE w:val="0"/>
      <w:autoSpaceDN w:val="0"/>
      <w:adjustRightInd w:val="0"/>
    </w:pPr>
    <w:rPr>
      <w:rFonts w:ascii="Garamond" w:eastAsiaTheme="minorHAnsi" w:hAnsi="Garamond" w:cs="Garamond"/>
      <w:color w:val="000000"/>
      <w:lang w:val="es-PE" w:eastAsia="en-US"/>
    </w:rPr>
  </w:style>
  <w:style w:type="character" w:customStyle="1" w:styleId="z-PrincipiodelformularioCar1">
    <w:name w:val="z-Principio del formulario Car1"/>
    <w:basedOn w:val="Fuentedeprrafopredeter"/>
    <w:uiPriority w:val="99"/>
    <w:semiHidden/>
    <w:rsid w:val="00FA0266"/>
    <w:rPr>
      <w:rFonts w:ascii="Arial" w:eastAsia="Calibri" w:hAnsi="Arial" w:cs="Arial"/>
      <w:vanish/>
      <w:sz w:val="16"/>
      <w:szCs w:val="16"/>
      <w:lang w:val="es-PE" w:eastAsia="en-US"/>
    </w:rPr>
  </w:style>
  <w:style w:type="paragraph" w:styleId="Textodebloque">
    <w:name w:val="Block Text"/>
    <w:basedOn w:val="Normal"/>
    <w:uiPriority w:val="99"/>
    <w:semiHidden/>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spelle">
    <w:name w:val="spelle"/>
    <w:basedOn w:val="Fuentedeprrafopredeter"/>
    <w:rsid w:val="00FA0266"/>
  </w:style>
  <w:style w:type="paragraph" w:customStyle="1" w:styleId="h4">
    <w:name w:val="h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grame">
    <w:name w:val="grame"/>
    <w:basedOn w:val="Fuentedeprrafopredeter"/>
    <w:rsid w:val="00FA0266"/>
  </w:style>
  <w:style w:type="character" w:customStyle="1" w:styleId="TtuloCar1">
    <w:name w:val="Título Car1"/>
    <w:basedOn w:val="Fuentedeprrafopredeter"/>
    <w:uiPriority w:val="10"/>
    <w:rsid w:val="00FA0266"/>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styleId="Lista">
    <w:name w:val="List"/>
    <w:basedOn w:val="Normal"/>
    <w:uiPriority w:val="99"/>
    <w:semiHidden/>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h30">
    <w:name w:val="h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prrafodelista0">
    <w:name w:val="prrafodelista"/>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f11">
    <w:name w:val="f11"/>
    <w:basedOn w:val="Fuentedeprrafopredeter"/>
    <w:rsid w:val="00FA0266"/>
  </w:style>
  <w:style w:type="paragraph" w:styleId="Textosinformato">
    <w:name w:val="Plain Text"/>
    <w:basedOn w:val="Normal"/>
    <w:link w:val="TextosinformatoCar"/>
    <w:uiPriority w:val="99"/>
    <w:semiHidden/>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TextosinformatoCar">
    <w:name w:val="Texto sin formato Car"/>
    <w:basedOn w:val="Fuentedeprrafopredeter"/>
    <w:link w:val="Textosinformato"/>
    <w:uiPriority w:val="99"/>
    <w:semiHidden/>
    <w:rsid w:val="00FA0266"/>
    <w:rPr>
      <w:rFonts w:ascii="Times New Roman" w:eastAsia="Times New Roman" w:hAnsi="Times New Roman" w:cs="Times New Roman"/>
      <w:lang w:val="es-PE" w:eastAsia="es-PE"/>
    </w:rPr>
  </w:style>
  <w:style w:type="paragraph" w:customStyle="1" w:styleId="ecxmsonormal">
    <w:name w:val="ecxmsonormal"/>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styleId="Textonotaalfinal">
    <w:name w:val="endnote text"/>
    <w:basedOn w:val="Normal"/>
    <w:link w:val="TextonotaalfinalCar"/>
    <w:unhideWhenUsed/>
    <w:rsid w:val="00FA0266"/>
    <w:pPr>
      <w:widowControl/>
      <w:overflowPunct/>
      <w:autoSpaceDE/>
      <w:autoSpaceDN/>
      <w:adjustRightInd/>
      <w:textAlignment w:val="auto"/>
    </w:pPr>
    <w:rPr>
      <w:rFonts w:ascii="Calibri" w:eastAsia="Calibri" w:hAnsi="Calibri"/>
      <w:szCs w:val="24"/>
      <w:lang w:val="es-PE" w:eastAsia="en-US"/>
    </w:rPr>
  </w:style>
  <w:style w:type="character" w:customStyle="1" w:styleId="TextonotaalfinalCar">
    <w:name w:val="Texto nota al final Car"/>
    <w:basedOn w:val="Fuentedeprrafopredeter"/>
    <w:link w:val="Textonotaalfinal"/>
    <w:rsid w:val="00FA0266"/>
    <w:rPr>
      <w:rFonts w:ascii="Calibri" w:eastAsia="Calibri" w:hAnsi="Calibri" w:cs="Times New Roman"/>
      <w:lang w:val="es-PE" w:eastAsia="en-US"/>
    </w:rPr>
  </w:style>
  <w:style w:type="character" w:styleId="Refdenotaalfinal">
    <w:name w:val="endnote reference"/>
    <w:basedOn w:val="Fuentedeprrafopredeter"/>
    <w:unhideWhenUsed/>
    <w:rsid w:val="00FA0266"/>
    <w:rPr>
      <w:vertAlign w:val="superscript"/>
    </w:rPr>
  </w:style>
  <w:style w:type="paragraph" w:customStyle="1" w:styleId="Textodecuerpo21">
    <w:name w:val="Texto de cuerpo 21"/>
    <w:basedOn w:val="Normal"/>
    <w:rsid w:val="00FA0266"/>
    <w:pPr>
      <w:jc w:val="both"/>
    </w:pPr>
    <w:rPr>
      <w:rFonts w:ascii="Courier New" w:hAnsi="Courier New"/>
      <w:b/>
      <w:sz w:val="20"/>
    </w:rPr>
  </w:style>
  <w:style w:type="paragraph" w:styleId="Encabezadodetabladecontenido">
    <w:name w:val="TOC Heading"/>
    <w:basedOn w:val="Ttulo1"/>
    <w:next w:val="Normal"/>
    <w:uiPriority w:val="39"/>
    <w:unhideWhenUsed/>
    <w:qFormat/>
    <w:rsid w:val="00FA0266"/>
    <w:pPr>
      <w:keepLines/>
      <w:widowControl/>
      <w:overflowPunct/>
      <w:autoSpaceDE/>
      <w:autoSpaceDN/>
      <w:adjustRightInd/>
      <w:spacing w:before="480" w:line="276" w:lineRule="auto"/>
      <w:jc w:val="left"/>
      <w:textAlignment w:val="auto"/>
      <w:outlineLvl w:val="9"/>
    </w:pPr>
    <w:rPr>
      <w:rFonts w:asciiTheme="majorHAnsi" w:eastAsiaTheme="majorEastAsia" w:hAnsiTheme="majorHAnsi" w:cstheme="majorBidi"/>
      <w:bCs/>
      <w:i w:val="0"/>
      <w:color w:val="365F91" w:themeColor="accent1" w:themeShade="BF"/>
      <w:sz w:val="28"/>
      <w:szCs w:val="28"/>
      <w:lang w:val="es-ES_tradnl"/>
    </w:rPr>
  </w:style>
  <w:style w:type="paragraph" w:styleId="TDC1">
    <w:name w:val="toc 1"/>
    <w:basedOn w:val="Normal"/>
    <w:next w:val="Normal"/>
    <w:autoRedefine/>
    <w:uiPriority w:val="39"/>
    <w:unhideWhenUsed/>
    <w:rsid w:val="00FA0266"/>
    <w:pPr>
      <w:widowControl/>
      <w:overflowPunct/>
      <w:autoSpaceDE/>
      <w:autoSpaceDN/>
      <w:adjustRightInd/>
      <w:spacing w:before="120" w:line="276" w:lineRule="auto"/>
      <w:textAlignment w:val="auto"/>
    </w:pPr>
    <w:rPr>
      <w:rFonts w:asciiTheme="minorHAnsi" w:eastAsiaTheme="minorHAnsi" w:hAnsiTheme="minorHAnsi" w:cstheme="minorBidi"/>
      <w:b/>
      <w:szCs w:val="24"/>
      <w:lang w:val="es-PE" w:eastAsia="en-US"/>
    </w:rPr>
  </w:style>
  <w:style w:type="paragraph" w:styleId="TDC2">
    <w:name w:val="toc 2"/>
    <w:basedOn w:val="Normal"/>
    <w:next w:val="Normal"/>
    <w:autoRedefine/>
    <w:uiPriority w:val="39"/>
    <w:unhideWhenUsed/>
    <w:rsid w:val="00FA0266"/>
    <w:pPr>
      <w:widowControl/>
      <w:overflowPunct/>
      <w:autoSpaceDE/>
      <w:autoSpaceDN/>
      <w:adjustRightInd/>
      <w:spacing w:line="276" w:lineRule="auto"/>
      <w:ind w:left="220"/>
      <w:textAlignment w:val="auto"/>
    </w:pPr>
    <w:rPr>
      <w:rFonts w:asciiTheme="minorHAnsi" w:eastAsiaTheme="minorHAnsi" w:hAnsiTheme="minorHAnsi" w:cstheme="minorBidi"/>
      <w:b/>
      <w:sz w:val="22"/>
      <w:szCs w:val="22"/>
      <w:lang w:val="es-PE" w:eastAsia="en-US"/>
    </w:rPr>
  </w:style>
  <w:style w:type="paragraph" w:styleId="TDC3">
    <w:name w:val="toc 3"/>
    <w:basedOn w:val="Normal"/>
    <w:next w:val="Normal"/>
    <w:autoRedefine/>
    <w:uiPriority w:val="39"/>
    <w:unhideWhenUsed/>
    <w:rsid w:val="00FA0266"/>
    <w:pPr>
      <w:widowControl/>
      <w:overflowPunct/>
      <w:autoSpaceDE/>
      <w:autoSpaceDN/>
      <w:adjustRightInd/>
      <w:spacing w:line="276" w:lineRule="auto"/>
      <w:ind w:left="440"/>
      <w:textAlignment w:val="auto"/>
    </w:pPr>
    <w:rPr>
      <w:rFonts w:asciiTheme="minorHAnsi" w:eastAsiaTheme="minorHAnsi" w:hAnsiTheme="minorHAnsi" w:cstheme="minorBidi"/>
      <w:sz w:val="22"/>
      <w:szCs w:val="22"/>
      <w:lang w:val="es-PE" w:eastAsia="en-US"/>
    </w:rPr>
  </w:style>
  <w:style w:type="paragraph" w:styleId="TDC4">
    <w:name w:val="toc 4"/>
    <w:basedOn w:val="Normal"/>
    <w:next w:val="Normal"/>
    <w:autoRedefine/>
    <w:uiPriority w:val="39"/>
    <w:semiHidden/>
    <w:unhideWhenUsed/>
    <w:rsid w:val="00FA0266"/>
    <w:pPr>
      <w:widowControl/>
      <w:overflowPunct/>
      <w:autoSpaceDE/>
      <w:autoSpaceDN/>
      <w:adjustRightInd/>
      <w:spacing w:line="276" w:lineRule="auto"/>
      <w:ind w:left="660"/>
      <w:textAlignment w:val="auto"/>
    </w:pPr>
    <w:rPr>
      <w:rFonts w:asciiTheme="minorHAnsi" w:eastAsiaTheme="minorHAnsi" w:hAnsiTheme="minorHAnsi" w:cstheme="minorBidi"/>
      <w:sz w:val="20"/>
      <w:lang w:val="es-PE" w:eastAsia="en-US"/>
    </w:rPr>
  </w:style>
  <w:style w:type="paragraph" w:styleId="TDC5">
    <w:name w:val="toc 5"/>
    <w:basedOn w:val="Normal"/>
    <w:next w:val="Normal"/>
    <w:autoRedefine/>
    <w:uiPriority w:val="39"/>
    <w:semiHidden/>
    <w:unhideWhenUsed/>
    <w:rsid w:val="00FA0266"/>
    <w:pPr>
      <w:widowControl/>
      <w:overflowPunct/>
      <w:autoSpaceDE/>
      <w:autoSpaceDN/>
      <w:adjustRightInd/>
      <w:spacing w:line="276" w:lineRule="auto"/>
      <w:ind w:left="880"/>
      <w:textAlignment w:val="auto"/>
    </w:pPr>
    <w:rPr>
      <w:rFonts w:asciiTheme="minorHAnsi" w:eastAsiaTheme="minorHAnsi" w:hAnsiTheme="minorHAnsi" w:cstheme="minorBidi"/>
      <w:sz w:val="20"/>
      <w:lang w:val="es-PE" w:eastAsia="en-US"/>
    </w:rPr>
  </w:style>
  <w:style w:type="paragraph" w:styleId="TDC6">
    <w:name w:val="toc 6"/>
    <w:basedOn w:val="Normal"/>
    <w:next w:val="Normal"/>
    <w:autoRedefine/>
    <w:uiPriority w:val="39"/>
    <w:semiHidden/>
    <w:unhideWhenUsed/>
    <w:rsid w:val="00FA0266"/>
    <w:pPr>
      <w:widowControl/>
      <w:overflowPunct/>
      <w:autoSpaceDE/>
      <w:autoSpaceDN/>
      <w:adjustRightInd/>
      <w:spacing w:line="276" w:lineRule="auto"/>
      <w:ind w:left="1100"/>
      <w:textAlignment w:val="auto"/>
    </w:pPr>
    <w:rPr>
      <w:rFonts w:asciiTheme="minorHAnsi" w:eastAsiaTheme="minorHAnsi" w:hAnsiTheme="minorHAnsi" w:cstheme="minorBidi"/>
      <w:sz w:val="20"/>
      <w:lang w:val="es-PE" w:eastAsia="en-US"/>
    </w:rPr>
  </w:style>
  <w:style w:type="paragraph" w:styleId="TDC7">
    <w:name w:val="toc 7"/>
    <w:basedOn w:val="Normal"/>
    <w:next w:val="Normal"/>
    <w:autoRedefine/>
    <w:uiPriority w:val="39"/>
    <w:semiHidden/>
    <w:unhideWhenUsed/>
    <w:rsid w:val="00FA0266"/>
    <w:pPr>
      <w:widowControl/>
      <w:overflowPunct/>
      <w:autoSpaceDE/>
      <w:autoSpaceDN/>
      <w:adjustRightInd/>
      <w:spacing w:line="276" w:lineRule="auto"/>
      <w:ind w:left="1320"/>
      <w:textAlignment w:val="auto"/>
    </w:pPr>
    <w:rPr>
      <w:rFonts w:asciiTheme="minorHAnsi" w:eastAsiaTheme="minorHAnsi" w:hAnsiTheme="minorHAnsi" w:cstheme="minorBidi"/>
      <w:sz w:val="20"/>
      <w:lang w:val="es-PE" w:eastAsia="en-US"/>
    </w:rPr>
  </w:style>
  <w:style w:type="paragraph" w:styleId="TDC8">
    <w:name w:val="toc 8"/>
    <w:basedOn w:val="Normal"/>
    <w:next w:val="Normal"/>
    <w:autoRedefine/>
    <w:uiPriority w:val="39"/>
    <w:semiHidden/>
    <w:unhideWhenUsed/>
    <w:rsid w:val="00FA0266"/>
    <w:pPr>
      <w:widowControl/>
      <w:overflowPunct/>
      <w:autoSpaceDE/>
      <w:autoSpaceDN/>
      <w:adjustRightInd/>
      <w:spacing w:line="276" w:lineRule="auto"/>
      <w:ind w:left="1540"/>
      <w:textAlignment w:val="auto"/>
    </w:pPr>
    <w:rPr>
      <w:rFonts w:asciiTheme="minorHAnsi" w:eastAsiaTheme="minorHAnsi" w:hAnsiTheme="minorHAnsi" w:cstheme="minorBidi"/>
      <w:sz w:val="20"/>
      <w:lang w:val="es-PE" w:eastAsia="en-US"/>
    </w:rPr>
  </w:style>
  <w:style w:type="paragraph" w:styleId="TDC9">
    <w:name w:val="toc 9"/>
    <w:basedOn w:val="Normal"/>
    <w:next w:val="Normal"/>
    <w:autoRedefine/>
    <w:uiPriority w:val="39"/>
    <w:semiHidden/>
    <w:unhideWhenUsed/>
    <w:rsid w:val="00FA0266"/>
    <w:pPr>
      <w:widowControl/>
      <w:overflowPunct/>
      <w:autoSpaceDE/>
      <w:autoSpaceDN/>
      <w:adjustRightInd/>
      <w:spacing w:line="276" w:lineRule="auto"/>
      <w:ind w:left="1760"/>
      <w:textAlignment w:val="auto"/>
    </w:pPr>
    <w:rPr>
      <w:rFonts w:asciiTheme="minorHAnsi" w:eastAsiaTheme="minorHAnsi" w:hAnsiTheme="minorHAnsi" w:cstheme="minorBidi"/>
      <w:sz w:val="20"/>
      <w:lang w:val="es-PE" w:eastAsia="en-US"/>
    </w:rPr>
  </w:style>
  <w:style w:type="paragraph" w:customStyle="1" w:styleId="Sangra2detdecuerpo1">
    <w:name w:val="Sangría 2 de t. de cuerpo1"/>
    <w:basedOn w:val="Normal"/>
    <w:rsid w:val="00FA0266"/>
    <w:pPr>
      <w:widowControl/>
      <w:ind w:left="708"/>
      <w:jc w:val="both"/>
    </w:pPr>
    <w:rPr>
      <w:rFonts w:ascii="Garamond" w:hAnsi="Garamond"/>
      <w:lang w:val="es-ES_tradnl"/>
    </w:rPr>
  </w:style>
  <w:style w:type="paragraph" w:customStyle="1" w:styleId="Sangra3detdecuerpo1">
    <w:name w:val="Sangría 3 de t. de cuerpo1"/>
    <w:basedOn w:val="Normal"/>
    <w:rsid w:val="00FA0266"/>
    <w:pPr>
      <w:widowControl/>
      <w:ind w:left="708"/>
    </w:pPr>
    <w:rPr>
      <w:rFonts w:ascii="Arial" w:hAnsi="Arial"/>
      <w:sz w:val="20"/>
      <w:lang w:val="es-ES_tradnl"/>
    </w:rPr>
  </w:style>
  <w:style w:type="paragraph" w:customStyle="1" w:styleId="Textodecuerpo25">
    <w:name w:val="Texto de cuerpo 25"/>
    <w:basedOn w:val="Normal"/>
    <w:rsid w:val="001B03E0"/>
    <w:pPr>
      <w:widowControl/>
      <w:ind w:left="426" w:hanging="426"/>
      <w:jc w:val="both"/>
    </w:pPr>
    <w:rPr>
      <w:rFonts w:ascii="Arial" w:hAnsi="Arial" w:cs="Arial"/>
      <w:color w:val="000000"/>
      <w:szCs w:val="24"/>
      <w:lang w:val="es-ES_tradnl"/>
    </w:rPr>
  </w:style>
  <w:style w:type="paragraph" w:customStyle="1" w:styleId="Sangra2detdecuerpo4">
    <w:name w:val="Sangría 2 de t. de cuerpo4"/>
    <w:basedOn w:val="Normal"/>
    <w:rsid w:val="001B03E0"/>
    <w:pPr>
      <w:tabs>
        <w:tab w:val="left" w:pos="-1440"/>
      </w:tabs>
      <w:ind w:firstLine="720"/>
      <w:jc w:val="both"/>
    </w:pPr>
    <w:rPr>
      <w:rFonts w:ascii="Arial" w:hAnsi="Arial" w:cs="Arial"/>
      <w:color w:val="000000"/>
      <w:szCs w:val="24"/>
    </w:rPr>
  </w:style>
  <w:style w:type="paragraph" w:customStyle="1" w:styleId="Textodecuerpo33">
    <w:name w:val="Texto de cuerpo 33"/>
    <w:basedOn w:val="Normal"/>
    <w:rsid w:val="001B03E0"/>
    <w:pPr>
      <w:jc w:val="both"/>
    </w:pPr>
    <w:rPr>
      <w:rFonts w:ascii="Courier New" w:hAnsi="Courier New" w:cs="Arial"/>
      <w:b/>
      <w:color w:val="FF00FF"/>
      <w:szCs w:val="24"/>
    </w:rPr>
  </w:style>
  <w:style w:type="character" w:customStyle="1" w:styleId="user">
    <w:name w:val="user"/>
    <w:rsid w:val="00FD54CD"/>
  </w:style>
  <w:style w:type="paragraph" w:styleId="Epgrafe">
    <w:name w:val="caption"/>
    <w:basedOn w:val="Normal"/>
    <w:qFormat/>
    <w:rsid w:val="0050116F"/>
    <w:pPr>
      <w:overflowPunct/>
      <w:autoSpaceDE/>
      <w:autoSpaceDN/>
      <w:adjustRightInd/>
      <w:jc w:val="center"/>
      <w:textAlignment w:val="auto"/>
    </w:pPr>
    <w:rPr>
      <w:b/>
      <w:lang w:val="en-US"/>
    </w:rPr>
  </w:style>
  <w:style w:type="paragraph" w:customStyle="1" w:styleId="Textodecuerpo22">
    <w:name w:val="Texto de cuerpo 22"/>
    <w:basedOn w:val="Normal"/>
    <w:rsid w:val="0082775B"/>
    <w:pPr>
      <w:ind w:firstLine="720"/>
      <w:jc w:val="both"/>
    </w:pPr>
    <w:rPr>
      <w:rFonts w:ascii="Courier New" w:hAnsi="Courier New"/>
      <w:sz w:val="20"/>
    </w:rPr>
  </w:style>
  <w:style w:type="paragraph" w:customStyle="1" w:styleId="BodyText27">
    <w:name w:val="Body Text 27"/>
    <w:basedOn w:val="Normal"/>
    <w:rsid w:val="0082775B"/>
    <w:pPr>
      <w:spacing w:line="360" w:lineRule="auto"/>
      <w:jc w:val="center"/>
    </w:pPr>
    <w:rPr>
      <w:b/>
      <w:sz w:val="36"/>
    </w:rPr>
  </w:style>
  <w:style w:type="character" w:customStyle="1" w:styleId="Hipervnculo2">
    <w:name w:val="Hipervínculo2"/>
    <w:basedOn w:val="Fuentedeprrafopredeter"/>
    <w:rsid w:val="0082775B"/>
    <w:rPr>
      <w:color w:val="0000FF"/>
      <w:u w:val="none"/>
    </w:rPr>
  </w:style>
  <w:style w:type="paragraph" w:customStyle="1" w:styleId="Sangra2detdecuerpo2">
    <w:name w:val="Sangría 2 de t. de cuerpo2"/>
    <w:basedOn w:val="Normal"/>
    <w:rsid w:val="0082775B"/>
    <w:pPr>
      <w:spacing w:after="120" w:line="480" w:lineRule="auto"/>
      <w:ind w:left="283"/>
    </w:pPr>
  </w:style>
  <w:style w:type="paragraph" w:customStyle="1" w:styleId="BodyText26">
    <w:name w:val="Body Text 26"/>
    <w:basedOn w:val="Normal"/>
    <w:rsid w:val="0082775B"/>
    <w:pPr>
      <w:spacing w:after="120" w:line="480" w:lineRule="auto"/>
    </w:pPr>
  </w:style>
  <w:style w:type="paragraph" w:customStyle="1" w:styleId="Sangra3detdecuerpo2">
    <w:name w:val="Sangría 3 de t. de cuerpo2"/>
    <w:basedOn w:val="Normal"/>
    <w:rsid w:val="0082775B"/>
    <w:pPr>
      <w:spacing w:after="120"/>
      <w:ind w:left="283"/>
    </w:pPr>
    <w:rPr>
      <w:sz w:val="16"/>
    </w:rPr>
  </w:style>
  <w:style w:type="paragraph" w:customStyle="1" w:styleId="Textodecuerpo31">
    <w:name w:val="Texto de cuerpo 31"/>
    <w:basedOn w:val="Normal"/>
    <w:rsid w:val="0082775B"/>
    <w:pPr>
      <w:spacing w:after="120"/>
    </w:pPr>
    <w:rPr>
      <w:sz w:val="16"/>
    </w:rPr>
  </w:style>
  <w:style w:type="paragraph" w:customStyle="1" w:styleId="BodyTextIndent21">
    <w:name w:val="Body Text Indent 21"/>
    <w:basedOn w:val="Normal"/>
    <w:rsid w:val="0082775B"/>
    <w:pPr>
      <w:tabs>
        <w:tab w:val="left" w:pos="-1440"/>
      </w:tabs>
      <w:ind w:firstLine="720"/>
      <w:jc w:val="both"/>
    </w:pPr>
    <w:rPr>
      <w:rFonts w:ascii="Arial" w:hAnsi="Arial"/>
      <w:color w:val="000000"/>
    </w:rPr>
  </w:style>
  <w:style w:type="paragraph" w:customStyle="1" w:styleId="BodyText25">
    <w:name w:val="Body Text 25"/>
    <w:basedOn w:val="Normal"/>
    <w:rsid w:val="0082775B"/>
    <w:pPr>
      <w:ind w:left="436"/>
      <w:jc w:val="both"/>
    </w:pPr>
    <w:rPr>
      <w:rFonts w:ascii="Arial" w:hAnsi="Arial"/>
      <w:color w:val="000000"/>
      <w:spacing w:val="-3"/>
      <w:lang w:val="en-US"/>
    </w:rPr>
  </w:style>
  <w:style w:type="paragraph" w:customStyle="1" w:styleId="BodyText33">
    <w:name w:val="Body Text 33"/>
    <w:basedOn w:val="Normal"/>
    <w:rsid w:val="0082775B"/>
    <w:pPr>
      <w:jc w:val="both"/>
    </w:pPr>
    <w:rPr>
      <w:rFonts w:ascii="Courier New" w:hAnsi="Courier New"/>
      <w:b/>
      <w:color w:val="FF00FF"/>
    </w:rPr>
  </w:style>
  <w:style w:type="character" w:customStyle="1" w:styleId="Hyperlink2">
    <w:name w:val="Hyperlink2"/>
    <w:basedOn w:val="Fuentedeprrafopredeter"/>
    <w:rsid w:val="0082775B"/>
    <w:rPr>
      <w:color w:val="auto"/>
      <w:u w:val="single"/>
    </w:rPr>
  </w:style>
  <w:style w:type="character" w:customStyle="1" w:styleId="Hipervnculovisitado1">
    <w:name w:val="Hipervínculo visitado1"/>
    <w:basedOn w:val="Fuentedeprrafopredeter"/>
    <w:rsid w:val="0082775B"/>
    <w:rPr>
      <w:color w:val="auto"/>
      <w:u w:val="single"/>
    </w:rPr>
  </w:style>
  <w:style w:type="paragraph" w:customStyle="1" w:styleId="BodyText24">
    <w:name w:val="Body Text 24"/>
    <w:basedOn w:val="Normal"/>
    <w:rsid w:val="0082775B"/>
    <w:pPr>
      <w:spacing w:after="120" w:line="480" w:lineRule="auto"/>
    </w:pPr>
  </w:style>
  <w:style w:type="character" w:customStyle="1" w:styleId="Hyperlink1">
    <w:name w:val="Hyperlink1"/>
    <w:basedOn w:val="Fuentedeprrafopredeter"/>
    <w:rsid w:val="0082775B"/>
    <w:rPr>
      <w:color w:val="0000FF"/>
      <w:u w:val="single"/>
    </w:rPr>
  </w:style>
  <w:style w:type="paragraph" w:customStyle="1" w:styleId="estilo17">
    <w:name w:val="estilo17"/>
    <w:basedOn w:val="Normal"/>
    <w:rsid w:val="0082775B"/>
    <w:pPr>
      <w:widowControl/>
      <w:spacing w:before="100" w:after="100"/>
    </w:pPr>
    <w:rPr>
      <w:rFonts w:ascii="Verdana" w:hAnsi="Verdana"/>
      <w:color w:val="808080"/>
      <w:lang w:val="es-PE"/>
    </w:rPr>
  </w:style>
  <w:style w:type="character" w:customStyle="1" w:styleId="estilo191">
    <w:name w:val="estilo191"/>
    <w:basedOn w:val="Fuentedeprrafopredeter"/>
    <w:rsid w:val="0082775B"/>
    <w:rPr>
      <w:color w:val="808080"/>
    </w:rPr>
  </w:style>
  <w:style w:type="character" w:customStyle="1" w:styleId="Textoennegrita1">
    <w:name w:val="Texto en negrita1"/>
    <w:basedOn w:val="Fuentedeprrafopredeter"/>
    <w:rsid w:val="0082775B"/>
    <w:rPr>
      <w:b/>
    </w:rPr>
  </w:style>
  <w:style w:type="paragraph" w:customStyle="1" w:styleId="estilo6estilo5estilo19">
    <w:name w:val="estilo6 estilo5 estilo19"/>
    <w:basedOn w:val="Normal"/>
    <w:rsid w:val="0082775B"/>
    <w:pPr>
      <w:widowControl/>
      <w:spacing w:before="100" w:after="100"/>
    </w:pPr>
    <w:rPr>
      <w:lang w:val="es-PE"/>
    </w:rPr>
  </w:style>
  <w:style w:type="character" w:customStyle="1" w:styleId="estilo201">
    <w:name w:val="estilo201"/>
    <w:basedOn w:val="Fuentedeprrafopredeter"/>
    <w:rsid w:val="0082775B"/>
    <w:rPr>
      <w:rFonts w:ascii="Verdana" w:hAnsi="Verdana"/>
    </w:rPr>
  </w:style>
  <w:style w:type="paragraph" w:customStyle="1" w:styleId="estilo6">
    <w:name w:val="estilo6"/>
    <w:basedOn w:val="Normal"/>
    <w:rsid w:val="0082775B"/>
    <w:pPr>
      <w:widowControl/>
      <w:spacing w:before="100" w:after="100"/>
    </w:pPr>
    <w:rPr>
      <w:rFonts w:ascii="Verdana" w:hAnsi="Verdana"/>
      <w:color w:val="808080"/>
      <w:sz w:val="12"/>
      <w:lang w:val="es-PE"/>
    </w:rPr>
  </w:style>
  <w:style w:type="paragraph" w:customStyle="1" w:styleId="BodyText32">
    <w:name w:val="Body Text 32"/>
    <w:basedOn w:val="Normal"/>
    <w:rsid w:val="0082775B"/>
    <w:pPr>
      <w:spacing w:after="120"/>
    </w:pPr>
    <w:rPr>
      <w:sz w:val="16"/>
    </w:rPr>
  </w:style>
  <w:style w:type="paragraph" w:customStyle="1" w:styleId="BodyText23">
    <w:name w:val="Body Text 23"/>
    <w:basedOn w:val="Normal"/>
    <w:rsid w:val="0082775B"/>
    <w:pPr>
      <w:spacing w:after="120"/>
      <w:ind w:left="283"/>
    </w:pPr>
  </w:style>
  <w:style w:type="paragraph" w:customStyle="1" w:styleId="CarCar6">
    <w:name w:val="Car Car6"/>
    <w:basedOn w:val="Normal"/>
    <w:rsid w:val="0082775B"/>
    <w:pPr>
      <w:widowControl/>
      <w:spacing w:after="160" w:line="240" w:lineRule="exact"/>
      <w:jc w:val="both"/>
    </w:pPr>
    <w:rPr>
      <w:rFonts w:ascii="Tahoma" w:hAnsi="Tahoma"/>
      <w:i/>
      <w:sz w:val="20"/>
      <w:lang w:val="en-US"/>
    </w:rPr>
  </w:style>
  <w:style w:type="paragraph" w:customStyle="1" w:styleId="BodyText22">
    <w:name w:val="Body Text 22"/>
    <w:basedOn w:val="Normal"/>
    <w:rsid w:val="0082775B"/>
    <w:pPr>
      <w:spacing w:after="120" w:line="480" w:lineRule="auto"/>
    </w:pPr>
  </w:style>
  <w:style w:type="paragraph" w:customStyle="1" w:styleId="BodyText21">
    <w:name w:val="Body Text 21"/>
    <w:basedOn w:val="Normal"/>
    <w:rsid w:val="0082775B"/>
    <w:pPr>
      <w:spacing w:after="120"/>
      <w:ind w:left="283"/>
    </w:pPr>
  </w:style>
  <w:style w:type="paragraph" w:customStyle="1" w:styleId="BodyText31">
    <w:name w:val="Body Text 31"/>
    <w:basedOn w:val="Normal"/>
    <w:rsid w:val="0082775B"/>
    <w:pPr>
      <w:spacing w:after="120"/>
    </w:pPr>
    <w:rPr>
      <w:sz w:val="16"/>
    </w:rPr>
  </w:style>
  <w:style w:type="paragraph" w:customStyle="1" w:styleId="BodyTextIndent31">
    <w:name w:val="Body Text Indent 31"/>
    <w:basedOn w:val="Normal"/>
    <w:rsid w:val="0082775B"/>
    <w:pPr>
      <w:spacing w:after="120"/>
      <w:ind w:left="283"/>
    </w:pPr>
    <w:rPr>
      <w:sz w:val="16"/>
    </w:rPr>
  </w:style>
  <w:style w:type="paragraph" w:styleId="Subttulo">
    <w:name w:val="Subtitle"/>
    <w:basedOn w:val="Normal"/>
    <w:link w:val="SubttuloCar"/>
    <w:qFormat/>
    <w:rsid w:val="0082775B"/>
    <w:pPr>
      <w:widowControl/>
      <w:jc w:val="center"/>
    </w:pPr>
    <w:rPr>
      <w:rFonts w:ascii="Arial Narrow" w:hAnsi="Arial Narrow"/>
      <w:b/>
      <w:sz w:val="20"/>
    </w:rPr>
  </w:style>
  <w:style w:type="character" w:customStyle="1" w:styleId="SubttuloCar">
    <w:name w:val="Subtítulo Car"/>
    <w:basedOn w:val="Fuentedeprrafopredeter"/>
    <w:link w:val="Subttulo"/>
    <w:rsid w:val="0082775B"/>
    <w:rPr>
      <w:rFonts w:ascii="Arial Narrow" w:eastAsia="Times New Roman" w:hAnsi="Arial Narrow" w:cs="Times New Roman"/>
      <w:b/>
      <w:sz w:val="20"/>
      <w:szCs w:val="20"/>
      <w:lang w:val="es-ES"/>
    </w:rPr>
  </w:style>
  <w:style w:type="paragraph" w:customStyle="1" w:styleId="Mapadeldocumento1">
    <w:name w:val="Mapa del documento1"/>
    <w:basedOn w:val="Normal"/>
    <w:rsid w:val="0082775B"/>
    <w:pPr>
      <w:shd w:val="clear" w:color="auto" w:fill="000080"/>
    </w:pPr>
    <w:rPr>
      <w:rFonts w:ascii="Tahoma" w:hAnsi="Tahoma"/>
      <w:sz w:val="20"/>
    </w:rPr>
  </w:style>
  <w:style w:type="paragraph" w:customStyle="1" w:styleId="Rpidoa">
    <w:name w:val="Rápido a)"/>
    <w:basedOn w:val="Normal"/>
    <w:rsid w:val="0082775B"/>
    <w:pPr>
      <w:ind w:left="720" w:hanging="720"/>
    </w:pPr>
  </w:style>
  <w:style w:type="paragraph" w:styleId="Listaconvietas">
    <w:name w:val="List Bullet"/>
    <w:basedOn w:val="Normal"/>
    <w:rsid w:val="0082775B"/>
    <w:pPr>
      <w:tabs>
        <w:tab w:val="left" w:pos="360"/>
      </w:tabs>
      <w:ind w:left="360" w:hanging="360"/>
    </w:pPr>
  </w:style>
  <w:style w:type="paragraph" w:styleId="Lista2">
    <w:name w:val="List 2"/>
    <w:basedOn w:val="Normal"/>
    <w:rsid w:val="0082775B"/>
    <w:pPr>
      <w:ind w:left="566" w:hanging="283"/>
    </w:pPr>
  </w:style>
  <w:style w:type="paragraph" w:customStyle="1" w:styleId="Textodenotaalpie">
    <w:name w:val="Texto de nota al pie"/>
    <w:basedOn w:val="Normal"/>
    <w:rsid w:val="0082775B"/>
    <w:rPr>
      <w:rFonts w:ascii="Lucida Sans Typewriter" w:hAnsi="Lucida Sans Typewriter"/>
      <w:lang w:val="es-ES_tradnl"/>
    </w:rPr>
  </w:style>
  <w:style w:type="paragraph" w:customStyle="1" w:styleId="Textodebloque1">
    <w:name w:val="Texto de bloque1"/>
    <w:basedOn w:val="Normal"/>
    <w:rsid w:val="0082775B"/>
    <w:pPr>
      <w:widowControl/>
      <w:ind w:left="708" w:right="738"/>
      <w:jc w:val="both"/>
    </w:pPr>
    <w:rPr>
      <w:rFonts w:ascii="Verdana" w:hAnsi="Verdana"/>
      <w:sz w:val="20"/>
    </w:rPr>
  </w:style>
  <w:style w:type="paragraph" w:customStyle="1" w:styleId="CarCar60">
    <w:name w:val="Car Car6"/>
    <w:basedOn w:val="Normal"/>
    <w:rsid w:val="0082775B"/>
    <w:pPr>
      <w:widowControl/>
      <w:overflowPunct/>
      <w:autoSpaceDE/>
      <w:autoSpaceDN/>
      <w:adjustRightInd/>
      <w:spacing w:after="160" w:line="240" w:lineRule="exact"/>
      <w:jc w:val="both"/>
      <w:textAlignment w:val="auto"/>
    </w:pPr>
    <w:rPr>
      <w:rFonts w:ascii="Tahoma" w:hAnsi="Tahoma"/>
      <w:i/>
      <w:sz w:val="20"/>
      <w:lang w:val="en-US" w:eastAsia="en-US"/>
    </w:rPr>
  </w:style>
  <w:style w:type="paragraph" w:styleId="Mapadeldocumento">
    <w:name w:val="Document Map"/>
    <w:basedOn w:val="Normal"/>
    <w:link w:val="MapadeldocumentoCar"/>
    <w:semiHidden/>
    <w:rsid w:val="0082775B"/>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semiHidden/>
    <w:rsid w:val="0082775B"/>
    <w:rPr>
      <w:rFonts w:ascii="Tahoma" w:eastAsia="Times New Roman" w:hAnsi="Tahoma" w:cs="Tahoma"/>
      <w:sz w:val="20"/>
      <w:szCs w:val="20"/>
      <w:shd w:val="clear" w:color="auto" w:fill="000080"/>
      <w:lang w:val="es-ES"/>
    </w:rPr>
  </w:style>
  <w:style w:type="character" w:customStyle="1" w:styleId="modartculofecha">
    <w:name w:val="modartculofecha"/>
    <w:rsid w:val="009E6E2E"/>
  </w:style>
  <w:style w:type="character" w:customStyle="1" w:styleId="decretoslegislativos">
    <w:name w:val="decretoslegislativos"/>
    <w:rsid w:val="009E6E2E"/>
  </w:style>
  <w:style w:type="paragraph" w:customStyle="1" w:styleId="cat">
    <w:name w:val="cat"/>
    <w:basedOn w:val="Normal"/>
    <w:rsid w:val="009E6E2E"/>
    <w:pPr>
      <w:widowControl/>
      <w:overflowPunct/>
      <w:autoSpaceDE/>
      <w:autoSpaceDN/>
      <w:adjustRightInd/>
      <w:spacing w:before="100" w:beforeAutospacing="1" w:after="100" w:afterAutospacing="1"/>
      <w:textAlignment w:val="auto"/>
    </w:pPr>
    <w:rPr>
      <w:rFonts w:ascii="Times" w:hAnsi="Times"/>
      <w:sz w:val="20"/>
      <w:lang w:val="es-ES_tradnl"/>
    </w:rPr>
  </w:style>
  <w:style w:type="paragraph" w:customStyle="1" w:styleId="entry-summary">
    <w:name w:val="entry-summary"/>
    <w:basedOn w:val="Normal"/>
    <w:rsid w:val="009E6E2E"/>
    <w:pPr>
      <w:widowControl/>
      <w:overflowPunct/>
      <w:autoSpaceDE/>
      <w:autoSpaceDN/>
      <w:adjustRightInd/>
      <w:spacing w:before="100" w:beforeAutospacing="1" w:after="100" w:afterAutospacing="1"/>
      <w:textAlignment w:val="auto"/>
    </w:pPr>
    <w:rPr>
      <w:rFonts w:ascii="Times" w:hAnsi="Times"/>
      <w:sz w:val="20"/>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5CE"/>
    <w:pPr>
      <w:widowControl w:val="0"/>
      <w:overflowPunct w:val="0"/>
      <w:autoSpaceDE w:val="0"/>
      <w:autoSpaceDN w:val="0"/>
      <w:adjustRightInd w:val="0"/>
      <w:textAlignment w:val="baseline"/>
    </w:pPr>
    <w:rPr>
      <w:rFonts w:ascii="Times New Roman" w:eastAsia="Times New Roman" w:hAnsi="Times New Roman" w:cs="Times New Roman"/>
      <w:szCs w:val="20"/>
      <w:lang w:val="es-ES"/>
    </w:rPr>
  </w:style>
  <w:style w:type="paragraph" w:styleId="Ttulo1">
    <w:name w:val="heading 1"/>
    <w:basedOn w:val="Normal"/>
    <w:next w:val="Normal"/>
    <w:link w:val="Ttulo1Car"/>
    <w:qFormat/>
    <w:rsid w:val="001925CE"/>
    <w:pPr>
      <w:keepNext/>
      <w:spacing w:line="360" w:lineRule="auto"/>
      <w:jc w:val="both"/>
      <w:outlineLvl w:val="0"/>
    </w:pPr>
    <w:rPr>
      <w:rFonts w:ascii="Arial" w:hAnsi="Arial"/>
      <w:b/>
      <w:i/>
      <w:sz w:val="22"/>
    </w:rPr>
  </w:style>
  <w:style w:type="paragraph" w:styleId="Ttulo2">
    <w:name w:val="heading 2"/>
    <w:basedOn w:val="Normal"/>
    <w:next w:val="Normal"/>
    <w:link w:val="Ttulo2Car"/>
    <w:qFormat/>
    <w:rsid w:val="001925CE"/>
    <w:pPr>
      <w:keepNext/>
      <w:spacing w:line="360" w:lineRule="auto"/>
      <w:jc w:val="both"/>
      <w:outlineLvl w:val="1"/>
    </w:pPr>
    <w:rPr>
      <w:rFonts w:ascii="Arial" w:hAnsi="Arial"/>
      <w:b/>
      <w:sz w:val="22"/>
    </w:rPr>
  </w:style>
  <w:style w:type="paragraph" w:styleId="Ttulo3">
    <w:name w:val="heading 3"/>
    <w:basedOn w:val="Normal"/>
    <w:next w:val="Normal"/>
    <w:link w:val="Ttulo3Car"/>
    <w:qFormat/>
    <w:rsid w:val="001925CE"/>
    <w:pPr>
      <w:keepNext/>
      <w:widowControl/>
      <w:jc w:val="both"/>
      <w:outlineLvl w:val="2"/>
    </w:pPr>
    <w:rPr>
      <w:rFonts w:ascii="Arial" w:hAnsi="Arial"/>
      <w:color w:val="666666"/>
      <w:sz w:val="28"/>
      <w:szCs w:val="28"/>
      <w:lang w:val="es-ES_tradnl"/>
    </w:rPr>
  </w:style>
  <w:style w:type="paragraph" w:styleId="Ttulo4">
    <w:name w:val="heading 4"/>
    <w:basedOn w:val="Normal"/>
    <w:next w:val="Normal"/>
    <w:link w:val="Ttulo4Car"/>
    <w:qFormat/>
    <w:rsid w:val="001925CE"/>
    <w:pPr>
      <w:keepNext/>
      <w:jc w:val="both"/>
      <w:outlineLvl w:val="3"/>
    </w:pPr>
    <w:rPr>
      <w:rFonts w:ascii="Arial" w:hAnsi="Arial"/>
      <w:color w:val="666666"/>
      <w:szCs w:val="24"/>
    </w:rPr>
  </w:style>
  <w:style w:type="paragraph" w:styleId="Ttulo5">
    <w:name w:val="heading 5"/>
    <w:basedOn w:val="Normal"/>
    <w:next w:val="Normal"/>
    <w:link w:val="Ttulo5Car"/>
    <w:qFormat/>
    <w:rsid w:val="001925CE"/>
    <w:pPr>
      <w:keepNext/>
      <w:widowControl/>
      <w:tabs>
        <w:tab w:val="left" w:pos="-1440"/>
      </w:tabs>
      <w:ind w:left="1440" w:hanging="720"/>
      <w:jc w:val="center"/>
      <w:outlineLvl w:val="4"/>
    </w:pPr>
    <w:rPr>
      <w:rFonts w:ascii="Arial" w:hAnsi="Arial"/>
      <w:color w:val="666666"/>
      <w:sz w:val="20"/>
      <w:lang w:val="es-ES_tradnl"/>
    </w:rPr>
  </w:style>
  <w:style w:type="paragraph" w:styleId="Ttulo6">
    <w:name w:val="heading 6"/>
    <w:basedOn w:val="Normal"/>
    <w:next w:val="Normal"/>
    <w:link w:val="Ttulo6Car"/>
    <w:qFormat/>
    <w:rsid w:val="001925CE"/>
    <w:pPr>
      <w:keepNext/>
      <w:widowControl/>
      <w:jc w:val="center"/>
      <w:outlineLvl w:val="5"/>
    </w:pPr>
    <w:rPr>
      <w:rFonts w:ascii="Arial" w:hAnsi="Arial"/>
      <w:bCs/>
      <w:color w:val="666666"/>
      <w:sz w:val="16"/>
      <w:szCs w:val="16"/>
      <w:lang w:val="es-ES_tradnl"/>
    </w:rPr>
  </w:style>
  <w:style w:type="paragraph" w:styleId="Ttulo7">
    <w:name w:val="heading 7"/>
    <w:basedOn w:val="Normal"/>
    <w:next w:val="Normal"/>
    <w:link w:val="Ttulo7Car"/>
    <w:qFormat/>
    <w:rsid w:val="001925CE"/>
    <w:pPr>
      <w:keepNext/>
      <w:widowControl/>
      <w:jc w:val="center"/>
      <w:outlineLvl w:val="6"/>
    </w:pPr>
    <w:rPr>
      <w:rFonts w:ascii="Garamond" w:hAnsi="Garamond"/>
      <w:b/>
      <w:bCs/>
      <w:color w:val="000000"/>
      <w:sz w:val="22"/>
      <w:szCs w:val="24"/>
      <w:u w:val="single"/>
      <w:lang w:val="es-ES_tradnl"/>
    </w:rPr>
  </w:style>
  <w:style w:type="paragraph" w:styleId="Ttulo8">
    <w:name w:val="heading 8"/>
    <w:basedOn w:val="Normal"/>
    <w:next w:val="Normal"/>
    <w:link w:val="Ttulo8Car"/>
    <w:qFormat/>
    <w:rsid w:val="001925CE"/>
    <w:pPr>
      <w:spacing w:before="240" w:after="60"/>
      <w:outlineLvl w:val="7"/>
    </w:pPr>
    <w:rPr>
      <w:i/>
      <w:iCs/>
      <w:szCs w:val="24"/>
    </w:rPr>
  </w:style>
  <w:style w:type="paragraph" w:styleId="Ttulo9">
    <w:name w:val="heading 9"/>
    <w:basedOn w:val="Normal"/>
    <w:next w:val="Normal"/>
    <w:link w:val="Ttulo9Car"/>
    <w:qFormat/>
    <w:rsid w:val="001925CE"/>
    <w:pPr>
      <w:keepNext/>
      <w:jc w:val="both"/>
      <w:outlineLvl w:val="8"/>
    </w:pPr>
    <w:rPr>
      <w:rFonts w:ascii="Courier New" w:hAnsi="Courier New"/>
      <w:b/>
      <w:color w:val="FF00F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nhideWhenUsed/>
  </w:style>
  <w:style w:type="character" w:customStyle="1" w:styleId="Ttulo1Car">
    <w:name w:val="Título 1 Car"/>
    <w:basedOn w:val="Fuentedeprrafopredeter"/>
    <w:link w:val="Ttulo1"/>
    <w:rsid w:val="001925CE"/>
    <w:rPr>
      <w:rFonts w:ascii="Arial" w:eastAsia="Times New Roman" w:hAnsi="Arial" w:cs="Times New Roman"/>
      <w:b/>
      <w:i/>
      <w:sz w:val="22"/>
      <w:szCs w:val="20"/>
      <w:lang w:val="es-ES"/>
    </w:rPr>
  </w:style>
  <w:style w:type="character" w:customStyle="1" w:styleId="Ttulo2Car">
    <w:name w:val="Título 2 Car"/>
    <w:basedOn w:val="Fuentedeprrafopredeter"/>
    <w:link w:val="Ttulo2"/>
    <w:rsid w:val="001925CE"/>
    <w:rPr>
      <w:rFonts w:ascii="Arial" w:eastAsia="Times New Roman" w:hAnsi="Arial" w:cs="Times New Roman"/>
      <w:b/>
      <w:sz w:val="22"/>
      <w:szCs w:val="20"/>
      <w:lang w:val="es-ES"/>
    </w:rPr>
  </w:style>
  <w:style w:type="character" w:customStyle="1" w:styleId="Ttulo3Car">
    <w:name w:val="Título 3 Car"/>
    <w:basedOn w:val="Fuentedeprrafopredeter"/>
    <w:link w:val="Ttulo3"/>
    <w:rsid w:val="001925CE"/>
    <w:rPr>
      <w:rFonts w:ascii="Arial" w:eastAsia="Times New Roman" w:hAnsi="Arial" w:cs="Times New Roman"/>
      <w:color w:val="666666"/>
      <w:sz w:val="28"/>
      <w:szCs w:val="28"/>
    </w:rPr>
  </w:style>
  <w:style w:type="character" w:customStyle="1" w:styleId="Ttulo4Car">
    <w:name w:val="Título 4 Car"/>
    <w:basedOn w:val="Fuentedeprrafopredeter"/>
    <w:link w:val="Ttulo4"/>
    <w:rsid w:val="001925CE"/>
    <w:rPr>
      <w:rFonts w:ascii="Arial" w:eastAsia="Times New Roman" w:hAnsi="Arial" w:cs="Times New Roman"/>
      <w:color w:val="666666"/>
      <w:lang w:val="es-ES"/>
    </w:rPr>
  </w:style>
  <w:style w:type="character" w:customStyle="1" w:styleId="Ttulo5Car">
    <w:name w:val="Título 5 Car"/>
    <w:basedOn w:val="Fuentedeprrafopredeter"/>
    <w:link w:val="Ttulo5"/>
    <w:uiPriority w:val="9"/>
    <w:rsid w:val="001925CE"/>
    <w:rPr>
      <w:rFonts w:ascii="Arial" w:eastAsia="Times New Roman" w:hAnsi="Arial" w:cs="Times New Roman"/>
      <w:color w:val="666666"/>
      <w:sz w:val="20"/>
      <w:szCs w:val="20"/>
    </w:rPr>
  </w:style>
  <w:style w:type="character" w:customStyle="1" w:styleId="Ttulo6Car">
    <w:name w:val="Título 6 Car"/>
    <w:basedOn w:val="Fuentedeprrafopredeter"/>
    <w:link w:val="Ttulo6"/>
    <w:rsid w:val="001925CE"/>
    <w:rPr>
      <w:rFonts w:ascii="Arial" w:eastAsia="Times New Roman" w:hAnsi="Arial" w:cs="Times New Roman"/>
      <w:bCs/>
      <w:color w:val="666666"/>
      <w:sz w:val="16"/>
      <w:szCs w:val="16"/>
    </w:rPr>
  </w:style>
  <w:style w:type="character" w:customStyle="1" w:styleId="Ttulo7Car">
    <w:name w:val="Título 7 Car"/>
    <w:basedOn w:val="Fuentedeprrafopredeter"/>
    <w:link w:val="Ttulo7"/>
    <w:uiPriority w:val="9"/>
    <w:rsid w:val="001925CE"/>
    <w:rPr>
      <w:rFonts w:ascii="Garamond" w:eastAsia="Times New Roman" w:hAnsi="Garamond" w:cs="Times New Roman"/>
      <w:b/>
      <w:bCs/>
      <w:color w:val="000000"/>
      <w:sz w:val="22"/>
      <w:u w:val="single"/>
    </w:rPr>
  </w:style>
  <w:style w:type="character" w:customStyle="1" w:styleId="Ttulo8Car">
    <w:name w:val="Título 8 Car"/>
    <w:basedOn w:val="Fuentedeprrafopredeter"/>
    <w:link w:val="Ttulo8"/>
    <w:uiPriority w:val="9"/>
    <w:rsid w:val="001925CE"/>
    <w:rPr>
      <w:rFonts w:ascii="Times New Roman" w:eastAsia="Times New Roman" w:hAnsi="Times New Roman" w:cs="Times New Roman"/>
      <w:i/>
      <w:iCs/>
      <w:lang w:val="es-ES"/>
    </w:rPr>
  </w:style>
  <w:style w:type="character" w:customStyle="1" w:styleId="Ttulo9Car">
    <w:name w:val="Título 9 Car"/>
    <w:basedOn w:val="Fuentedeprrafopredeter"/>
    <w:link w:val="Ttulo9"/>
    <w:rsid w:val="001925CE"/>
    <w:rPr>
      <w:rFonts w:ascii="Courier New" w:eastAsia="Times New Roman" w:hAnsi="Courier New" w:cs="Times New Roman"/>
      <w:b/>
      <w:color w:val="FF00FF"/>
      <w:lang w:val="es-ES"/>
    </w:rPr>
  </w:style>
  <w:style w:type="character" w:styleId="Refdenotaalpie">
    <w:name w:val="footnote reference"/>
    <w:rsid w:val="001925CE"/>
    <w:rPr>
      <w:sz w:val="20"/>
    </w:rPr>
  </w:style>
  <w:style w:type="paragraph" w:customStyle="1" w:styleId="Rpido1">
    <w:name w:val="Rápido 1."/>
    <w:basedOn w:val="Normal"/>
    <w:rsid w:val="001925CE"/>
    <w:pPr>
      <w:ind w:left="1440" w:hanging="720"/>
    </w:pPr>
  </w:style>
  <w:style w:type="paragraph" w:styleId="Sangradetdecuerpo">
    <w:name w:val="Body Text Indent"/>
    <w:basedOn w:val="Normal"/>
    <w:link w:val="SangradetdecuerpoCar"/>
    <w:rsid w:val="001925CE"/>
    <w:pPr>
      <w:ind w:left="2880"/>
      <w:jc w:val="both"/>
    </w:pPr>
    <w:rPr>
      <w:rFonts w:ascii="Courier New" w:hAnsi="Courier New"/>
      <w:b/>
      <w:sz w:val="20"/>
    </w:rPr>
  </w:style>
  <w:style w:type="character" w:customStyle="1" w:styleId="SangradetdecuerpoCar">
    <w:name w:val="Sangría de t. de cuerpo Car"/>
    <w:basedOn w:val="Fuentedeprrafopredeter"/>
    <w:link w:val="Sangradetdecuerpo"/>
    <w:uiPriority w:val="99"/>
    <w:rsid w:val="001925CE"/>
    <w:rPr>
      <w:rFonts w:ascii="Courier New" w:eastAsia="Times New Roman" w:hAnsi="Courier New" w:cs="Times New Roman"/>
      <w:b/>
      <w:sz w:val="20"/>
      <w:szCs w:val="20"/>
      <w:lang w:val="es-ES"/>
    </w:rPr>
  </w:style>
  <w:style w:type="paragraph" w:customStyle="1" w:styleId="Sangra2detindependiente1">
    <w:name w:val="Sangría 2 de t. independiente1"/>
    <w:basedOn w:val="Normal"/>
    <w:rsid w:val="001925CE"/>
    <w:pPr>
      <w:tabs>
        <w:tab w:val="left" w:pos="-1440"/>
      </w:tabs>
      <w:ind w:firstLine="720"/>
      <w:jc w:val="both"/>
    </w:pPr>
  </w:style>
  <w:style w:type="paragraph" w:styleId="Encabezado">
    <w:name w:val="header"/>
    <w:basedOn w:val="Normal"/>
    <w:link w:val="EncabezadoCar"/>
    <w:rsid w:val="001925CE"/>
    <w:pPr>
      <w:tabs>
        <w:tab w:val="center" w:pos="4419"/>
        <w:tab w:val="right" w:pos="8838"/>
      </w:tabs>
    </w:pPr>
  </w:style>
  <w:style w:type="character" w:customStyle="1" w:styleId="EncabezadoCar">
    <w:name w:val="Encabezado Car"/>
    <w:basedOn w:val="Fuentedeprrafopredeter"/>
    <w:link w:val="Encabezado"/>
    <w:uiPriority w:val="99"/>
    <w:rsid w:val="001925CE"/>
    <w:rPr>
      <w:rFonts w:ascii="Times New Roman" w:eastAsia="Times New Roman" w:hAnsi="Times New Roman" w:cs="Times New Roman"/>
      <w:szCs w:val="20"/>
      <w:lang w:val="es-ES"/>
    </w:rPr>
  </w:style>
  <w:style w:type="paragraph" w:styleId="Textonotapie">
    <w:name w:val="footnote text"/>
    <w:aliases w:val="Texto nota pie Car Car Car,Texto nota pie Car Car"/>
    <w:basedOn w:val="Normal"/>
    <w:link w:val="TextonotapieCar"/>
    <w:rsid w:val="001925CE"/>
    <w:rPr>
      <w:sz w:val="20"/>
    </w:rPr>
  </w:style>
  <w:style w:type="character" w:customStyle="1" w:styleId="TextonotapieCar">
    <w:name w:val="Texto nota pie Car"/>
    <w:aliases w:val="Texto nota pie Car Car Car Car,Texto nota pie Car Car Car1"/>
    <w:basedOn w:val="Fuentedeprrafopredeter"/>
    <w:link w:val="Textonotapie"/>
    <w:rsid w:val="001925CE"/>
    <w:rPr>
      <w:rFonts w:ascii="Times New Roman" w:eastAsia="Times New Roman" w:hAnsi="Times New Roman" w:cs="Times New Roman"/>
      <w:sz w:val="20"/>
      <w:szCs w:val="20"/>
      <w:lang w:val="es-ES"/>
    </w:rPr>
  </w:style>
  <w:style w:type="character" w:styleId="Nmerodepgina">
    <w:name w:val="page number"/>
    <w:rsid w:val="001925CE"/>
    <w:rPr>
      <w:sz w:val="20"/>
    </w:rPr>
  </w:style>
  <w:style w:type="paragraph" w:styleId="Textodecuerpo">
    <w:name w:val="Body Text"/>
    <w:basedOn w:val="Normal"/>
    <w:link w:val="TextodecuerpoCar"/>
    <w:rsid w:val="001925CE"/>
    <w:pPr>
      <w:spacing w:line="360" w:lineRule="auto"/>
      <w:jc w:val="both"/>
    </w:pPr>
    <w:rPr>
      <w:rFonts w:ascii="Arial" w:hAnsi="Arial"/>
      <w:sz w:val="22"/>
    </w:rPr>
  </w:style>
  <w:style w:type="character" w:customStyle="1" w:styleId="TextodecuerpoCar">
    <w:name w:val="Texto de cuerpo Car"/>
    <w:basedOn w:val="Fuentedeprrafopredeter"/>
    <w:link w:val="Textodecuerpo"/>
    <w:rsid w:val="001925CE"/>
    <w:rPr>
      <w:rFonts w:ascii="Arial" w:eastAsia="Times New Roman" w:hAnsi="Arial" w:cs="Times New Roman"/>
      <w:sz w:val="22"/>
      <w:szCs w:val="20"/>
      <w:lang w:val="es-ES"/>
    </w:rPr>
  </w:style>
  <w:style w:type="paragraph" w:customStyle="1" w:styleId="Prraffo">
    <w:name w:val="Párraffo"/>
    <w:basedOn w:val="Normal"/>
    <w:rsid w:val="001925CE"/>
    <w:pPr>
      <w:spacing w:line="360" w:lineRule="auto"/>
      <w:ind w:left="851"/>
      <w:jc w:val="both"/>
    </w:pPr>
    <w:rPr>
      <w:rFonts w:ascii="Arial" w:hAnsi="Arial"/>
      <w:sz w:val="20"/>
    </w:rPr>
  </w:style>
  <w:style w:type="paragraph" w:styleId="Piedepgina">
    <w:name w:val="footer"/>
    <w:basedOn w:val="Normal"/>
    <w:link w:val="PiedepginaCar"/>
    <w:rsid w:val="001925CE"/>
    <w:pPr>
      <w:tabs>
        <w:tab w:val="center" w:pos="4419"/>
        <w:tab w:val="right" w:pos="8838"/>
      </w:tabs>
    </w:pPr>
  </w:style>
  <w:style w:type="character" w:customStyle="1" w:styleId="PiedepginaCar">
    <w:name w:val="Pie de página Car"/>
    <w:basedOn w:val="Fuentedeprrafopredeter"/>
    <w:link w:val="Piedepgina"/>
    <w:uiPriority w:val="99"/>
    <w:rsid w:val="001925CE"/>
    <w:rPr>
      <w:rFonts w:ascii="Times New Roman" w:eastAsia="Times New Roman" w:hAnsi="Times New Roman" w:cs="Times New Roman"/>
      <w:szCs w:val="20"/>
      <w:lang w:val="es-ES"/>
    </w:rPr>
  </w:style>
  <w:style w:type="paragraph" w:customStyle="1" w:styleId="Level1">
    <w:name w:val="Level 1"/>
    <w:basedOn w:val="Normal"/>
    <w:rsid w:val="001925CE"/>
    <w:pPr>
      <w:ind w:left="720" w:hanging="720"/>
    </w:pPr>
    <w:rPr>
      <w:rFonts w:ascii="Courier New" w:hAnsi="Courier New"/>
    </w:rPr>
  </w:style>
  <w:style w:type="paragraph" w:customStyle="1" w:styleId="Textoindependiente21">
    <w:name w:val="Texto independiente 21"/>
    <w:basedOn w:val="Normal"/>
    <w:rsid w:val="001925CE"/>
    <w:pPr>
      <w:ind w:left="993" w:hanging="993"/>
      <w:jc w:val="both"/>
    </w:pPr>
    <w:rPr>
      <w:rFonts w:ascii="Courier New" w:hAnsi="Courier New"/>
      <w:b/>
    </w:rPr>
  </w:style>
  <w:style w:type="paragraph" w:customStyle="1" w:styleId="Parafffo">
    <w:name w:val="Parafffo"/>
    <w:basedOn w:val="Pie"/>
    <w:rsid w:val="001925CE"/>
    <w:pPr>
      <w:spacing w:line="360" w:lineRule="auto"/>
      <w:ind w:left="851" w:firstLine="0"/>
    </w:pPr>
    <w:rPr>
      <w:rFonts w:ascii="Arial" w:hAnsi="Arial"/>
      <w:sz w:val="20"/>
    </w:rPr>
  </w:style>
  <w:style w:type="paragraph" w:customStyle="1" w:styleId="Pie">
    <w:name w:val="Pie"/>
    <w:basedOn w:val="Normal"/>
    <w:rsid w:val="001925CE"/>
    <w:pPr>
      <w:ind w:firstLine="425"/>
      <w:jc w:val="both"/>
    </w:pPr>
    <w:rPr>
      <w:rFonts w:ascii="Arial Narrow" w:hAnsi="Arial Narrow"/>
      <w:sz w:val="18"/>
    </w:rPr>
  </w:style>
  <w:style w:type="paragraph" w:customStyle="1" w:styleId="Level2">
    <w:name w:val="Level 2"/>
    <w:basedOn w:val="Normal"/>
    <w:rsid w:val="001925CE"/>
    <w:pPr>
      <w:ind w:left="1440" w:hanging="720"/>
    </w:pPr>
    <w:rPr>
      <w:rFonts w:ascii="Courier New" w:hAnsi="Courier New"/>
    </w:rPr>
  </w:style>
  <w:style w:type="paragraph" w:customStyle="1" w:styleId="Rpido10">
    <w:name w:val="Rápido 1)"/>
    <w:basedOn w:val="Normal"/>
    <w:rsid w:val="001925CE"/>
    <w:pPr>
      <w:ind w:left="720" w:hanging="720"/>
    </w:pPr>
  </w:style>
  <w:style w:type="paragraph" w:customStyle="1" w:styleId="Parraffffo">
    <w:name w:val="Parraffffo"/>
    <w:basedOn w:val="Normal"/>
    <w:rsid w:val="001925CE"/>
    <w:pPr>
      <w:spacing w:line="360" w:lineRule="auto"/>
      <w:ind w:left="851"/>
      <w:jc w:val="both"/>
    </w:pPr>
    <w:rPr>
      <w:rFonts w:ascii="Arial" w:hAnsi="Arial"/>
      <w:color w:val="000000"/>
      <w:sz w:val="20"/>
    </w:rPr>
  </w:style>
  <w:style w:type="character" w:customStyle="1" w:styleId="Hipervnculo1">
    <w:name w:val="Hipervínculo1"/>
    <w:rsid w:val="001925CE"/>
    <w:rPr>
      <w:color w:val="0000FF"/>
      <w:u w:val="none"/>
    </w:rPr>
  </w:style>
  <w:style w:type="paragraph" w:styleId="Sangra2detdecuerpo">
    <w:name w:val="Body Text Indent 2"/>
    <w:basedOn w:val="Normal"/>
    <w:link w:val="Sangra2detdecuerpoCar"/>
    <w:rsid w:val="001925CE"/>
    <w:pPr>
      <w:spacing w:after="120" w:line="480" w:lineRule="auto"/>
      <w:ind w:left="283"/>
    </w:pPr>
  </w:style>
  <w:style w:type="character" w:customStyle="1" w:styleId="Sangra2detdecuerpoCar">
    <w:name w:val="Sangría 2 de t. de cuerpo Car"/>
    <w:basedOn w:val="Fuentedeprrafopredeter"/>
    <w:link w:val="Sangra2detdecuerpo"/>
    <w:uiPriority w:val="99"/>
    <w:rsid w:val="001925CE"/>
    <w:rPr>
      <w:rFonts w:ascii="Times New Roman" w:eastAsia="Times New Roman" w:hAnsi="Times New Roman" w:cs="Times New Roman"/>
      <w:szCs w:val="20"/>
      <w:lang w:val="es-ES"/>
    </w:rPr>
  </w:style>
  <w:style w:type="paragraph" w:styleId="Textodecuerpo2">
    <w:name w:val="Body Text 2"/>
    <w:basedOn w:val="Normal"/>
    <w:link w:val="Textodecuerpo2Car"/>
    <w:rsid w:val="001925CE"/>
    <w:pPr>
      <w:spacing w:after="120" w:line="480" w:lineRule="auto"/>
    </w:pPr>
  </w:style>
  <w:style w:type="character" w:customStyle="1" w:styleId="Textodecuerpo2Car">
    <w:name w:val="Texto de cuerpo 2 Car"/>
    <w:basedOn w:val="Fuentedeprrafopredeter"/>
    <w:link w:val="Textodecuerpo2"/>
    <w:rsid w:val="001925CE"/>
    <w:rPr>
      <w:rFonts w:ascii="Times New Roman" w:eastAsia="Times New Roman" w:hAnsi="Times New Roman" w:cs="Times New Roman"/>
      <w:szCs w:val="20"/>
      <w:lang w:val="es-ES"/>
    </w:rPr>
  </w:style>
  <w:style w:type="paragraph" w:styleId="Sangra3detdecuerpo">
    <w:name w:val="Body Text Indent 3"/>
    <w:basedOn w:val="Normal"/>
    <w:link w:val="Sangra3detdecuerpoCar"/>
    <w:rsid w:val="001925CE"/>
    <w:pPr>
      <w:spacing w:after="120"/>
      <w:ind w:left="283"/>
    </w:pPr>
    <w:rPr>
      <w:sz w:val="16"/>
      <w:szCs w:val="16"/>
    </w:rPr>
  </w:style>
  <w:style w:type="character" w:customStyle="1" w:styleId="Sangra3detdecuerpoCar">
    <w:name w:val="Sangría 3 de t. de cuerpo Car"/>
    <w:basedOn w:val="Fuentedeprrafopredeter"/>
    <w:link w:val="Sangra3detdecuerpo"/>
    <w:uiPriority w:val="99"/>
    <w:rsid w:val="001925CE"/>
    <w:rPr>
      <w:rFonts w:ascii="Times New Roman" w:eastAsia="Times New Roman" w:hAnsi="Times New Roman" w:cs="Times New Roman"/>
      <w:sz w:val="16"/>
      <w:szCs w:val="16"/>
      <w:lang w:val="es-ES"/>
    </w:rPr>
  </w:style>
  <w:style w:type="paragraph" w:styleId="Textodecuerpo3">
    <w:name w:val="Body Text 3"/>
    <w:basedOn w:val="Normal"/>
    <w:link w:val="Textodecuerpo3Car"/>
    <w:rsid w:val="001925CE"/>
    <w:pPr>
      <w:spacing w:after="120"/>
    </w:pPr>
    <w:rPr>
      <w:sz w:val="16"/>
      <w:szCs w:val="16"/>
    </w:rPr>
  </w:style>
  <w:style w:type="character" w:customStyle="1" w:styleId="Textodecuerpo3Car">
    <w:name w:val="Texto de cuerpo 3 Car"/>
    <w:basedOn w:val="Fuentedeprrafopredeter"/>
    <w:link w:val="Textodecuerpo3"/>
    <w:rsid w:val="001925CE"/>
    <w:rPr>
      <w:rFonts w:ascii="Times New Roman" w:eastAsia="Times New Roman" w:hAnsi="Times New Roman" w:cs="Times New Roman"/>
      <w:sz w:val="16"/>
      <w:szCs w:val="16"/>
      <w:lang w:val="es-ES"/>
    </w:rPr>
  </w:style>
  <w:style w:type="paragraph" w:customStyle="1" w:styleId="Parrafffo">
    <w:name w:val="Parrafffo"/>
    <w:basedOn w:val="Ttulo1"/>
    <w:rsid w:val="001925CE"/>
    <w:pPr>
      <w:widowControl/>
      <w:ind w:left="851"/>
      <w:outlineLvl w:val="9"/>
    </w:pPr>
    <w:rPr>
      <w:rFonts w:cs="Arial"/>
      <w:i w:val="0"/>
      <w:color w:val="666666"/>
      <w:sz w:val="20"/>
      <w:szCs w:val="48"/>
    </w:rPr>
  </w:style>
  <w:style w:type="paragraph" w:customStyle="1" w:styleId="H1">
    <w:name w:val="H1"/>
    <w:basedOn w:val="Normal"/>
    <w:next w:val="Normal"/>
    <w:rsid w:val="001925CE"/>
    <w:pPr>
      <w:keepNext/>
      <w:widowControl/>
      <w:spacing w:before="100" w:after="100"/>
    </w:pPr>
    <w:rPr>
      <w:rFonts w:ascii="Arial" w:hAnsi="Arial" w:cs="Arial"/>
      <w:b/>
      <w:color w:val="000000"/>
      <w:kern w:val="36"/>
      <w:sz w:val="48"/>
      <w:szCs w:val="24"/>
      <w:lang w:val="es-MX"/>
    </w:rPr>
  </w:style>
  <w:style w:type="paragraph" w:customStyle="1" w:styleId="H3">
    <w:name w:val="H3"/>
    <w:basedOn w:val="Normal"/>
    <w:next w:val="Normal"/>
    <w:rsid w:val="001925CE"/>
    <w:pPr>
      <w:keepNext/>
      <w:widowControl/>
      <w:spacing w:before="100" w:after="100"/>
    </w:pPr>
    <w:rPr>
      <w:rFonts w:ascii="Arial" w:hAnsi="Arial" w:cs="Arial"/>
      <w:b/>
      <w:color w:val="000000"/>
      <w:sz w:val="28"/>
      <w:szCs w:val="24"/>
      <w:lang w:val="es-MX"/>
    </w:rPr>
  </w:style>
  <w:style w:type="paragraph" w:styleId="Ttulo">
    <w:name w:val="Title"/>
    <w:aliases w:val=" Car"/>
    <w:basedOn w:val="Normal"/>
    <w:link w:val="TtuloCar"/>
    <w:qFormat/>
    <w:rsid w:val="001925CE"/>
    <w:pPr>
      <w:widowControl/>
      <w:jc w:val="center"/>
    </w:pPr>
    <w:rPr>
      <w:rFonts w:ascii="Arial" w:hAnsi="Arial"/>
      <w:b/>
      <w:color w:val="000000"/>
      <w:szCs w:val="24"/>
    </w:rPr>
  </w:style>
  <w:style w:type="character" w:customStyle="1" w:styleId="TtuloCar">
    <w:name w:val="Título Car"/>
    <w:aliases w:val=" Car Car"/>
    <w:basedOn w:val="Fuentedeprrafopredeter"/>
    <w:link w:val="Ttulo"/>
    <w:rsid w:val="001925CE"/>
    <w:rPr>
      <w:rFonts w:ascii="Arial" w:eastAsia="Times New Roman" w:hAnsi="Arial" w:cs="Times New Roman"/>
      <w:b/>
      <w:color w:val="000000"/>
      <w:lang w:val="es-ES"/>
    </w:rPr>
  </w:style>
  <w:style w:type="paragraph" w:customStyle="1" w:styleId="Textoindependiente31">
    <w:name w:val="Texto independiente 31"/>
    <w:basedOn w:val="Normal"/>
    <w:rsid w:val="001925CE"/>
    <w:pPr>
      <w:jc w:val="both"/>
    </w:pPr>
    <w:rPr>
      <w:rFonts w:ascii="Courier New" w:hAnsi="Courier New" w:cs="Arial"/>
      <w:b/>
      <w:color w:val="FF00FF"/>
      <w:szCs w:val="24"/>
    </w:rPr>
  </w:style>
  <w:style w:type="character" w:styleId="Hipervnculo">
    <w:name w:val="Hyperlink"/>
    <w:rsid w:val="001925CE"/>
    <w:rPr>
      <w:color w:val="CC0000"/>
      <w:u w:val="single"/>
    </w:rPr>
  </w:style>
  <w:style w:type="character" w:styleId="Hipervnculovisitado">
    <w:name w:val="FollowedHyperlink"/>
    <w:uiPriority w:val="99"/>
    <w:rsid w:val="001925CE"/>
    <w:rPr>
      <w:color w:val="999999"/>
      <w:u w:val="single"/>
    </w:rPr>
  </w:style>
  <w:style w:type="paragraph" w:customStyle="1" w:styleId="PIEDEPAGINA">
    <w:name w:val="PIE DE PAGINA"/>
    <w:basedOn w:val="Normal"/>
    <w:link w:val="PIEDEPAGINACar"/>
    <w:rsid w:val="001925CE"/>
    <w:pPr>
      <w:widowControl/>
      <w:overflowPunct/>
      <w:autoSpaceDE/>
      <w:autoSpaceDN/>
      <w:adjustRightInd/>
      <w:spacing w:after="120" w:line="180" w:lineRule="atLeast"/>
      <w:jc w:val="both"/>
      <w:textAlignment w:val="auto"/>
    </w:pPr>
    <w:rPr>
      <w:rFonts w:ascii="Arial" w:hAnsi="Arial"/>
      <w:sz w:val="16"/>
      <w:szCs w:val="24"/>
    </w:rPr>
  </w:style>
  <w:style w:type="character" w:customStyle="1" w:styleId="PIEDEPAGINACar">
    <w:name w:val="PIE DE PAGINA Car"/>
    <w:link w:val="PIEDEPAGINA"/>
    <w:rsid w:val="001925CE"/>
    <w:rPr>
      <w:rFonts w:ascii="Arial" w:eastAsia="Times New Roman" w:hAnsi="Arial" w:cs="Times New Roman"/>
      <w:sz w:val="16"/>
      <w:lang w:val="es-ES"/>
    </w:rPr>
  </w:style>
  <w:style w:type="character" w:styleId="Textoennegrita">
    <w:name w:val="Strong"/>
    <w:basedOn w:val="Fuentedeprrafopredeter"/>
    <w:qFormat/>
    <w:rsid w:val="00FA0266"/>
    <w:rPr>
      <w:b/>
      <w:bCs/>
    </w:rPr>
  </w:style>
  <w:style w:type="character" w:customStyle="1" w:styleId="apple-converted-space">
    <w:name w:val="apple-converted-space"/>
    <w:basedOn w:val="Fuentedeprrafopredeter"/>
    <w:rsid w:val="00FA0266"/>
  </w:style>
  <w:style w:type="paragraph" w:styleId="Textodeglobo">
    <w:name w:val="Balloon Text"/>
    <w:basedOn w:val="Normal"/>
    <w:link w:val="TextodegloboCar"/>
    <w:uiPriority w:val="99"/>
    <w:semiHidden/>
    <w:unhideWhenUsed/>
    <w:rsid w:val="00FA0266"/>
    <w:pPr>
      <w:widowControl/>
      <w:overflowPunct/>
      <w:autoSpaceDE/>
      <w:autoSpaceDN/>
      <w:adjustRightInd/>
      <w:textAlignment w:val="auto"/>
    </w:pPr>
    <w:rPr>
      <w:rFonts w:ascii="Tahoma" w:eastAsiaTheme="minorHAnsi" w:hAnsi="Tahoma" w:cs="Tahoma"/>
      <w:sz w:val="16"/>
      <w:szCs w:val="16"/>
      <w:lang w:val="es-PE" w:eastAsia="en-US"/>
    </w:rPr>
  </w:style>
  <w:style w:type="character" w:customStyle="1" w:styleId="TextodegloboCar">
    <w:name w:val="Texto de globo Car"/>
    <w:basedOn w:val="Fuentedeprrafopredeter"/>
    <w:link w:val="Textodeglobo"/>
    <w:uiPriority w:val="99"/>
    <w:semiHidden/>
    <w:rsid w:val="00FA0266"/>
    <w:rPr>
      <w:rFonts w:ascii="Tahoma" w:eastAsiaTheme="minorHAnsi" w:hAnsi="Tahoma" w:cs="Tahoma"/>
      <w:sz w:val="16"/>
      <w:szCs w:val="16"/>
      <w:lang w:val="es-PE" w:eastAsia="en-US"/>
    </w:rPr>
  </w:style>
  <w:style w:type="paragraph" w:styleId="NormalWeb">
    <w:name w:val="Normal (Web)"/>
    <w:basedOn w:val="Normal"/>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counter">
    <w:name w:val="addthis_counter"/>
    <w:basedOn w:val="Normal"/>
    <w:rsid w:val="00FA0266"/>
    <w:pPr>
      <w:widowControl/>
      <w:overflowPunct/>
      <w:autoSpaceDE/>
      <w:autoSpaceDN/>
      <w:adjustRightInd/>
      <w:spacing w:before="100" w:beforeAutospacing="1" w:after="100" w:afterAutospacing="1"/>
      <w:textAlignment w:val="auto"/>
    </w:pPr>
    <w:rPr>
      <w:b/>
      <w:bCs/>
      <w:color w:val="FFFFFF"/>
      <w:szCs w:val="24"/>
      <w:lang w:val="es-PE" w:eastAsia="es-PE"/>
    </w:rPr>
  </w:style>
  <w:style w:type="paragraph" w:customStyle="1" w:styleId="at15dn">
    <w:name w:val="at15dn"/>
    <w:basedOn w:val="Normal"/>
    <w:rsid w:val="00FA0266"/>
    <w:pPr>
      <w:widowControl/>
      <w:overflowPunct/>
      <w:autoSpaceDE/>
      <w:autoSpaceDN/>
      <w:adjustRightInd/>
      <w:spacing w:before="100" w:beforeAutospacing="1" w:after="100" w:afterAutospacing="1"/>
      <w:textAlignment w:val="auto"/>
    </w:pPr>
    <w:rPr>
      <w:vanish/>
      <w:szCs w:val="24"/>
      <w:lang w:val="es-PE" w:eastAsia="es-PE"/>
    </w:rPr>
  </w:style>
  <w:style w:type="paragraph" w:customStyle="1" w:styleId="at15a">
    <w:name w:val="at15a"/>
    <w:basedOn w:val="Normal"/>
    <w:rsid w:val="00FA0266"/>
    <w:pPr>
      <w:widowControl/>
      <w:overflowPunct/>
      <w:autoSpaceDE/>
      <w:autoSpaceDN/>
      <w:adjustRightInd/>
      <w:textAlignment w:val="auto"/>
    </w:pPr>
    <w:rPr>
      <w:szCs w:val="24"/>
      <w:lang w:val="es-PE" w:eastAsia="es-PE"/>
    </w:rPr>
  </w:style>
  <w:style w:type="paragraph" w:customStyle="1" w:styleId="at15erow">
    <w:name w:val="at15e_row"/>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
    <w:name w:val="at15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
    <w:name w:val="at300bs"/>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nc">
    <w:name w:val="at16nc"/>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t">
    <w:name w:val="at16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aa">
    <w:name w:val="at_baa"/>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
    <w:name w:val="at-promo-single"/>
    <w:basedOn w:val="Normal"/>
    <w:rsid w:val="00FA0266"/>
    <w:pPr>
      <w:widowControl/>
      <w:overflowPunct/>
      <w:autoSpaceDE/>
      <w:autoSpaceDN/>
      <w:adjustRightInd/>
      <w:spacing w:before="100" w:beforeAutospacing="1" w:after="100" w:afterAutospacing="1" w:line="360" w:lineRule="atLeast"/>
      <w:textAlignment w:val="auto"/>
    </w:pPr>
    <w:rPr>
      <w:szCs w:val="24"/>
      <w:lang w:val="es-PE" w:eastAsia="es-PE"/>
    </w:rPr>
  </w:style>
  <w:style w:type="paragraph" w:customStyle="1" w:styleId="addthistextshare">
    <w:name w:val="addthis_textshare"/>
    <w:basedOn w:val="Normal"/>
    <w:rsid w:val="00FA0266"/>
    <w:pPr>
      <w:widowControl/>
      <w:overflowPunct/>
      <w:autoSpaceDE/>
      <w:autoSpaceDN/>
      <w:adjustRightInd/>
      <w:spacing w:line="420" w:lineRule="atLeast"/>
      <w:textAlignment w:val="auto"/>
    </w:pPr>
    <w:rPr>
      <w:rFonts w:ascii="Helvetica" w:hAnsi="Helvetica"/>
      <w:color w:val="FFFFFF"/>
      <w:sz w:val="18"/>
      <w:szCs w:val="18"/>
      <w:lang w:val="es-PE" w:eastAsia="es-PE"/>
    </w:rPr>
  </w:style>
  <w:style w:type="paragraph" w:customStyle="1" w:styleId="atimgshare">
    <w:name w:val="at_img_share"/>
    <w:basedOn w:val="Normal"/>
    <w:rsid w:val="00FA0266"/>
    <w:pPr>
      <w:widowControl/>
      <w:pBdr>
        <w:top w:val="single" w:sz="6" w:space="0" w:color="CCCCCC"/>
        <w:left w:val="single" w:sz="6" w:space="0" w:color="CCCCCC"/>
        <w:bottom w:val="single" w:sz="6" w:space="0" w:color="CCCCCC"/>
        <w:right w:val="single" w:sz="6" w:space="0" w:color="CCCCCC"/>
      </w:pBdr>
      <w:overflowPunct/>
      <w:autoSpaceDE/>
      <w:autoSpaceDN/>
      <w:adjustRightInd/>
      <w:spacing w:line="315" w:lineRule="atLeast"/>
      <w:ind w:hanging="18913"/>
      <w:textAlignment w:val="auto"/>
    </w:pPr>
    <w:rPr>
      <w:szCs w:val="24"/>
      <w:lang w:val="es-PE" w:eastAsia="es-PE"/>
    </w:rPr>
  </w:style>
  <w:style w:type="paragraph" w:customStyle="1" w:styleId="atm">
    <w:name w:val="atm"/>
    <w:basedOn w:val="Normal"/>
    <w:rsid w:val="00FA0266"/>
    <w:pPr>
      <w:widowControl/>
      <w:overflowPunct/>
      <w:autoSpaceDE/>
      <w:autoSpaceDN/>
      <w:adjustRightInd/>
      <w:spacing w:line="180" w:lineRule="atLeast"/>
      <w:textAlignment w:val="auto"/>
    </w:pPr>
    <w:rPr>
      <w:rFonts w:ascii="Arial" w:hAnsi="Arial" w:cs="Arial"/>
      <w:color w:val="444444"/>
      <w:sz w:val="18"/>
      <w:szCs w:val="18"/>
      <w:lang w:val="es-PE" w:eastAsia="es-PE"/>
    </w:rPr>
  </w:style>
  <w:style w:type="paragraph" w:customStyle="1" w:styleId="atm-i">
    <w:name w:val="atm-i"/>
    <w:basedOn w:val="Normal"/>
    <w:rsid w:val="00FA0266"/>
    <w:pPr>
      <w:widowControl/>
      <w:pBdr>
        <w:top w:val="single" w:sz="6" w:space="3" w:color="D5D6D6"/>
        <w:left w:val="single" w:sz="6" w:space="0" w:color="D5D6D6"/>
        <w:bottom w:val="single" w:sz="6" w:space="0" w:color="D5D6D6"/>
        <w:right w:val="single" w:sz="6" w:space="0" w:color="D5D6D6"/>
      </w:pBdr>
      <w:shd w:val="clear" w:color="auto" w:fill="FFFFFF"/>
      <w:overflowPunct/>
      <w:autoSpaceDE/>
      <w:autoSpaceDN/>
      <w:adjustRightInd/>
      <w:textAlignment w:val="auto"/>
    </w:pPr>
    <w:rPr>
      <w:szCs w:val="24"/>
      <w:lang w:val="es-PE" w:eastAsia="es-PE"/>
    </w:rPr>
  </w:style>
  <w:style w:type="paragraph" w:customStyle="1" w:styleId="atm-f">
    <w:name w:val="atm-f"/>
    <w:basedOn w:val="Normal"/>
    <w:rsid w:val="00FA0266"/>
    <w:pPr>
      <w:widowControl/>
      <w:overflowPunct/>
      <w:autoSpaceDE/>
      <w:autoSpaceDN/>
      <w:adjustRightInd/>
      <w:spacing w:before="100" w:beforeAutospacing="1" w:after="100" w:afterAutospacing="1"/>
      <w:textAlignment w:val="auto"/>
    </w:pPr>
    <w:rPr>
      <w:sz w:val="14"/>
      <w:szCs w:val="14"/>
      <w:lang w:val="es-PE" w:eastAsia="es-PE"/>
    </w:rPr>
  </w:style>
  <w:style w:type="paragraph" w:customStyle="1" w:styleId="ata11ycontainer">
    <w:name w:val="at_a11y_container"/>
    <w:basedOn w:val="Normal"/>
    <w:rsid w:val="00FA0266"/>
    <w:pPr>
      <w:widowControl/>
      <w:overflowPunct/>
      <w:autoSpaceDE/>
      <w:autoSpaceDN/>
      <w:adjustRightInd/>
      <w:textAlignment w:val="auto"/>
    </w:pPr>
    <w:rPr>
      <w:szCs w:val="24"/>
      <w:lang w:val="es-PE" w:eastAsia="es-PE"/>
    </w:rPr>
  </w:style>
  <w:style w:type="paragraph" w:customStyle="1" w:styleId="addthisoverlaytoolbox">
    <w:name w:val="addthis_overlay_toolbox"/>
    <w:basedOn w:val="Normal"/>
    <w:rsid w:val="00FA0266"/>
    <w:pPr>
      <w:widowControl/>
      <w:shd w:val="clear" w:color="auto" w:fill="000000"/>
      <w:overflowPunct/>
      <w:autoSpaceDE/>
      <w:autoSpaceDN/>
      <w:adjustRightInd/>
      <w:spacing w:before="100" w:beforeAutospacing="1" w:after="100" w:afterAutospacing="1"/>
      <w:textAlignment w:val="auto"/>
    </w:pPr>
    <w:rPr>
      <w:szCs w:val="24"/>
      <w:lang w:val="es-PE" w:eastAsia="es-PE"/>
    </w:rPr>
  </w:style>
  <w:style w:type="paragraph" w:customStyle="1" w:styleId="linkservicediv">
    <w:name w:val="linkservicediv"/>
    <w:basedOn w:val="Normal"/>
    <w:rsid w:val="00FA0266"/>
    <w:pPr>
      <w:widowControl/>
      <w:pBdr>
        <w:top w:val="single" w:sz="6" w:space="0" w:color="000000"/>
        <w:left w:val="single" w:sz="6" w:space="0" w:color="000000"/>
        <w:bottom w:val="single" w:sz="6" w:space="0" w:color="000000"/>
        <w:right w:val="single" w:sz="6" w:space="0" w:color="000000"/>
      </w:pBdr>
      <w:shd w:val="clear" w:color="auto" w:fill="AAAAAA"/>
      <w:overflowPunct/>
      <w:autoSpaceDE/>
      <w:autoSpaceDN/>
      <w:adjustRightInd/>
      <w:spacing w:before="100" w:beforeAutospacing="1" w:after="100" w:afterAutospacing="1"/>
      <w:textAlignment w:val="auto"/>
    </w:pPr>
    <w:rPr>
      <w:szCs w:val="24"/>
      <w:lang w:val="es-PE" w:eastAsia="es-PE"/>
    </w:rPr>
  </w:style>
  <w:style w:type="paragraph" w:customStyle="1" w:styleId="atredloading">
    <w:name w:val="at_redloading"/>
    <w:basedOn w:val="Normal"/>
    <w:rsid w:val="00FA0266"/>
    <w:pPr>
      <w:widowControl/>
      <w:overflowPunct/>
      <w:autoSpaceDE/>
      <w:autoSpaceDN/>
      <w:adjustRightInd/>
      <w:textAlignment w:val="auto"/>
    </w:pPr>
    <w:rPr>
      <w:szCs w:val="24"/>
      <w:lang w:val="es-PE" w:eastAsia="es-PE"/>
    </w:rPr>
  </w:style>
  <w:style w:type="paragraph" w:customStyle="1" w:styleId="at-promo-single-dl-ch">
    <w:name w:val="at-promo-single-dl-ch"/>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dl-ff">
    <w:name w:val="at-promo-single-dl-ff"/>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dl-saf">
    <w:name w:val="at-promo-single-dl-saf"/>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single-dl-ie">
    <w:name w:val="at-promo-single-dl-ie"/>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inbox">
    <w:name w:val="atpinbox"/>
    <w:basedOn w:val="Normal"/>
    <w:rsid w:val="00FA0266"/>
    <w:pPr>
      <w:widowControl/>
      <w:shd w:val="clear" w:color="auto" w:fill="FFFFFF"/>
      <w:overflowPunct/>
      <w:autoSpaceDE/>
      <w:autoSpaceDN/>
      <w:adjustRightInd/>
      <w:textAlignment w:val="auto"/>
    </w:pPr>
    <w:rPr>
      <w:rFonts w:ascii="Arial" w:hAnsi="Arial" w:cs="Arial"/>
      <w:color w:val="CFCACA"/>
      <w:sz w:val="18"/>
      <w:szCs w:val="18"/>
      <w:lang w:val="es-PE" w:eastAsia="es-PE"/>
    </w:rPr>
  </w:style>
  <w:style w:type="paragraph" w:customStyle="1" w:styleId="atpinhdr">
    <w:name w:val="atpinhdr"/>
    <w:basedOn w:val="Normal"/>
    <w:rsid w:val="00FA0266"/>
    <w:pPr>
      <w:widowControl/>
      <w:pBdr>
        <w:bottom w:val="single" w:sz="6" w:space="6" w:color="CCCCCC"/>
      </w:pBdr>
      <w:shd w:val="clear" w:color="auto" w:fill="F1F1F1"/>
      <w:overflowPunct/>
      <w:autoSpaceDE/>
      <w:autoSpaceDN/>
      <w:adjustRightInd/>
      <w:spacing w:before="100" w:beforeAutospacing="1" w:after="100" w:afterAutospacing="1" w:line="240" w:lineRule="atLeast"/>
      <w:textAlignment w:val="auto"/>
    </w:pPr>
    <w:rPr>
      <w:color w:val="8C7E7E"/>
      <w:szCs w:val="24"/>
      <w:lang w:val="es-PE" w:eastAsia="es-PE"/>
    </w:rPr>
  </w:style>
  <w:style w:type="paragraph" w:customStyle="1" w:styleId="atpinwinhdr">
    <w:name w:val="atpinwinhdr"/>
    <w:basedOn w:val="Normal"/>
    <w:rsid w:val="00FA0266"/>
    <w:pPr>
      <w:widowControl/>
      <w:pBdr>
        <w:bottom w:val="single" w:sz="6" w:space="6" w:color="CCCCCC"/>
      </w:pBdr>
      <w:shd w:val="clear" w:color="auto" w:fill="F1F1F1"/>
      <w:overflowPunct/>
      <w:autoSpaceDE/>
      <w:autoSpaceDN/>
      <w:adjustRightInd/>
      <w:spacing w:before="100" w:beforeAutospacing="1" w:after="100" w:afterAutospacing="1" w:line="240" w:lineRule="atLeast"/>
      <w:textAlignment w:val="auto"/>
    </w:pPr>
    <w:rPr>
      <w:color w:val="8C7E7E"/>
      <w:sz w:val="30"/>
      <w:szCs w:val="30"/>
      <w:lang w:val="es-PE" w:eastAsia="es-PE"/>
    </w:rPr>
  </w:style>
  <w:style w:type="paragraph" w:customStyle="1" w:styleId="atpinmn">
    <w:name w:val="atpinmn"/>
    <w:basedOn w:val="Normal"/>
    <w:rsid w:val="00FA0266"/>
    <w:pPr>
      <w:widowControl/>
      <w:shd w:val="clear" w:color="auto" w:fill="FFFFFF"/>
      <w:overflowPunct/>
      <w:autoSpaceDE/>
      <w:autoSpaceDN/>
      <w:adjustRightInd/>
      <w:spacing w:before="100" w:beforeAutospacing="1" w:after="100" w:afterAutospacing="1"/>
      <w:jc w:val="center"/>
      <w:textAlignment w:val="auto"/>
    </w:pPr>
    <w:rPr>
      <w:szCs w:val="24"/>
      <w:lang w:val="es-PE" w:eastAsia="es-PE"/>
    </w:rPr>
  </w:style>
  <w:style w:type="paragraph" w:customStyle="1" w:styleId="atpinclose">
    <w:name w:val="atpinclose"/>
    <w:basedOn w:val="Normal"/>
    <w:rsid w:val="00FA0266"/>
    <w:pPr>
      <w:widowControl/>
      <w:overflowPunct/>
      <w:autoSpaceDE/>
      <w:autoSpaceDN/>
      <w:adjustRightInd/>
      <w:spacing w:before="100" w:beforeAutospacing="1" w:after="100" w:afterAutospacing="1"/>
      <w:jc w:val="right"/>
      <w:textAlignment w:val="auto"/>
    </w:pPr>
    <w:rPr>
      <w:b/>
      <w:bCs/>
      <w:szCs w:val="24"/>
      <w:lang w:val="es-PE" w:eastAsia="es-PE"/>
    </w:rPr>
  </w:style>
  <w:style w:type="paragraph" w:customStyle="1" w:styleId="atimgspanouter">
    <w:name w:val="atimgspanouter"/>
    <w:basedOn w:val="Normal"/>
    <w:rsid w:val="00FA0266"/>
    <w:pPr>
      <w:widowControl/>
      <w:pBdr>
        <w:top w:val="single" w:sz="6" w:space="0" w:color="A0A0A0"/>
        <w:left w:val="single" w:sz="6" w:space="0" w:color="A0A0A0"/>
        <w:bottom w:val="single" w:sz="6" w:space="0" w:color="A0A0A0"/>
        <w:right w:val="single" w:sz="6" w:space="0" w:color="A0A0A0"/>
      </w:pBdr>
      <w:shd w:val="clear" w:color="auto" w:fill="FFFFFF"/>
      <w:overflowPunct/>
      <w:autoSpaceDE/>
      <w:autoSpaceDN/>
      <w:adjustRightInd/>
      <w:spacing w:before="150" w:after="150"/>
      <w:ind w:left="150" w:right="150"/>
      <w:textAlignment w:val="auto"/>
    </w:pPr>
    <w:rPr>
      <w:szCs w:val="24"/>
      <w:lang w:val="es-PE" w:eastAsia="es-PE"/>
    </w:rPr>
  </w:style>
  <w:style w:type="paragraph" w:customStyle="1" w:styleId="atimgspansize">
    <w:name w:val="atimgspansize"/>
    <w:basedOn w:val="Normal"/>
    <w:rsid w:val="00FA0266"/>
    <w:pPr>
      <w:widowControl/>
      <w:shd w:val="clear" w:color="auto" w:fill="FFFFFF"/>
      <w:overflowPunct/>
      <w:autoSpaceDE/>
      <w:autoSpaceDN/>
      <w:adjustRightInd/>
      <w:spacing w:before="100" w:beforeAutospacing="1" w:after="100" w:afterAutospacing="1" w:line="360" w:lineRule="atLeast"/>
      <w:textAlignment w:val="auto"/>
    </w:pPr>
    <w:rPr>
      <w:color w:val="000000"/>
      <w:sz w:val="15"/>
      <w:szCs w:val="15"/>
      <w:lang w:val="es-PE" w:eastAsia="es-PE"/>
    </w:rPr>
  </w:style>
  <w:style w:type="paragraph" w:customStyle="1" w:styleId="atimgactbtn">
    <w:name w:val="atimgactbtn"/>
    <w:basedOn w:val="Normal"/>
    <w:rsid w:val="00FA0266"/>
    <w:pPr>
      <w:widowControl/>
      <w:shd w:val="clear" w:color="auto" w:fill="FFFFFF"/>
      <w:overflowPunct/>
      <w:autoSpaceDE/>
      <w:autoSpaceDN/>
      <w:adjustRightInd/>
      <w:spacing w:before="100" w:beforeAutospacing="1" w:after="100" w:afterAutospacing="1"/>
      <w:textAlignment w:val="auto"/>
    </w:pPr>
    <w:rPr>
      <w:vanish/>
      <w:szCs w:val="24"/>
      <w:lang w:val="es-PE" w:eastAsia="es-PE"/>
    </w:rPr>
  </w:style>
  <w:style w:type="paragraph" w:customStyle="1" w:styleId="atpinwin">
    <w:name w:val="atpinwin"/>
    <w:basedOn w:val="Normal"/>
    <w:rsid w:val="00FA0266"/>
    <w:pPr>
      <w:widowControl/>
      <w:overflowPunct/>
      <w:autoSpaceDE/>
      <w:autoSpaceDN/>
      <w:adjustRightInd/>
      <w:spacing w:before="100" w:beforeAutospacing="1" w:after="100" w:afterAutospacing="1"/>
      <w:jc w:val="center"/>
      <w:textAlignment w:val="auto"/>
    </w:pPr>
    <w:rPr>
      <w:rFonts w:ascii="Arial" w:hAnsi="Arial" w:cs="Arial"/>
      <w:szCs w:val="24"/>
      <w:lang w:val="es-PE" w:eastAsia="es-PE"/>
    </w:rPr>
  </w:style>
  <w:style w:type="paragraph" w:customStyle="1" w:styleId="atpinwinmn">
    <w:name w:val="atpinwinmn"/>
    <w:basedOn w:val="Normal"/>
    <w:rsid w:val="00FA0266"/>
    <w:pPr>
      <w:widowControl/>
      <w:overflowPunct/>
      <w:autoSpaceDE/>
      <w:autoSpaceDN/>
      <w:adjustRightInd/>
      <w:spacing w:before="100" w:beforeAutospacing="1" w:after="100" w:afterAutospacing="1"/>
      <w:jc w:val="center"/>
      <w:textAlignment w:val="auto"/>
    </w:pPr>
    <w:rPr>
      <w:szCs w:val="24"/>
      <w:lang w:val="es-PE" w:eastAsia="es-PE"/>
    </w:rPr>
  </w:style>
  <w:style w:type="paragraph" w:customStyle="1" w:styleId="atimgico">
    <w:name w:val="atimgico"/>
    <w:basedOn w:val="Normal"/>
    <w:rsid w:val="00FA0266"/>
    <w:pPr>
      <w:widowControl/>
      <w:overflowPunct/>
      <w:autoSpaceDE/>
      <w:autoSpaceDN/>
      <w:adjustRightInd/>
      <w:spacing w:before="100" w:beforeAutospacing="1" w:after="100" w:afterAutospacing="1"/>
      <w:ind w:right="75"/>
      <w:textAlignment w:val="auto"/>
    </w:pPr>
    <w:rPr>
      <w:szCs w:val="24"/>
      <w:lang w:val="es-PE" w:eastAsia="es-PE"/>
    </w:rPr>
  </w:style>
  <w:style w:type="paragraph" w:customStyle="1" w:styleId="atnoimg">
    <w:name w:val="atnoimg"/>
    <w:basedOn w:val="Normal"/>
    <w:rsid w:val="00FA0266"/>
    <w:pPr>
      <w:widowControl/>
      <w:overflowPunct/>
      <w:autoSpaceDE/>
      <w:autoSpaceDN/>
      <w:adjustRightInd/>
      <w:spacing w:before="600" w:after="100" w:afterAutospacing="1" w:line="240" w:lineRule="atLeast"/>
      <w:textAlignment w:val="auto"/>
    </w:pPr>
    <w:rPr>
      <w:color w:val="8C7E7E"/>
      <w:szCs w:val="24"/>
      <w:lang w:val="es-PE" w:eastAsia="es-PE"/>
    </w:rPr>
  </w:style>
  <w:style w:type="paragraph" w:customStyle="1" w:styleId="atpinitbutton">
    <w:name w:val="at_pinitbutton"/>
    <w:basedOn w:val="Normal"/>
    <w:rsid w:val="00FA0266"/>
    <w:pPr>
      <w:widowControl/>
      <w:pBdr>
        <w:top w:val="single" w:sz="6" w:space="0" w:color="E8E4E4"/>
        <w:left w:val="single" w:sz="6" w:space="0" w:color="C9C5C5"/>
        <w:bottom w:val="single" w:sz="6" w:space="0" w:color="C9C5C5"/>
        <w:right w:val="single" w:sz="6" w:space="0" w:color="C9C5C5"/>
      </w:pBdr>
      <w:overflowPunct/>
      <w:autoSpaceDE/>
      <w:autoSpaceDN/>
      <w:adjustRightInd/>
      <w:spacing w:line="330" w:lineRule="atLeast"/>
      <w:ind w:firstLine="25072"/>
      <w:textAlignment w:val="auto"/>
    </w:pPr>
    <w:rPr>
      <w:rFonts w:ascii="Arial" w:hAnsi="Arial" w:cs="Arial"/>
      <w:color w:val="CD1F1F"/>
      <w:sz w:val="2"/>
      <w:szCs w:val="2"/>
      <w:lang w:val="es-PE" w:eastAsia="es-PE"/>
    </w:rPr>
  </w:style>
  <w:style w:type="paragraph" w:customStyle="1" w:styleId="at3pinwinmn">
    <w:name w:val="at3pinwinmn"/>
    <w:basedOn w:val="Normal"/>
    <w:rsid w:val="00FA0266"/>
    <w:pPr>
      <w:widowControl/>
      <w:overflowPunct/>
      <w:autoSpaceDE/>
      <w:autoSpaceDN/>
      <w:adjustRightInd/>
      <w:spacing w:before="100" w:beforeAutospacing="1" w:after="100" w:afterAutospacing="1"/>
      <w:jc w:val="center"/>
      <w:textAlignment w:val="auto"/>
    </w:pPr>
    <w:rPr>
      <w:szCs w:val="24"/>
      <w:lang w:val="es-PE" w:eastAsia="es-PE"/>
    </w:rPr>
  </w:style>
  <w:style w:type="paragraph" w:customStyle="1" w:styleId="at3imgspanouter">
    <w:name w:val="at3imgspanouter"/>
    <w:basedOn w:val="Normal"/>
    <w:rsid w:val="00FA0266"/>
    <w:pPr>
      <w:widowControl/>
      <w:pBdr>
        <w:top w:val="single" w:sz="6" w:space="0" w:color="DEDEDE"/>
        <w:left w:val="single" w:sz="6" w:space="0" w:color="DEDEDE"/>
        <w:bottom w:val="single" w:sz="6" w:space="0" w:color="DEDEDE"/>
        <w:right w:val="single" w:sz="6" w:space="0" w:color="DEDEDE"/>
      </w:pBdr>
      <w:overflowPunct/>
      <w:autoSpaceDE/>
      <w:autoSpaceDN/>
      <w:adjustRightInd/>
      <w:spacing w:after="150"/>
      <w:ind w:right="150"/>
      <w:textAlignment w:val="auto"/>
    </w:pPr>
    <w:rPr>
      <w:szCs w:val="24"/>
      <w:lang w:val="es-PE" w:eastAsia="es-PE"/>
    </w:rPr>
  </w:style>
  <w:style w:type="paragraph" w:customStyle="1" w:styleId="at3lblight">
    <w:name w:val="at3lbligh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lbdark">
    <w:name w:val="at3lbdark"/>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service-icon">
    <w:name w:val="service-ico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
    <w:name w:val="at-quickshare"/>
    <w:basedOn w:val="Normal"/>
    <w:rsid w:val="00FA0266"/>
    <w:pPr>
      <w:widowControl/>
      <w:pBdr>
        <w:top w:val="single" w:sz="6" w:space="0" w:color="BBBBBB"/>
        <w:left w:val="single" w:sz="6" w:space="0" w:color="BBBBBB"/>
        <w:bottom w:val="single" w:sz="6" w:space="0" w:color="BBBBBB"/>
        <w:right w:val="single" w:sz="6" w:space="0" w:color="BBBBBB"/>
      </w:pBdr>
      <w:shd w:val="clear" w:color="auto" w:fill="FFFFFF"/>
      <w:overflowPunct/>
      <w:autoSpaceDE/>
      <w:autoSpaceDN/>
      <w:adjustRightInd/>
      <w:textAlignment w:val="auto"/>
    </w:pPr>
    <w:rPr>
      <w:rFonts w:ascii="Helvetica" w:hAnsi="Helvetica"/>
      <w:color w:val="666666"/>
      <w:sz w:val="21"/>
      <w:szCs w:val="21"/>
      <w:lang w:val="es-PE" w:eastAsia="es-PE"/>
    </w:rPr>
  </w:style>
  <w:style w:type="paragraph" w:customStyle="1" w:styleId="at-quickshare-header">
    <w:name w:val="at-quickshare-header"/>
    <w:basedOn w:val="Normal"/>
    <w:rsid w:val="00FA0266"/>
    <w:pPr>
      <w:widowControl/>
      <w:pBdr>
        <w:bottom w:val="single" w:sz="6" w:space="5" w:color="DEDEDE"/>
      </w:pBdr>
      <w:shd w:val="clear" w:color="auto" w:fill="F2F2F2"/>
      <w:overflowPunct/>
      <w:autoSpaceDE/>
      <w:autoSpaceDN/>
      <w:adjustRightInd/>
      <w:spacing w:before="100" w:beforeAutospacing="1" w:after="100" w:afterAutospacing="1" w:line="240" w:lineRule="atLeast"/>
      <w:textAlignment w:val="auto"/>
    </w:pPr>
    <w:rPr>
      <w:b/>
      <w:bCs/>
      <w:color w:val="666666"/>
      <w:sz w:val="18"/>
      <w:szCs w:val="18"/>
      <w:lang w:val="es-PE" w:eastAsia="es-PE"/>
    </w:rPr>
  </w:style>
  <w:style w:type="paragraph" w:customStyle="1" w:styleId="at-quickshare-header-peep">
    <w:name w:val="at-quickshare-header-peep"/>
    <w:basedOn w:val="Normal"/>
    <w:rsid w:val="00FA0266"/>
    <w:pPr>
      <w:widowControl/>
      <w:pBdr>
        <w:left w:val="single" w:sz="6" w:space="5" w:color="DEDEDE"/>
      </w:pBdr>
      <w:overflowPunct/>
      <w:autoSpaceDE/>
      <w:autoSpaceDN/>
      <w:adjustRightInd/>
      <w:spacing w:before="100" w:beforeAutospacing="1" w:after="100" w:afterAutospacing="1"/>
      <w:textAlignment w:val="auto"/>
    </w:pPr>
    <w:rPr>
      <w:szCs w:val="24"/>
      <w:lang w:val="es-PE" w:eastAsia="es-PE"/>
    </w:rPr>
  </w:style>
  <w:style w:type="paragraph" w:customStyle="1" w:styleId="at-quickshare-content">
    <w:name w:val="at-quickshare-content"/>
    <w:basedOn w:val="Normal"/>
    <w:rsid w:val="00FA0266"/>
    <w:pPr>
      <w:widowControl/>
      <w:shd w:val="clear" w:color="auto" w:fill="FFFFFF"/>
      <w:overflowPunct/>
      <w:autoSpaceDE/>
      <w:autoSpaceDN/>
      <w:adjustRightInd/>
      <w:spacing w:before="100" w:beforeAutospacing="1" w:after="100" w:afterAutospacing="1"/>
      <w:textAlignment w:val="auto"/>
    </w:pPr>
    <w:rPr>
      <w:szCs w:val="24"/>
      <w:lang w:val="es-PE" w:eastAsia="es-PE"/>
    </w:rPr>
  </w:style>
  <w:style w:type="paragraph" w:customStyle="1" w:styleId="at-quickshare-footer">
    <w:name w:val="at-quickshare-footer"/>
    <w:basedOn w:val="Normal"/>
    <w:rsid w:val="00FA0266"/>
    <w:pPr>
      <w:widowControl/>
      <w:pBdr>
        <w:top w:val="single" w:sz="6" w:space="0" w:color="DEDEDE"/>
      </w:pBdr>
      <w:overflowPunct/>
      <w:autoSpaceDE/>
      <w:autoSpaceDN/>
      <w:adjustRightInd/>
      <w:spacing w:before="100" w:beforeAutospacing="1" w:after="100" w:afterAutospacing="1" w:line="315" w:lineRule="atLeast"/>
      <w:textAlignment w:val="auto"/>
    </w:pPr>
    <w:rPr>
      <w:sz w:val="17"/>
      <w:szCs w:val="17"/>
      <w:lang w:val="es-PE" w:eastAsia="es-PE"/>
    </w:rPr>
  </w:style>
  <w:style w:type="paragraph" w:customStyle="1" w:styleId="ishareactive">
    <w:name w:val="ishareactive"/>
    <w:basedOn w:val="Normal"/>
    <w:rsid w:val="00FA0266"/>
    <w:pPr>
      <w:widowControl/>
      <w:overflowPunct/>
      <w:autoSpaceDE/>
      <w:autoSpaceDN/>
      <w:adjustRightInd/>
      <w:textAlignment w:val="auto"/>
    </w:pPr>
    <w:rPr>
      <w:szCs w:val="24"/>
      <w:lang w:val="es-PE" w:eastAsia="es-PE"/>
    </w:rPr>
  </w:style>
  <w:style w:type="paragraph" w:customStyle="1" w:styleId="ishareactive-sm">
    <w:name w:val="ishareactive-sm"/>
    <w:basedOn w:val="Normal"/>
    <w:rsid w:val="00FA0266"/>
    <w:pPr>
      <w:widowControl/>
      <w:overflowPunct/>
      <w:autoSpaceDE/>
      <w:autoSpaceDN/>
      <w:adjustRightInd/>
      <w:textAlignment w:val="auto"/>
    </w:pPr>
    <w:rPr>
      <w:szCs w:val="24"/>
      <w:lang w:val="es-PE" w:eastAsia="es-PE"/>
    </w:rPr>
  </w:style>
  <w:style w:type="paragraph" w:customStyle="1" w:styleId="atcs">
    <w:name w:val="atc_s"/>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
    <w:name w:val="addthis_button_expande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cs-span">
    <w:name w:val="atc_s-spa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separator">
    <w:name w:val="addthis_separator"/>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
    <w:name w:val="at300b"/>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o">
    <w:name w:val="at300bo"/>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m">
    <w:name w:val="at300m"/>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expanded">
    <w:name w:val="at15t_expande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compact">
    <w:name w:val="at15t_compac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toolbox">
    <w:name w:val="addthis_toolbox"/>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m-f-logo">
    <w:name w:val="atm-f-logo"/>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pinterestpinit">
    <w:name w:val="addthis_button_pinterest_pini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mglb">
    <w:name w:val="atimglb"/>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header-x">
    <w:name w:val="at-quickshare-header-x"/>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success">
    <w:name w:val="at-quickshare-success"/>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utton-blue">
    <w:name w:val="at-button-blue"/>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content-lb">
    <w:name w:val="at-quickshare-content-lb"/>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tem">
    <w:name w:val="at_item"/>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old">
    <w:name w:val="at_bol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btn">
    <w:name w:val="atbt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rse">
    <w:name w:val="atrse"/>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tmsg">
    <w:name w:val="tmsg"/>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error">
    <w:name w:val="at_error"/>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c-logo">
    <w:name w:val="ac-logo"/>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np">
    <w:name w:val="atinp"/>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content">
    <w:name w:val="at-promo-content"/>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btn">
    <w:name w:val="at-promo-btn"/>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addthisfollowlabel">
    <w:name w:val="addthis_follow_label"/>
    <w:basedOn w:val="Fuentedeprrafopredeter"/>
    <w:rsid w:val="00FA0266"/>
  </w:style>
  <w:style w:type="paragraph" w:customStyle="1" w:styleId="atcs1">
    <w:name w:val="atc_s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1">
    <w:name w:val="addthis_button_expanded1"/>
    <w:basedOn w:val="Normal"/>
    <w:rsid w:val="00FA0266"/>
    <w:pPr>
      <w:widowControl/>
      <w:overflowPunct/>
      <w:autoSpaceDE/>
      <w:autoSpaceDN/>
      <w:adjustRightInd/>
      <w:spacing w:before="100" w:beforeAutospacing="1" w:after="45" w:line="495" w:lineRule="atLeast"/>
      <w:jc w:val="center"/>
      <w:textAlignment w:val="auto"/>
    </w:pPr>
    <w:rPr>
      <w:b/>
      <w:bCs/>
      <w:color w:val="333333"/>
      <w:szCs w:val="24"/>
      <w:lang w:val="es-PE" w:eastAsia="es-PE"/>
    </w:rPr>
  </w:style>
  <w:style w:type="paragraph" w:customStyle="1" w:styleId="atcs-span1">
    <w:name w:val="atc_s-span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2">
    <w:name w:val="addthis_button_expanded2"/>
    <w:basedOn w:val="Normal"/>
    <w:rsid w:val="00FA0266"/>
    <w:pPr>
      <w:widowControl/>
      <w:overflowPunct/>
      <w:autoSpaceDE/>
      <w:autoSpaceDN/>
      <w:adjustRightInd/>
      <w:spacing w:before="100" w:beforeAutospacing="1" w:after="45" w:line="495" w:lineRule="atLeast"/>
      <w:jc w:val="center"/>
      <w:textAlignment w:val="auto"/>
    </w:pPr>
    <w:rPr>
      <w:b/>
      <w:bCs/>
      <w:color w:val="000000"/>
      <w:szCs w:val="24"/>
      <w:lang w:val="es-PE" w:eastAsia="es-PE"/>
    </w:rPr>
  </w:style>
  <w:style w:type="paragraph" w:customStyle="1" w:styleId="addthiscounter1">
    <w:name w:val="addthis_counter1"/>
    <w:basedOn w:val="Normal"/>
    <w:rsid w:val="00FA0266"/>
    <w:pPr>
      <w:widowControl/>
      <w:overflowPunct/>
      <w:autoSpaceDE/>
      <w:autoSpaceDN/>
      <w:adjustRightInd/>
      <w:spacing w:before="100" w:beforeAutospacing="1" w:after="100" w:afterAutospacing="1"/>
      <w:textAlignment w:val="auto"/>
    </w:pPr>
    <w:rPr>
      <w:b/>
      <w:bCs/>
      <w:color w:val="FFFFFF"/>
      <w:szCs w:val="24"/>
      <w:lang w:val="es-PE" w:eastAsia="es-PE"/>
    </w:rPr>
  </w:style>
  <w:style w:type="paragraph" w:customStyle="1" w:styleId="atitem1">
    <w:name w:val="at_item1"/>
    <w:basedOn w:val="Normal"/>
    <w:rsid w:val="00FA0266"/>
    <w:pPr>
      <w:widowControl/>
      <w:pBdr>
        <w:top w:val="single" w:sz="6" w:space="3" w:color="FFFFFF"/>
        <w:left w:val="single" w:sz="6" w:space="3" w:color="FFFFFF"/>
        <w:bottom w:val="single" w:sz="6" w:space="3" w:color="FFFFFF"/>
        <w:right w:val="single" w:sz="6" w:space="3" w:color="FFFFFF"/>
      </w:pBdr>
      <w:overflowPunct/>
      <w:autoSpaceDE/>
      <w:autoSpaceDN/>
      <w:adjustRightInd/>
      <w:spacing w:before="100" w:beforeAutospacing="1" w:after="100" w:afterAutospacing="1" w:line="240" w:lineRule="atLeast"/>
      <w:ind w:right="30"/>
      <w:textAlignment w:val="auto"/>
    </w:pPr>
    <w:rPr>
      <w:rFonts w:ascii="Arial" w:hAnsi="Arial" w:cs="Arial"/>
      <w:szCs w:val="24"/>
      <w:lang w:val="es-PE" w:eastAsia="es-PE"/>
    </w:rPr>
  </w:style>
  <w:style w:type="paragraph" w:customStyle="1" w:styleId="atbold1">
    <w:name w:val="at_bold1"/>
    <w:basedOn w:val="Normal"/>
    <w:rsid w:val="00FA0266"/>
    <w:pPr>
      <w:widowControl/>
      <w:overflowPunct/>
      <w:autoSpaceDE/>
      <w:autoSpaceDN/>
      <w:adjustRightInd/>
      <w:spacing w:before="100" w:beforeAutospacing="1" w:after="100" w:afterAutospacing="1"/>
      <w:textAlignment w:val="auto"/>
    </w:pPr>
    <w:rPr>
      <w:b/>
      <w:bCs/>
      <w:szCs w:val="24"/>
      <w:lang w:val="es-PE" w:eastAsia="es-PE"/>
    </w:rPr>
  </w:style>
  <w:style w:type="paragraph" w:customStyle="1" w:styleId="atitem2">
    <w:name w:val="at_item2"/>
    <w:basedOn w:val="Normal"/>
    <w:rsid w:val="00FA0266"/>
    <w:pPr>
      <w:widowControl/>
      <w:overflowPunct/>
      <w:autoSpaceDE/>
      <w:autoSpaceDN/>
      <w:adjustRightInd/>
      <w:spacing w:before="15" w:after="15"/>
      <w:ind w:left="15" w:right="15"/>
      <w:textAlignment w:val="auto"/>
    </w:pPr>
    <w:rPr>
      <w:szCs w:val="24"/>
      <w:lang w:val="es-PE" w:eastAsia="es-PE"/>
    </w:rPr>
  </w:style>
  <w:style w:type="paragraph" w:customStyle="1" w:styleId="at15t1">
    <w:name w:val="at15t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addthisfollowlabel1">
    <w:name w:val="addthis_follow_label1"/>
    <w:basedOn w:val="Fuentedeprrafopredeter"/>
    <w:rsid w:val="00FA0266"/>
    <w:rPr>
      <w:vanish/>
      <w:webHidden w:val="0"/>
      <w:specVanish w:val="0"/>
    </w:rPr>
  </w:style>
  <w:style w:type="paragraph" w:customStyle="1" w:styleId="addthisseparator1">
    <w:name w:val="addthis_separator1"/>
    <w:basedOn w:val="Normal"/>
    <w:rsid w:val="00FA0266"/>
    <w:pPr>
      <w:widowControl/>
      <w:overflowPunct/>
      <w:autoSpaceDE/>
      <w:autoSpaceDN/>
      <w:adjustRightInd/>
      <w:ind w:left="75" w:right="75"/>
      <w:textAlignment w:val="auto"/>
    </w:pPr>
    <w:rPr>
      <w:szCs w:val="24"/>
      <w:lang w:val="es-PE" w:eastAsia="es-PE"/>
    </w:rPr>
  </w:style>
  <w:style w:type="paragraph" w:customStyle="1" w:styleId="at300b1">
    <w:name w:val="at300b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o1">
    <w:name w:val="at300bo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m1">
    <w:name w:val="at300m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1">
    <w:name w:val="at300bs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2">
    <w:name w:val="at300bs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2">
    <w:name w:val="at15t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3">
    <w:name w:val="at300bs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4">
    <w:name w:val="at300bs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3">
    <w:name w:val="at15t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5">
    <w:name w:val="at300bs5"/>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nc1">
    <w:name w:val="at16nc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expanded1">
    <w:name w:val="at15t_expanded1"/>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15tcompact1">
    <w:name w:val="at15t_compact1"/>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btn1">
    <w:name w:val="atbtn1"/>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btn2">
    <w:name w:val="atbtn2"/>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rse1">
    <w:name w:val="atrse1"/>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atrse2">
    <w:name w:val="atrse2"/>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tmsg1">
    <w:name w:val="tmsg1"/>
    <w:basedOn w:val="Normal"/>
    <w:rsid w:val="00FA0266"/>
    <w:pPr>
      <w:widowControl/>
      <w:overflowPunct/>
      <w:autoSpaceDE/>
      <w:autoSpaceDN/>
      <w:adjustRightInd/>
      <w:spacing w:before="100" w:beforeAutospacing="1" w:after="100" w:afterAutospacing="1"/>
      <w:jc w:val="right"/>
      <w:textAlignment w:val="auto"/>
    </w:pPr>
    <w:rPr>
      <w:szCs w:val="24"/>
      <w:lang w:val="es-PE" w:eastAsia="es-PE"/>
    </w:rPr>
  </w:style>
  <w:style w:type="paragraph" w:customStyle="1" w:styleId="aterror1">
    <w:name w:val="at_error1"/>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terror2">
    <w:name w:val="at_error2"/>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c-logo1">
    <w:name w:val="ac-logo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c-logo2">
    <w:name w:val="ac-logo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np1">
    <w:name w:val="atinp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content1">
    <w:name w:val="at-promo-content1"/>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content2">
    <w:name w:val="at-promo-content2"/>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btn1">
    <w:name w:val="at-promo-btn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btn2">
    <w:name w:val="at-promo-btn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toolbox1">
    <w:name w:val="addthis_toolbox1"/>
    <w:basedOn w:val="Normal"/>
    <w:rsid w:val="00FA0266"/>
    <w:pPr>
      <w:widowControl/>
      <w:overflowPunct/>
      <w:autoSpaceDE/>
      <w:autoSpaceDN/>
      <w:adjustRightInd/>
      <w:textAlignment w:val="auto"/>
    </w:pPr>
    <w:rPr>
      <w:szCs w:val="24"/>
      <w:lang w:val="es-PE" w:eastAsia="es-PE"/>
    </w:rPr>
  </w:style>
  <w:style w:type="paragraph" w:customStyle="1" w:styleId="atm-f1">
    <w:name w:val="atm-f1"/>
    <w:basedOn w:val="Normal"/>
    <w:rsid w:val="00FA0266"/>
    <w:pPr>
      <w:widowControl/>
      <w:overflowPunct/>
      <w:autoSpaceDE/>
      <w:autoSpaceDN/>
      <w:adjustRightInd/>
      <w:spacing w:before="100" w:beforeAutospacing="1" w:after="100" w:afterAutospacing="1"/>
      <w:textAlignment w:val="auto"/>
    </w:pPr>
    <w:rPr>
      <w:sz w:val="14"/>
      <w:szCs w:val="14"/>
      <w:lang w:val="es-PE" w:eastAsia="es-PE"/>
    </w:rPr>
  </w:style>
  <w:style w:type="paragraph" w:customStyle="1" w:styleId="atm-f-logo1">
    <w:name w:val="atm-f-logo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pinterestpinit1">
    <w:name w:val="addthis_button_pinterest_pinit1"/>
    <w:basedOn w:val="Normal"/>
    <w:rsid w:val="00FA0266"/>
    <w:pPr>
      <w:widowControl/>
      <w:overflowPunct/>
      <w:autoSpaceDE/>
      <w:autoSpaceDN/>
      <w:adjustRightInd/>
      <w:spacing w:before="100" w:beforeAutospacing="1" w:after="100" w:afterAutospacing="1"/>
      <w:ind w:right="150"/>
      <w:textAlignment w:val="auto"/>
    </w:pPr>
    <w:rPr>
      <w:szCs w:val="24"/>
      <w:lang w:val="es-PE" w:eastAsia="es-PE"/>
    </w:rPr>
  </w:style>
  <w:style w:type="paragraph" w:customStyle="1" w:styleId="atimglb1">
    <w:name w:val="atimglb1"/>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header-x1">
    <w:name w:val="at-quickshare-header-x1"/>
    <w:basedOn w:val="Normal"/>
    <w:rsid w:val="00FA0266"/>
    <w:pPr>
      <w:widowControl/>
      <w:pBdr>
        <w:left w:val="single" w:sz="6" w:space="9" w:color="DEDEDE"/>
      </w:pBdr>
      <w:overflowPunct/>
      <w:autoSpaceDE/>
      <w:autoSpaceDN/>
      <w:adjustRightInd/>
      <w:spacing w:before="100" w:beforeAutospacing="1" w:after="100" w:afterAutospacing="1"/>
      <w:textAlignment w:val="auto"/>
    </w:pPr>
    <w:rPr>
      <w:szCs w:val="24"/>
      <w:lang w:val="es-PE" w:eastAsia="es-PE"/>
    </w:rPr>
  </w:style>
  <w:style w:type="paragraph" w:customStyle="1" w:styleId="at-quickshare-header-x2">
    <w:name w:val="at-quickshare-header-x2"/>
    <w:basedOn w:val="Normal"/>
    <w:rsid w:val="00FA0266"/>
    <w:pPr>
      <w:widowControl/>
      <w:pBdr>
        <w:left w:val="single" w:sz="6" w:space="9" w:color="DEDEDE"/>
      </w:pBdr>
      <w:shd w:val="clear" w:color="auto" w:fill="DEDEDE"/>
      <w:overflowPunct/>
      <w:autoSpaceDE/>
      <w:autoSpaceDN/>
      <w:adjustRightInd/>
      <w:spacing w:before="100" w:beforeAutospacing="1" w:after="100" w:afterAutospacing="1"/>
      <w:textAlignment w:val="auto"/>
    </w:pPr>
    <w:rPr>
      <w:szCs w:val="24"/>
      <w:lang w:val="es-PE" w:eastAsia="es-PE"/>
    </w:rPr>
  </w:style>
  <w:style w:type="paragraph" w:customStyle="1" w:styleId="at-quickshare-success1">
    <w:name w:val="at-quickshare-success1"/>
    <w:basedOn w:val="Normal"/>
    <w:rsid w:val="00FA0266"/>
    <w:pPr>
      <w:widowControl/>
      <w:overflowPunct/>
      <w:autoSpaceDE/>
      <w:autoSpaceDN/>
      <w:adjustRightInd/>
      <w:spacing w:before="100" w:beforeAutospacing="1" w:after="100" w:afterAutospacing="1"/>
      <w:textAlignment w:val="auto"/>
    </w:pPr>
    <w:rPr>
      <w:color w:val="2AAC36"/>
      <w:szCs w:val="24"/>
      <w:lang w:val="es-PE" w:eastAsia="es-PE"/>
    </w:rPr>
  </w:style>
  <w:style w:type="paragraph" w:customStyle="1" w:styleId="at-button-blue1">
    <w:name w:val="at-button-blue1"/>
    <w:basedOn w:val="Normal"/>
    <w:rsid w:val="00FA0266"/>
    <w:pPr>
      <w:widowControl/>
      <w:pBdr>
        <w:top w:val="single" w:sz="6" w:space="5" w:color="125CB5"/>
        <w:left w:val="single" w:sz="6" w:space="12" w:color="125CB5"/>
        <w:bottom w:val="single" w:sz="6" w:space="5" w:color="125CB5"/>
        <w:right w:val="single" w:sz="6" w:space="12" w:color="125CB5"/>
      </w:pBdr>
      <w:shd w:val="clear" w:color="auto" w:fill="0D98FB"/>
      <w:overflowPunct/>
      <w:autoSpaceDE/>
      <w:autoSpaceDN/>
      <w:adjustRightInd/>
      <w:spacing w:before="180"/>
      <w:textAlignment w:val="auto"/>
    </w:pPr>
    <w:rPr>
      <w:b/>
      <w:bCs/>
      <w:color w:val="FFFFFF"/>
      <w:sz w:val="18"/>
      <w:szCs w:val="18"/>
      <w:lang w:val="es-PE" w:eastAsia="es-PE"/>
    </w:rPr>
  </w:style>
  <w:style w:type="paragraph" w:customStyle="1" w:styleId="at-button-blue2">
    <w:name w:val="at-button-blue2"/>
    <w:basedOn w:val="Normal"/>
    <w:rsid w:val="00FA0266"/>
    <w:pPr>
      <w:widowControl/>
      <w:pBdr>
        <w:top w:val="single" w:sz="6" w:space="5" w:color="125CB5"/>
        <w:left w:val="single" w:sz="6" w:space="12" w:color="125CB5"/>
        <w:bottom w:val="single" w:sz="6" w:space="5" w:color="125CB5"/>
        <w:right w:val="single" w:sz="6" w:space="12" w:color="125CB5"/>
      </w:pBdr>
      <w:shd w:val="clear" w:color="auto" w:fill="098DF4"/>
      <w:overflowPunct/>
      <w:autoSpaceDE/>
      <w:autoSpaceDN/>
      <w:adjustRightInd/>
      <w:spacing w:before="180"/>
      <w:textAlignment w:val="auto"/>
    </w:pPr>
    <w:rPr>
      <w:b/>
      <w:bCs/>
      <w:color w:val="FFFFFF"/>
      <w:sz w:val="18"/>
      <w:szCs w:val="18"/>
      <w:lang w:val="es-PE" w:eastAsia="es-PE"/>
    </w:rPr>
  </w:style>
  <w:style w:type="paragraph" w:customStyle="1" w:styleId="at-quickshare-content-lb1">
    <w:name w:val="at-quickshare-content-lb1"/>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at-quickshare-success2">
    <w:name w:val="at-quickshare-success2"/>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atcs2">
    <w:name w:val="atc_s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3">
    <w:name w:val="addthis_button_expanded3"/>
    <w:basedOn w:val="Normal"/>
    <w:rsid w:val="00FA0266"/>
    <w:pPr>
      <w:widowControl/>
      <w:overflowPunct/>
      <w:autoSpaceDE/>
      <w:autoSpaceDN/>
      <w:adjustRightInd/>
      <w:spacing w:before="100" w:beforeAutospacing="1" w:after="45" w:line="495" w:lineRule="atLeast"/>
      <w:jc w:val="center"/>
      <w:textAlignment w:val="auto"/>
    </w:pPr>
    <w:rPr>
      <w:b/>
      <w:bCs/>
      <w:color w:val="333333"/>
      <w:szCs w:val="24"/>
      <w:lang w:val="es-PE" w:eastAsia="es-PE"/>
    </w:rPr>
  </w:style>
  <w:style w:type="paragraph" w:customStyle="1" w:styleId="atcs-span2">
    <w:name w:val="atc_s-span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expanded4">
    <w:name w:val="addthis_button_expanded4"/>
    <w:basedOn w:val="Normal"/>
    <w:rsid w:val="00FA0266"/>
    <w:pPr>
      <w:widowControl/>
      <w:overflowPunct/>
      <w:autoSpaceDE/>
      <w:autoSpaceDN/>
      <w:adjustRightInd/>
      <w:spacing w:before="100" w:beforeAutospacing="1" w:after="45" w:line="495" w:lineRule="atLeast"/>
      <w:jc w:val="center"/>
      <w:textAlignment w:val="auto"/>
    </w:pPr>
    <w:rPr>
      <w:b/>
      <w:bCs/>
      <w:color w:val="000000"/>
      <w:szCs w:val="24"/>
      <w:lang w:val="es-PE" w:eastAsia="es-PE"/>
    </w:rPr>
  </w:style>
  <w:style w:type="paragraph" w:customStyle="1" w:styleId="addthiscounter2">
    <w:name w:val="addthis_counter2"/>
    <w:basedOn w:val="Normal"/>
    <w:rsid w:val="00FA0266"/>
    <w:pPr>
      <w:widowControl/>
      <w:overflowPunct/>
      <w:autoSpaceDE/>
      <w:autoSpaceDN/>
      <w:adjustRightInd/>
      <w:spacing w:before="100" w:beforeAutospacing="1" w:after="100" w:afterAutospacing="1"/>
      <w:textAlignment w:val="auto"/>
    </w:pPr>
    <w:rPr>
      <w:b/>
      <w:bCs/>
      <w:color w:val="FFFFFF"/>
      <w:szCs w:val="24"/>
      <w:lang w:val="es-PE" w:eastAsia="es-PE"/>
    </w:rPr>
  </w:style>
  <w:style w:type="paragraph" w:customStyle="1" w:styleId="atitem3">
    <w:name w:val="at_item3"/>
    <w:basedOn w:val="Normal"/>
    <w:rsid w:val="00FA0266"/>
    <w:pPr>
      <w:widowControl/>
      <w:pBdr>
        <w:top w:val="single" w:sz="6" w:space="3" w:color="FFFFFF"/>
        <w:left w:val="single" w:sz="6" w:space="3" w:color="FFFFFF"/>
        <w:bottom w:val="single" w:sz="6" w:space="3" w:color="FFFFFF"/>
        <w:right w:val="single" w:sz="6" w:space="3" w:color="FFFFFF"/>
      </w:pBdr>
      <w:overflowPunct/>
      <w:autoSpaceDE/>
      <w:autoSpaceDN/>
      <w:adjustRightInd/>
      <w:spacing w:before="100" w:beforeAutospacing="1" w:after="100" w:afterAutospacing="1" w:line="240" w:lineRule="atLeast"/>
      <w:ind w:right="30"/>
      <w:textAlignment w:val="auto"/>
    </w:pPr>
    <w:rPr>
      <w:rFonts w:ascii="Arial" w:hAnsi="Arial" w:cs="Arial"/>
      <w:szCs w:val="24"/>
      <w:lang w:val="es-PE" w:eastAsia="es-PE"/>
    </w:rPr>
  </w:style>
  <w:style w:type="paragraph" w:customStyle="1" w:styleId="atbold2">
    <w:name w:val="at_bold2"/>
    <w:basedOn w:val="Normal"/>
    <w:rsid w:val="00FA0266"/>
    <w:pPr>
      <w:widowControl/>
      <w:overflowPunct/>
      <w:autoSpaceDE/>
      <w:autoSpaceDN/>
      <w:adjustRightInd/>
      <w:spacing w:before="100" w:beforeAutospacing="1" w:after="100" w:afterAutospacing="1"/>
      <w:textAlignment w:val="auto"/>
    </w:pPr>
    <w:rPr>
      <w:b/>
      <w:bCs/>
      <w:szCs w:val="24"/>
      <w:lang w:val="es-PE" w:eastAsia="es-PE"/>
    </w:rPr>
  </w:style>
  <w:style w:type="paragraph" w:customStyle="1" w:styleId="atitem4">
    <w:name w:val="at_item4"/>
    <w:basedOn w:val="Normal"/>
    <w:rsid w:val="00FA0266"/>
    <w:pPr>
      <w:widowControl/>
      <w:overflowPunct/>
      <w:autoSpaceDE/>
      <w:autoSpaceDN/>
      <w:adjustRightInd/>
      <w:spacing w:before="15" w:after="15"/>
      <w:ind w:left="15" w:right="15"/>
      <w:textAlignment w:val="auto"/>
    </w:pPr>
    <w:rPr>
      <w:szCs w:val="24"/>
      <w:lang w:val="es-PE" w:eastAsia="es-PE"/>
    </w:rPr>
  </w:style>
  <w:style w:type="paragraph" w:customStyle="1" w:styleId="at15t4">
    <w:name w:val="at15t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addthisfollowlabel2">
    <w:name w:val="addthis_follow_label2"/>
    <w:basedOn w:val="Fuentedeprrafopredeter"/>
    <w:rsid w:val="00FA0266"/>
    <w:rPr>
      <w:vanish/>
      <w:webHidden w:val="0"/>
      <w:specVanish w:val="0"/>
    </w:rPr>
  </w:style>
  <w:style w:type="paragraph" w:customStyle="1" w:styleId="addthisseparator2">
    <w:name w:val="addthis_separator2"/>
    <w:basedOn w:val="Normal"/>
    <w:rsid w:val="00FA0266"/>
    <w:pPr>
      <w:widowControl/>
      <w:overflowPunct/>
      <w:autoSpaceDE/>
      <w:autoSpaceDN/>
      <w:adjustRightInd/>
      <w:ind w:left="75" w:right="75"/>
      <w:textAlignment w:val="auto"/>
    </w:pPr>
    <w:rPr>
      <w:szCs w:val="24"/>
      <w:lang w:val="es-PE" w:eastAsia="es-PE"/>
    </w:rPr>
  </w:style>
  <w:style w:type="paragraph" w:customStyle="1" w:styleId="at300b2">
    <w:name w:val="at300b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o2">
    <w:name w:val="at300bo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m2">
    <w:name w:val="at300m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6">
    <w:name w:val="at300bs6"/>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7">
    <w:name w:val="at300bs7"/>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5">
    <w:name w:val="at15t5"/>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8">
    <w:name w:val="at300bs8"/>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9">
    <w:name w:val="at300bs9"/>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6">
    <w:name w:val="at15t6"/>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300bs10">
    <w:name w:val="at300bs10"/>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6nc2">
    <w:name w:val="at16nc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15texpanded2">
    <w:name w:val="at15t_expanded2"/>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15tcompact2">
    <w:name w:val="at15t_compact2"/>
    <w:basedOn w:val="Normal"/>
    <w:rsid w:val="00FA0266"/>
    <w:pPr>
      <w:widowControl/>
      <w:overflowPunct/>
      <w:autoSpaceDE/>
      <w:autoSpaceDN/>
      <w:adjustRightInd/>
      <w:spacing w:before="100" w:beforeAutospacing="1" w:after="100" w:afterAutospacing="1"/>
      <w:ind w:right="60"/>
      <w:textAlignment w:val="auto"/>
    </w:pPr>
    <w:rPr>
      <w:szCs w:val="24"/>
      <w:lang w:val="es-PE" w:eastAsia="es-PE"/>
    </w:rPr>
  </w:style>
  <w:style w:type="paragraph" w:customStyle="1" w:styleId="atbtn3">
    <w:name w:val="atbtn3"/>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btn4">
    <w:name w:val="atbtn4"/>
    <w:basedOn w:val="Normal"/>
    <w:rsid w:val="00FA0266"/>
    <w:pPr>
      <w:widowControl/>
      <w:pBdr>
        <w:top w:val="single" w:sz="6" w:space="2" w:color="B5B5B5"/>
        <w:left w:val="single" w:sz="6" w:space="3" w:color="B5B5B5"/>
        <w:bottom w:val="single" w:sz="6" w:space="2" w:color="B5B5B5"/>
        <w:right w:val="single" w:sz="6" w:space="3" w:color="B5B5B5"/>
      </w:pBdr>
      <w:shd w:val="clear" w:color="auto" w:fill="FFFFFF"/>
      <w:overflowPunct/>
      <w:autoSpaceDE/>
      <w:autoSpaceDN/>
      <w:adjustRightInd/>
      <w:textAlignment w:val="auto"/>
    </w:pPr>
    <w:rPr>
      <w:b/>
      <w:bCs/>
      <w:color w:val="333333"/>
      <w:szCs w:val="24"/>
      <w:lang w:val="es-PE" w:eastAsia="es-PE"/>
    </w:rPr>
  </w:style>
  <w:style w:type="paragraph" w:customStyle="1" w:styleId="atrse3">
    <w:name w:val="atrse3"/>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atrse4">
    <w:name w:val="atrse4"/>
    <w:basedOn w:val="Normal"/>
    <w:rsid w:val="00FA0266"/>
    <w:pPr>
      <w:widowControl/>
      <w:overflowPunct/>
      <w:autoSpaceDE/>
      <w:autoSpaceDN/>
      <w:adjustRightInd/>
      <w:spacing w:before="100" w:beforeAutospacing="1" w:after="100" w:afterAutospacing="1"/>
      <w:textAlignment w:val="auto"/>
    </w:pPr>
    <w:rPr>
      <w:color w:val="666666"/>
      <w:szCs w:val="24"/>
      <w:lang w:val="es-PE" w:eastAsia="es-PE"/>
    </w:rPr>
  </w:style>
  <w:style w:type="paragraph" w:customStyle="1" w:styleId="tmsg2">
    <w:name w:val="tmsg2"/>
    <w:basedOn w:val="Normal"/>
    <w:rsid w:val="00FA0266"/>
    <w:pPr>
      <w:widowControl/>
      <w:overflowPunct/>
      <w:autoSpaceDE/>
      <w:autoSpaceDN/>
      <w:adjustRightInd/>
      <w:spacing w:before="100" w:beforeAutospacing="1" w:after="100" w:afterAutospacing="1"/>
      <w:jc w:val="right"/>
      <w:textAlignment w:val="auto"/>
    </w:pPr>
    <w:rPr>
      <w:szCs w:val="24"/>
      <w:lang w:val="es-PE" w:eastAsia="es-PE"/>
    </w:rPr>
  </w:style>
  <w:style w:type="paragraph" w:customStyle="1" w:styleId="aterror3">
    <w:name w:val="at_error3"/>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terror4">
    <w:name w:val="at_error4"/>
    <w:basedOn w:val="Normal"/>
    <w:rsid w:val="00FA0266"/>
    <w:pPr>
      <w:widowControl/>
      <w:pBdr>
        <w:bottom w:val="single" w:sz="6" w:space="4" w:color="DF5666"/>
      </w:pBdr>
      <w:shd w:val="clear" w:color="auto" w:fill="F26D7D"/>
      <w:overflowPunct/>
      <w:autoSpaceDE/>
      <w:autoSpaceDN/>
      <w:adjustRightInd/>
      <w:spacing w:before="100" w:beforeAutospacing="1" w:after="100" w:afterAutospacing="1"/>
      <w:textAlignment w:val="auto"/>
    </w:pPr>
    <w:rPr>
      <w:color w:val="FFFFFF"/>
      <w:szCs w:val="24"/>
      <w:lang w:val="es-PE" w:eastAsia="es-PE"/>
    </w:rPr>
  </w:style>
  <w:style w:type="paragraph" w:customStyle="1" w:styleId="ac-logo3">
    <w:name w:val="ac-logo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c-logo4">
    <w:name w:val="ac-logo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inp2">
    <w:name w:val="atinp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content3">
    <w:name w:val="at-promo-content3"/>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content4">
    <w:name w:val="at-promo-content4"/>
    <w:basedOn w:val="Normal"/>
    <w:rsid w:val="00FA0266"/>
    <w:pPr>
      <w:widowControl/>
      <w:overflowPunct/>
      <w:autoSpaceDE/>
      <w:autoSpaceDN/>
      <w:adjustRightInd/>
      <w:spacing w:before="180" w:after="100" w:afterAutospacing="1"/>
      <w:textAlignment w:val="auto"/>
    </w:pPr>
    <w:rPr>
      <w:szCs w:val="24"/>
      <w:lang w:val="es-PE" w:eastAsia="es-PE"/>
    </w:rPr>
  </w:style>
  <w:style w:type="paragraph" w:customStyle="1" w:styleId="at-promo-btn3">
    <w:name w:val="at-promo-btn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promo-btn4">
    <w:name w:val="at-promo-btn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toolbox2">
    <w:name w:val="addthis_toolbox2"/>
    <w:basedOn w:val="Normal"/>
    <w:rsid w:val="00FA0266"/>
    <w:pPr>
      <w:widowControl/>
      <w:overflowPunct/>
      <w:autoSpaceDE/>
      <w:autoSpaceDN/>
      <w:adjustRightInd/>
      <w:textAlignment w:val="auto"/>
    </w:pPr>
    <w:rPr>
      <w:szCs w:val="24"/>
      <w:lang w:val="es-PE" w:eastAsia="es-PE"/>
    </w:rPr>
  </w:style>
  <w:style w:type="paragraph" w:customStyle="1" w:styleId="atm-f2">
    <w:name w:val="atm-f2"/>
    <w:basedOn w:val="Normal"/>
    <w:rsid w:val="00FA0266"/>
    <w:pPr>
      <w:widowControl/>
      <w:overflowPunct/>
      <w:autoSpaceDE/>
      <w:autoSpaceDN/>
      <w:adjustRightInd/>
      <w:spacing w:before="100" w:beforeAutospacing="1" w:after="100" w:afterAutospacing="1"/>
      <w:textAlignment w:val="auto"/>
    </w:pPr>
    <w:rPr>
      <w:sz w:val="14"/>
      <w:szCs w:val="14"/>
      <w:lang w:val="es-PE" w:eastAsia="es-PE"/>
    </w:rPr>
  </w:style>
  <w:style w:type="paragraph" w:customStyle="1" w:styleId="atm-f-logo2">
    <w:name w:val="atm-f-logo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ddthisbuttonpinterestpinit2">
    <w:name w:val="addthis_button_pinterest_pinit2"/>
    <w:basedOn w:val="Normal"/>
    <w:rsid w:val="00FA0266"/>
    <w:pPr>
      <w:widowControl/>
      <w:overflowPunct/>
      <w:autoSpaceDE/>
      <w:autoSpaceDN/>
      <w:adjustRightInd/>
      <w:spacing w:before="100" w:beforeAutospacing="1" w:after="100" w:afterAutospacing="1"/>
      <w:ind w:right="150"/>
      <w:textAlignment w:val="auto"/>
    </w:pPr>
    <w:rPr>
      <w:szCs w:val="24"/>
      <w:lang w:val="es-PE" w:eastAsia="es-PE"/>
    </w:rPr>
  </w:style>
  <w:style w:type="paragraph" w:customStyle="1" w:styleId="atimglb2">
    <w:name w:val="atimglb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at-quickshare-header-x3">
    <w:name w:val="at-quickshare-header-x3"/>
    <w:basedOn w:val="Normal"/>
    <w:rsid w:val="00FA0266"/>
    <w:pPr>
      <w:widowControl/>
      <w:pBdr>
        <w:left w:val="single" w:sz="6" w:space="9" w:color="DEDEDE"/>
      </w:pBdr>
      <w:overflowPunct/>
      <w:autoSpaceDE/>
      <w:autoSpaceDN/>
      <w:adjustRightInd/>
      <w:spacing w:before="100" w:beforeAutospacing="1" w:after="100" w:afterAutospacing="1"/>
      <w:textAlignment w:val="auto"/>
    </w:pPr>
    <w:rPr>
      <w:szCs w:val="24"/>
      <w:lang w:val="es-PE" w:eastAsia="es-PE"/>
    </w:rPr>
  </w:style>
  <w:style w:type="paragraph" w:customStyle="1" w:styleId="at-quickshare-header-x4">
    <w:name w:val="at-quickshare-header-x4"/>
    <w:basedOn w:val="Normal"/>
    <w:rsid w:val="00FA0266"/>
    <w:pPr>
      <w:widowControl/>
      <w:pBdr>
        <w:left w:val="single" w:sz="6" w:space="9" w:color="DEDEDE"/>
      </w:pBdr>
      <w:shd w:val="clear" w:color="auto" w:fill="DEDEDE"/>
      <w:overflowPunct/>
      <w:autoSpaceDE/>
      <w:autoSpaceDN/>
      <w:adjustRightInd/>
      <w:spacing w:before="100" w:beforeAutospacing="1" w:after="100" w:afterAutospacing="1"/>
      <w:textAlignment w:val="auto"/>
    </w:pPr>
    <w:rPr>
      <w:szCs w:val="24"/>
      <w:lang w:val="es-PE" w:eastAsia="es-PE"/>
    </w:rPr>
  </w:style>
  <w:style w:type="paragraph" w:customStyle="1" w:styleId="at-quickshare-success3">
    <w:name w:val="at-quickshare-success3"/>
    <w:basedOn w:val="Normal"/>
    <w:rsid w:val="00FA0266"/>
    <w:pPr>
      <w:widowControl/>
      <w:overflowPunct/>
      <w:autoSpaceDE/>
      <w:autoSpaceDN/>
      <w:adjustRightInd/>
      <w:spacing w:before="100" w:beforeAutospacing="1" w:after="100" w:afterAutospacing="1"/>
      <w:textAlignment w:val="auto"/>
    </w:pPr>
    <w:rPr>
      <w:color w:val="2AAC36"/>
      <w:szCs w:val="24"/>
      <w:lang w:val="es-PE" w:eastAsia="es-PE"/>
    </w:rPr>
  </w:style>
  <w:style w:type="paragraph" w:customStyle="1" w:styleId="at-button-blue3">
    <w:name w:val="at-button-blue3"/>
    <w:basedOn w:val="Normal"/>
    <w:rsid w:val="00FA0266"/>
    <w:pPr>
      <w:widowControl/>
      <w:pBdr>
        <w:top w:val="single" w:sz="6" w:space="5" w:color="125CB5"/>
        <w:left w:val="single" w:sz="6" w:space="12" w:color="125CB5"/>
        <w:bottom w:val="single" w:sz="6" w:space="5" w:color="125CB5"/>
        <w:right w:val="single" w:sz="6" w:space="12" w:color="125CB5"/>
      </w:pBdr>
      <w:shd w:val="clear" w:color="auto" w:fill="0D98FB"/>
      <w:overflowPunct/>
      <w:autoSpaceDE/>
      <w:autoSpaceDN/>
      <w:adjustRightInd/>
      <w:spacing w:before="180"/>
      <w:textAlignment w:val="auto"/>
    </w:pPr>
    <w:rPr>
      <w:b/>
      <w:bCs/>
      <w:color w:val="FFFFFF"/>
      <w:sz w:val="18"/>
      <w:szCs w:val="18"/>
      <w:lang w:val="es-PE" w:eastAsia="es-PE"/>
    </w:rPr>
  </w:style>
  <w:style w:type="paragraph" w:customStyle="1" w:styleId="at-button-blue4">
    <w:name w:val="at-button-blue4"/>
    <w:basedOn w:val="Normal"/>
    <w:rsid w:val="00FA0266"/>
    <w:pPr>
      <w:widowControl/>
      <w:pBdr>
        <w:top w:val="single" w:sz="6" w:space="5" w:color="125CB5"/>
        <w:left w:val="single" w:sz="6" w:space="12" w:color="125CB5"/>
        <w:bottom w:val="single" w:sz="6" w:space="5" w:color="125CB5"/>
        <w:right w:val="single" w:sz="6" w:space="12" w:color="125CB5"/>
      </w:pBdr>
      <w:shd w:val="clear" w:color="auto" w:fill="098DF4"/>
      <w:overflowPunct/>
      <w:autoSpaceDE/>
      <w:autoSpaceDN/>
      <w:adjustRightInd/>
      <w:spacing w:before="180"/>
      <w:textAlignment w:val="auto"/>
    </w:pPr>
    <w:rPr>
      <w:b/>
      <w:bCs/>
      <w:color w:val="FFFFFF"/>
      <w:sz w:val="18"/>
      <w:szCs w:val="18"/>
      <w:lang w:val="es-PE" w:eastAsia="es-PE"/>
    </w:rPr>
  </w:style>
  <w:style w:type="paragraph" w:customStyle="1" w:styleId="at-quickshare-content-lb2">
    <w:name w:val="at-quickshare-content-lb2"/>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at-quickshare-success4">
    <w:name w:val="at-quickshare-success4"/>
    <w:basedOn w:val="Normal"/>
    <w:rsid w:val="00FA0266"/>
    <w:pPr>
      <w:widowControl/>
      <w:shd w:val="clear" w:color="auto" w:fill="FFFFFF"/>
      <w:overflowPunct/>
      <w:autoSpaceDE/>
      <w:autoSpaceDN/>
      <w:adjustRightInd/>
      <w:spacing w:before="100" w:beforeAutospacing="1" w:after="100" w:afterAutospacing="1"/>
      <w:jc w:val="center"/>
      <w:textAlignment w:val="auto"/>
    </w:pPr>
    <w:rPr>
      <w:color w:val="000000"/>
      <w:sz w:val="21"/>
      <w:szCs w:val="21"/>
      <w:lang w:val="es-PE" w:eastAsia="es-PE"/>
    </w:rPr>
  </w:style>
  <w:style w:type="paragraph" w:customStyle="1" w:styleId="notfound">
    <w:name w:val="notfoun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homepage">
    <w:name w:val="homepage"/>
    <w:basedOn w:val="Fuentedeprrafopredeter"/>
    <w:rsid w:val="00FA0266"/>
  </w:style>
  <w:style w:type="character" w:customStyle="1" w:styleId="sitemap">
    <w:name w:val="sitemap"/>
    <w:basedOn w:val="Fuentedeprrafopredeter"/>
    <w:rsid w:val="00FA0266"/>
  </w:style>
  <w:style w:type="character" w:customStyle="1" w:styleId="rss">
    <w:name w:val="rss"/>
    <w:basedOn w:val="Fuentedeprrafopredeter"/>
    <w:rsid w:val="00FA0266"/>
  </w:style>
  <w:style w:type="character" w:customStyle="1" w:styleId="print">
    <w:name w:val="print"/>
    <w:basedOn w:val="Fuentedeprrafopredeter"/>
    <w:rsid w:val="00FA0266"/>
  </w:style>
  <w:style w:type="paragraph" w:styleId="z-Principiodelformulario">
    <w:name w:val="HTML Top of Form"/>
    <w:basedOn w:val="Normal"/>
    <w:next w:val="Normal"/>
    <w:link w:val="z-PrincipiodelformularioCar"/>
    <w:hidden/>
    <w:uiPriority w:val="99"/>
    <w:semiHidden/>
    <w:unhideWhenUsed/>
    <w:rsid w:val="00FA0266"/>
    <w:pPr>
      <w:widowControl/>
      <w:pBdr>
        <w:bottom w:val="single" w:sz="6" w:space="1" w:color="auto"/>
      </w:pBdr>
      <w:overflowPunct/>
      <w:autoSpaceDE/>
      <w:autoSpaceDN/>
      <w:adjustRightInd/>
      <w:jc w:val="center"/>
      <w:textAlignment w:val="auto"/>
    </w:pPr>
    <w:rPr>
      <w:rFonts w:ascii="Arial" w:hAnsi="Arial" w:cs="Arial"/>
      <w:vanish/>
      <w:sz w:val="16"/>
      <w:szCs w:val="16"/>
      <w:lang w:val="es-PE" w:eastAsia="es-PE"/>
    </w:rPr>
  </w:style>
  <w:style w:type="character" w:customStyle="1" w:styleId="z-PrincipiodelformularioCar">
    <w:name w:val="z-Principio del formulario Car"/>
    <w:basedOn w:val="Fuentedeprrafopredeter"/>
    <w:link w:val="z-Principiodelformulario"/>
    <w:uiPriority w:val="99"/>
    <w:semiHidden/>
    <w:rsid w:val="00FA0266"/>
    <w:rPr>
      <w:rFonts w:ascii="Arial" w:eastAsia="Times New Roman" w:hAnsi="Arial" w:cs="Arial"/>
      <w:vanish/>
      <w:sz w:val="16"/>
      <w:szCs w:val="16"/>
      <w:lang w:val="es-PE" w:eastAsia="es-PE"/>
    </w:rPr>
  </w:style>
  <w:style w:type="character" w:customStyle="1" w:styleId="btn">
    <w:name w:val="btn"/>
    <w:basedOn w:val="Fuentedeprrafopredeter"/>
    <w:rsid w:val="00FA0266"/>
  </w:style>
  <w:style w:type="paragraph" w:styleId="z-Finaldelformulario">
    <w:name w:val="HTML Bottom of Form"/>
    <w:basedOn w:val="Normal"/>
    <w:next w:val="Normal"/>
    <w:link w:val="z-FinaldelformularioCar"/>
    <w:hidden/>
    <w:uiPriority w:val="99"/>
    <w:unhideWhenUsed/>
    <w:rsid w:val="00FA0266"/>
    <w:pPr>
      <w:widowControl/>
      <w:pBdr>
        <w:top w:val="single" w:sz="6" w:space="1" w:color="auto"/>
      </w:pBdr>
      <w:overflowPunct/>
      <w:autoSpaceDE/>
      <w:autoSpaceDN/>
      <w:adjustRightInd/>
      <w:jc w:val="center"/>
      <w:textAlignment w:val="auto"/>
    </w:pPr>
    <w:rPr>
      <w:rFonts w:ascii="Arial" w:hAnsi="Arial" w:cs="Arial"/>
      <w:vanish/>
      <w:sz w:val="16"/>
      <w:szCs w:val="16"/>
      <w:lang w:val="es-PE" w:eastAsia="es-PE"/>
    </w:rPr>
  </w:style>
  <w:style w:type="character" w:customStyle="1" w:styleId="z-FinaldelformularioCar">
    <w:name w:val="z-Final del formulario Car"/>
    <w:basedOn w:val="Fuentedeprrafopredeter"/>
    <w:link w:val="z-Finaldelformulario"/>
    <w:uiPriority w:val="99"/>
    <w:rsid w:val="00FA0266"/>
    <w:rPr>
      <w:rFonts w:ascii="Arial" w:eastAsia="Times New Roman" w:hAnsi="Arial" w:cs="Arial"/>
      <w:vanish/>
      <w:sz w:val="16"/>
      <w:szCs w:val="16"/>
      <w:lang w:val="es-PE" w:eastAsia="es-PE"/>
    </w:rPr>
  </w:style>
  <w:style w:type="character" w:customStyle="1" w:styleId="rbcnostylespan">
    <w:name w:val="rbcnostylespan"/>
    <w:basedOn w:val="Fuentedeprrafopredeter"/>
    <w:rsid w:val="00FA0266"/>
  </w:style>
  <w:style w:type="character" w:customStyle="1" w:styleId="rbcsignaturetext">
    <w:name w:val="rbcsignaturetext"/>
    <w:basedOn w:val="Fuentedeprrafopredeter"/>
    <w:rsid w:val="00FA0266"/>
  </w:style>
  <w:style w:type="character" w:customStyle="1" w:styleId="ata11y">
    <w:name w:val="at_a11y"/>
    <w:basedOn w:val="Fuentedeprrafopredeter"/>
    <w:rsid w:val="00FA0266"/>
  </w:style>
  <w:style w:type="character" w:customStyle="1" w:styleId="at15t7">
    <w:name w:val="at15t7"/>
    <w:basedOn w:val="Fuentedeprrafopredeter"/>
    <w:rsid w:val="00FA0266"/>
  </w:style>
  <w:style w:type="character" w:customStyle="1" w:styleId="at16nc3">
    <w:name w:val="at16nc3"/>
    <w:basedOn w:val="Fuentedeprrafopredeter"/>
    <w:rsid w:val="00FA0266"/>
    <w:rPr>
      <w:vanish w:val="0"/>
      <w:webHidden w:val="0"/>
      <w:specVanish w:val="0"/>
    </w:rPr>
  </w:style>
  <w:style w:type="character" w:customStyle="1" w:styleId="at16nc4">
    <w:name w:val="at16nc4"/>
    <w:basedOn w:val="Fuentedeprrafopredeter"/>
    <w:rsid w:val="00FA0266"/>
    <w:rPr>
      <w:vanish w:val="0"/>
      <w:webHidden w:val="0"/>
      <w:rtl w:val="0"/>
      <w:specVanish w:val="0"/>
    </w:rPr>
  </w:style>
  <w:style w:type="paragraph" w:styleId="Prrafodelista">
    <w:name w:val="List Paragraph"/>
    <w:basedOn w:val="Normal"/>
    <w:qFormat/>
    <w:rsid w:val="00FA0266"/>
    <w:pPr>
      <w:widowControl/>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val="es-PE" w:eastAsia="en-US"/>
    </w:rPr>
  </w:style>
  <w:style w:type="character" w:customStyle="1" w:styleId="image">
    <w:name w:val="image"/>
    <w:basedOn w:val="Fuentedeprrafopredeter"/>
    <w:rsid w:val="00FA0266"/>
  </w:style>
  <w:style w:type="paragraph" w:styleId="Sinespaciado">
    <w:name w:val="No Spacing"/>
    <w:link w:val="SinespaciadoCar"/>
    <w:uiPriority w:val="1"/>
    <w:qFormat/>
    <w:rsid w:val="00FA0266"/>
    <w:rPr>
      <w:sz w:val="22"/>
      <w:szCs w:val="22"/>
      <w:lang w:val="es-PE" w:eastAsia="es-PE"/>
    </w:rPr>
  </w:style>
  <w:style w:type="character" w:customStyle="1" w:styleId="SinespaciadoCar">
    <w:name w:val="Sin espaciado Car"/>
    <w:basedOn w:val="Fuentedeprrafopredeter"/>
    <w:link w:val="Sinespaciado"/>
    <w:uiPriority w:val="1"/>
    <w:rsid w:val="00FA0266"/>
    <w:rPr>
      <w:sz w:val="22"/>
      <w:szCs w:val="22"/>
      <w:lang w:val="es-PE" w:eastAsia="es-PE"/>
    </w:rPr>
  </w:style>
  <w:style w:type="table" w:styleId="Tablaconcuadrcula">
    <w:name w:val="Table Grid"/>
    <w:basedOn w:val="Tablanormal"/>
    <w:rsid w:val="00FA0266"/>
    <w:rPr>
      <w:rFonts w:eastAsiaTheme="minorHAnsi"/>
      <w:sz w:val="22"/>
      <w:szCs w:val="22"/>
      <w:lang w:val="es-P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rovider">
    <w:name w:val="ca_provider"/>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caad">
    <w:name w:val="ca_ad"/>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cadesc">
    <w:name w:val="ca_desc"/>
    <w:basedOn w:val="Fuentedeprrafopredeter"/>
    <w:rsid w:val="00FA0266"/>
  </w:style>
  <w:style w:type="character" w:customStyle="1" w:styleId="caurl">
    <w:name w:val="ca_url"/>
    <w:basedOn w:val="Fuentedeprrafopredeter"/>
    <w:rsid w:val="00FA0266"/>
  </w:style>
  <w:style w:type="character" w:styleId="Enfasis">
    <w:name w:val="Emphasis"/>
    <w:basedOn w:val="Fuentedeprrafopredeter"/>
    <w:uiPriority w:val="20"/>
    <w:qFormat/>
    <w:rsid w:val="00FA0266"/>
    <w:rPr>
      <w:i/>
      <w:iCs/>
    </w:rPr>
  </w:style>
  <w:style w:type="paragraph" w:customStyle="1" w:styleId="Default">
    <w:name w:val="Default"/>
    <w:rsid w:val="00FA0266"/>
    <w:pPr>
      <w:autoSpaceDE w:val="0"/>
      <w:autoSpaceDN w:val="0"/>
      <w:adjustRightInd w:val="0"/>
    </w:pPr>
    <w:rPr>
      <w:rFonts w:ascii="Garamond" w:eastAsiaTheme="minorHAnsi" w:hAnsi="Garamond" w:cs="Garamond"/>
      <w:color w:val="000000"/>
      <w:lang w:val="es-PE" w:eastAsia="en-US"/>
    </w:rPr>
  </w:style>
  <w:style w:type="character" w:customStyle="1" w:styleId="z-PrincipiodelformularioCar1">
    <w:name w:val="z-Principio del formulario Car1"/>
    <w:basedOn w:val="Fuentedeprrafopredeter"/>
    <w:uiPriority w:val="99"/>
    <w:semiHidden/>
    <w:rsid w:val="00FA0266"/>
    <w:rPr>
      <w:rFonts w:ascii="Arial" w:eastAsia="Calibri" w:hAnsi="Arial" w:cs="Arial"/>
      <w:vanish/>
      <w:sz w:val="16"/>
      <w:szCs w:val="16"/>
      <w:lang w:val="es-PE" w:eastAsia="en-US"/>
    </w:rPr>
  </w:style>
  <w:style w:type="paragraph" w:styleId="Textodebloque">
    <w:name w:val="Block Text"/>
    <w:basedOn w:val="Normal"/>
    <w:uiPriority w:val="99"/>
    <w:semiHidden/>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spelle">
    <w:name w:val="spelle"/>
    <w:basedOn w:val="Fuentedeprrafopredeter"/>
    <w:rsid w:val="00FA0266"/>
  </w:style>
  <w:style w:type="paragraph" w:customStyle="1" w:styleId="h4">
    <w:name w:val="h4"/>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grame">
    <w:name w:val="grame"/>
    <w:basedOn w:val="Fuentedeprrafopredeter"/>
    <w:rsid w:val="00FA0266"/>
  </w:style>
  <w:style w:type="character" w:customStyle="1" w:styleId="TtuloCar1">
    <w:name w:val="Título Car1"/>
    <w:basedOn w:val="Fuentedeprrafopredeter"/>
    <w:uiPriority w:val="10"/>
    <w:rsid w:val="00FA0266"/>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styleId="Lista">
    <w:name w:val="List"/>
    <w:basedOn w:val="Normal"/>
    <w:uiPriority w:val="99"/>
    <w:semiHidden/>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h30">
    <w:name w:val="h3"/>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customStyle="1" w:styleId="prrafodelista0">
    <w:name w:val="prrafodelista"/>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f11">
    <w:name w:val="f11"/>
    <w:basedOn w:val="Fuentedeprrafopredeter"/>
    <w:rsid w:val="00FA0266"/>
  </w:style>
  <w:style w:type="paragraph" w:styleId="Textosinformato">
    <w:name w:val="Plain Text"/>
    <w:basedOn w:val="Normal"/>
    <w:link w:val="TextosinformatoCar"/>
    <w:uiPriority w:val="99"/>
    <w:semiHidden/>
    <w:unhideWhenUsed/>
    <w:rsid w:val="00FA0266"/>
    <w:pPr>
      <w:widowControl/>
      <w:overflowPunct/>
      <w:autoSpaceDE/>
      <w:autoSpaceDN/>
      <w:adjustRightInd/>
      <w:spacing w:before="100" w:beforeAutospacing="1" w:after="100" w:afterAutospacing="1"/>
      <w:textAlignment w:val="auto"/>
    </w:pPr>
    <w:rPr>
      <w:szCs w:val="24"/>
      <w:lang w:val="es-PE" w:eastAsia="es-PE"/>
    </w:rPr>
  </w:style>
  <w:style w:type="character" w:customStyle="1" w:styleId="TextosinformatoCar">
    <w:name w:val="Texto sin formato Car"/>
    <w:basedOn w:val="Fuentedeprrafopredeter"/>
    <w:link w:val="Textosinformato"/>
    <w:uiPriority w:val="99"/>
    <w:semiHidden/>
    <w:rsid w:val="00FA0266"/>
    <w:rPr>
      <w:rFonts w:ascii="Times New Roman" w:eastAsia="Times New Roman" w:hAnsi="Times New Roman" w:cs="Times New Roman"/>
      <w:lang w:val="es-PE" w:eastAsia="es-PE"/>
    </w:rPr>
  </w:style>
  <w:style w:type="paragraph" w:customStyle="1" w:styleId="ecxmsonormal">
    <w:name w:val="ecxmsonormal"/>
    <w:basedOn w:val="Normal"/>
    <w:rsid w:val="00FA0266"/>
    <w:pPr>
      <w:widowControl/>
      <w:overflowPunct/>
      <w:autoSpaceDE/>
      <w:autoSpaceDN/>
      <w:adjustRightInd/>
      <w:spacing w:before="100" w:beforeAutospacing="1" w:after="100" w:afterAutospacing="1"/>
      <w:textAlignment w:val="auto"/>
    </w:pPr>
    <w:rPr>
      <w:szCs w:val="24"/>
      <w:lang w:val="es-PE" w:eastAsia="es-PE"/>
    </w:rPr>
  </w:style>
  <w:style w:type="paragraph" w:styleId="Textonotaalfinal">
    <w:name w:val="endnote text"/>
    <w:basedOn w:val="Normal"/>
    <w:link w:val="TextonotaalfinalCar"/>
    <w:unhideWhenUsed/>
    <w:rsid w:val="00FA0266"/>
    <w:pPr>
      <w:widowControl/>
      <w:overflowPunct/>
      <w:autoSpaceDE/>
      <w:autoSpaceDN/>
      <w:adjustRightInd/>
      <w:textAlignment w:val="auto"/>
    </w:pPr>
    <w:rPr>
      <w:rFonts w:ascii="Calibri" w:eastAsia="Calibri" w:hAnsi="Calibri"/>
      <w:szCs w:val="24"/>
      <w:lang w:val="es-PE" w:eastAsia="en-US"/>
    </w:rPr>
  </w:style>
  <w:style w:type="character" w:customStyle="1" w:styleId="TextonotaalfinalCar">
    <w:name w:val="Texto nota al final Car"/>
    <w:basedOn w:val="Fuentedeprrafopredeter"/>
    <w:link w:val="Textonotaalfinal"/>
    <w:rsid w:val="00FA0266"/>
    <w:rPr>
      <w:rFonts w:ascii="Calibri" w:eastAsia="Calibri" w:hAnsi="Calibri" w:cs="Times New Roman"/>
      <w:lang w:val="es-PE" w:eastAsia="en-US"/>
    </w:rPr>
  </w:style>
  <w:style w:type="character" w:styleId="Refdenotaalfinal">
    <w:name w:val="endnote reference"/>
    <w:basedOn w:val="Fuentedeprrafopredeter"/>
    <w:unhideWhenUsed/>
    <w:rsid w:val="00FA0266"/>
    <w:rPr>
      <w:vertAlign w:val="superscript"/>
    </w:rPr>
  </w:style>
  <w:style w:type="paragraph" w:customStyle="1" w:styleId="Textodecuerpo21">
    <w:name w:val="Texto de cuerpo 21"/>
    <w:basedOn w:val="Normal"/>
    <w:rsid w:val="00FA0266"/>
    <w:pPr>
      <w:jc w:val="both"/>
    </w:pPr>
    <w:rPr>
      <w:rFonts w:ascii="Courier New" w:hAnsi="Courier New"/>
      <w:b/>
      <w:sz w:val="20"/>
    </w:rPr>
  </w:style>
  <w:style w:type="paragraph" w:styleId="Encabezadodetabladecontenido">
    <w:name w:val="TOC Heading"/>
    <w:basedOn w:val="Ttulo1"/>
    <w:next w:val="Normal"/>
    <w:uiPriority w:val="39"/>
    <w:unhideWhenUsed/>
    <w:qFormat/>
    <w:rsid w:val="00FA0266"/>
    <w:pPr>
      <w:keepLines/>
      <w:widowControl/>
      <w:overflowPunct/>
      <w:autoSpaceDE/>
      <w:autoSpaceDN/>
      <w:adjustRightInd/>
      <w:spacing w:before="480" w:line="276" w:lineRule="auto"/>
      <w:jc w:val="left"/>
      <w:textAlignment w:val="auto"/>
      <w:outlineLvl w:val="9"/>
    </w:pPr>
    <w:rPr>
      <w:rFonts w:asciiTheme="majorHAnsi" w:eastAsiaTheme="majorEastAsia" w:hAnsiTheme="majorHAnsi" w:cstheme="majorBidi"/>
      <w:bCs/>
      <w:i w:val="0"/>
      <w:color w:val="365F91" w:themeColor="accent1" w:themeShade="BF"/>
      <w:sz w:val="28"/>
      <w:szCs w:val="28"/>
      <w:lang w:val="es-ES_tradnl"/>
    </w:rPr>
  </w:style>
  <w:style w:type="paragraph" w:styleId="TDC1">
    <w:name w:val="toc 1"/>
    <w:basedOn w:val="Normal"/>
    <w:next w:val="Normal"/>
    <w:autoRedefine/>
    <w:uiPriority w:val="39"/>
    <w:unhideWhenUsed/>
    <w:rsid w:val="00FA0266"/>
    <w:pPr>
      <w:widowControl/>
      <w:overflowPunct/>
      <w:autoSpaceDE/>
      <w:autoSpaceDN/>
      <w:adjustRightInd/>
      <w:spacing w:before="120" w:line="276" w:lineRule="auto"/>
      <w:textAlignment w:val="auto"/>
    </w:pPr>
    <w:rPr>
      <w:rFonts w:asciiTheme="minorHAnsi" w:eastAsiaTheme="minorHAnsi" w:hAnsiTheme="minorHAnsi" w:cstheme="minorBidi"/>
      <w:b/>
      <w:szCs w:val="24"/>
      <w:lang w:val="es-PE" w:eastAsia="en-US"/>
    </w:rPr>
  </w:style>
  <w:style w:type="paragraph" w:styleId="TDC2">
    <w:name w:val="toc 2"/>
    <w:basedOn w:val="Normal"/>
    <w:next w:val="Normal"/>
    <w:autoRedefine/>
    <w:uiPriority w:val="39"/>
    <w:unhideWhenUsed/>
    <w:rsid w:val="00FA0266"/>
    <w:pPr>
      <w:widowControl/>
      <w:overflowPunct/>
      <w:autoSpaceDE/>
      <w:autoSpaceDN/>
      <w:adjustRightInd/>
      <w:spacing w:line="276" w:lineRule="auto"/>
      <w:ind w:left="220"/>
      <w:textAlignment w:val="auto"/>
    </w:pPr>
    <w:rPr>
      <w:rFonts w:asciiTheme="minorHAnsi" w:eastAsiaTheme="minorHAnsi" w:hAnsiTheme="minorHAnsi" w:cstheme="minorBidi"/>
      <w:b/>
      <w:sz w:val="22"/>
      <w:szCs w:val="22"/>
      <w:lang w:val="es-PE" w:eastAsia="en-US"/>
    </w:rPr>
  </w:style>
  <w:style w:type="paragraph" w:styleId="TDC3">
    <w:name w:val="toc 3"/>
    <w:basedOn w:val="Normal"/>
    <w:next w:val="Normal"/>
    <w:autoRedefine/>
    <w:uiPriority w:val="39"/>
    <w:unhideWhenUsed/>
    <w:rsid w:val="00FA0266"/>
    <w:pPr>
      <w:widowControl/>
      <w:overflowPunct/>
      <w:autoSpaceDE/>
      <w:autoSpaceDN/>
      <w:adjustRightInd/>
      <w:spacing w:line="276" w:lineRule="auto"/>
      <w:ind w:left="440"/>
      <w:textAlignment w:val="auto"/>
    </w:pPr>
    <w:rPr>
      <w:rFonts w:asciiTheme="minorHAnsi" w:eastAsiaTheme="minorHAnsi" w:hAnsiTheme="minorHAnsi" w:cstheme="minorBidi"/>
      <w:sz w:val="22"/>
      <w:szCs w:val="22"/>
      <w:lang w:val="es-PE" w:eastAsia="en-US"/>
    </w:rPr>
  </w:style>
  <w:style w:type="paragraph" w:styleId="TDC4">
    <w:name w:val="toc 4"/>
    <w:basedOn w:val="Normal"/>
    <w:next w:val="Normal"/>
    <w:autoRedefine/>
    <w:uiPriority w:val="39"/>
    <w:semiHidden/>
    <w:unhideWhenUsed/>
    <w:rsid w:val="00FA0266"/>
    <w:pPr>
      <w:widowControl/>
      <w:overflowPunct/>
      <w:autoSpaceDE/>
      <w:autoSpaceDN/>
      <w:adjustRightInd/>
      <w:spacing w:line="276" w:lineRule="auto"/>
      <w:ind w:left="660"/>
      <w:textAlignment w:val="auto"/>
    </w:pPr>
    <w:rPr>
      <w:rFonts w:asciiTheme="minorHAnsi" w:eastAsiaTheme="minorHAnsi" w:hAnsiTheme="minorHAnsi" w:cstheme="minorBidi"/>
      <w:sz w:val="20"/>
      <w:lang w:val="es-PE" w:eastAsia="en-US"/>
    </w:rPr>
  </w:style>
  <w:style w:type="paragraph" w:styleId="TDC5">
    <w:name w:val="toc 5"/>
    <w:basedOn w:val="Normal"/>
    <w:next w:val="Normal"/>
    <w:autoRedefine/>
    <w:uiPriority w:val="39"/>
    <w:semiHidden/>
    <w:unhideWhenUsed/>
    <w:rsid w:val="00FA0266"/>
    <w:pPr>
      <w:widowControl/>
      <w:overflowPunct/>
      <w:autoSpaceDE/>
      <w:autoSpaceDN/>
      <w:adjustRightInd/>
      <w:spacing w:line="276" w:lineRule="auto"/>
      <w:ind w:left="880"/>
      <w:textAlignment w:val="auto"/>
    </w:pPr>
    <w:rPr>
      <w:rFonts w:asciiTheme="minorHAnsi" w:eastAsiaTheme="minorHAnsi" w:hAnsiTheme="minorHAnsi" w:cstheme="minorBidi"/>
      <w:sz w:val="20"/>
      <w:lang w:val="es-PE" w:eastAsia="en-US"/>
    </w:rPr>
  </w:style>
  <w:style w:type="paragraph" w:styleId="TDC6">
    <w:name w:val="toc 6"/>
    <w:basedOn w:val="Normal"/>
    <w:next w:val="Normal"/>
    <w:autoRedefine/>
    <w:uiPriority w:val="39"/>
    <w:semiHidden/>
    <w:unhideWhenUsed/>
    <w:rsid w:val="00FA0266"/>
    <w:pPr>
      <w:widowControl/>
      <w:overflowPunct/>
      <w:autoSpaceDE/>
      <w:autoSpaceDN/>
      <w:adjustRightInd/>
      <w:spacing w:line="276" w:lineRule="auto"/>
      <w:ind w:left="1100"/>
      <w:textAlignment w:val="auto"/>
    </w:pPr>
    <w:rPr>
      <w:rFonts w:asciiTheme="minorHAnsi" w:eastAsiaTheme="minorHAnsi" w:hAnsiTheme="minorHAnsi" w:cstheme="minorBidi"/>
      <w:sz w:val="20"/>
      <w:lang w:val="es-PE" w:eastAsia="en-US"/>
    </w:rPr>
  </w:style>
  <w:style w:type="paragraph" w:styleId="TDC7">
    <w:name w:val="toc 7"/>
    <w:basedOn w:val="Normal"/>
    <w:next w:val="Normal"/>
    <w:autoRedefine/>
    <w:uiPriority w:val="39"/>
    <w:semiHidden/>
    <w:unhideWhenUsed/>
    <w:rsid w:val="00FA0266"/>
    <w:pPr>
      <w:widowControl/>
      <w:overflowPunct/>
      <w:autoSpaceDE/>
      <w:autoSpaceDN/>
      <w:adjustRightInd/>
      <w:spacing w:line="276" w:lineRule="auto"/>
      <w:ind w:left="1320"/>
      <w:textAlignment w:val="auto"/>
    </w:pPr>
    <w:rPr>
      <w:rFonts w:asciiTheme="minorHAnsi" w:eastAsiaTheme="minorHAnsi" w:hAnsiTheme="minorHAnsi" w:cstheme="minorBidi"/>
      <w:sz w:val="20"/>
      <w:lang w:val="es-PE" w:eastAsia="en-US"/>
    </w:rPr>
  </w:style>
  <w:style w:type="paragraph" w:styleId="TDC8">
    <w:name w:val="toc 8"/>
    <w:basedOn w:val="Normal"/>
    <w:next w:val="Normal"/>
    <w:autoRedefine/>
    <w:uiPriority w:val="39"/>
    <w:semiHidden/>
    <w:unhideWhenUsed/>
    <w:rsid w:val="00FA0266"/>
    <w:pPr>
      <w:widowControl/>
      <w:overflowPunct/>
      <w:autoSpaceDE/>
      <w:autoSpaceDN/>
      <w:adjustRightInd/>
      <w:spacing w:line="276" w:lineRule="auto"/>
      <w:ind w:left="1540"/>
      <w:textAlignment w:val="auto"/>
    </w:pPr>
    <w:rPr>
      <w:rFonts w:asciiTheme="minorHAnsi" w:eastAsiaTheme="minorHAnsi" w:hAnsiTheme="minorHAnsi" w:cstheme="minorBidi"/>
      <w:sz w:val="20"/>
      <w:lang w:val="es-PE" w:eastAsia="en-US"/>
    </w:rPr>
  </w:style>
  <w:style w:type="paragraph" w:styleId="TDC9">
    <w:name w:val="toc 9"/>
    <w:basedOn w:val="Normal"/>
    <w:next w:val="Normal"/>
    <w:autoRedefine/>
    <w:uiPriority w:val="39"/>
    <w:semiHidden/>
    <w:unhideWhenUsed/>
    <w:rsid w:val="00FA0266"/>
    <w:pPr>
      <w:widowControl/>
      <w:overflowPunct/>
      <w:autoSpaceDE/>
      <w:autoSpaceDN/>
      <w:adjustRightInd/>
      <w:spacing w:line="276" w:lineRule="auto"/>
      <w:ind w:left="1760"/>
      <w:textAlignment w:val="auto"/>
    </w:pPr>
    <w:rPr>
      <w:rFonts w:asciiTheme="minorHAnsi" w:eastAsiaTheme="minorHAnsi" w:hAnsiTheme="minorHAnsi" w:cstheme="minorBidi"/>
      <w:sz w:val="20"/>
      <w:lang w:val="es-PE" w:eastAsia="en-US"/>
    </w:rPr>
  </w:style>
  <w:style w:type="paragraph" w:customStyle="1" w:styleId="Sangra2detdecuerpo1">
    <w:name w:val="Sangría 2 de t. de cuerpo1"/>
    <w:basedOn w:val="Normal"/>
    <w:rsid w:val="00FA0266"/>
    <w:pPr>
      <w:widowControl/>
      <w:ind w:left="708"/>
      <w:jc w:val="both"/>
    </w:pPr>
    <w:rPr>
      <w:rFonts w:ascii="Garamond" w:hAnsi="Garamond"/>
      <w:lang w:val="es-ES_tradnl"/>
    </w:rPr>
  </w:style>
  <w:style w:type="paragraph" w:customStyle="1" w:styleId="Sangra3detdecuerpo1">
    <w:name w:val="Sangría 3 de t. de cuerpo1"/>
    <w:basedOn w:val="Normal"/>
    <w:rsid w:val="00FA0266"/>
    <w:pPr>
      <w:widowControl/>
      <w:ind w:left="708"/>
    </w:pPr>
    <w:rPr>
      <w:rFonts w:ascii="Arial" w:hAnsi="Arial"/>
      <w:sz w:val="20"/>
      <w:lang w:val="es-ES_tradnl"/>
    </w:rPr>
  </w:style>
  <w:style w:type="paragraph" w:customStyle="1" w:styleId="Textodecuerpo25">
    <w:name w:val="Texto de cuerpo 25"/>
    <w:basedOn w:val="Normal"/>
    <w:rsid w:val="001B03E0"/>
    <w:pPr>
      <w:widowControl/>
      <w:ind w:left="426" w:hanging="426"/>
      <w:jc w:val="both"/>
    </w:pPr>
    <w:rPr>
      <w:rFonts w:ascii="Arial" w:hAnsi="Arial" w:cs="Arial"/>
      <w:color w:val="000000"/>
      <w:szCs w:val="24"/>
      <w:lang w:val="es-ES_tradnl"/>
    </w:rPr>
  </w:style>
  <w:style w:type="paragraph" w:customStyle="1" w:styleId="Sangra2detdecuerpo4">
    <w:name w:val="Sangría 2 de t. de cuerpo4"/>
    <w:basedOn w:val="Normal"/>
    <w:rsid w:val="001B03E0"/>
    <w:pPr>
      <w:tabs>
        <w:tab w:val="left" w:pos="-1440"/>
      </w:tabs>
      <w:ind w:firstLine="720"/>
      <w:jc w:val="both"/>
    </w:pPr>
    <w:rPr>
      <w:rFonts w:ascii="Arial" w:hAnsi="Arial" w:cs="Arial"/>
      <w:color w:val="000000"/>
      <w:szCs w:val="24"/>
    </w:rPr>
  </w:style>
  <w:style w:type="paragraph" w:customStyle="1" w:styleId="Textodecuerpo33">
    <w:name w:val="Texto de cuerpo 33"/>
    <w:basedOn w:val="Normal"/>
    <w:rsid w:val="001B03E0"/>
    <w:pPr>
      <w:jc w:val="both"/>
    </w:pPr>
    <w:rPr>
      <w:rFonts w:ascii="Courier New" w:hAnsi="Courier New" w:cs="Arial"/>
      <w:b/>
      <w:color w:val="FF00FF"/>
      <w:szCs w:val="24"/>
    </w:rPr>
  </w:style>
  <w:style w:type="character" w:customStyle="1" w:styleId="user">
    <w:name w:val="user"/>
    <w:rsid w:val="00FD54CD"/>
  </w:style>
  <w:style w:type="paragraph" w:styleId="Epgrafe">
    <w:name w:val="caption"/>
    <w:basedOn w:val="Normal"/>
    <w:qFormat/>
    <w:rsid w:val="0050116F"/>
    <w:pPr>
      <w:overflowPunct/>
      <w:autoSpaceDE/>
      <w:autoSpaceDN/>
      <w:adjustRightInd/>
      <w:jc w:val="center"/>
      <w:textAlignment w:val="auto"/>
    </w:pPr>
    <w:rPr>
      <w:b/>
      <w:lang w:val="en-US"/>
    </w:rPr>
  </w:style>
  <w:style w:type="paragraph" w:customStyle="1" w:styleId="Textodecuerpo22">
    <w:name w:val="Texto de cuerpo 22"/>
    <w:basedOn w:val="Normal"/>
    <w:rsid w:val="0082775B"/>
    <w:pPr>
      <w:ind w:firstLine="720"/>
      <w:jc w:val="both"/>
    </w:pPr>
    <w:rPr>
      <w:rFonts w:ascii="Courier New" w:hAnsi="Courier New"/>
      <w:sz w:val="20"/>
    </w:rPr>
  </w:style>
  <w:style w:type="paragraph" w:customStyle="1" w:styleId="BodyText27">
    <w:name w:val="Body Text 27"/>
    <w:basedOn w:val="Normal"/>
    <w:rsid w:val="0082775B"/>
    <w:pPr>
      <w:spacing w:line="360" w:lineRule="auto"/>
      <w:jc w:val="center"/>
    </w:pPr>
    <w:rPr>
      <w:b/>
      <w:sz w:val="36"/>
    </w:rPr>
  </w:style>
  <w:style w:type="character" w:customStyle="1" w:styleId="Hipervnculo2">
    <w:name w:val="Hipervínculo2"/>
    <w:basedOn w:val="Fuentedeprrafopredeter"/>
    <w:rsid w:val="0082775B"/>
    <w:rPr>
      <w:color w:val="0000FF"/>
      <w:u w:val="none"/>
    </w:rPr>
  </w:style>
  <w:style w:type="paragraph" w:customStyle="1" w:styleId="Sangra2detdecuerpo2">
    <w:name w:val="Sangría 2 de t. de cuerpo2"/>
    <w:basedOn w:val="Normal"/>
    <w:rsid w:val="0082775B"/>
    <w:pPr>
      <w:spacing w:after="120" w:line="480" w:lineRule="auto"/>
      <w:ind w:left="283"/>
    </w:pPr>
  </w:style>
  <w:style w:type="paragraph" w:customStyle="1" w:styleId="BodyText26">
    <w:name w:val="Body Text 26"/>
    <w:basedOn w:val="Normal"/>
    <w:rsid w:val="0082775B"/>
    <w:pPr>
      <w:spacing w:after="120" w:line="480" w:lineRule="auto"/>
    </w:pPr>
  </w:style>
  <w:style w:type="paragraph" w:customStyle="1" w:styleId="Sangra3detdecuerpo2">
    <w:name w:val="Sangría 3 de t. de cuerpo2"/>
    <w:basedOn w:val="Normal"/>
    <w:rsid w:val="0082775B"/>
    <w:pPr>
      <w:spacing w:after="120"/>
      <w:ind w:left="283"/>
    </w:pPr>
    <w:rPr>
      <w:sz w:val="16"/>
    </w:rPr>
  </w:style>
  <w:style w:type="paragraph" w:customStyle="1" w:styleId="Textodecuerpo31">
    <w:name w:val="Texto de cuerpo 31"/>
    <w:basedOn w:val="Normal"/>
    <w:rsid w:val="0082775B"/>
    <w:pPr>
      <w:spacing w:after="120"/>
    </w:pPr>
    <w:rPr>
      <w:sz w:val="16"/>
    </w:rPr>
  </w:style>
  <w:style w:type="paragraph" w:customStyle="1" w:styleId="BodyTextIndent21">
    <w:name w:val="Body Text Indent 21"/>
    <w:basedOn w:val="Normal"/>
    <w:rsid w:val="0082775B"/>
    <w:pPr>
      <w:tabs>
        <w:tab w:val="left" w:pos="-1440"/>
      </w:tabs>
      <w:ind w:firstLine="720"/>
      <w:jc w:val="both"/>
    </w:pPr>
    <w:rPr>
      <w:rFonts w:ascii="Arial" w:hAnsi="Arial"/>
      <w:color w:val="000000"/>
    </w:rPr>
  </w:style>
  <w:style w:type="paragraph" w:customStyle="1" w:styleId="BodyText25">
    <w:name w:val="Body Text 25"/>
    <w:basedOn w:val="Normal"/>
    <w:rsid w:val="0082775B"/>
    <w:pPr>
      <w:ind w:left="436"/>
      <w:jc w:val="both"/>
    </w:pPr>
    <w:rPr>
      <w:rFonts w:ascii="Arial" w:hAnsi="Arial"/>
      <w:color w:val="000000"/>
      <w:spacing w:val="-3"/>
      <w:lang w:val="en-US"/>
    </w:rPr>
  </w:style>
  <w:style w:type="paragraph" w:customStyle="1" w:styleId="BodyText33">
    <w:name w:val="Body Text 33"/>
    <w:basedOn w:val="Normal"/>
    <w:rsid w:val="0082775B"/>
    <w:pPr>
      <w:jc w:val="both"/>
    </w:pPr>
    <w:rPr>
      <w:rFonts w:ascii="Courier New" w:hAnsi="Courier New"/>
      <w:b/>
      <w:color w:val="FF00FF"/>
    </w:rPr>
  </w:style>
  <w:style w:type="character" w:customStyle="1" w:styleId="Hyperlink2">
    <w:name w:val="Hyperlink2"/>
    <w:basedOn w:val="Fuentedeprrafopredeter"/>
    <w:rsid w:val="0082775B"/>
    <w:rPr>
      <w:color w:val="auto"/>
      <w:u w:val="single"/>
    </w:rPr>
  </w:style>
  <w:style w:type="character" w:customStyle="1" w:styleId="Hipervnculovisitado1">
    <w:name w:val="Hipervínculo visitado1"/>
    <w:basedOn w:val="Fuentedeprrafopredeter"/>
    <w:rsid w:val="0082775B"/>
    <w:rPr>
      <w:color w:val="auto"/>
      <w:u w:val="single"/>
    </w:rPr>
  </w:style>
  <w:style w:type="paragraph" w:customStyle="1" w:styleId="BodyText24">
    <w:name w:val="Body Text 24"/>
    <w:basedOn w:val="Normal"/>
    <w:rsid w:val="0082775B"/>
    <w:pPr>
      <w:spacing w:after="120" w:line="480" w:lineRule="auto"/>
    </w:pPr>
  </w:style>
  <w:style w:type="character" w:customStyle="1" w:styleId="Hyperlink1">
    <w:name w:val="Hyperlink1"/>
    <w:basedOn w:val="Fuentedeprrafopredeter"/>
    <w:rsid w:val="0082775B"/>
    <w:rPr>
      <w:color w:val="0000FF"/>
      <w:u w:val="single"/>
    </w:rPr>
  </w:style>
  <w:style w:type="paragraph" w:customStyle="1" w:styleId="estilo17">
    <w:name w:val="estilo17"/>
    <w:basedOn w:val="Normal"/>
    <w:rsid w:val="0082775B"/>
    <w:pPr>
      <w:widowControl/>
      <w:spacing w:before="100" w:after="100"/>
    </w:pPr>
    <w:rPr>
      <w:rFonts w:ascii="Verdana" w:hAnsi="Verdana"/>
      <w:color w:val="808080"/>
      <w:lang w:val="es-PE"/>
    </w:rPr>
  </w:style>
  <w:style w:type="character" w:customStyle="1" w:styleId="estilo191">
    <w:name w:val="estilo191"/>
    <w:basedOn w:val="Fuentedeprrafopredeter"/>
    <w:rsid w:val="0082775B"/>
    <w:rPr>
      <w:color w:val="808080"/>
    </w:rPr>
  </w:style>
  <w:style w:type="character" w:customStyle="1" w:styleId="Textoennegrita1">
    <w:name w:val="Texto en negrita1"/>
    <w:basedOn w:val="Fuentedeprrafopredeter"/>
    <w:rsid w:val="0082775B"/>
    <w:rPr>
      <w:b/>
    </w:rPr>
  </w:style>
  <w:style w:type="paragraph" w:customStyle="1" w:styleId="estilo6estilo5estilo19">
    <w:name w:val="estilo6 estilo5 estilo19"/>
    <w:basedOn w:val="Normal"/>
    <w:rsid w:val="0082775B"/>
    <w:pPr>
      <w:widowControl/>
      <w:spacing w:before="100" w:after="100"/>
    </w:pPr>
    <w:rPr>
      <w:lang w:val="es-PE"/>
    </w:rPr>
  </w:style>
  <w:style w:type="character" w:customStyle="1" w:styleId="estilo201">
    <w:name w:val="estilo201"/>
    <w:basedOn w:val="Fuentedeprrafopredeter"/>
    <w:rsid w:val="0082775B"/>
    <w:rPr>
      <w:rFonts w:ascii="Verdana" w:hAnsi="Verdana"/>
    </w:rPr>
  </w:style>
  <w:style w:type="paragraph" w:customStyle="1" w:styleId="estilo6">
    <w:name w:val="estilo6"/>
    <w:basedOn w:val="Normal"/>
    <w:rsid w:val="0082775B"/>
    <w:pPr>
      <w:widowControl/>
      <w:spacing w:before="100" w:after="100"/>
    </w:pPr>
    <w:rPr>
      <w:rFonts w:ascii="Verdana" w:hAnsi="Verdana"/>
      <w:color w:val="808080"/>
      <w:sz w:val="12"/>
      <w:lang w:val="es-PE"/>
    </w:rPr>
  </w:style>
  <w:style w:type="paragraph" w:customStyle="1" w:styleId="BodyText32">
    <w:name w:val="Body Text 32"/>
    <w:basedOn w:val="Normal"/>
    <w:rsid w:val="0082775B"/>
    <w:pPr>
      <w:spacing w:after="120"/>
    </w:pPr>
    <w:rPr>
      <w:sz w:val="16"/>
    </w:rPr>
  </w:style>
  <w:style w:type="paragraph" w:customStyle="1" w:styleId="BodyText23">
    <w:name w:val="Body Text 23"/>
    <w:basedOn w:val="Normal"/>
    <w:rsid w:val="0082775B"/>
    <w:pPr>
      <w:spacing w:after="120"/>
      <w:ind w:left="283"/>
    </w:pPr>
  </w:style>
  <w:style w:type="paragraph" w:customStyle="1" w:styleId="CarCar6">
    <w:name w:val="Car Car6"/>
    <w:basedOn w:val="Normal"/>
    <w:rsid w:val="0082775B"/>
    <w:pPr>
      <w:widowControl/>
      <w:spacing w:after="160" w:line="240" w:lineRule="exact"/>
      <w:jc w:val="both"/>
    </w:pPr>
    <w:rPr>
      <w:rFonts w:ascii="Tahoma" w:hAnsi="Tahoma"/>
      <w:i/>
      <w:sz w:val="20"/>
      <w:lang w:val="en-US"/>
    </w:rPr>
  </w:style>
  <w:style w:type="paragraph" w:customStyle="1" w:styleId="BodyText22">
    <w:name w:val="Body Text 22"/>
    <w:basedOn w:val="Normal"/>
    <w:rsid w:val="0082775B"/>
    <w:pPr>
      <w:spacing w:after="120" w:line="480" w:lineRule="auto"/>
    </w:pPr>
  </w:style>
  <w:style w:type="paragraph" w:customStyle="1" w:styleId="BodyText21">
    <w:name w:val="Body Text 21"/>
    <w:basedOn w:val="Normal"/>
    <w:rsid w:val="0082775B"/>
    <w:pPr>
      <w:spacing w:after="120"/>
      <w:ind w:left="283"/>
    </w:pPr>
  </w:style>
  <w:style w:type="paragraph" w:customStyle="1" w:styleId="BodyText31">
    <w:name w:val="Body Text 31"/>
    <w:basedOn w:val="Normal"/>
    <w:rsid w:val="0082775B"/>
    <w:pPr>
      <w:spacing w:after="120"/>
    </w:pPr>
    <w:rPr>
      <w:sz w:val="16"/>
    </w:rPr>
  </w:style>
  <w:style w:type="paragraph" w:customStyle="1" w:styleId="BodyTextIndent31">
    <w:name w:val="Body Text Indent 31"/>
    <w:basedOn w:val="Normal"/>
    <w:rsid w:val="0082775B"/>
    <w:pPr>
      <w:spacing w:after="120"/>
      <w:ind w:left="283"/>
    </w:pPr>
    <w:rPr>
      <w:sz w:val="16"/>
    </w:rPr>
  </w:style>
  <w:style w:type="paragraph" w:styleId="Subttulo">
    <w:name w:val="Subtitle"/>
    <w:basedOn w:val="Normal"/>
    <w:link w:val="SubttuloCar"/>
    <w:qFormat/>
    <w:rsid w:val="0082775B"/>
    <w:pPr>
      <w:widowControl/>
      <w:jc w:val="center"/>
    </w:pPr>
    <w:rPr>
      <w:rFonts w:ascii="Arial Narrow" w:hAnsi="Arial Narrow"/>
      <w:b/>
      <w:sz w:val="20"/>
    </w:rPr>
  </w:style>
  <w:style w:type="character" w:customStyle="1" w:styleId="SubttuloCar">
    <w:name w:val="Subtítulo Car"/>
    <w:basedOn w:val="Fuentedeprrafopredeter"/>
    <w:link w:val="Subttulo"/>
    <w:rsid w:val="0082775B"/>
    <w:rPr>
      <w:rFonts w:ascii="Arial Narrow" w:eastAsia="Times New Roman" w:hAnsi="Arial Narrow" w:cs="Times New Roman"/>
      <w:b/>
      <w:sz w:val="20"/>
      <w:szCs w:val="20"/>
      <w:lang w:val="es-ES"/>
    </w:rPr>
  </w:style>
  <w:style w:type="paragraph" w:customStyle="1" w:styleId="Mapadeldocumento1">
    <w:name w:val="Mapa del documento1"/>
    <w:basedOn w:val="Normal"/>
    <w:rsid w:val="0082775B"/>
    <w:pPr>
      <w:shd w:val="clear" w:color="auto" w:fill="000080"/>
    </w:pPr>
    <w:rPr>
      <w:rFonts w:ascii="Tahoma" w:hAnsi="Tahoma"/>
      <w:sz w:val="20"/>
    </w:rPr>
  </w:style>
  <w:style w:type="paragraph" w:customStyle="1" w:styleId="Rpidoa">
    <w:name w:val="Rápido a)"/>
    <w:basedOn w:val="Normal"/>
    <w:rsid w:val="0082775B"/>
    <w:pPr>
      <w:ind w:left="720" w:hanging="720"/>
    </w:pPr>
  </w:style>
  <w:style w:type="paragraph" w:styleId="Listaconvietas">
    <w:name w:val="List Bullet"/>
    <w:basedOn w:val="Normal"/>
    <w:rsid w:val="0082775B"/>
    <w:pPr>
      <w:tabs>
        <w:tab w:val="left" w:pos="360"/>
      </w:tabs>
      <w:ind w:left="360" w:hanging="360"/>
    </w:pPr>
  </w:style>
  <w:style w:type="paragraph" w:styleId="Lista2">
    <w:name w:val="List 2"/>
    <w:basedOn w:val="Normal"/>
    <w:rsid w:val="0082775B"/>
    <w:pPr>
      <w:ind w:left="566" w:hanging="283"/>
    </w:pPr>
  </w:style>
  <w:style w:type="paragraph" w:customStyle="1" w:styleId="Textodenotaalpie">
    <w:name w:val="Texto de nota al pie"/>
    <w:basedOn w:val="Normal"/>
    <w:rsid w:val="0082775B"/>
    <w:rPr>
      <w:rFonts w:ascii="Lucida Sans Typewriter" w:hAnsi="Lucida Sans Typewriter"/>
      <w:lang w:val="es-ES_tradnl"/>
    </w:rPr>
  </w:style>
  <w:style w:type="paragraph" w:customStyle="1" w:styleId="Textodebloque1">
    <w:name w:val="Texto de bloque1"/>
    <w:basedOn w:val="Normal"/>
    <w:rsid w:val="0082775B"/>
    <w:pPr>
      <w:widowControl/>
      <w:ind w:left="708" w:right="738"/>
      <w:jc w:val="both"/>
    </w:pPr>
    <w:rPr>
      <w:rFonts w:ascii="Verdana" w:hAnsi="Verdana"/>
      <w:sz w:val="20"/>
    </w:rPr>
  </w:style>
  <w:style w:type="paragraph" w:customStyle="1" w:styleId="CarCar60">
    <w:name w:val="Car Car6"/>
    <w:basedOn w:val="Normal"/>
    <w:rsid w:val="0082775B"/>
    <w:pPr>
      <w:widowControl/>
      <w:overflowPunct/>
      <w:autoSpaceDE/>
      <w:autoSpaceDN/>
      <w:adjustRightInd/>
      <w:spacing w:after="160" w:line="240" w:lineRule="exact"/>
      <w:jc w:val="both"/>
      <w:textAlignment w:val="auto"/>
    </w:pPr>
    <w:rPr>
      <w:rFonts w:ascii="Tahoma" w:hAnsi="Tahoma"/>
      <w:i/>
      <w:sz w:val="20"/>
      <w:lang w:val="en-US" w:eastAsia="en-US"/>
    </w:rPr>
  </w:style>
  <w:style w:type="paragraph" w:styleId="Mapadeldocumento">
    <w:name w:val="Document Map"/>
    <w:basedOn w:val="Normal"/>
    <w:link w:val="MapadeldocumentoCar"/>
    <w:semiHidden/>
    <w:rsid w:val="0082775B"/>
    <w:pPr>
      <w:shd w:val="clear" w:color="auto" w:fill="000080"/>
    </w:pPr>
    <w:rPr>
      <w:rFonts w:ascii="Tahoma" w:hAnsi="Tahoma" w:cs="Tahoma"/>
      <w:sz w:val="20"/>
    </w:rPr>
  </w:style>
  <w:style w:type="character" w:customStyle="1" w:styleId="MapadeldocumentoCar">
    <w:name w:val="Mapa del documento Car"/>
    <w:basedOn w:val="Fuentedeprrafopredeter"/>
    <w:link w:val="Mapadeldocumento"/>
    <w:semiHidden/>
    <w:rsid w:val="0082775B"/>
    <w:rPr>
      <w:rFonts w:ascii="Tahoma" w:eastAsia="Times New Roman" w:hAnsi="Tahoma" w:cs="Tahoma"/>
      <w:sz w:val="20"/>
      <w:szCs w:val="20"/>
      <w:shd w:val="clear" w:color="auto" w:fill="000080"/>
      <w:lang w:val="es-ES"/>
    </w:rPr>
  </w:style>
  <w:style w:type="character" w:customStyle="1" w:styleId="modartculofecha">
    <w:name w:val="modartculofecha"/>
    <w:rsid w:val="009E6E2E"/>
  </w:style>
  <w:style w:type="character" w:customStyle="1" w:styleId="decretoslegislativos">
    <w:name w:val="decretoslegislativos"/>
    <w:rsid w:val="009E6E2E"/>
  </w:style>
  <w:style w:type="paragraph" w:customStyle="1" w:styleId="cat">
    <w:name w:val="cat"/>
    <w:basedOn w:val="Normal"/>
    <w:rsid w:val="009E6E2E"/>
    <w:pPr>
      <w:widowControl/>
      <w:overflowPunct/>
      <w:autoSpaceDE/>
      <w:autoSpaceDN/>
      <w:adjustRightInd/>
      <w:spacing w:before="100" w:beforeAutospacing="1" w:after="100" w:afterAutospacing="1"/>
      <w:textAlignment w:val="auto"/>
    </w:pPr>
    <w:rPr>
      <w:rFonts w:ascii="Times" w:hAnsi="Times"/>
      <w:sz w:val="20"/>
      <w:lang w:val="es-ES_tradnl"/>
    </w:rPr>
  </w:style>
  <w:style w:type="paragraph" w:customStyle="1" w:styleId="entry-summary">
    <w:name w:val="entry-summary"/>
    <w:basedOn w:val="Normal"/>
    <w:rsid w:val="009E6E2E"/>
    <w:pPr>
      <w:widowControl/>
      <w:overflowPunct/>
      <w:autoSpaceDE/>
      <w:autoSpaceDN/>
      <w:adjustRightInd/>
      <w:spacing w:before="100" w:beforeAutospacing="1" w:after="100" w:afterAutospacing="1"/>
      <w:textAlignment w:val="auto"/>
    </w:pPr>
    <w:rPr>
      <w:rFonts w:ascii="Times" w:hAnsi="Times"/>
      <w:sz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76184">
      <w:bodyDiv w:val="1"/>
      <w:marLeft w:val="0"/>
      <w:marRight w:val="0"/>
      <w:marTop w:val="0"/>
      <w:marBottom w:val="0"/>
      <w:divBdr>
        <w:top w:val="none" w:sz="0" w:space="0" w:color="auto"/>
        <w:left w:val="none" w:sz="0" w:space="0" w:color="auto"/>
        <w:bottom w:val="none" w:sz="0" w:space="0" w:color="auto"/>
        <w:right w:val="none" w:sz="0" w:space="0" w:color="auto"/>
      </w:divBdr>
      <w:divsChild>
        <w:div w:id="1784349987">
          <w:marLeft w:val="0"/>
          <w:marRight w:val="0"/>
          <w:marTop w:val="0"/>
          <w:marBottom w:val="270"/>
          <w:divBdr>
            <w:top w:val="none" w:sz="0" w:space="0" w:color="auto"/>
            <w:left w:val="none" w:sz="0" w:space="0" w:color="auto"/>
            <w:bottom w:val="none" w:sz="0" w:space="0" w:color="auto"/>
            <w:right w:val="none" w:sz="0" w:space="0" w:color="auto"/>
          </w:divBdr>
        </w:div>
      </w:divsChild>
    </w:div>
    <w:div w:id="1049231461">
      <w:bodyDiv w:val="1"/>
      <w:marLeft w:val="0"/>
      <w:marRight w:val="0"/>
      <w:marTop w:val="0"/>
      <w:marBottom w:val="0"/>
      <w:divBdr>
        <w:top w:val="none" w:sz="0" w:space="0" w:color="auto"/>
        <w:left w:val="none" w:sz="0" w:space="0" w:color="auto"/>
        <w:bottom w:val="none" w:sz="0" w:space="0" w:color="auto"/>
        <w:right w:val="none" w:sz="0" w:space="0" w:color="auto"/>
      </w:divBdr>
    </w:div>
    <w:div w:id="1199313410">
      <w:bodyDiv w:val="1"/>
      <w:marLeft w:val="0"/>
      <w:marRight w:val="0"/>
      <w:marTop w:val="0"/>
      <w:marBottom w:val="0"/>
      <w:divBdr>
        <w:top w:val="none" w:sz="0" w:space="0" w:color="auto"/>
        <w:left w:val="none" w:sz="0" w:space="0" w:color="auto"/>
        <w:bottom w:val="none" w:sz="0" w:space="0" w:color="auto"/>
        <w:right w:val="none" w:sz="0" w:space="0" w:color="auto"/>
      </w:divBdr>
    </w:div>
    <w:div w:id="1895387475">
      <w:bodyDiv w:val="1"/>
      <w:marLeft w:val="0"/>
      <w:marRight w:val="0"/>
      <w:marTop w:val="0"/>
      <w:marBottom w:val="0"/>
      <w:divBdr>
        <w:top w:val="none" w:sz="0" w:space="0" w:color="auto"/>
        <w:left w:val="none" w:sz="0" w:space="0" w:color="auto"/>
        <w:bottom w:val="none" w:sz="0" w:space="0" w:color="auto"/>
        <w:right w:val="none" w:sz="0" w:space="0" w:color="auto"/>
      </w:divBdr>
    </w:div>
    <w:div w:id="20471006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olumna-az.webnode.es" TargetMode="External"/><Relationship Id="rId20" Type="http://schemas.openxmlformats.org/officeDocument/2006/relationships/theme" Target="theme/theme1.xml"/><Relationship Id="rId10" Type="http://schemas.openxmlformats.org/officeDocument/2006/relationships/hyperlink" Target="http://alexzambrano.webnode.es/discussion/?tid=200000645&amp;mid=200000645" TargetMode="External"/><Relationship Id="rId11" Type="http://schemas.openxmlformats.org/officeDocument/2006/relationships/hyperlink" Target="http://rpp.pe/politica/actualidad/cnm-denunciara-al-tribunal-constitucional-ante-el-congreso-y-la-fiscalia-noticia-688715" TargetMode="External"/><Relationship Id="rId12" Type="http://schemas.openxmlformats.org/officeDocument/2006/relationships/hyperlink" Target="http://www.tc.gob.pe/jurisprudencia/2014/03382-2012-HC.pdf" TargetMode="External"/><Relationship Id="rId13" Type="http://schemas.openxmlformats.org/officeDocument/2006/relationships/hyperlink" Target="http://sistemas.amag.edu.pe/publicaciones/derecho_civil/serie_jurisp_02/159-194.pdf" TargetMode="External"/><Relationship Id="rId14" Type="http://schemas.openxmlformats.org/officeDocument/2006/relationships/hyperlink" Target="http://cornejotimote.blogspot.pe/2015/03/encubrimiento-personal-peru.html" TargetMode="Externa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771</Pages>
  <Words>290633</Words>
  <Characters>1598483</Characters>
  <Application>Microsoft Macintosh Word</Application>
  <DocSecurity>0</DocSecurity>
  <Lines>13320</Lines>
  <Paragraphs>3770</Paragraphs>
  <ScaleCrop>false</ScaleCrop>
  <Company/>
  <LinksUpToDate>false</LinksUpToDate>
  <CharactersWithSpaces>1885346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42</cp:revision>
  <dcterms:created xsi:type="dcterms:W3CDTF">2016-01-14T00:27:00Z</dcterms:created>
  <dcterms:modified xsi:type="dcterms:W3CDTF">2016-02-26T20:33:00Z</dcterms:modified>
</cp:coreProperties>
</file>